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467476">
      <w:pPr>
        <w:rPr>
          <w:rFonts w:ascii="仿宋_GB2312" w:hAnsi="仿宋_GB2312" w:eastAsia="仿宋_GB2312" w:cs="仿宋_GB2312"/>
          <w:sz w:val="36"/>
          <w:szCs w:val="36"/>
        </w:rPr>
      </w:pPr>
      <w:bookmarkStart w:id="0" w:name="_Hlk57883707"/>
    </w:p>
    <w:p w14:paraId="7B2746A2">
      <w:pPr>
        <w:rPr>
          <w:rFonts w:ascii="仿宋_GB2312" w:hAnsi="仿宋_GB2312" w:eastAsia="仿宋_GB2312" w:cs="仿宋_GB2312"/>
          <w:sz w:val="36"/>
          <w:szCs w:val="36"/>
        </w:rPr>
      </w:pPr>
    </w:p>
    <w:p w14:paraId="24C63D2C">
      <w:pPr>
        <w:rPr>
          <w:rFonts w:ascii="仿宋_GB2312" w:hAnsi="仿宋_GB2312" w:eastAsia="仿宋_GB2312" w:cs="仿宋_GB2312"/>
          <w:sz w:val="36"/>
          <w:szCs w:val="36"/>
        </w:rPr>
      </w:pPr>
    </w:p>
    <w:p w14:paraId="6DF0CE71">
      <w:pPr>
        <w:rPr>
          <w:rFonts w:ascii="仿宋_GB2312" w:hAnsi="仿宋_GB2312" w:eastAsia="仿宋_GB2312" w:cs="仿宋_GB2312"/>
          <w:sz w:val="36"/>
          <w:szCs w:val="36"/>
        </w:rPr>
      </w:pPr>
    </w:p>
    <w:bookmarkEnd w:id="0"/>
    <w:p w14:paraId="6A3CC0ED">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7E148265">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（生态影响类）</w:t>
      </w:r>
    </w:p>
    <w:p w14:paraId="4084E608">
      <w:pPr>
        <w:adjustRightInd w:val="0"/>
        <w:snapToGrid w:val="0"/>
        <w:spacing w:line="288" w:lineRule="auto"/>
        <w:jc w:val="center"/>
        <w:outlineLvl w:val="9"/>
        <w:rPr>
          <w:rFonts w:ascii="华文仿宋" w:hAnsi="华文仿宋" w:eastAsia="华文仿宋" w:cs="华文仿宋"/>
          <w:color w:val="000000"/>
          <w:kern w:val="44"/>
          <w:sz w:val="44"/>
          <w:szCs w:val="44"/>
        </w:rPr>
      </w:pPr>
      <w:bookmarkStart w:id="1" w:name="_Hlk57883728"/>
    </w:p>
    <w:p w14:paraId="470568B2">
      <w:pPr>
        <w:jc w:val="center"/>
        <w:rPr>
          <w:rFonts w:eastAsia="仿宋"/>
          <w:sz w:val="52"/>
          <w:szCs w:val="52"/>
        </w:rPr>
      </w:pPr>
    </w:p>
    <w:p w14:paraId="57449C5D">
      <w:pPr>
        <w:ind w:firstLine="1040"/>
        <w:rPr>
          <w:rFonts w:eastAsia="仿宋"/>
          <w:sz w:val="44"/>
          <w:szCs w:val="44"/>
        </w:rPr>
      </w:pPr>
    </w:p>
    <w:p w14:paraId="0A63D3CF">
      <w:pPr>
        <w:ind w:firstLine="1040"/>
        <w:rPr>
          <w:rFonts w:eastAsia="仿宋"/>
          <w:sz w:val="44"/>
          <w:szCs w:val="44"/>
        </w:rPr>
      </w:pPr>
    </w:p>
    <w:p w14:paraId="0B48552B">
      <w:pPr>
        <w:ind w:firstLine="1040"/>
        <w:rPr>
          <w:rFonts w:eastAsia="仿宋"/>
          <w:sz w:val="44"/>
          <w:szCs w:val="44"/>
        </w:rPr>
      </w:pPr>
    </w:p>
    <w:p w14:paraId="59C94E56">
      <w:pPr>
        <w:ind w:firstLine="1040"/>
        <w:rPr>
          <w:rFonts w:eastAsia="仿宋"/>
          <w:sz w:val="44"/>
          <w:szCs w:val="44"/>
        </w:rPr>
      </w:pPr>
    </w:p>
    <w:bookmarkEnd w:id="1"/>
    <w:p w14:paraId="5952BF04">
      <w:pPr>
        <w:adjustRightInd w:val="0"/>
        <w:snapToGrid w:val="0"/>
        <w:spacing w:line="288" w:lineRule="auto"/>
        <w:ind w:left="2158" w:leftChars="342" w:hanging="1440" w:hangingChars="400"/>
        <w:rPr>
          <w:rFonts w:hint="eastAsia"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甘肃惠临实业发展有限公司年产5万吨</w:t>
      </w:r>
    </w:p>
    <w:p w14:paraId="13E0D582">
      <w:pPr>
        <w:adjustRightInd w:val="0"/>
        <w:snapToGrid w:val="0"/>
        <w:spacing w:line="288" w:lineRule="auto"/>
        <w:ind w:left="2155" w:leftChars="1026" w:firstLine="360" w:firstLineChars="100"/>
        <w:rPr>
          <w:rFonts w:hint="eastAsia" w:ascii="仿宋_GB2312" w:eastAsia="仿宋_GB2312"/>
          <w:sz w:val="36"/>
          <w:szCs w:val="36"/>
          <w:u w:val="single"/>
          <w:lang w:val="en-US" w:eastAsia="zh-CN"/>
        </w:rPr>
      </w:pPr>
      <w:r>
        <w:rPr>
          <w:rFonts w:hint="eastAsia" w:ascii="仿宋_GB2312" w:eastAsia="仿宋_GB2312"/>
          <w:sz w:val="36"/>
          <w:szCs w:val="36"/>
          <w:u w:val="single"/>
          <w:lang w:val="en-US" w:eastAsia="zh-CN"/>
        </w:rPr>
        <w:t>凹凸棒石石膏采矿场建设项目</w:t>
      </w:r>
    </w:p>
    <w:p w14:paraId="1020BA82">
      <w:pPr>
        <w:keepNext w:val="0"/>
        <w:keepLines w:val="0"/>
        <w:pageBreakBefore w:val="0"/>
        <w:widowControl w:val="0"/>
        <w:kinsoku/>
        <w:wordWrap/>
        <w:overflowPunct/>
        <w:topLinePunct w:val="0"/>
        <w:autoSpaceDE/>
        <w:autoSpaceDN/>
        <w:bidi w:val="0"/>
        <w:adjustRightInd w:val="0"/>
        <w:snapToGrid w:val="0"/>
        <w:spacing w:line="288" w:lineRule="auto"/>
        <w:ind w:left="638" w:leftChars="304" w:firstLine="0" w:firstLineChars="0"/>
        <w:textAlignment w:val="auto"/>
        <w:rPr>
          <w:rFonts w:hint="default"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甘肃惠临实业发展有限公司</w:t>
      </w:r>
    </w:p>
    <w:p w14:paraId="687D58E1">
      <w:pPr>
        <w:adjustRightInd w:val="0"/>
        <w:snapToGrid w:val="0"/>
        <w:spacing w:line="288" w:lineRule="auto"/>
        <w:ind w:left="0" w:leftChars="0" w:firstLine="637" w:firstLineChars="177"/>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202</w:t>
      </w:r>
      <w:r>
        <w:rPr>
          <w:rFonts w:hint="eastAsia" w:ascii="仿宋_GB2312" w:eastAsia="仿宋_GB2312"/>
          <w:sz w:val="36"/>
          <w:szCs w:val="36"/>
          <w:u w:val="single"/>
          <w:lang w:val="en-US" w:eastAsia="zh-CN"/>
        </w:rPr>
        <w:t>6</w:t>
      </w:r>
      <w:r>
        <w:rPr>
          <w:rFonts w:hint="eastAsia" w:ascii="仿宋_GB2312" w:eastAsia="仿宋_GB2312"/>
          <w:sz w:val="36"/>
          <w:szCs w:val="36"/>
          <w:u w:val="single"/>
        </w:rPr>
        <w:t>年</w:t>
      </w:r>
      <w:r>
        <w:rPr>
          <w:rFonts w:hint="eastAsia" w:ascii="仿宋_GB2312" w:eastAsia="仿宋_GB2312"/>
          <w:sz w:val="36"/>
          <w:szCs w:val="36"/>
          <w:u w:val="single"/>
          <w:lang w:val="en-US" w:eastAsia="zh-CN"/>
        </w:rPr>
        <w:t>6</w:t>
      </w:r>
      <w:r>
        <w:rPr>
          <w:rFonts w:hint="eastAsia" w:ascii="仿宋_GB2312" w:eastAsia="仿宋_GB2312"/>
          <w:sz w:val="36"/>
          <w:szCs w:val="36"/>
          <w:u w:val="single"/>
        </w:rPr>
        <w:t>月</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1D91B87E">
      <w:pPr>
        <w:adjustRightInd w:val="0"/>
        <w:snapToGrid w:val="0"/>
        <w:spacing w:line="288" w:lineRule="auto"/>
        <w:ind w:firstLine="1040"/>
        <w:rPr>
          <w:rFonts w:ascii="仿宋_GB2312" w:eastAsia="仿宋_GB2312"/>
          <w:sz w:val="36"/>
          <w:szCs w:val="36"/>
          <w:u w:val="single"/>
        </w:rPr>
      </w:pPr>
    </w:p>
    <w:p w14:paraId="4810236A">
      <w:pPr>
        <w:adjustRightInd w:val="0"/>
        <w:snapToGrid w:val="0"/>
        <w:spacing w:line="288" w:lineRule="auto"/>
        <w:ind w:firstLine="1040"/>
        <w:rPr>
          <w:rFonts w:ascii="仿宋_GB2312" w:eastAsia="仿宋_GB2312"/>
          <w:sz w:val="36"/>
          <w:szCs w:val="36"/>
        </w:rPr>
      </w:pPr>
    </w:p>
    <w:p w14:paraId="329F5513">
      <w:pPr>
        <w:adjustRightInd w:val="0"/>
        <w:snapToGrid w:val="0"/>
        <w:spacing w:line="288" w:lineRule="auto"/>
        <w:ind w:firstLine="1040"/>
        <w:rPr>
          <w:rFonts w:ascii="仿宋_GB2312" w:eastAsia="仿宋_GB2312"/>
          <w:sz w:val="36"/>
          <w:szCs w:val="36"/>
        </w:rPr>
      </w:pPr>
    </w:p>
    <w:p w14:paraId="53197F37">
      <w:pPr>
        <w:adjustRightInd w:val="0"/>
        <w:snapToGrid w:val="0"/>
        <w:spacing w:line="288" w:lineRule="auto"/>
        <w:ind w:firstLine="1040"/>
        <w:rPr>
          <w:rFonts w:hint="eastAsia" w:ascii="仿宋_GB2312" w:eastAsia="仿宋_GB2312"/>
          <w:sz w:val="36"/>
          <w:szCs w:val="36"/>
        </w:rPr>
      </w:pPr>
    </w:p>
    <w:p w14:paraId="1FBE50BA">
      <w:pPr>
        <w:adjustRightInd w:val="0"/>
        <w:snapToGrid w:val="0"/>
        <w:spacing w:line="288" w:lineRule="auto"/>
        <w:ind w:firstLine="1040"/>
        <w:rPr>
          <w:rFonts w:hint="eastAsia" w:ascii="仿宋_GB2312" w:eastAsia="仿宋_GB2312"/>
          <w:sz w:val="36"/>
          <w:szCs w:val="36"/>
        </w:rPr>
      </w:pPr>
    </w:p>
    <w:p w14:paraId="2B7CBE07">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42523ED7">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21"/>
          <w:cols w:space="720" w:num="1"/>
          <w:docGrid w:linePitch="312" w:charSpace="0"/>
        </w:sectPr>
      </w:pPr>
    </w:p>
    <w:p w14:paraId="2493DD8B">
      <w:pPr>
        <w:pStyle w:val="20"/>
        <w:jc w:val="center"/>
        <w:outlineLvl w:val="0"/>
        <w:rPr>
          <w:rFonts w:hint="default" w:ascii="Times New Roman" w:hAnsi="Times New Roman" w:eastAsia="宋体" w:cs="Times New Roman"/>
          <w:b/>
          <w:bCs/>
          <w:snapToGrid w:val="0"/>
          <w:sz w:val="28"/>
          <w:szCs w:val="28"/>
        </w:rPr>
      </w:pPr>
      <w:r>
        <w:rPr>
          <w:rFonts w:hint="default" w:ascii="Times New Roman" w:hAnsi="Times New Roman" w:eastAsia="宋体" w:cs="Times New Roman"/>
          <w:b/>
          <w:bCs/>
          <w:snapToGrid w:val="0"/>
          <w:sz w:val="28"/>
          <w:szCs w:val="28"/>
        </w:rPr>
        <w:t>一、建设项目基本情况</w:t>
      </w:r>
    </w:p>
    <w:tbl>
      <w:tblPr>
        <w:tblStyle w:val="23"/>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59"/>
        <w:gridCol w:w="2610"/>
        <w:gridCol w:w="2218"/>
        <w:gridCol w:w="10"/>
        <w:gridCol w:w="2542"/>
      </w:tblGrid>
      <w:tr w14:paraId="4313A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659" w:type="dxa"/>
            <w:noWrap w:val="0"/>
            <w:tcMar>
              <w:top w:w="16" w:type="dxa"/>
              <w:left w:w="16" w:type="dxa"/>
              <w:right w:w="16" w:type="dxa"/>
            </w:tcMar>
            <w:vAlign w:val="center"/>
          </w:tcPr>
          <w:p w14:paraId="08BC4F43">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建设项目名称</w:t>
            </w:r>
          </w:p>
        </w:tc>
        <w:tc>
          <w:tcPr>
            <w:tcW w:w="7380" w:type="dxa"/>
            <w:gridSpan w:val="4"/>
            <w:noWrap w:val="0"/>
            <w:vAlign w:val="center"/>
          </w:tcPr>
          <w:p w14:paraId="4FE9676B">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甘肃惠临实业发展有限公司年产5万吨凹凸棒石石膏采矿场建设项目</w:t>
            </w:r>
          </w:p>
        </w:tc>
      </w:tr>
      <w:tr w14:paraId="0E32F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659" w:type="dxa"/>
            <w:noWrap w:val="0"/>
            <w:tcMar>
              <w:top w:w="16" w:type="dxa"/>
              <w:left w:w="16" w:type="dxa"/>
              <w:right w:w="16" w:type="dxa"/>
            </w:tcMar>
            <w:vAlign w:val="center"/>
          </w:tcPr>
          <w:p w14:paraId="2F5EE3B7">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项目代码</w:t>
            </w:r>
          </w:p>
        </w:tc>
        <w:tc>
          <w:tcPr>
            <w:tcW w:w="7380" w:type="dxa"/>
            <w:gridSpan w:val="4"/>
            <w:noWrap w:val="0"/>
            <w:vAlign w:val="center"/>
          </w:tcPr>
          <w:p w14:paraId="7E1C9F8A">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2505-620723-04-05-260979</w:t>
            </w:r>
          </w:p>
        </w:tc>
      </w:tr>
      <w:tr w14:paraId="7B4E3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659" w:type="dxa"/>
            <w:noWrap w:val="0"/>
            <w:tcMar>
              <w:top w:w="16" w:type="dxa"/>
              <w:left w:w="16" w:type="dxa"/>
              <w:right w:w="16" w:type="dxa"/>
            </w:tcMar>
            <w:vAlign w:val="center"/>
          </w:tcPr>
          <w:p w14:paraId="00121EC3">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建设单位联系人</w:t>
            </w:r>
          </w:p>
        </w:tc>
        <w:tc>
          <w:tcPr>
            <w:tcW w:w="2610" w:type="dxa"/>
            <w:noWrap w:val="0"/>
            <w:vAlign w:val="center"/>
          </w:tcPr>
          <w:p w14:paraId="518879B8">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单国杰</w:t>
            </w:r>
          </w:p>
        </w:tc>
        <w:tc>
          <w:tcPr>
            <w:tcW w:w="2228" w:type="dxa"/>
            <w:gridSpan w:val="2"/>
            <w:noWrap w:val="0"/>
            <w:vAlign w:val="center"/>
          </w:tcPr>
          <w:p w14:paraId="560F8280">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联系方式</w:t>
            </w:r>
          </w:p>
        </w:tc>
        <w:tc>
          <w:tcPr>
            <w:tcW w:w="2542" w:type="dxa"/>
            <w:noWrap w:val="0"/>
            <w:vAlign w:val="center"/>
          </w:tcPr>
          <w:p w14:paraId="54159F3C">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15379757222</w:t>
            </w:r>
          </w:p>
        </w:tc>
      </w:tr>
      <w:tr w14:paraId="18E8E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659" w:type="dxa"/>
            <w:noWrap w:val="0"/>
            <w:tcMar>
              <w:top w:w="16" w:type="dxa"/>
              <w:left w:w="16" w:type="dxa"/>
              <w:right w:w="16" w:type="dxa"/>
            </w:tcMar>
            <w:vAlign w:val="center"/>
          </w:tcPr>
          <w:p w14:paraId="3C2FB608">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建设地点</w:t>
            </w:r>
          </w:p>
        </w:tc>
        <w:tc>
          <w:tcPr>
            <w:tcW w:w="7380" w:type="dxa"/>
            <w:gridSpan w:val="4"/>
            <w:noWrap w:val="0"/>
            <w:vAlign w:val="center"/>
          </w:tcPr>
          <w:p w14:paraId="54AAC796">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u w:val="none"/>
                <w:lang w:val="en-US" w:eastAsia="zh-CN"/>
              </w:rPr>
              <w:t>甘肃</w:t>
            </w:r>
            <w:r>
              <w:rPr>
                <w:rFonts w:hint="default" w:ascii="Times New Roman" w:hAnsi="Times New Roman" w:eastAsia="宋体" w:cs="Times New Roman"/>
                <w:sz w:val="22"/>
                <w:szCs w:val="22"/>
                <w:u w:val="none"/>
              </w:rPr>
              <w:t>省</w:t>
            </w:r>
            <w:r>
              <w:rPr>
                <w:rFonts w:hint="default" w:ascii="Times New Roman" w:hAnsi="Times New Roman" w:eastAsia="宋体" w:cs="Times New Roman"/>
                <w:sz w:val="22"/>
                <w:szCs w:val="22"/>
                <w:u w:val="none"/>
                <w:lang w:val="en-US" w:eastAsia="zh-CN"/>
              </w:rPr>
              <w:t>张掖</w:t>
            </w:r>
            <w:r>
              <w:rPr>
                <w:rFonts w:hint="default" w:ascii="Times New Roman" w:hAnsi="Times New Roman" w:eastAsia="宋体" w:cs="Times New Roman"/>
                <w:sz w:val="22"/>
                <w:szCs w:val="22"/>
                <w:u w:val="none"/>
              </w:rPr>
              <w:t>市</w:t>
            </w:r>
            <w:r>
              <w:rPr>
                <w:rFonts w:hint="default" w:ascii="Times New Roman" w:hAnsi="Times New Roman" w:eastAsia="宋体" w:cs="Times New Roman"/>
                <w:sz w:val="22"/>
                <w:szCs w:val="22"/>
                <w:u w:val="none"/>
                <w:lang w:val="en-US" w:eastAsia="zh-CN"/>
              </w:rPr>
              <w:t>临泽</w:t>
            </w:r>
            <w:r>
              <w:rPr>
                <w:rFonts w:hint="default" w:ascii="Times New Roman" w:hAnsi="Times New Roman" w:eastAsia="宋体" w:cs="Times New Roman"/>
                <w:sz w:val="22"/>
                <w:szCs w:val="22"/>
                <w:u w:val="none"/>
              </w:rPr>
              <w:t>县</w:t>
            </w:r>
            <w:r>
              <w:rPr>
                <w:rFonts w:hint="default" w:ascii="Times New Roman" w:hAnsi="Times New Roman" w:eastAsia="宋体" w:cs="Times New Roman"/>
                <w:sz w:val="22"/>
                <w:szCs w:val="22"/>
                <w:u w:val="none"/>
                <w:lang w:val="en-US" w:eastAsia="zh-CN"/>
              </w:rPr>
              <w:t>板桥镇</w:t>
            </w:r>
          </w:p>
        </w:tc>
      </w:tr>
      <w:tr w14:paraId="17973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1659" w:type="dxa"/>
            <w:noWrap w:val="0"/>
            <w:tcMar>
              <w:top w:w="16" w:type="dxa"/>
              <w:left w:w="16" w:type="dxa"/>
              <w:right w:w="16" w:type="dxa"/>
            </w:tcMar>
            <w:vAlign w:val="center"/>
          </w:tcPr>
          <w:p w14:paraId="68B03D7A">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地理坐标</w:t>
            </w:r>
          </w:p>
        </w:tc>
        <w:tc>
          <w:tcPr>
            <w:tcW w:w="7380" w:type="dxa"/>
            <w:gridSpan w:val="4"/>
            <w:noWrap w:val="0"/>
            <w:vAlign w:val="center"/>
          </w:tcPr>
          <w:p w14:paraId="5F008CD1">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w:t>
            </w:r>
            <w:r>
              <w:rPr>
                <w:rFonts w:hint="default" w:ascii="Times New Roman" w:hAnsi="Times New Roman" w:eastAsia="宋体" w:cs="Times New Roman"/>
                <w:sz w:val="22"/>
                <w:szCs w:val="22"/>
                <w:u w:val="single"/>
                <w:lang w:val="en-US" w:eastAsia="zh-CN"/>
              </w:rPr>
              <w:t>100</w:t>
            </w:r>
            <w:r>
              <w:rPr>
                <w:rFonts w:hint="default" w:ascii="Times New Roman" w:hAnsi="Times New Roman" w:eastAsia="宋体" w:cs="Times New Roman"/>
                <w:sz w:val="22"/>
                <w:szCs w:val="22"/>
              </w:rPr>
              <w:t>度</w:t>
            </w:r>
            <w:r>
              <w:rPr>
                <w:rFonts w:hint="default" w:ascii="Times New Roman" w:hAnsi="Times New Roman" w:eastAsia="宋体" w:cs="Times New Roman"/>
                <w:sz w:val="22"/>
                <w:szCs w:val="22"/>
                <w:u w:val="single"/>
                <w:lang w:val="en-US" w:eastAsia="zh-CN"/>
              </w:rPr>
              <w:t>17</w:t>
            </w:r>
            <w:r>
              <w:rPr>
                <w:rFonts w:hint="default" w:ascii="Times New Roman" w:hAnsi="Times New Roman" w:eastAsia="宋体" w:cs="Times New Roman"/>
                <w:sz w:val="22"/>
                <w:szCs w:val="22"/>
              </w:rPr>
              <w:t>分</w:t>
            </w:r>
            <w:r>
              <w:rPr>
                <w:rFonts w:hint="default" w:ascii="Times New Roman" w:hAnsi="Times New Roman" w:eastAsia="宋体" w:cs="Times New Roman"/>
                <w:sz w:val="22"/>
                <w:szCs w:val="22"/>
                <w:u w:val="single"/>
                <w:lang w:val="en-US" w:eastAsia="zh-CN"/>
              </w:rPr>
              <w:t>3</w:t>
            </w:r>
            <w:r>
              <w:rPr>
                <w:rFonts w:hint="eastAsia" w:ascii="Times New Roman" w:hAnsi="Times New Roman" w:eastAsia="宋体" w:cs="Times New Roman"/>
                <w:sz w:val="22"/>
                <w:szCs w:val="22"/>
                <w:u w:val="single"/>
                <w:lang w:val="en-US" w:eastAsia="zh-CN"/>
              </w:rPr>
              <w:t>6</w:t>
            </w:r>
            <w:r>
              <w:rPr>
                <w:rFonts w:hint="default" w:ascii="Times New Roman" w:hAnsi="Times New Roman" w:eastAsia="宋体" w:cs="Times New Roman"/>
                <w:sz w:val="22"/>
                <w:szCs w:val="22"/>
                <w:u w:val="single"/>
                <w:lang w:val="en-US" w:eastAsia="zh-CN"/>
              </w:rPr>
              <w:t>.</w:t>
            </w:r>
            <w:r>
              <w:rPr>
                <w:rFonts w:hint="eastAsia" w:ascii="Times New Roman" w:hAnsi="Times New Roman" w:eastAsia="宋体" w:cs="Times New Roman"/>
                <w:sz w:val="22"/>
                <w:szCs w:val="22"/>
                <w:u w:val="single"/>
                <w:lang w:val="en-US" w:eastAsia="zh-CN"/>
              </w:rPr>
              <w:t>841</w:t>
            </w:r>
            <w:r>
              <w:rPr>
                <w:rFonts w:hint="default" w:ascii="Times New Roman" w:hAnsi="Times New Roman" w:eastAsia="宋体" w:cs="Times New Roman"/>
                <w:sz w:val="22"/>
                <w:szCs w:val="22"/>
              </w:rPr>
              <w:t>秒，</w:t>
            </w:r>
            <w:r>
              <w:rPr>
                <w:rFonts w:hint="default" w:ascii="Times New Roman" w:hAnsi="Times New Roman" w:eastAsia="宋体" w:cs="Times New Roman"/>
                <w:sz w:val="22"/>
                <w:szCs w:val="22"/>
                <w:u w:val="single"/>
                <w:lang w:val="en-US" w:eastAsia="zh-CN"/>
              </w:rPr>
              <w:t>39</w:t>
            </w:r>
            <w:r>
              <w:rPr>
                <w:rFonts w:hint="default" w:ascii="Times New Roman" w:hAnsi="Times New Roman" w:eastAsia="宋体" w:cs="Times New Roman"/>
                <w:sz w:val="22"/>
                <w:szCs w:val="22"/>
              </w:rPr>
              <w:t>度</w:t>
            </w:r>
            <w:r>
              <w:rPr>
                <w:rFonts w:hint="default" w:ascii="Times New Roman" w:hAnsi="Times New Roman" w:eastAsia="宋体" w:cs="Times New Roman"/>
                <w:sz w:val="22"/>
                <w:szCs w:val="22"/>
                <w:u w:val="single"/>
                <w:lang w:val="en-US" w:eastAsia="zh-CN"/>
              </w:rPr>
              <w:t>20</w:t>
            </w:r>
            <w:r>
              <w:rPr>
                <w:rFonts w:hint="default" w:ascii="Times New Roman" w:hAnsi="Times New Roman" w:eastAsia="宋体" w:cs="Times New Roman"/>
                <w:sz w:val="22"/>
                <w:szCs w:val="22"/>
              </w:rPr>
              <w:t>分</w:t>
            </w:r>
            <w:r>
              <w:rPr>
                <w:rFonts w:hint="default" w:ascii="Times New Roman" w:hAnsi="Times New Roman" w:eastAsia="宋体" w:cs="Times New Roman"/>
                <w:sz w:val="22"/>
                <w:szCs w:val="22"/>
                <w:u w:val="single"/>
                <w:lang w:val="en-US" w:eastAsia="zh-CN"/>
              </w:rPr>
              <w:t>4</w:t>
            </w:r>
            <w:r>
              <w:rPr>
                <w:rFonts w:hint="eastAsia" w:ascii="Times New Roman" w:hAnsi="Times New Roman" w:eastAsia="宋体" w:cs="Times New Roman"/>
                <w:sz w:val="22"/>
                <w:szCs w:val="22"/>
                <w:u w:val="single"/>
                <w:lang w:val="en-US" w:eastAsia="zh-CN"/>
              </w:rPr>
              <w:t>9</w:t>
            </w:r>
            <w:r>
              <w:rPr>
                <w:rFonts w:hint="default" w:ascii="Times New Roman" w:hAnsi="Times New Roman" w:eastAsia="宋体" w:cs="Times New Roman"/>
                <w:sz w:val="22"/>
                <w:szCs w:val="22"/>
                <w:u w:val="single"/>
                <w:lang w:val="en-US" w:eastAsia="zh-CN"/>
              </w:rPr>
              <w:t>.</w:t>
            </w:r>
            <w:r>
              <w:rPr>
                <w:rFonts w:hint="eastAsia" w:ascii="Times New Roman" w:hAnsi="Times New Roman" w:eastAsia="宋体" w:cs="Times New Roman"/>
                <w:sz w:val="22"/>
                <w:szCs w:val="22"/>
                <w:u w:val="single"/>
                <w:lang w:val="en-US" w:eastAsia="zh-CN"/>
              </w:rPr>
              <w:t>644</w:t>
            </w:r>
            <w:r>
              <w:rPr>
                <w:rFonts w:hint="default" w:ascii="Times New Roman" w:hAnsi="Times New Roman" w:eastAsia="宋体" w:cs="Times New Roman"/>
                <w:sz w:val="22"/>
                <w:szCs w:val="22"/>
              </w:rPr>
              <w:t>秒）</w:t>
            </w:r>
          </w:p>
        </w:tc>
      </w:tr>
      <w:tr w14:paraId="01147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659" w:type="dxa"/>
            <w:noWrap w:val="0"/>
            <w:tcMar>
              <w:top w:w="16" w:type="dxa"/>
              <w:left w:w="16" w:type="dxa"/>
              <w:right w:w="16" w:type="dxa"/>
            </w:tcMar>
            <w:vAlign w:val="center"/>
          </w:tcPr>
          <w:p w14:paraId="6D3974C1">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建设项目</w:t>
            </w:r>
          </w:p>
          <w:p w14:paraId="269C9FDE">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行业类别</w:t>
            </w:r>
          </w:p>
        </w:tc>
        <w:tc>
          <w:tcPr>
            <w:tcW w:w="2610" w:type="dxa"/>
            <w:noWrap w:val="0"/>
            <w:vAlign w:val="center"/>
          </w:tcPr>
          <w:p w14:paraId="0AA2C7E5">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八、非金属矿采选业10中</w:t>
            </w:r>
            <w:r>
              <w:rPr>
                <w:rFonts w:hint="eastAsia" w:ascii="Times New Roman" w:hAnsi="Times New Roman" w:eastAsia="宋体" w:cs="Times New Roman"/>
                <w:sz w:val="22"/>
                <w:szCs w:val="22"/>
                <w:lang w:val="en-US" w:eastAsia="zh-CN"/>
              </w:rPr>
              <w:t>“</w:t>
            </w:r>
            <w:r>
              <w:rPr>
                <w:rFonts w:hint="default" w:ascii="Times New Roman" w:hAnsi="Times New Roman" w:eastAsia="宋体" w:cs="Times New Roman"/>
                <w:sz w:val="22"/>
                <w:szCs w:val="22"/>
                <w:lang w:val="en-US" w:eastAsia="zh-CN"/>
              </w:rPr>
              <w:t>11土砂石开采101（不含河道采砂项目）-其他</w:t>
            </w:r>
            <w:r>
              <w:rPr>
                <w:rFonts w:hint="eastAsia" w:ascii="Times New Roman" w:hAnsi="Times New Roman" w:eastAsia="宋体" w:cs="Times New Roman"/>
                <w:sz w:val="22"/>
                <w:szCs w:val="22"/>
                <w:lang w:val="en-US" w:eastAsia="zh-CN"/>
              </w:rPr>
              <w:t>”</w:t>
            </w:r>
          </w:p>
        </w:tc>
        <w:tc>
          <w:tcPr>
            <w:tcW w:w="2218" w:type="dxa"/>
            <w:noWrap w:val="0"/>
            <w:vAlign w:val="center"/>
          </w:tcPr>
          <w:p w14:paraId="63C8B8A7">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用地（用海）面积（m</w:t>
            </w:r>
            <w:r>
              <w:rPr>
                <w:rFonts w:hint="default" w:ascii="Times New Roman" w:hAnsi="Times New Roman" w:eastAsia="宋体" w:cs="Times New Roman"/>
                <w:sz w:val="22"/>
                <w:szCs w:val="22"/>
                <w:vertAlign w:val="superscript"/>
              </w:rPr>
              <w:t>2</w:t>
            </w:r>
            <w:r>
              <w:rPr>
                <w:rFonts w:hint="default" w:ascii="Times New Roman" w:hAnsi="Times New Roman" w:eastAsia="宋体" w:cs="Times New Roman"/>
                <w:sz w:val="22"/>
                <w:szCs w:val="22"/>
              </w:rPr>
              <w:t>）/长度（km）</w:t>
            </w:r>
          </w:p>
        </w:tc>
        <w:tc>
          <w:tcPr>
            <w:tcW w:w="2552" w:type="dxa"/>
            <w:gridSpan w:val="2"/>
            <w:noWrap w:val="0"/>
            <w:vAlign w:val="center"/>
          </w:tcPr>
          <w:p w14:paraId="1F59CD4D">
            <w:pPr>
              <w:adjustRightInd w:val="0"/>
              <w:snapToGrid w:val="0"/>
              <w:jc w:val="center"/>
              <w:rPr>
                <w:rFonts w:hint="eastAsia"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1.1316km</w:t>
            </w:r>
            <w:r>
              <w:rPr>
                <w:rFonts w:hint="eastAsia" w:ascii="Times New Roman" w:hAnsi="Times New Roman" w:eastAsia="宋体" w:cs="Times New Roman"/>
                <w:sz w:val="22"/>
                <w:szCs w:val="22"/>
                <w:vertAlign w:val="superscript"/>
                <w:lang w:val="en-US" w:eastAsia="zh-CN"/>
              </w:rPr>
              <w:t>2</w:t>
            </w:r>
          </w:p>
        </w:tc>
      </w:tr>
      <w:tr w14:paraId="17934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659" w:type="dxa"/>
            <w:noWrap w:val="0"/>
            <w:tcMar>
              <w:top w:w="16" w:type="dxa"/>
              <w:left w:w="16" w:type="dxa"/>
              <w:right w:w="16" w:type="dxa"/>
            </w:tcMar>
            <w:vAlign w:val="center"/>
          </w:tcPr>
          <w:p w14:paraId="157019D0">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建设性质</w:t>
            </w:r>
          </w:p>
        </w:tc>
        <w:tc>
          <w:tcPr>
            <w:tcW w:w="2610" w:type="dxa"/>
            <w:noWrap w:val="0"/>
            <w:vAlign w:val="center"/>
          </w:tcPr>
          <w:p w14:paraId="232D66D8">
            <w:pPr>
              <w:adjustRightInd w:val="0"/>
              <w:snapToGrid w:val="0"/>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lang w:eastAsia="zh-CN"/>
              </w:rPr>
              <w:t>☑</w:t>
            </w:r>
            <w:r>
              <w:rPr>
                <w:rFonts w:hint="default" w:ascii="Times New Roman" w:hAnsi="Times New Roman" w:eastAsia="宋体" w:cs="Times New Roman"/>
                <w:sz w:val="22"/>
                <w:szCs w:val="22"/>
              </w:rPr>
              <w:t>新建（迁建）</w:t>
            </w:r>
          </w:p>
          <w:p w14:paraId="7E0A61F0">
            <w:pPr>
              <w:adjustRightInd w:val="0"/>
              <w:snapToGrid w:val="0"/>
              <w:jc w:val="left"/>
              <w:rPr>
                <w:rFonts w:hint="default" w:ascii="Times New Roman" w:hAnsi="Times New Roman" w:eastAsia="宋体" w:cs="Times New Roman"/>
                <w:sz w:val="22"/>
                <w:szCs w:val="22"/>
              </w:rPr>
            </w:pP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rPr>
              <w:t>改建</w:t>
            </w:r>
          </w:p>
          <w:p w14:paraId="6C99AD59">
            <w:pPr>
              <w:adjustRightInd w:val="0"/>
              <w:snapToGrid w:val="0"/>
              <w:jc w:val="left"/>
              <w:rPr>
                <w:rFonts w:hint="default" w:ascii="Times New Roman" w:hAnsi="Times New Roman" w:eastAsia="宋体" w:cs="Times New Roman"/>
                <w:sz w:val="22"/>
                <w:szCs w:val="22"/>
              </w:rPr>
            </w:pP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rPr>
              <w:t>扩建</w:t>
            </w:r>
          </w:p>
          <w:p w14:paraId="05881867">
            <w:pPr>
              <w:adjustRightInd w:val="0"/>
              <w:snapToGrid w:val="0"/>
              <w:jc w:val="left"/>
              <w:rPr>
                <w:rFonts w:hint="default" w:ascii="Times New Roman" w:hAnsi="Times New Roman" w:eastAsia="宋体" w:cs="Times New Roman"/>
                <w:sz w:val="22"/>
                <w:szCs w:val="22"/>
              </w:rPr>
            </w:pP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rPr>
              <w:t>技术改造</w:t>
            </w:r>
          </w:p>
        </w:tc>
        <w:tc>
          <w:tcPr>
            <w:tcW w:w="2218" w:type="dxa"/>
            <w:noWrap w:val="0"/>
            <w:vAlign w:val="center"/>
          </w:tcPr>
          <w:p w14:paraId="7156DA5B">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建设项目</w:t>
            </w:r>
          </w:p>
          <w:p w14:paraId="6A0585F8">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申报情形</w:t>
            </w:r>
          </w:p>
        </w:tc>
        <w:tc>
          <w:tcPr>
            <w:tcW w:w="2552" w:type="dxa"/>
            <w:gridSpan w:val="2"/>
            <w:noWrap w:val="0"/>
            <w:vAlign w:val="center"/>
          </w:tcPr>
          <w:p w14:paraId="10802CD1">
            <w:pPr>
              <w:adjustRightInd w:val="0"/>
              <w:snapToGrid w:val="0"/>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lang w:eastAsia="zh-CN"/>
              </w:rPr>
              <w:t>☑</w:t>
            </w:r>
            <w:r>
              <w:rPr>
                <w:rFonts w:hint="default" w:ascii="Times New Roman" w:hAnsi="Times New Roman" w:eastAsia="宋体" w:cs="Times New Roman"/>
                <w:sz w:val="22"/>
                <w:szCs w:val="22"/>
              </w:rPr>
              <w:t>首次申报项目</w:t>
            </w:r>
          </w:p>
          <w:p w14:paraId="0559153C">
            <w:pPr>
              <w:adjustRightInd w:val="0"/>
              <w:snapToGrid w:val="0"/>
              <w:jc w:val="left"/>
              <w:rPr>
                <w:rFonts w:hint="default" w:ascii="Times New Roman" w:hAnsi="Times New Roman" w:eastAsia="宋体" w:cs="Times New Roman"/>
                <w:sz w:val="22"/>
                <w:szCs w:val="22"/>
              </w:rPr>
            </w:pP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rPr>
              <w:t>不予批准后再次申报项目</w:t>
            </w:r>
          </w:p>
          <w:p w14:paraId="6D4853AA">
            <w:pPr>
              <w:adjustRightInd w:val="0"/>
              <w:snapToGrid w:val="0"/>
              <w:jc w:val="left"/>
              <w:rPr>
                <w:rFonts w:hint="default" w:ascii="Times New Roman" w:hAnsi="Times New Roman" w:eastAsia="宋体" w:cs="Times New Roman"/>
                <w:sz w:val="22"/>
                <w:szCs w:val="22"/>
              </w:rPr>
            </w:pP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rPr>
              <w:t>超五年重新审核项目</w:t>
            </w:r>
          </w:p>
          <w:p w14:paraId="15A44DFD">
            <w:pPr>
              <w:adjustRightInd w:val="0"/>
              <w:snapToGrid w:val="0"/>
              <w:rPr>
                <w:rFonts w:hint="default" w:ascii="Times New Roman" w:hAnsi="Times New Roman" w:eastAsia="宋体" w:cs="Times New Roman"/>
                <w:sz w:val="22"/>
                <w:szCs w:val="22"/>
              </w:rPr>
            </w:pP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rPr>
              <w:t>重大变动重新报批项目</w:t>
            </w:r>
          </w:p>
        </w:tc>
      </w:tr>
      <w:tr w14:paraId="211C8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659" w:type="dxa"/>
            <w:noWrap w:val="0"/>
            <w:tcMar>
              <w:top w:w="16" w:type="dxa"/>
              <w:left w:w="16" w:type="dxa"/>
              <w:right w:w="16" w:type="dxa"/>
            </w:tcMar>
            <w:vAlign w:val="center"/>
          </w:tcPr>
          <w:p w14:paraId="27A89116">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项目审批（核准/</w:t>
            </w:r>
          </w:p>
          <w:p w14:paraId="7DC5816B">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备案）部门（选填）</w:t>
            </w:r>
          </w:p>
        </w:tc>
        <w:tc>
          <w:tcPr>
            <w:tcW w:w="2610" w:type="dxa"/>
            <w:noWrap w:val="0"/>
            <w:vAlign w:val="center"/>
          </w:tcPr>
          <w:p w14:paraId="78AF4485">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张掖</w:t>
            </w:r>
            <w:r>
              <w:rPr>
                <w:rFonts w:hint="default" w:ascii="Times New Roman" w:hAnsi="Times New Roman" w:eastAsia="宋体" w:cs="Times New Roman"/>
                <w:sz w:val="22"/>
                <w:szCs w:val="22"/>
              </w:rPr>
              <w:t>市</w:t>
            </w:r>
            <w:r>
              <w:rPr>
                <w:rFonts w:hint="default" w:ascii="Times New Roman" w:hAnsi="Times New Roman" w:eastAsia="宋体" w:cs="Times New Roman"/>
                <w:sz w:val="22"/>
                <w:szCs w:val="22"/>
                <w:lang w:val="en-US" w:eastAsia="zh-CN"/>
              </w:rPr>
              <w:t>临泽县</w:t>
            </w:r>
            <w:r>
              <w:rPr>
                <w:rFonts w:hint="default" w:ascii="Times New Roman" w:hAnsi="Times New Roman" w:eastAsia="宋体" w:cs="Times New Roman"/>
                <w:sz w:val="22"/>
                <w:szCs w:val="22"/>
              </w:rPr>
              <w:t>发展和改革局</w:t>
            </w:r>
          </w:p>
        </w:tc>
        <w:tc>
          <w:tcPr>
            <w:tcW w:w="2218" w:type="dxa"/>
            <w:noWrap w:val="0"/>
            <w:vAlign w:val="center"/>
          </w:tcPr>
          <w:p w14:paraId="4915897B">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项目审批（核准/</w:t>
            </w:r>
          </w:p>
          <w:p w14:paraId="656DA83F">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备案）文号（选填）</w:t>
            </w:r>
          </w:p>
        </w:tc>
        <w:tc>
          <w:tcPr>
            <w:tcW w:w="2552" w:type="dxa"/>
            <w:gridSpan w:val="2"/>
            <w:noWrap w:val="0"/>
            <w:vAlign w:val="center"/>
          </w:tcPr>
          <w:p w14:paraId="3879A21B">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lang w:val="en-US" w:eastAsia="zh-CN"/>
              </w:rPr>
              <w:t>临发改（备）字【2025】68号</w:t>
            </w:r>
          </w:p>
        </w:tc>
      </w:tr>
      <w:tr w14:paraId="6D560A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659" w:type="dxa"/>
            <w:noWrap w:val="0"/>
            <w:tcMar>
              <w:top w:w="16" w:type="dxa"/>
              <w:left w:w="16" w:type="dxa"/>
              <w:right w:w="16" w:type="dxa"/>
            </w:tcMar>
            <w:vAlign w:val="center"/>
          </w:tcPr>
          <w:p w14:paraId="75ED06C3">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总投资（万元）</w:t>
            </w:r>
          </w:p>
        </w:tc>
        <w:tc>
          <w:tcPr>
            <w:tcW w:w="2610" w:type="dxa"/>
            <w:noWrap w:val="0"/>
            <w:vAlign w:val="center"/>
          </w:tcPr>
          <w:p w14:paraId="2B88DAA3">
            <w:pPr>
              <w:adjustRightInd w:val="0"/>
              <w:snapToGrid w:val="0"/>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520</w:t>
            </w:r>
          </w:p>
        </w:tc>
        <w:tc>
          <w:tcPr>
            <w:tcW w:w="2218" w:type="dxa"/>
            <w:noWrap w:val="0"/>
            <w:tcMar>
              <w:top w:w="16" w:type="dxa"/>
              <w:left w:w="16" w:type="dxa"/>
              <w:right w:w="16" w:type="dxa"/>
            </w:tcMar>
            <w:vAlign w:val="center"/>
          </w:tcPr>
          <w:p w14:paraId="5F6FEA28">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环保投资（万元）</w:t>
            </w:r>
          </w:p>
        </w:tc>
        <w:tc>
          <w:tcPr>
            <w:tcW w:w="2552" w:type="dxa"/>
            <w:gridSpan w:val="2"/>
            <w:noWrap w:val="0"/>
            <w:vAlign w:val="center"/>
          </w:tcPr>
          <w:p w14:paraId="01A34894">
            <w:pPr>
              <w:adjustRightInd w:val="0"/>
              <w:snapToGrid w:val="0"/>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41.5</w:t>
            </w:r>
          </w:p>
        </w:tc>
      </w:tr>
      <w:tr w14:paraId="4CE05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659" w:type="dxa"/>
            <w:noWrap w:val="0"/>
            <w:tcMar>
              <w:top w:w="16" w:type="dxa"/>
              <w:left w:w="16" w:type="dxa"/>
              <w:right w:w="16" w:type="dxa"/>
            </w:tcMar>
            <w:vAlign w:val="center"/>
          </w:tcPr>
          <w:p w14:paraId="39025735">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环保投资占比（%）</w:t>
            </w:r>
          </w:p>
        </w:tc>
        <w:tc>
          <w:tcPr>
            <w:tcW w:w="2610" w:type="dxa"/>
            <w:noWrap w:val="0"/>
            <w:vAlign w:val="center"/>
          </w:tcPr>
          <w:p w14:paraId="20471DC2">
            <w:pPr>
              <w:adjustRightInd w:val="0"/>
              <w:snapToGrid w:val="0"/>
              <w:jc w:val="center"/>
              <w:rPr>
                <w:rFonts w:hint="default" w:ascii="Times New Roman" w:hAnsi="Times New Roman" w:eastAsia="宋体" w:cs="Times New Roman"/>
                <w:sz w:val="22"/>
                <w:szCs w:val="22"/>
                <w:lang w:val="en-US" w:eastAsia="zh-CN"/>
              </w:rPr>
            </w:pPr>
            <w:r>
              <w:rPr>
                <w:rFonts w:hint="eastAsia" w:cs="Times New Roman"/>
                <w:sz w:val="22"/>
                <w:szCs w:val="22"/>
                <w:lang w:val="en-US" w:eastAsia="zh-CN"/>
              </w:rPr>
              <w:t>8</w:t>
            </w:r>
          </w:p>
        </w:tc>
        <w:tc>
          <w:tcPr>
            <w:tcW w:w="2218" w:type="dxa"/>
            <w:noWrap w:val="0"/>
            <w:tcMar>
              <w:top w:w="16" w:type="dxa"/>
              <w:left w:w="16" w:type="dxa"/>
              <w:right w:w="16" w:type="dxa"/>
            </w:tcMar>
            <w:vAlign w:val="center"/>
          </w:tcPr>
          <w:p w14:paraId="4B2FD214">
            <w:pPr>
              <w:adjustRightInd w:val="0"/>
              <w:snapToGrid w:val="0"/>
              <w:jc w:val="center"/>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施工工期</w:t>
            </w:r>
          </w:p>
        </w:tc>
        <w:tc>
          <w:tcPr>
            <w:tcW w:w="2552" w:type="dxa"/>
            <w:gridSpan w:val="2"/>
            <w:noWrap w:val="0"/>
            <w:vAlign w:val="center"/>
          </w:tcPr>
          <w:p w14:paraId="0A1126FE">
            <w:pPr>
              <w:adjustRightInd w:val="0"/>
              <w:snapToGrid w:val="0"/>
              <w:jc w:val="center"/>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5</w:t>
            </w:r>
            <w:r>
              <w:rPr>
                <w:rFonts w:hint="default" w:ascii="Times New Roman" w:hAnsi="Times New Roman" w:eastAsia="宋体" w:cs="Times New Roman"/>
                <w:sz w:val="22"/>
                <w:szCs w:val="22"/>
                <w:lang w:val="en-US" w:eastAsia="zh-CN"/>
              </w:rPr>
              <w:t>个月</w:t>
            </w:r>
          </w:p>
        </w:tc>
      </w:tr>
      <w:tr w14:paraId="49680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659" w:type="dxa"/>
            <w:noWrap w:val="0"/>
            <w:tcMar>
              <w:top w:w="16" w:type="dxa"/>
              <w:left w:w="16" w:type="dxa"/>
              <w:right w:w="16" w:type="dxa"/>
            </w:tcMar>
            <w:vAlign w:val="center"/>
          </w:tcPr>
          <w:p w14:paraId="246E9FD7">
            <w:pPr>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是否开工建设</w:t>
            </w:r>
          </w:p>
        </w:tc>
        <w:tc>
          <w:tcPr>
            <w:tcW w:w="7380" w:type="dxa"/>
            <w:gridSpan w:val="4"/>
            <w:noWrap w:val="0"/>
            <w:vAlign w:val="center"/>
          </w:tcPr>
          <w:p w14:paraId="6B6BC577">
            <w:pPr>
              <w:adjustRightInd w:val="0"/>
              <w:snapToGrid w:val="0"/>
              <w:ind w:firstLine="105"/>
              <w:jc w:val="left"/>
              <w:rPr>
                <w:rFonts w:hint="default" w:ascii="Times New Roman" w:hAnsi="Times New Roman" w:eastAsia="宋体" w:cs="Times New Roman"/>
                <w:sz w:val="22"/>
                <w:szCs w:val="22"/>
              </w:rPr>
            </w:pPr>
            <w:r>
              <w:rPr>
                <w:rFonts w:hint="default" w:ascii="Times New Roman" w:hAnsi="Times New Roman" w:eastAsia="宋体" w:cs="Times New Roman"/>
                <w:sz w:val="22"/>
                <w:szCs w:val="22"/>
                <w:lang w:eastAsia="zh-CN"/>
              </w:rPr>
              <w:t>☑</w:t>
            </w:r>
            <w:r>
              <w:rPr>
                <w:rFonts w:hint="default" w:ascii="Times New Roman" w:hAnsi="Times New Roman" w:eastAsia="宋体" w:cs="Times New Roman"/>
                <w:sz w:val="22"/>
                <w:szCs w:val="22"/>
              </w:rPr>
              <w:t>否</w:t>
            </w:r>
          </w:p>
          <w:p w14:paraId="54C990D6">
            <w:pPr>
              <w:adjustRightInd w:val="0"/>
              <w:snapToGrid w:val="0"/>
              <w:ind w:firstLine="92"/>
              <w:jc w:val="left"/>
              <w:rPr>
                <w:rFonts w:hint="default" w:ascii="Times New Roman" w:hAnsi="Times New Roman" w:eastAsia="宋体" w:cs="Times New Roman"/>
                <w:sz w:val="22"/>
                <w:szCs w:val="22"/>
              </w:rPr>
            </w:pPr>
            <w:r>
              <w:rPr>
                <w:rFonts w:hint="eastAsia" w:ascii="Times New Roman" w:hAnsi="Times New Roman" w:eastAsia="宋体" w:cs="Times New Roman"/>
                <w:sz w:val="22"/>
                <w:szCs w:val="22"/>
                <w:lang w:eastAsia="zh-CN"/>
              </w:rPr>
              <w:t>□</w:t>
            </w:r>
            <w:r>
              <w:rPr>
                <w:rFonts w:hint="default" w:ascii="Times New Roman" w:hAnsi="Times New Roman" w:eastAsia="宋体" w:cs="Times New Roman"/>
                <w:sz w:val="22"/>
                <w:szCs w:val="22"/>
              </w:rPr>
              <w:t>是：</w:t>
            </w:r>
            <w:r>
              <w:rPr>
                <w:rFonts w:hint="default" w:ascii="Times New Roman" w:hAnsi="Times New Roman" w:eastAsia="宋体" w:cs="Times New Roman"/>
                <w:sz w:val="22"/>
                <w:szCs w:val="22"/>
                <w:u w:val="single"/>
              </w:rPr>
              <w:t xml:space="preserve">                             </w:t>
            </w:r>
          </w:p>
        </w:tc>
      </w:tr>
      <w:tr w14:paraId="793DD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659" w:type="dxa"/>
            <w:noWrap w:val="0"/>
            <w:tcMar>
              <w:top w:w="16" w:type="dxa"/>
              <w:left w:w="16" w:type="dxa"/>
              <w:right w:w="16" w:type="dxa"/>
            </w:tcMar>
            <w:vAlign w:val="center"/>
          </w:tcPr>
          <w:p w14:paraId="210AEE96">
            <w:pPr>
              <w:autoSpaceDE w:val="0"/>
              <w:autoSpaceDN w:val="0"/>
              <w:adjustRightInd w:val="0"/>
              <w:snapToGrid w:val="0"/>
              <w:jc w:val="center"/>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专项评价设置情况</w:t>
            </w:r>
          </w:p>
        </w:tc>
        <w:tc>
          <w:tcPr>
            <w:tcW w:w="7380" w:type="dxa"/>
            <w:gridSpan w:val="4"/>
            <w:noWrap w:val="0"/>
            <w:tcMar>
              <w:top w:w="16" w:type="dxa"/>
              <w:left w:w="16" w:type="dxa"/>
              <w:right w:w="16" w:type="dxa"/>
            </w:tcMar>
            <w:vAlign w:val="center"/>
          </w:tcPr>
          <w:p w14:paraId="10D2E81E">
            <w:pPr>
              <w:autoSpaceDE w:val="0"/>
              <w:autoSpaceDN w:val="0"/>
              <w:adjustRightInd w:val="0"/>
              <w:snapToGrid w:val="0"/>
              <w:jc w:val="center"/>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无</w:t>
            </w:r>
          </w:p>
        </w:tc>
      </w:tr>
      <w:tr w14:paraId="7A2E2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659" w:type="dxa"/>
            <w:noWrap w:val="0"/>
            <w:tcMar>
              <w:top w:w="16" w:type="dxa"/>
              <w:left w:w="16" w:type="dxa"/>
              <w:right w:w="16" w:type="dxa"/>
            </w:tcMar>
            <w:vAlign w:val="center"/>
          </w:tcPr>
          <w:p w14:paraId="5FDCED66">
            <w:pPr>
              <w:autoSpaceDE w:val="0"/>
              <w:autoSpaceDN w:val="0"/>
              <w:adjustRightInd w:val="0"/>
              <w:snapToGrid w:val="0"/>
              <w:jc w:val="center"/>
              <w:rPr>
                <w:rFonts w:hint="default" w:ascii="Times New Roman" w:hAnsi="Times New Roman" w:eastAsia="宋体" w:cs="Times New Roman"/>
                <w:kern w:val="0"/>
                <w:sz w:val="22"/>
                <w:szCs w:val="22"/>
              </w:rPr>
            </w:pPr>
            <w:r>
              <w:rPr>
                <w:rFonts w:hint="default" w:ascii="Times New Roman" w:hAnsi="Times New Roman" w:eastAsia="宋体" w:cs="Times New Roman"/>
                <w:sz w:val="22"/>
                <w:szCs w:val="22"/>
              </w:rPr>
              <w:t>规划情况</w:t>
            </w:r>
          </w:p>
        </w:tc>
        <w:tc>
          <w:tcPr>
            <w:tcW w:w="7380" w:type="dxa"/>
            <w:gridSpan w:val="4"/>
            <w:noWrap w:val="0"/>
            <w:tcMar>
              <w:top w:w="16" w:type="dxa"/>
              <w:left w:w="16" w:type="dxa"/>
              <w:right w:w="16" w:type="dxa"/>
            </w:tcMar>
            <w:vAlign w:val="center"/>
          </w:tcPr>
          <w:p w14:paraId="0625DF6E">
            <w:pPr>
              <w:autoSpaceDE w:val="0"/>
              <w:autoSpaceDN w:val="0"/>
              <w:adjustRightInd w:val="0"/>
              <w:snapToGrid w:val="0"/>
              <w:jc w:val="center"/>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无</w:t>
            </w:r>
          </w:p>
        </w:tc>
      </w:tr>
      <w:tr w14:paraId="67C18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659" w:type="dxa"/>
            <w:noWrap w:val="0"/>
            <w:tcMar>
              <w:top w:w="16" w:type="dxa"/>
              <w:left w:w="16" w:type="dxa"/>
              <w:right w:w="16" w:type="dxa"/>
            </w:tcMar>
            <w:vAlign w:val="center"/>
          </w:tcPr>
          <w:p w14:paraId="2918B1E4">
            <w:pPr>
              <w:autoSpaceDE w:val="0"/>
              <w:autoSpaceDN w:val="0"/>
              <w:adjustRightInd w:val="0"/>
              <w:snapToGrid w:val="0"/>
              <w:jc w:val="center"/>
              <w:rPr>
                <w:rFonts w:hint="default" w:ascii="Times New Roman" w:hAnsi="Times New Roman" w:eastAsia="宋体" w:cs="Times New Roman"/>
                <w:sz w:val="22"/>
                <w:szCs w:val="22"/>
              </w:rPr>
            </w:pPr>
            <w:r>
              <w:rPr>
                <w:rFonts w:hint="default" w:ascii="Times New Roman" w:hAnsi="Times New Roman" w:eastAsia="宋体" w:cs="Times New Roman"/>
                <w:sz w:val="22"/>
                <w:szCs w:val="22"/>
              </w:rPr>
              <w:t>规划环境影响</w:t>
            </w:r>
          </w:p>
          <w:p w14:paraId="45A1D872">
            <w:pPr>
              <w:autoSpaceDE w:val="0"/>
              <w:autoSpaceDN w:val="0"/>
              <w:adjustRightInd w:val="0"/>
              <w:snapToGrid w:val="0"/>
              <w:jc w:val="center"/>
              <w:rPr>
                <w:rFonts w:hint="default" w:ascii="Times New Roman" w:hAnsi="Times New Roman" w:eastAsia="宋体" w:cs="Times New Roman"/>
                <w:kern w:val="0"/>
                <w:sz w:val="22"/>
                <w:szCs w:val="22"/>
              </w:rPr>
            </w:pPr>
            <w:r>
              <w:rPr>
                <w:rFonts w:hint="default" w:ascii="Times New Roman" w:hAnsi="Times New Roman" w:eastAsia="宋体" w:cs="Times New Roman"/>
                <w:sz w:val="22"/>
                <w:szCs w:val="22"/>
              </w:rPr>
              <w:t>评价情况</w:t>
            </w:r>
          </w:p>
        </w:tc>
        <w:tc>
          <w:tcPr>
            <w:tcW w:w="7380" w:type="dxa"/>
            <w:gridSpan w:val="4"/>
            <w:noWrap w:val="0"/>
            <w:tcMar>
              <w:top w:w="16" w:type="dxa"/>
              <w:left w:w="16" w:type="dxa"/>
              <w:right w:w="16" w:type="dxa"/>
            </w:tcMar>
            <w:vAlign w:val="center"/>
          </w:tcPr>
          <w:p w14:paraId="06CD0D23">
            <w:pPr>
              <w:adjustRightInd w:val="0"/>
              <w:snapToGrid w:val="0"/>
              <w:jc w:val="center"/>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无</w:t>
            </w:r>
          </w:p>
        </w:tc>
      </w:tr>
      <w:tr w14:paraId="7E414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1659" w:type="dxa"/>
            <w:noWrap w:val="0"/>
            <w:tcMar>
              <w:top w:w="16" w:type="dxa"/>
              <w:left w:w="16" w:type="dxa"/>
              <w:right w:w="16" w:type="dxa"/>
            </w:tcMar>
            <w:vAlign w:val="center"/>
          </w:tcPr>
          <w:p w14:paraId="5FD7547B">
            <w:pPr>
              <w:autoSpaceDE w:val="0"/>
              <w:autoSpaceDN w:val="0"/>
              <w:adjustRightInd w:val="0"/>
              <w:snapToGrid w:val="0"/>
              <w:jc w:val="center"/>
              <w:rPr>
                <w:rFonts w:hint="default" w:ascii="Times New Roman" w:hAnsi="Times New Roman" w:eastAsia="宋体" w:cs="Times New Roman"/>
                <w:kern w:val="0"/>
                <w:sz w:val="22"/>
                <w:szCs w:val="22"/>
              </w:rPr>
            </w:pPr>
            <w:r>
              <w:rPr>
                <w:rFonts w:hint="default" w:ascii="Times New Roman" w:hAnsi="Times New Roman" w:eastAsia="宋体" w:cs="Times New Roman"/>
                <w:kern w:val="0"/>
                <w:sz w:val="22"/>
                <w:szCs w:val="22"/>
              </w:rPr>
              <w:t>规划及</w:t>
            </w:r>
            <w:r>
              <w:rPr>
                <w:rFonts w:hint="default" w:ascii="Times New Roman" w:hAnsi="Times New Roman" w:eastAsia="宋体" w:cs="Times New Roman"/>
                <w:sz w:val="22"/>
                <w:szCs w:val="22"/>
              </w:rPr>
              <w:t>规划环境影响评价</w:t>
            </w:r>
            <w:r>
              <w:rPr>
                <w:rFonts w:hint="default" w:ascii="Times New Roman" w:hAnsi="Times New Roman" w:eastAsia="宋体" w:cs="Times New Roman"/>
                <w:kern w:val="0"/>
                <w:sz w:val="22"/>
                <w:szCs w:val="22"/>
              </w:rPr>
              <w:t>符合性分析</w:t>
            </w:r>
          </w:p>
        </w:tc>
        <w:tc>
          <w:tcPr>
            <w:tcW w:w="7380" w:type="dxa"/>
            <w:gridSpan w:val="4"/>
            <w:noWrap w:val="0"/>
            <w:tcMar>
              <w:top w:w="16" w:type="dxa"/>
              <w:left w:w="16" w:type="dxa"/>
              <w:right w:w="16" w:type="dxa"/>
            </w:tcMar>
            <w:vAlign w:val="center"/>
          </w:tcPr>
          <w:p w14:paraId="1500C001">
            <w:pPr>
              <w:autoSpaceDE w:val="0"/>
              <w:autoSpaceDN w:val="0"/>
              <w:adjustRightInd w:val="0"/>
              <w:snapToGrid w:val="0"/>
              <w:jc w:val="center"/>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无</w:t>
            </w:r>
          </w:p>
        </w:tc>
      </w:tr>
      <w:tr w14:paraId="395D5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659" w:type="dxa"/>
            <w:noWrap w:val="0"/>
            <w:tcMar>
              <w:top w:w="16" w:type="dxa"/>
              <w:left w:w="16" w:type="dxa"/>
              <w:right w:w="16" w:type="dxa"/>
            </w:tcMar>
            <w:vAlign w:val="center"/>
          </w:tcPr>
          <w:p w14:paraId="08606A40">
            <w:pPr>
              <w:autoSpaceDE w:val="0"/>
              <w:autoSpaceDN w:val="0"/>
              <w:adjustRightInd w:val="0"/>
              <w:snapToGrid w:val="0"/>
              <w:jc w:val="center"/>
              <w:rPr>
                <w:rFonts w:hint="default" w:ascii="Times New Roman" w:hAnsi="Times New Roman" w:eastAsia="宋体" w:cs="Times New Roman"/>
                <w:kern w:val="0"/>
                <w:sz w:val="24"/>
                <w:szCs w:val="24"/>
              </w:rPr>
            </w:pPr>
            <w:bookmarkStart w:id="2" w:name="_Hlk56690880"/>
            <w:r>
              <w:rPr>
                <w:rFonts w:hint="default" w:ascii="Times New Roman" w:hAnsi="Times New Roman" w:eastAsia="宋体" w:cs="Times New Roman"/>
                <w:kern w:val="0"/>
                <w:sz w:val="24"/>
                <w:szCs w:val="24"/>
              </w:rPr>
              <w:t>其他符合性分析</w:t>
            </w:r>
            <w:bookmarkEnd w:id="2"/>
          </w:p>
        </w:tc>
        <w:tc>
          <w:tcPr>
            <w:tcW w:w="7380" w:type="dxa"/>
            <w:gridSpan w:val="4"/>
            <w:noWrap w:val="0"/>
            <w:tcMar>
              <w:top w:w="16" w:type="dxa"/>
              <w:left w:w="16" w:type="dxa"/>
              <w:right w:w="16" w:type="dxa"/>
            </w:tcMar>
            <w:vAlign w:val="center"/>
          </w:tcPr>
          <w:p w14:paraId="13E48727">
            <w:pPr>
              <w:keepNext w:val="0"/>
              <w:keepLines w:val="0"/>
              <w:pageBreakBefore w:val="0"/>
              <w:widowControl/>
              <w:suppressLineNumbers w:val="0"/>
              <w:kinsoku/>
              <w:wordWrap/>
              <w:overflowPunct/>
              <w:topLinePunct w:val="0"/>
              <w:bidi w:val="0"/>
              <w:spacing w:line="360" w:lineRule="auto"/>
              <w:ind w:right="0" w:firstLine="482" w:firstLineChars="200"/>
              <w:jc w:val="left"/>
              <w:textAlignment w:val="auto"/>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一、</w:t>
            </w:r>
            <w:r>
              <w:rPr>
                <w:rFonts w:hint="default" w:ascii="Times New Roman" w:hAnsi="Times New Roman" w:eastAsia="宋体" w:cs="Times New Roman"/>
                <w:b/>
                <w:bCs/>
                <w:color w:val="000000"/>
                <w:kern w:val="0"/>
                <w:sz w:val="24"/>
                <w:szCs w:val="24"/>
                <w:lang w:val="en-US" w:eastAsia="zh-CN" w:bidi="ar"/>
              </w:rPr>
              <w:t>产业政策符合性分析</w:t>
            </w:r>
          </w:p>
          <w:p w14:paraId="2139CA13">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本项目为</w:t>
            </w:r>
            <w:r>
              <w:rPr>
                <w:rFonts w:hint="default" w:ascii="Times New Roman" w:hAnsi="Times New Roman" w:eastAsia="宋体" w:cs="Times New Roman"/>
                <w:i w:val="0"/>
                <w:iCs w:val="0"/>
                <w:caps w:val="0"/>
                <w:color w:val="000000"/>
                <w:spacing w:val="0"/>
                <w:sz w:val="24"/>
                <w:szCs w:val="24"/>
              </w:rPr>
              <w:t>凹凸棒石粘土矿</w:t>
            </w:r>
            <w:r>
              <w:rPr>
                <w:rFonts w:hint="eastAsia" w:cs="Times New Roman"/>
                <w:i w:val="0"/>
                <w:iCs w:val="0"/>
                <w:caps w:val="0"/>
                <w:color w:val="000000"/>
                <w:spacing w:val="0"/>
                <w:sz w:val="24"/>
                <w:szCs w:val="24"/>
                <w:lang w:val="en-US" w:eastAsia="zh-CN"/>
              </w:rPr>
              <w:t>及伴生</w:t>
            </w:r>
            <w:r>
              <w:rPr>
                <w:rFonts w:hint="default" w:ascii="Times New Roman" w:hAnsi="Times New Roman" w:eastAsia="宋体" w:cs="Times New Roman"/>
                <w:i w:val="0"/>
                <w:iCs w:val="0"/>
                <w:caps w:val="0"/>
                <w:color w:val="000000"/>
                <w:spacing w:val="0"/>
                <w:sz w:val="24"/>
                <w:szCs w:val="24"/>
                <w:lang w:val="en-US" w:eastAsia="zh-CN"/>
              </w:rPr>
              <w:t>石膏</w:t>
            </w:r>
            <w:r>
              <w:rPr>
                <w:rFonts w:hint="default" w:ascii="Times New Roman" w:hAnsi="Times New Roman" w:eastAsia="宋体" w:cs="Times New Roman"/>
                <w:kern w:val="0"/>
                <w:sz w:val="24"/>
                <w:szCs w:val="24"/>
              </w:rPr>
              <w:t>开采项目</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设计生产规模</w:t>
            </w:r>
            <w:r>
              <w:rPr>
                <w:rFonts w:hint="default" w:ascii="Times New Roman" w:hAnsi="Times New Roman" w:eastAsia="宋体" w:cs="Times New Roman"/>
                <w:kern w:val="0"/>
                <w:sz w:val="24"/>
                <w:szCs w:val="24"/>
                <w:lang w:val="en-US" w:eastAsia="zh-CN"/>
              </w:rPr>
              <w:t>5</w:t>
            </w:r>
            <w:r>
              <w:rPr>
                <w:rFonts w:hint="default" w:ascii="Times New Roman" w:hAnsi="Times New Roman" w:eastAsia="宋体" w:cs="Times New Roman"/>
                <w:kern w:val="0"/>
                <w:sz w:val="24"/>
                <w:szCs w:val="24"/>
              </w:rPr>
              <w:t>万</w:t>
            </w:r>
            <w:r>
              <w:rPr>
                <w:rFonts w:hint="default" w:ascii="Times New Roman" w:hAnsi="Times New Roman" w:eastAsia="宋体" w:cs="Times New Roman"/>
                <w:kern w:val="0"/>
                <w:sz w:val="24"/>
                <w:szCs w:val="24"/>
                <w:lang w:val="en-US" w:eastAsia="zh-CN"/>
              </w:rPr>
              <w:t>t/a</w:t>
            </w:r>
            <w:r>
              <w:rPr>
                <w:rFonts w:hint="eastAsia" w:ascii="Times New Roman" w:hAnsi="Times New Roman" w:eastAsia="宋体" w:cs="Times New Roman"/>
                <w:kern w:val="0"/>
                <w:sz w:val="24"/>
                <w:szCs w:val="24"/>
                <w:lang w:val="en-US" w:eastAsia="zh-CN"/>
              </w:rPr>
              <w:t>，</w:t>
            </w:r>
            <w:r>
              <w:rPr>
                <w:rFonts w:hint="default" w:ascii="Times New Roman" w:hAnsi="Times New Roman" w:eastAsia="宋体" w:cs="Times New Roman"/>
                <w:kern w:val="0"/>
                <w:sz w:val="24"/>
                <w:szCs w:val="24"/>
              </w:rPr>
              <w:t>对照《产业结构调整指导目录</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2024年本</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国家发展和改革委员会2023年第7号令</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，项目不属于鼓励类</w:t>
            </w:r>
            <w:r>
              <w:rPr>
                <w:rFonts w:hint="eastAsia" w:cs="Times New Roman"/>
                <w:kern w:val="0"/>
                <w:sz w:val="24"/>
                <w:szCs w:val="24"/>
                <w:lang w:eastAsia="zh-CN"/>
              </w:rPr>
              <w:t>、</w:t>
            </w:r>
            <w:r>
              <w:rPr>
                <w:rFonts w:hint="default" w:ascii="Times New Roman" w:hAnsi="Times New Roman" w:eastAsia="宋体" w:cs="Times New Roman"/>
                <w:kern w:val="0"/>
                <w:sz w:val="24"/>
                <w:szCs w:val="24"/>
              </w:rPr>
              <w:t>限制类</w:t>
            </w:r>
            <w:r>
              <w:rPr>
                <w:rFonts w:hint="eastAsia" w:cs="Times New Roman"/>
                <w:kern w:val="0"/>
                <w:sz w:val="24"/>
                <w:szCs w:val="24"/>
                <w:lang w:val="en-US" w:eastAsia="zh-CN"/>
              </w:rPr>
              <w:t>和淘汰类</w:t>
            </w:r>
            <w:r>
              <w:rPr>
                <w:rFonts w:hint="default" w:ascii="Times New Roman" w:hAnsi="Times New Roman" w:eastAsia="宋体" w:cs="Times New Roman"/>
                <w:kern w:val="0"/>
                <w:sz w:val="24"/>
                <w:szCs w:val="24"/>
              </w:rPr>
              <w:t>，属于允许类。因此，本项目符合国家产业政策要求。</w:t>
            </w:r>
          </w:p>
          <w:p w14:paraId="108D752D">
            <w:pPr>
              <w:keepNext w:val="0"/>
              <w:keepLines w:val="0"/>
              <w:pageBreakBefore w:val="0"/>
              <w:widowControl/>
              <w:numPr>
                <w:ilvl w:val="0"/>
                <w:numId w:val="1"/>
              </w:numPr>
              <w:suppressLineNumbers w:val="0"/>
              <w:kinsoku/>
              <w:wordWrap/>
              <w:overflowPunct/>
              <w:topLinePunct w:val="0"/>
              <w:bidi w:val="0"/>
              <w:spacing w:line="360" w:lineRule="auto"/>
              <w:ind w:right="0"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与</w:t>
            </w:r>
            <w:r>
              <w:rPr>
                <w:rFonts w:hint="eastAsia"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生态环境分区管控</w:t>
            </w:r>
            <w:r>
              <w:rPr>
                <w:rFonts w:hint="eastAsia"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的符合性分析</w:t>
            </w:r>
          </w:p>
          <w:p w14:paraId="7A31E72E">
            <w:pPr>
              <w:pStyle w:val="2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2" w:firstLineChars="200"/>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2.1与甘肃省“生态环境分区管控”符合性分析</w:t>
            </w:r>
          </w:p>
          <w:p w14:paraId="7E253BB7">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根据《甘肃省生态环境厅关于实施“三线一单”生态环境分区管控动态更新成果的通知》甘政发【202</w:t>
            </w:r>
            <w:r>
              <w:rPr>
                <w:rFonts w:hint="default" w:ascii="Times New Roman" w:hAnsi="Times New Roman"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8号，全省共划定环境管控单元</w:t>
            </w:r>
            <w:r>
              <w:rPr>
                <w:rFonts w:hint="default" w:ascii="Times New Roman" w:hAnsi="Times New Roman" w:cs="Times New Roman"/>
                <w:color w:val="auto"/>
                <w:kern w:val="2"/>
                <w:sz w:val="24"/>
                <w:szCs w:val="24"/>
                <w:lang w:val="en-US" w:eastAsia="zh-CN" w:bidi="ar-SA"/>
              </w:rPr>
              <w:t>952</w:t>
            </w:r>
            <w:r>
              <w:rPr>
                <w:rFonts w:hint="default" w:ascii="Times New Roman" w:hAnsi="Times New Roman" w:eastAsia="宋体" w:cs="Times New Roman"/>
                <w:color w:val="auto"/>
                <w:kern w:val="2"/>
                <w:sz w:val="24"/>
                <w:szCs w:val="24"/>
                <w:lang w:val="en-US" w:eastAsia="zh-CN" w:bidi="ar-SA"/>
              </w:rPr>
              <w:t>个，分为优先保护单元、重点管控单元和一般管控单元三类，实施分类管控。</w:t>
            </w:r>
          </w:p>
          <w:p w14:paraId="10F054BF">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—优先保护单元。共</w:t>
            </w:r>
            <w:r>
              <w:rPr>
                <w:rFonts w:hint="default" w:ascii="Times New Roman" w:hAnsi="Times New Roman" w:cs="Times New Roman"/>
                <w:color w:val="auto"/>
                <w:kern w:val="2"/>
                <w:sz w:val="24"/>
                <w:szCs w:val="24"/>
                <w:lang w:val="en-US" w:eastAsia="zh-CN" w:bidi="ar-SA"/>
              </w:rPr>
              <w:t>557</w:t>
            </w:r>
            <w:r>
              <w:rPr>
                <w:rFonts w:hint="default" w:ascii="Times New Roman" w:hAnsi="Times New Roman" w:eastAsia="宋体" w:cs="Times New Roman"/>
                <w:color w:val="auto"/>
                <w:kern w:val="2"/>
                <w:sz w:val="24"/>
                <w:szCs w:val="24"/>
                <w:lang w:val="en-US" w:eastAsia="zh-CN" w:bidi="ar-SA"/>
              </w:rPr>
              <w:t>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14:paraId="1C9B7B76">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—重点管控单元。共</w:t>
            </w:r>
            <w:r>
              <w:rPr>
                <w:rFonts w:hint="default" w:ascii="Times New Roman" w:hAnsi="Times New Roman" w:cs="Times New Roman"/>
                <w:color w:val="auto"/>
                <w:kern w:val="2"/>
                <w:sz w:val="24"/>
                <w:szCs w:val="24"/>
                <w:lang w:val="en-US" w:eastAsia="zh-CN" w:bidi="ar-SA"/>
              </w:rPr>
              <w:t>312</w:t>
            </w:r>
            <w:r>
              <w:rPr>
                <w:rFonts w:hint="default" w:ascii="Times New Roman" w:hAnsi="Times New Roman" w:eastAsia="宋体" w:cs="Times New Roman"/>
                <w:color w:val="auto"/>
                <w:kern w:val="2"/>
                <w:sz w:val="24"/>
                <w:szCs w:val="24"/>
                <w:lang w:val="en-US" w:eastAsia="zh-CN" w:bidi="ar-SA"/>
              </w:rPr>
              <w:t>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14:paraId="47455AB7">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—一般管控单元。共8</w:t>
            </w: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14:paraId="01B9B155">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位于甘肃省张掖市临泽县板桥镇，矿区位于临泽县25°方位，直据约25km，行政区划隶属临泽县板桥镇管辖。本项目不在甘肃省生态保护红线、自然保护地、集中式饮用水水源保护区等生态功能重要区和生态环境敏感区内，</w:t>
            </w:r>
            <w:r>
              <w:rPr>
                <w:rFonts w:hint="eastAsia" w:ascii="Times New Roman" w:hAnsi="Times New Roman" w:eastAsia="宋体" w:cs="Times New Roman"/>
                <w:color w:val="auto"/>
                <w:kern w:val="2"/>
                <w:sz w:val="24"/>
                <w:szCs w:val="24"/>
                <w:lang w:val="en-US" w:eastAsia="zh-CN" w:bidi="ar-SA"/>
              </w:rPr>
              <w:t>项目涉及一般管控单元和重点管控单元</w:t>
            </w:r>
            <w:r>
              <w:rPr>
                <w:rFonts w:hint="default" w:ascii="Times New Roman" w:hAnsi="Times New Roman" w:eastAsia="宋体" w:cs="Times New Roman"/>
                <w:color w:val="auto"/>
                <w:kern w:val="2"/>
                <w:sz w:val="24"/>
                <w:szCs w:val="24"/>
                <w:lang w:val="en-US" w:eastAsia="zh-CN" w:bidi="ar-SA"/>
              </w:rPr>
              <w:t>。本项目符合产业结构要求，能源消耗较小，提高了资源的利用率；项目建成后各项污染物排放指标均符合相应的污染物排放标准要求；项目采取完善的风险防范措施，有效防范和降低环境风险，符合甘肃省“</w:t>
            </w:r>
            <w:r>
              <w:rPr>
                <w:rFonts w:hint="default" w:ascii="Times New Roman" w:hAnsi="Times New Roman" w:cs="Times New Roman"/>
                <w:color w:val="auto"/>
                <w:kern w:val="2"/>
                <w:sz w:val="24"/>
                <w:szCs w:val="24"/>
                <w:lang w:val="en-US" w:eastAsia="zh-CN" w:bidi="ar-SA"/>
              </w:rPr>
              <w:t>重点管控单元</w:t>
            </w:r>
            <w:r>
              <w:rPr>
                <w:rFonts w:hint="eastAsia" w:ascii="Times New Roman" w:hAnsi="Times New Roman" w:cs="Times New Roman"/>
                <w:color w:val="auto"/>
                <w:kern w:val="2"/>
                <w:sz w:val="24"/>
                <w:szCs w:val="24"/>
                <w:lang w:val="en-US" w:eastAsia="zh-CN" w:bidi="ar-SA"/>
              </w:rPr>
              <w:t>和一般管控单元</w:t>
            </w:r>
            <w:r>
              <w:rPr>
                <w:rFonts w:hint="default" w:ascii="Times New Roman" w:hAnsi="Times New Roman" w:eastAsia="宋体" w:cs="Times New Roman"/>
                <w:color w:val="auto"/>
                <w:kern w:val="2"/>
                <w:sz w:val="24"/>
                <w:szCs w:val="24"/>
                <w:lang w:val="en-US" w:eastAsia="zh-CN" w:bidi="ar-SA"/>
              </w:rPr>
              <w:t>要求</w:t>
            </w:r>
            <w:r>
              <w:rPr>
                <w:rFonts w:hint="eastAsia" w:ascii="Times New Roman" w:hAnsi="Times New Roman" w:eastAsia="宋体" w:cs="Times New Roman"/>
                <w:color w:val="auto"/>
                <w:kern w:val="2"/>
                <w:sz w:val="24"/>
                <w:szCs w:val="24"/>
                <w:lang w:val="en-US" w:eastAsia="zh-CN" w:bidi="ar-SA"/>
              </w:rPr>
              <w:t>。</w:t>
            </w:r>
          </w:p>
          <w:p w14:paraId="469A0C2E">
            <w:pPr>
              <w:pStyle w:val="2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2" w:firstLineChars="200"/>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与</w:t>
            </w:r>
            <w:r>
              <w:rPr>
                <w:rFonts w:hint="eastAsia" w:ascii="Times New Roman" w:hAnsi="Times New Roman" w:eastAsia="宋体" w:cs="Times New Roman"/>
                <w:b/>
                <w:bCs/>
                <w:color w:val="000000"/>
                <w:kern w:val="0"/>
                <w:sz w:val="24"/>
                <w:szCs w:val="24"/>
                <w:lang w:val="en-US" w:eastAsia="zh-CN" w:bidi="ar"/>
              </w:rPr>
              <w:t>张掖市</w:t>
            </w:r>
            <w:r>
              <w:rPr>
                <w:rFonts w:hint="default" w:ascii="Times New Roman" w:hAnsi="Times New Roman" w:eastAsia="宋体" w:cs="Times New Roman"/>
                <w:b/>
                <w:bCs/>
                <w:color w:val="000000"/>
                <w:kern w:val="0"/>
                <w:sz w:val="24"/>
                <w:szCs w:val="24"/>
                <w:lang w:val="en-US" w:eastAsia="zh-CN" w:bidi="ar"/>
              </w:rPr>
              <w:t>“生态环境分区管控”符合性分析</w:t>
            </w:r>
          </w:p>
          <w:p w14:paraId="3230040D">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根据《关于实施</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三线一单</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生态环境分区管控动态更新成果的通知》，全市共划定环境管控单元63个，分为优先保护单元、重点管控单元和一般管控单元，实施分类管控。优先保护单元，共37个；重点管控单元，共21个；一般管控单元，共5个。</w:t>
            </w:r>
          </w:p>
          <w:p w14:paraId="3F44F9A3">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优先保护单元。共37个，主要包括生态保护红线、自然保护地、集中式饮用水水源保护区等生态功能重要区和生态环境敏感区。该区域严格按照生态保护红线管理规定进行管控。依法禁止或限制大规模、高强度的开发建设活动，严禁不符合国家有关规定和准入要求的各类开发活动，确保生态环境功能不降低。</w:t>
            </w:r>
          </w:p>
          <w:p w14:paraId="52DBBD37">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重点管控单元。共21个，主要包括中心城区和城镇规划区、工业园区（集聚区）等开发强度高、环境问题相对集中的区域。该区域是经济社会高质量发展的主要承载区，以产业高质量发展和环境保护协调为主，优化空间布局，推进产业结构和能源结构调整，优化交通结构和用地结构，不断提高资源能源利用效率，加强污染物排放控制和环境风险防控，解决突出生态环境问题。</w:t>
            </w:r>
          </w:p>
          <w:p w14:paraId="557359E3">
            <w:pPr>
              <w:keepNext/>
              <w:keepLines w:val="0"/>
              <w:pageBreakBefore w:val="0"/>
              <w:widowControl w:val="0"/>
              <w:kinsoku/>
              <w:wordWrap/>
              <w:overflowPunct w:val="0"/>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2"/>
                <w:sz w:val="24"/>
                <w:szCs w:val="24"/>
                <w:lang w:val="en-US" w:eastAsia="zh-CN" w:bidi="ar-SA"/>
              </w:rPr>
              <w:t>—般管控单元。共5个，主要包括优先保护单元和重点管控单元之外的区域。该区域以促进生活、生态、生产功能的协调融合为主要目标，主要落实生态环境保护基本要求，加强生活污染和农业面源污染治理，推动区域生态环境质量持续改善和区域经济社会可持续发展。</w:t>
            </w:r>
          </w:p>
          <w:p w14:paraId="60C67899">
            <w:pPr>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eastAsia="宋体" w:cs="Times New Roman"/>
                <w:sz w:val="24"/>
                <w:szCs w:val="24"/>
                <w:lang w:val="en-US" w:eastAsia="zh-CN"/>
              </w:rPr>
              <w:t>根据</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甘肃省生态环境分区管控公众服务平台</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选址分析结果，本项目位于</w:t>
            </w:r>
            <w:r>
              <w:rPr>
                <w:rFonts w:hint="eastAsia" w:ascii="Times New Roman" w:hAnsi="Times New Roman" w:cs="Times New Roman"/>
                <w:sz w:val="24"/>
                <w:szCs w:val="24"/>
                <w:lang w:val="en-US" w:eastAsia="zh-CN"/>
              </w:rPr>
              <w:t>“</w:t>
            </w:r>
            <w:r>
              <w:rPr>
                <w:rFonts w:hint="default" w:ascii="Times New Roman" w:hAnsi="Times New Roman" w:eastAsia="宋体" w:cs="Times New Roman"/>
                <w:color w:val="auto"/>
                <w:sz w:val="24"/>
                <w:szCs w:val="24"/>
                <w:highlight w:val="none"/>
                <w:lang w:val="en-US" w:eastAsia="zh-CN"/>
              </w:rPr>
              <w:t>临泽县城镇空间</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ZH62072320004</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和</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临泽县一般管控单元</w:t>
            </w:r>
            <w:r>
              <w:rPr>
                <w:rFonts w:hint="eastAsia" w:ascii="Times New Roman" w:hAnsi="Times New Roman" w:cs="Times New Roman"/>
                <w:color w:val="auto"/>
                <w:sz w:val="24"/>
                <w:szCs w:val="24"/>
                <w:highlight w:val="none"/>
                <w:lang w:val="en-US" w:eastAsia="zh-CN"/>
              </w:rPr>
              <w:t>（ZH62072330001）”</w:t>
            </w:r>
            <w:r>
              <w:rPr>
                <w:rFonts w:hint="eastAsia" w:cs="Times New Roman"/>
                <w:color w:val="auto"/>
                <w:sz w:val="24"/>
                <w:szCs w:val="24"/>
                <w:highlight w:val="none"/>
                <w:lang w:val="en-US" w:eastAsia="zh-CN"/>
              </w:rPr>
              <w:t>，</w:t>
            </w:r>
            <w:r>
              <w:rPr>
                <w:rFonts w:hint="default" w:ascii="Times New Roman" w:hAnsi="Times New Roman" w:eastAsia="宋体" w:cs="Times New Roman"/>
                <w:sz w:val="24"/>
                <w:szCs w:val="24"/>
                <w:lang w:val="en-US" w:eastAsia="zh-CN"/>
              </w:rPr>
              <w:t>项目与</w:t>
            </w:r>
            <w:r>
              <w:rPr>
                <w:rFonts w:hint="eastAsia" w:ascii="Times New Roman" w:hAnsi="Times New Roman" w:eastAsia="宋体" w:cs="Times New Roman"/>
                <w:sz w:val="24"/>
                <w:szCs w:val="24"/>
                <w:lang w:val="en-US" w:eastAsia="zh-CN"/>
              </w:rPr>
              <w:t>“生态环境分区管控”</w:t>
            </w:r>
            <w:r>
              <w:rPr>
                <w:rFonts w:hint="default" w:ascii="Times New Roman" w:hAnsi="Times New Roman" w:eastAsia="宋体" w:cs="Times New Roman"/>
                <w:color w:val="auto"/>
                <w:sz w:val="24"/>
                <w:szCs w:val="24"/>
                <w:lang w:val="en-US" w:eastAsia="zh-CN"/>
              </w:rPr>
              <w:t>位置关系见</w:t>
            </w:r>
            <w:r>
              <w:rPr>
                <w:rFonts w:hint="default" w:ascii="Times New Roman" w:hAnsi="Times New Roman" w:eastAsia="宋体" w:cs="Times New Roman"/>
                <w:sz w:val="24"/>
                <w:szCs w:val="24"/>
                <w:lang w:val="en-US" w:eastAsia="zh-CN"/>
              </w:rPr>
              <w:t>见附图</w:t>
            </w:r>
            <w:r>
              <w:rPr>
                <w:rFonts w:hint="eastAsia" w:ascii="Times New Roman" w:hAnsi="Times New Roman" w:eastAsia="宋体" w:cs="Times New Roman"/>
                <w:sz w:val="24"/>
                <w:szCs w:val="24"/>
                <w:lang w:val="en-US" w:eastAsia="zh-CN"/>
              </w:rPr>
              <w:t>3、附图4</w:t>
            </w:r>
            <w:r>
              <w:rPr>
                <w:rFonts w:hint="default" w:ascii="Times New Roman" w:hAnsi="Times New Roman" w:eastAsia="宋体" w:cs="Times New Roman"/>
                <w:sz w:val="24"/>
                <w:szCs w:val="24"/>
                <w:lang w:val="en-US" w:eastAsia="zh-CN"/>
              </w:rPr>
              <w:t>。拟建项目与生态分区</w:t>
            </w:r>
            <w:r>
              <w:rPr>
                <w:rFonts w:hint="default" w:ascii="Times New Roman" w:hAnsi="Times New Roman" w:eastAsia="宋体" w:cs="Times New Roman"/>
                <w:color w:val="auto"/>
                <w:sz w:val="24"/>
                <w:szCs w:val="24"/>
                <w:lang w:val="en-US" w:eastAsia="zh-CN"/>
              </w:rPr>
              <w:t>管控意见符合性分析见表1-</w:t>
            </w:r>
            <w:r>
              <w:rPr>
                <w:rFonts w:hint="eastAsia" w:cs="Times New Roman"/>
                <w:color w:val="auto"/>
                <w:sz w:val="24"/>
                <w:szCs w:val="24"/>
                <w:lang w:val="en-US" w:eastAsia="zh-CN"/>
              </w:rPr>
              <w:t>1、表1-2</w:t>
            </w:r>
            <w:r>
              <w:rPr>
                <w:rFonts w:hint="eastAsia" w:ascii="Times New Roman" w:hAnsi="Times New Roman" w:cs="Times New Roman"/>
                <w:color w:val="auto"/>
                <w:sz w:val="24"/>
                <w:szCs w:val="24"/>
                <w:lang w:val="en-US" w:eastAsia="zh-CN"/>
              </w:rPr>
              <w:t>。</w:t>
            </w:r>
          </w:p>
          <w:p w14:paraId="748D164D">
            <w:pPr>
              <w:pStyle w:val="22"/>
              <w:rPr>
                <w:rFonts w:hint="default" w:ascii="Times New Roman" w:hAnsi="Times New Roman" w:eastAsia="宋体" w:cs="Times New Roman"/>
                <w:sz w:val="24"/>
                <w:szCs w:val="24"/>
                <w:lang w:val="en-US" w:eastAsia="zh-CN"/>
              </w:rPr>
            </w:pPr>
          </w:p>
          <w:p w14:paraId="169BAA7E">
            <w:pPr>
              <w:pStyle w:val="22"/>
              <w:rPr>
                <w:rFonts w:hint="default" w:ascii="Times New Roman" w:hAnsi="Times New Roman" w:eastAsia="宋体" w:cs="Times New Roman"/>
                <w:sz w:val="24"/>
                <w:szCs w:val="24"/>
                <w:lang w:val="en-US" w:eastAsia="zh-CN"/>
              </w:rPr>
            </w:pPr>
          </w:p>
          <w:p w14:paraId="500D29A7">
            <w:pPr>
              <w:pStyle w:val="22"/>
              <w:rPr>
                <w:rFonts w:hint="default" w:ascii="Times New Roman" w:hAnsi="Times New Roman" w:eastAsia="宋体" w:cs="Times New Roman"/>
                <w:sz w:val="24"/>
                <w:szCs w:val="24"/>
                <w:lang w:val="en-US" w:eastAsia="zh-CN"/>
              </w:rPr>
            </w:pPr>
          </w:p>
          <w:p w14:paraId="5CBAAAEC">
            <w:pPr>
              <w:pStyle w:val="22"/>
              <w:rPr>
                <w:rFonts w:hint="default" w:ascii="Times New Roman" w:hAnsi="Times New Roman" w:eastAsia="宋体" w:cs="Times New Roman"/>
                <w:sz w:val="24"/>
                <w:szCs w:val="24"/>
                <w:lang w:val="en-US" w:eastAsia="zh-CN"/>
              </w:rPr>
            </w:pPr>
          </w:p>
          <w:p w14:paraId="6657A26B">
            <w:pPr>
              <w:pStyle w:val="22"/>
              <w:rPr>
                <w:rFonts w:hint="default" w:ascii="Times New Roman" w:hAnsi="Times New Roman" w:eastAsia="宋体" w:cs="Times New Roman"/>
                <w:sz w:val="24"/>
                <w:szCs w:val="24"/>
                <w:lang w:val="en-US" w:eastAsia="zh-CN"/>
              </w:rPr>
            </w:pPr>
          </w:p>
          <w:p w14:paraId="48BDE439">
            <w:pPr>
              <w:pStyle w:val="22"/>
              <w:rPr>
                <w:rFonts w:hint="default" w:ascii="Times New Roman" w:hAnsi="Times New Roman" w:eastAsia="宋体" w:cs="Times New Roman"/>
                <w:sz w:val="24"/>
                <w:szCs w:val="24"/>
                <w:lang w:val="en-US" w:eastAsia="zh-CN"/>
              </w:rPr>
            </w:pPr>
          </w:p>
          <w:p w14:paraId="53965B7B">
            <w:pPr>
              <w:pStyle w:val="22"/>
              <w:rPr>
                <w:rFonts w:hint="default" w:ascii="Times New Roman" w:hAnsi="Times New Roman" w:eastAsia="宋体" w:cs="Times New Roman"/>
                <w:sz w:val="24"/>
                <w:szCs w:val="24"/>
                <w:lang w:val="en-US" w:eastAsia="zh-CN"/>
              </w:rPr>
            </w:pPr>
          </w:p>
          <w:p w14:paraId="5A27F3CB">
            <w:pPr>
              <w:pStyle w:val="22"/>
              <w:rPr>
                <w:rFonts w:hint="default" w:ascii="Times New Roman" w:hAnsi="Times New Roman" w:eastAsia="宋体" w:cs="Times New Roman"/>
                <w:sz w:val="24"/>
                <w:szCs w:val="24"/>
                <w:lang w:val="en-US" w:eastAsia="zh-CN"/>
              </w:rPr>
            </w:pPr>
          </w:p>
          <w:p w14:paraId="3DCBE224">
            <w:pPr>
              <w:pStyle w:val="22"/>
              <w:rPr>
                <w:rFonts w:hint="default" w:ascii="Times New Roman" w:hAnsi="Times New Roman" w:eastAsia="宋体" w:cs="Times New Roman"/>
                <w:sz w:val="24"/>
                <w:szCs w:val="24"/>
                <w:lang w:val="en-US" w:eastAsia="zh-CN"/>
              </w:rPr>
            </w:pPr>
          </w:p>
          <w:p w14:paraId="72B3FF4D">
            <w:pPr>
              <w:pStyle w:val="22"/>
              <w:rPr>
                <w:rFonts w:hint="default" w:ascii="Times New Roman" w:hAnsi="Times New Roman" w:eastAsia="宋体" w:cs="Times New Roman"/>
                <w:sz w:val="24"/>
                <w:szCs w:val="24"/>
                <w:lang w:val="en-US" w:eastAsia="zh-CN"/>
              </w:rPr>
            </w:pPr>
          </w:p>
          <w:p w14:paraId="288B90E7">
            <w:pPr>
              <w:pStyle w:val="22"/>
              <w:rPr>
                <w:rFonts w:hint="default" w:ascii="Times New Roman" w:hAnsi="Times New Roman" w:eastAsia="宋体" w:cs="Times New Roman"/>
                <w:sz w:val="24"/>
                <w:szCs w:val="24"/>
                <w:lang w:val="en-US" w:eastAsia="zh-CN"/>
              </w:rPr>
            </w:pPr>
          </w:p>
          <w:p w14:paraId="2ED50683">
            <w:pPr>
              <w:pStyle w:val="22"/>
              <w:rPr>
                <w:rFonts w:hint="default" w:ascii="Times New Roman" w:hAnsi="Times New Roman" w:eastAsia="宋体" w:cs="Times New Roman"/>
                <w:sz w:val="24"/>
                <w:szCs w:val="24"/>
                <w:lang w:val="en-US" w:eastAsia="zh-CN"/>
              </w:rPr>
            </w:pPr>
          </w:p>
          <w:p w14:paraId="1405618E">
            <w:pPr>
              <w:pStyle w:val="22"/>
              <w:rPr>
                <w:rFonts w:hint="default" w:ascii="Times New Roman" w:hAnsi="Times New Roman" w:eastAsia="宋体" w:cs="Times New Roman"/>
                <w:sz w:val="24"/>
                <w:szCs w:val="24"/>
                <w:lang w:val="en-US" w:eastAsia="zh-CN"/>
              </w:rPr>
            </w:pPr>
          </w:p>
          <w:p w14:paraId="2314DC58">
            <w:pPr>
              <w:pStyle w:val="22"/>
              <w:rPr>
                <w:rFonts w:hint="default" w:ascii="Times New Roman" w:hAnsi="Times New Roman" w:eastAsia="宋体" w:cs="Times New Roman"/>
                <w:sz w:val="24"/>
                <w:szCs w:val="24"/>
                <w:lang w:val="en-US" w:eastAsia="zh-CN"/>
              </w:rPr>
            </w:pPr>
          </w:p>
          <w:p w14:paraId="6513920B">
            <w:pPr>
              <w:pStyle w:val="22"/>
              <w:rPr>
                <w:rFonts w:hint="default" w:ascii="Times New Roman" w:hAnsi="Times New Roman" w:eastAsia="宋体" w:cs="Times New Roman"/>
                <w:sz w:val="24"/>
                <w:szCs w:val="24"/>
                <w:lang w:val="en-US" w:eastAsia="zh-CN"/>
              </w:rPr>
            </w:pPr>
          </w:p>
          <w:p w14:paraId="37981B45">
            <w:pPr>
              <w:pStyle w:val="22"/>
              <w:ind w:left="0" w:leftChars="0" w:firstLine="0" w:firstLineChars="0"/>
              <w:rPr>
                <w:rFonts w:hint="default" w:ascii="Times New Roman" w:hAnsi="Times New Roman" w:eastAsia="宋体" w:cs="Times New Roman"/>
                <w:sz w:val="24"/>
                <w:szCs w:val="24"/>
                <w:lang w:val="en-US" w:eastAsia="zh-CN"/>
              </w:rPr>
            </w:pPr>
          </w:p>
          <w:p w14:paraId="50BA4846">
            <w:pPr>
              <w:autoSpaceDE w:val="0"/>
              <w:autoSpaceDN w:val="0"/>
              <w:adjustRightInd w:val="0"/>
              <w:snapToGrid w:val="0"/>
              <w:ind w:firstLine="480" w:firstLineChars="200"/>
              <w:rPr>
                <w:rFonts w:hint="default" w:ascii="Times New Roman" w:hAnsi="Times New Roman" w:eastAsia="宋体" w:cs="Times New Roman"/>
                <w:kern w:val="0"/>
                <w:sz w:val="24"/>
                <w:szCs w:val="24"/>
              </w:rPr>
            </w:pPr>
          </w:p>
        </w:tc>
      </w:tr>
    </w:tbl>
    <w:p w14:paraId="0B902100">
      <w:pPr>
        <w:pStyle w:val="22"/>
        <w:rPr>
          <w:rFonts w:hint="default" w:ascii="Times New Roman" w:hAnsi="Times New Roman" w:eastAsia="宋体" w:cs="Times New Roman"/>
          <w:sz w:val="24"/>
          <w:szCs w:val="24"/>
        </w:rPr>
        <w:sectPr>
          <w:footerReference r:id="rId5" w:type="default"/>
          <w:pgSz w:w="11906" w:h="16838"/>
          <w:pgMar w:top="1701" w:right="1531" w:bottom="1701" w:left="1531" w:header="851" w:footer="1077" w:gutter="0"/>
          <w:pgNumType w:fmt="decimal" w:start="1"/>
          <w:cols w:space="720" w:num="1"/>
          <w:docGrid w:linePitch="312" w:charSpace="0"/>
        </w:sectPr>
      </w:pPr>
    </w:p>
    <w:p w14:paraId="5E97D909">
      <w:pPr>
        <w:pStyle w:val="22"/>
        <w:ind w:left="0" w:leftChars="0" w:firstLine="0" w:firstLineChars="0"/>
        <w:rPr>
          <w:rFonts w:hint="default" w:ascii="Times New Roman" w:hAnsi="Times New Roman" w:eastAsia="宋体" w:cs="Times New Roman"/>
          <w:sz w:val="24"/>
          <w:szCs w:val="24"/>
        </w:rPr>
      </w:pPr>
    </w:p>
    <w:tbl>
      <w:tblPr>
        <w:tblStyle w:val="24"/>
        <w:tblW w:w="13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13174"/>
      </w:tblGrid>
      <w:tr w14:paraId="73B9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625" w:type="dxa"/>
            <w:noWrap w:val="0"/>
            <w:vAlign w:val="top"/>
          </w:tcPr>
          <w:p w14:paraId="6067532E">
            <w:pPr>
              <w:pStyle w:val="22"/>
              <w:ind w:left="0" w:leftChars="0" w:firstLine="0" w:firstLineChars="0"/>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其他符合性分析</w:t>
            </w:r>
          </w:p>
        </w:tc>
        <w:tc>
          <w:tcPr>
            <w:tcW w:w="13174" w:type="dxa"/>
            <w:noWrap w:val="0"/>
            <w:vAlign w:val="top"/>
          </w:tcPr>
          <w:p w14:paraId="6375D5F4">
            <w:pPr>
              <w:pStyle w:val="20"/>
              <w:keepNext w:val="0"/>
              <w:keepLines w:val="0"/>
              <w:widowControl/>
              <w:suppressLineNumbers w:val="0"/>
              <w:spacing w:line="240" w:lineRule="auto"/>
              <w:ind w:left="0" w:firstLine="0"/>
              <w:jc w:val="center"/>
              <w:textAlignment w:val="center"/>
              <w:rPr>
                <w:rFonts w:ascii="宋体" w:hAnsi="宋体" w:eastAsia="宋体" w:cs="宋体"/>
                <w:b/>
                <w:bCs/>
                <w:color w:val="000000"/>
                <w:spacing w:val="0"/>
                <w:position w:val="0"/>
                <w:sz w:val="21"/>
                <w:szCs w:val="21"/>
              </w:rPr>
            </w:pPr>
            <w:r>
              <w:rPr>
                <w:rFonts w:hint="default" w:ascii="Times New Roman" w:hAnsi="Times New Roman" w:eastAsia="宋体" w:cs="Times New Roman"/>
                <w:b/>
                <w:bCs/>
                <w:sz w:val="21"/>
                <w:szCs w:val="21"/>
                <w:vertAlign w:val="baseline"/>
                <w:lang w:val="en-US" w:eastAsia="zh-CN"/>
              </w:rPr>
              <w:t>表1-</w:t>
            </w:r>
            <w:r>
              <w:rPr>
                <w:rFonts w:hint="eastAsia" w:ascii="Times New Roman" w:hAnsi="Times New Roman" w:cs="Times New Roman"/>
                <w:b/>
                <w:bCs/>
                <w:sz w:val="21"/>
                <w:szCs w:val="21"/>
                <w:vertAlign w:val="baseline"/>
                <w:lang w:val="en-US" w:eastAsia="zh-CN"/>
              </w:rPr>
              <w:t>1本项目</w:t>
            </w:r>
            <w:r>
              <w:rPr>
                <w:rFonts w:hint="default" w:ascii="Times New Roman" w:hAnsi="Times New Roman" w:eastAsia="宋体" w:cs="Times New Roman"/>
                <w:b/>
                <w:bCs/>
                <w:sz w:val="21"/>
                <w:szCs w:val="21"/>
                <w:vertAlign w:val="baseline"/>
                <w:lang w:val="en-US" w:eastAsia="zh-CN"/>
              </w:rPr>
              <w:t>与</w:t>
            </w:r>
            <w:r>
              <w:rPr>
                <w:rFonts w:ascii="宋体" w:hAnsi="宋体" w:eastAsia="宋体" w:cs="宋体"/>
                <w:b/>
                <w:bCs/>
                <w:color w:val="000000"/>
                <w:spacing w:val="0"/>
                <w:position w:val="0"/>
                <w:sz w:val="21"/>
                <w:szCs w:val="21"/>
              </w:rPr>
              <w:t>生态环境分区管控符合性分析一览表</w:t>
            </w:r>
          </w:p>
          <w:tbl>
            <w:tblPr>
              <w:tblStyle w:val="24"/>
              <w:tblW w:w="1292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7"/>
              <w:gridCol w:w="9357"/>
              <w:gridCol w:w="2437"/>
              <w:gridCol w:w="731"/>
            </w:tblGrid>
            <w:tr w14:paraId="3F5D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97" w:type="dxa"/>
                  <w:tcBorders>
                    <w:top w:val="single" w:color="000000" w:sz="12" w:space="0"/>
                    <w:left w:val="nil"/>
                    <w:tl2br w:val="nil"/>
                  </w:tcBorders>
                  <w:shd w:val="clear" w:color="auto" w:fill="auto"/>
                  <w:vAlign w:val="center"/>
                </w:tcPr>
                <w:p w14:paraId="35AFAF59">
                  <w:pPr>
                    <w:pStyle w:val="20"/>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spacing w:val="0"/>
                      <w:position w:val="0"/>
                      <w:sz w:val="21"/>
                      <w:szCs w:val="21"/>
                      <w:vertAlign w:val="baseline"/>
                    </w:rPr>
                  </w:pPr>
                </w:p>
              </w:tc>
              <w:tc>
                <w:tcPr>
                  <w:tcW w:w="9357" w:type="dxa"/>
                  <w:tcBorders>
                    <w:top w:val="single" w:color="000000" w:sz="12" w:space="0"/>
                  </w:tcBorders>
                  <w:shd w:val="clear" w:color="auto" w:fill="auto"/>
                  <w:vAlign w:val="center"/>
                </w:tcPr>
                <w:p w14:paraId="34E79CB4">
                  <w:pPr>
                    <w:pStyle w:val="20"/>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spacing w:val="0"/>
                      <w:position w:val="0"/>
                      <w:sz w:val="21"/>
                      <w:szCs w:val="21"/>
                      <w:vertAlign w:val="baseline"/>
                    </w:rPr>
                  </w:pPr>
                  <w:r>
                    <w:rPr>
                      <w:rFonts w:hint="default" w:ascii="Times New Roman" w:hAnsi="Times New Roman" w:eastAsia="宋体" w:cs="Times New Roman"/>
                      <w:b/>
                      <w:bCs/>
                      <w:color w:val="000000"/>
                      <w:spacing w:val="0"/>
                      <w:position w:val="0"/>
                      <w:sz w:val="21"/>
                      <w:szCs w:val="21"/>
                      <w:vertAlign w:val="baseline"/>
                    </w:rPr>
                    <w:t>甘肃省总体管控要求</w:t>
                  </w:r>
                </w:p>
              </w:tc>
              <w:tc>
                <w:tcPr>
                  <w:tcW w:w="2437" w:type="dxa"/>
                  <w:tcBorders>
                    <w:top w:val="single" w:color="000000" w:sz="12" w:space="0"/>
                  </w:tcBorders>
                  <w:shd w:val="clear" w:color="auto" w:fill="auto"/>
                  <w:vAlign w:val="center"/>
                </w:tcPr>
                <w:p w14:paraId="78C3364B">
                  <w:pPr>
                    <w:pStyle w:val="20"/>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spacing w:val="0"/>
                      <w:position w:val="0"/>
                      <w:sz w:val="21"/>
                      <w:szCs w:val="21"/>
                      <w:vertAlign w:val="baseline"/>
                      <w:lang w:val="en-US" w:eastAsia="zh-CN"/>
                    </w:rPr>
                  </w:pPr>
                  <w:r>
                    <w:rPr>
                      <w:rFonts w:hint="default" w:ascii="Times New Roman" w:hAnsi="Times New Roman" w:eastAsia="宋体" w:cs="Times New Roman"/>
                      <w:b/>
                      <w:bCs/>
                      <w:color w:val="000000"/>
                      <w:spacing w:val="0"/>
                      <w:position w:val="0"/>
                      <w:sz w:val="21"/>
                      <w:szCs w:val="21"/>
                      <w:vertAlign w:val="baseline"/>
                      <w:lang w:val="en-US" w:eastAsia="zh-CN"/>
                    </w:rPr>
                    <w:t>本项目情况</w:t>
                  </w:r>
                </w:p>
              </w:tc>
              <w:tc>
                <w:tcPr>
                  <w:tcW w:w="731" w:type="dxa"/>
                  <w:tcBorders>
                    <w:top w:val="single" w:color="000000" w:sz="12" w:space="0"/>
                    <w:right w:val="nil"/>
                  </w:tcBorders>
                  <w:shd w:val="clear" w:color="auto" w:fill="auto"/>
                  <w:vAlign w:val="center"/>
                </w:tcPr>
                <w:p w14:paraId="613E490A">
                  <w:pPr>
                    <w:pStyle w:val="20"/>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spacing w:val="0"/>
                      <w:position w:val="0"/>
                      <w:sz w:val="21"/>
                      <w:szCs w:val="21"/>
                      <w:vertAlign w:val="baseline"/>
                      <w:lang w:val="en-US" w:eastAsia="zh-CN"/>
                    </w:rPr>
                  </w:pPr>
                  <w:r>
                    <w:rPr>
                      <w:rFonts w:hint="default" w:ascii="Times New Roman" w:hAnsi="Times New Roman" w:eastAsia="宋体" w:cs="Times New Roman"/>
                      <w:b/>
                      <w:bCs/>
                      <w:color w:val="000000"/>
                      <w:spacing w:val="0"/>
                      <w:position w:val="0"/>
                      <w:sz w:val="21"/>
                      <w:szCs w:val="21"/>
                      <w:vertAlign w:val="baseline"/>
                      <w:lang w:val="en-US" w:eastAsia="zh-CN"/>
                    </w:rPr>
                    <w:t>符合性</w:t>
                  </w:r>
                </w:p>
              </w:tc>
            </w:tr>
            <w:tr w14:paraId="2061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98" w:hRule="atLeast"/>
              </w:trPr>
              <w:tc>
                <w:tcPr>
                  <w:tcW w:w="397" w:type="dxa"/>
                  <w:tcBorders>
                    <w:left w:val="nil"/>
                  </w:tcBorders>
                  <w:shd w:val="clear" w:color="auto" w:fill="auto"/>
                  <w:vAlign w:val="center"/>
                </w:tcPr>
                <w:p w14:paraId="532759F0">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z w:val="21"/>
                      <w:szCs w:val="21"/>
                      <w:lang w:val="en-US" w:eastAsia="zh-CN"/>
                    </w:rPr>
                    <w:t>空间布局约束</w:t>
                  </w:r>
                </w:p>
              </w:tc>
              <w:tc>
                <w:tcPr>
                  <w:tcW w:w="9357" w:type="dxa"/>
                  <w:shd w:val="clear" w:color="auto" w:fill="auto"/>
                  <w:vAlign w:val="center"/>
                </w:tcPr>
                <w:p w14:paraId="67847EA4">
                  <w:pPr>
                    <w:pStyle w:val="20"/>
                    <w:keepNext w:val="0"/>
                    <w:keepLines w:val="0"/>
                    <w:widowControl/>
                    <w:numPr>
                      <w:ilvl w:val="0"/>
                      <w:numId w:val="2"/>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生态保护红线：严格遵照中共中央办公厅 国务院办公厅《关于在国土空间规划中统筹划定落实三条控制线的指导意见》《自然资源部生态环境部国家林业和草原局关于加强生态保护红线管理的通知（试行）》执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p w14:paraId="777FB526">
                  <w:pPr>
                    <w:pStyle w:val="20"/>
                    <w:keepNext w:val="0"/>
                    <w:keepLines w:val="0"/>
                    <w:widowControl/>
                    <w:numPr>
                      <w:ilvl w:val="0"/>
                      <w:numId w:val="2"/>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各类工业园区（集聚区）：严格执行园区（集聚区）规划和规划环评要求，根据国家产业政策、园区（集聚区）主导产业定位、《甘肃省国家重点生态功能区产业准入负面清单（试行）》等，建立差别化的产业准入要求；根据园区发展定位、环境特征等强化环境准入约束。合理规划居住区与工业功能区，在居住区和工业区、工业企业之间设置防护绿地、生活绿地等隔离带。落实《减污降碳协同增效实施方案》《“十四五”节能减排综合工作方案》《2030年前碳达峰行动方案》《中共中央 国务院关于完整准确全面贯彻新发展理念做好碳达峰碳中和工作的意见》相关要求，坚决遏制高耗能、高排放、低水平项目盲目发展，高耗能、高排放项目审批要严格落实国家产业规划、产业政策、环评审批、取水许可审批、节能审查以及污染物区域削减替代等要求，采取先进适用的工艺技术和装备，提升高耗能项目能耗准入标准，能耗、物耗、水耗要达到清洁生产先进水平。严格落实《甘肃省环境保护条例》相关要求，新建化工石化、有色冶金、制浆造纸以及国家有明确要求的工业项目，应当进入工业园区或者工业集聚区。对污染物排放不符合要求的生物质锅炉及时进行整改或淘汰。</w:t>
                  </w:r>
                </w:p>
                <w:p w14:paraId="761878BE">
                  <w:pPr>
                    <w:pStyle w:val="20"/>
                    <w:keepNext w:val="0"/>
                    <w:keepLines w:val="0"/>
                    <w:widowControl/>
                    <w:numPr>
                      <w:ilvl w:val="0"/>
                      <w:numId w:val="2"/>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城镇生活类重点管控单元：依法加快城市建成区重污染企业搬迁改造或关闭退出。列入建设用地土壤污染风险管控和修复名录的地块，不得作为住宅、公共管理和公共服务用地。严格执行相关行业企业布局选址要求，禁止在居民区、学校、医疗和养老机构等周边新建有色金属冶炼、焦化等行业企业。推进城镇绿廊建设，建立城镇生态空间与区域生态空间的有机联系。严格落实《甘肃省环境保护条例》相关要求，禁止将不符合农用标准和环境保护标准的固体废物、废水施入农田。畜禽养殖场、养殖小区、定点屠宰企业等的选址、建设和管理应当符合有关法律法规规定。</w:t>
                  </w:r>
                </w:p>
                <w:p w14:paraId="101663A3">
                  <w:pPr>
                    <w:pStyle w:val="20"/>
                    <w:keepNext w:val="0"/>
                    <w:keepLines w:val="0"/>
                    <w:widowControl/>
                    <w:numPr>
                      <w:ilvl w:val="0"/>
                      <w:numId w:val="2"/>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农用地污染风险重点管控区（农用地严格管控类和安全利用类区域）、建设用地污染风险重点管控区：落实《“十四五”土壤、地下水和农村生态环境保护规划》相关要求，依法应当开展土壤污染状况调查或风险评估而未开展或尚未完成的地块，以及未达到土壤污染风险评估报告确定的风险管控、修复目标的地块，不得开工建设与风险管控、修复无关的项目</w:t>
                  </w:r>
                  <w:r>
                    <w:rPr>
                      <w:rFonts w:hint="default" w:ascii="Times New Roman" w:hAnsi="Times New Roman" w:eastAsia="宋体" w:cs="Times New Roman"/>
                      <w:b w:val="0"/>
                      <w:bCs w:val="0"/>
                      <w:color w:val="000000"/>
                      <w:spacing w:val="0"/>
                      <w:position w:val="0"/>
                      <w:sz w:val="21"/>
                      <w:szCs w:val="21"/>
                      <w:vertAlign w:val="baseline"/>
                      <w:lang w:eastAsia="zh-CN"/>
                    </w:rPr>
                    <w:t>。</w:t>
                  </w:r>
                </w:p>
                <w:p w14:paraId="666E76F1">
                  <w:pPr>
                    <w:pStyle w:val="20"/>
                    <w:keepNext w:val="0"/>
                    <w:keepLines w:val="0"/>
                    <w:widowControl/>
                    <w:numPr>
                      <w:ilvl w:val="0"/>
                      <w:numId w:val="2"/>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矿产资源开发利用区：落实《甘肃省矿产资源总体规划（2021—2025年）》统筹矿产资源开发与生态环境保护相关要求，禁止开采蓝石棉、可耕地的砖瓦用粘土等矿产。不再新建汞矿山，禁止开采新的原生汞矿，逐步停止汞矿开采。禁止开采砷和放射性等有毒有害物质超过规定标准的煤炭项目。限制开采湿地泥炭以及砂金、砂铁等重砂矿物。</w:t>
                  </w:r>
                </w:p>
                <w:p w14:paraId="41806C13">
                  <w:pPr>
                    <w:pStyle w:val="20"/>
                    <w:keepNext w:val="0"/>
                    <w:keepLines w:val="0"/>
                    <w:widowControl/>
                    <w:numPr>
                      <w:ilvl w:val="0"/>
                      <w:numId w:val="2"/>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重点管控岸线落实《中华人民共和国黄河保护法（2022年）》《黄河生态保护治理攻坚战行动方案》《中华人民共和国长江保护法（2020年）》《深入打好长江保护修复攻坚战行动方案》相关管控要求，国家或省级出台有关河湖岸线管理办法、规定或规划后，严格遵照执行。落实生态环境保护基本要求。大力发展生态环保产业。严格执行畜禽养殖禁养区规定，根据区域用地和消纳水平，合理确定养殖规模。加强永久基本农田保护，严格限制非农项目占用耕地。</w:t>
                  </w:r>
                </w:p>
              </w:tc>
              <w:tc>
                <w:tcPr>
                  <w:tcW w:w="2437" w:type="dxa"/>
                  <w:shd w:val="clear" w:color="auto" w:fill="auto"/>
                  <w:vAlign w:val="center"/>
                </w:tcPr>
                <w:p w14:paraId="5400194E">
                  <w:pPr>
                    <w:keepNext w:val="0"/>
                    <w:keepLines w:val="0"/>
                    <w:widowControl/>
                    <w:numPr>
                      <w:ilvl w:val="0"/>
                      <w:numId w:val="0"/>
                    </w:numPr>
                    <w:suppressLineNumbers w:val="0"/>
                    <w:jc w:val="left"/>
                    <w:rPr>
                      <w:rFonts w:hint="eastAsia" w:ascii="宋体" w:hAnsi="宋体" w:eastAsia="宋体" w:cs="宋体"/>
                      <w:b w:val="0"/>
                      <w:color w:val="000000"/>
                      <w:spacing w:val="0"/>
                      <w:kern w:val="0"/>
                      <w:position w:val="0"/>
                      <w:sz w:val="20"/>
                      <w:szCs w:val="20"/>
                      <w:lang w:val="en-US" w:eastAsia="zh-CN" w:bidi="ar"/>
                    </w:rPr>
                  </w:pPr>
                  <w:r>
                    <w:rPr>
                      <w:rFonts w:hint="eastAsia" w:ascii="宋体" w:hAnsi="宋体" w:eastAsia="宋体" w:cs="宋体"/>
                      <w:b w:val="0"/>
                      <w:color w:val="000000"/>
                      <w:spacing w:val="0"/>
                      <w:kern w:val="0"/>
                      <w:position w:val="0"/>
                      <w:sz w:val="20"/>
                      <w:szCs w:val="20"/>
                      <w:lang w:val="en-US" w:eastAsia="zh-CN" w:bidi="ar"/>
                    </w:rPr>
                    <w:t>1、</w:t>
                  </w:r>
                  <w:r>
                    <w:rPr>
                      <w:rFonts w:ascii="宋体" w:hAnsi="宋体" w:eastAsia="宋体" w:cs="宋体"/>
                      <w:b w:val="0"/>
                      <w:color w:val="000000"/>
                      <w:spacing w:val="0"/>
                      <w:kern w:val="0"/>
                      <w:position w:val="0"/>
                      <w:sz w:val="20"/>
                      <w:szCs w:val="20"/>
                      <w:lang w:val="en-US" w:eastAsia="zh-CN" w:bidi="ar"/>
                    </w:rPr>
                    <w:t>本项目矿权及占地范围涉及“</w:t>
                  </w:r>
                  <w:r>
                    <w:rPr>
                      <w:rFonts w:hint="default" w:ascii="宋体" w:hAnsi="宋体" w:eastAsia="宋体" w:cs="宋体"/>
                      <w:b w:val="0"/>
                      <w:color w:val="000000"/>
                      <w:spacing w:val="0"/>
                      <w:kern w:val="0"/>
                      <w:position w:val="0"/>
                      <w:sz w:val="20"/>
                      <w:szCs w:val="20"/>
                      <w:lang w:val="en-US" w:eastAsia="zh-CN" w:bidi="ar"/>
                    </w:rPr>
                    <w:t>临泽县城镇空间</w:t>
                  </w:r>
                  <w:r>
                    <w:rPr>
                      <w:rFonts w:ascii="宋体" w:hAnsi="宋体" w:eastAsia="宋体" w:cs="宋体"/>
                      <w:b w:val="0"/>
                      <w:color w:val="000000"/>
                      <w:spacing w:val="0"/>
                      <w:kern w:val="0"/>
                      <w:position w:val="0"/>
                      <w:sz w:val="20"/>
                      <w:szCs w:val="20"/>
                      <w:lang w:val="en-US" w:eastAsia="zh-CN" w:bidi="ar"/>
                    </w:rPr>
                    <w:t>”</w:t>
                  </w:r>
                  <w:r>
                    <w:rPr>
                      <w:rFonts w:hint="eastAsia" w:ascii="宋体" w:hAnsi="宋体" w:eastAsia="宋体" w:cs="宋体"/>
                      <w:b w:val="0"/>
                      <w:color w:val="000000"/>
                      <w:spacing w:val="0"/>
                      <w:kern w:val="0"/>
                      <w:position w:val="0"/>
                      <w:sz w:val="20"/>
                      <w:szCs w:val="20"/>
                      <w:lang w:val="en-US" w:eastAsia="zh-CN" w:bidi="ar"/>
                    </w:rPr>
                    <w:t>和“临泽县一般管控单元”</w:t>
                  </w:r>
                  <w:r>
                    <w:rPr>
                      <w:rFonts w:ascii="宋体" w:hAnsi="宋体" w:eastAsia="宋体" w:cs="宋体"/>
                      <w:b w:val="0"/>
                      <w:color w:val="000000"/>
                      <w:spacing w:val="0"/>
                      <w:kern w:val="0"/>
                      <w:position w:val="0"/>
                      <w:sz w:val="20"/>
                      <w:szCs w:val="20"/>
                      <w:lang w:val="en-US" w:eastAsia="zh-CN" w:bidi="ar"/>
                    </w:rPr>
                    <w:t>，不涉及生态保护红线</w:t>
                  </w:r>
                  <w:r>
                    <w:rPr>
                      <w:rFonts w:hint="eastAsia" w:ascii="宋体" w:hAnsi="宋体" w:eastAsia="宋体" w:cs="宋体"/>
                      <w:b w:val="0"/>
                      <w:color w:val="000000"/>
                      <w:spacing w:val="0"/>
                      <w:kern w:val="0"/>
                      <w:position w:val="0"/>
                      <w:sz w:val="20"/>
                      <w:szCs w:val="20"/>
                      <w:lang w:val="en-US" w:eastAsia="zh-CN" w:bidi="ar"/>
                    </w:rPr>
                    <w:t>；</w:t>
                  </w:r>
                </w:p>
                <w:p w14:paraId="553F38BF">
                  <w:pPr>
                    <w:keepNext w:val="0"/>
                    <w:keepLines w:val="0"/>
                    <w:widowControl/>
                    <w:numPr>
                      <w:ilvl w:val="0"/>
                      <w:numId w:val="0"/>
                    </w:numPr>
                    <w:suppressLineNumbers w:val="0"/>
                    <w:jc w:val="left"/>
                    <w:rPr>
                      <w:rFonts w:hint="eastAsia" w:cs="Times New Roman"/>
                      <w:b w:val="0"/>
                      <w:bCs w:val="0"/>
                      <w:color w:val="000000"/>
                      <w:spacing w:val="0"/>
                      <w:position w:val="0"/>
                      <w:sz w:val="21"/>
                      <w:szCs w:val="21"/>
                      <w:vertAlign w:val="baseline"/>
                      <w:lang w:val="en-US" w:eastAsia="zh-CN"/>
                    </w:rPr>
                  </w:pPr>
                  <w:r>
                    <w:rPr>
                      <w:rFonts w:hint="eastAsia" w:ascii="宋体" w:hAnsi="宋体" w:eastAsia="宋体" w:cs="宋体"/>
                      <w:b w:val="0"/>
                      <w:color w:val="000000"/>
                      <w:spacing w:val="0"/>
                      <w:kern w:val="0"/>
                      <w:position w:val="0"/>
                      <w:sz w:val="20"/>
                      <w:szCs w:val="20"/>
                      <w:lang w:val="en-US" w:eastAsia="zh-CN" w:bidi="ar"/>
                    </w:rPr>
                    <w:t>2、本项目建设地点位于</w:t>
                  </w:r>
                  <w:r>
                    <w:rPr>
                      <w:rFonts w:hint="default" w:ascii="宋体" w:hAnsi="宋体" w:eastAsia="宋体" w:cs="宋体"/>
                      <w:b w:val="0"/>
                      <w:color w:val="000000"/>
                      <w:spacing w:val="0"/>
                      <w:kern w:val="0"/>
                      <w:position w:val="0"/>
                      <w:sz w:val="20"/>
                      <w:szCs w:val="20"/>
                      <w:lang w:val="en-US" w:eastAsia="zh-CN" w:bidi="ar"/>
                    </w:rPr>
                    <w:t>甘肃省张掖市临泽县板桥镇</w:t>
                  </w:r>
                  <w:r>
                    <w:rPr>
                      <w:rFonts w:hint="eastAsia" w:ascii="宋体" w:hAnsi="宋体" w:cs="宋体"/>
                      <w:b w:val="0"/>
                      <w:color w:val="000000"/>
                      <w:spacing w:val="0"/>
                      <w:kern w:val="0"/>
                      <w:position w:val="0"/>
                      <w:sz w:val="20"/>
                      <w:szCs w:val="20"/>
                      <w:lang w:val="en-US" w:eastAsia="zh-CN" w:bidi="ar"/>
                    </w:rPr>
                    <w:t>，不属于高耗能、高排放、低水平项目，不属于</w:t>
                  </w:r>
                  <w:r>
                    <w:rPr>
                      <w:rFonts w:hint="default" w:ascii="Times New Roman" w:hAnsi="Times New Roman" w:eastAsia="宋体" w:cs="Times New Roman"/>
                      <w:b w:val="0"/>
                      <w:bCs w:val="0"/>
                      <w:color w:val="000000"/>
                      <w:spacing w:val="0"/>
                      <w:position w:val="0"/>
                      <w:sz w:val="21"/>
                      <w:szCs w:val="21"/>
                      <w:vertAlign w:val="baseline"/>
                    </w:rPr>
                    <w:t>化工石化、有色冶金、制浆造纸以及国家有明确要求的工业项目</w:t>
                  </w:r>
                  <w:r>
                    <w:rPr>
                      <w:rFonts w:hint="eastAsia" w:cs="Times New Roman"/>
                      <w:b w:val="0"/>
                      <w:bCs w:val="0"/>
                      <w:color w:val="000000"/>
                      <w:spacing w:val="0"/>
                      <w:position w:val="0"/>
                      <w:sz w:val="21"/>
                      <w:szCs w:val="21"/>
                      <w:vertAlign w:val="baseline"/>
                      <w:lang w:eastAsia="zh-CN"/>
                    </w:rPr>
                    <w:t>，</w:t>
                  </w:r>
                  <w:r>
                    <w:rPr>
                      <w:rFonts w:hint="eastAsia" w:cs="Times New Roman"/>
                      <w:b w:val="0"/>
                      <w:bCs w:val="0"/>
                      <w:color w:val="000000"/>
                      <w:spacing w:val="0"/>
                      <w:position w:val="0"/>
                      <w:sz w:val="21"/>
                      <w:szCs w:val="21"/>
                      <w:vertAlign w:val="baseline"/>
                      <w:lang w:val="en-US" w:eastAsia="zh-CN"/>
                    </w:rPr>
                    <w:t>不在工业园区内建设。</w:t>
                  </w:r>
                </w:p>
                <w:p w14:paraId="4C9F7460">
                  <w:pPr>
                    <w:keepNext w:val="0"/>
                    <w:keepLines w:val="0"/>
                    <w:widowControl/>
                    <w:numPr>
                      <w:ilvl w:val="0"/>
                      <w:numId w:val="0"/>
                    </w:numPr>
                    <w:suppressLineNumbers w:val="0"/>
                    <w:jc w:val="left"/>
                    <w:rPr>
                      <w:rFonts w:hint="eastAsia" w:cs="Times New Roman"/>
                      <w:b w:val="0"/>
                      <w:bCs w:val="0"/>
                      <w:color w:val="000000"/>
                      <w:spacing w:val="0"/>
                      <w:position w:val="0"/>
                      <w:sz w:val="21"/>
                      <w:szCs w:val="21"/>
                      <w:vertAlign w:val="baseline"/>
                      <w:lang w:val="en-US" w:eastAsia="zh-CN"/>
                    </w:rPr>
                  </w:pPr>
                  <w:r>
                    <w:rPr>
                      <w:rFonts w:hint="eastAsia" w:cs="Times New Roman"/>
                      <w:b w:val="0"/>
                      <w:bCs w:val="0"/>
                      <w:color w:val="000000"/>
                      <w:spacing w:val="0"/>
                      <w:position w:val="0"/>
                      <w:sz w:val="21"/>
                      <w:szCs w:val="21"/>
                      <w:vertAlign w:val="baseline"/>
                      <w:lang w:val="en-US" w:eastAsia="zh-CN"/>
                    </w:rPr>
                    <w:t>3、项目位于临泽县板桥镇，远离村镇聚居区、中小学、医疗机构；无生产废水外排，生活盥洗废水就地洒水抑尘；</w:t>
                  </w:r>
                </w:p>
                <w:p w14:paraId="60F17608">
                  <w:pPr>
                    <w:keepNext w:val="0"/>
                    <w:keepLines w:val="0"/>
                    <w:widowControl/>
                    <w:numPr>
                      <w:ilvl w:val="0"/>
                      <w:numId w:val="0"/>
                    </w:numPr>
                    <w:suppressLineNumbers w:val="0"/>
                    <w:jc w:val="left"/>
                    <w:rPr>
                      <w:rFonts w:hint="eastAsia" w:cs="Times New Roman"/>
                      <w:b w:val="0"/>
                      <w:bCs w:val="0"/>
                      <w:color w:val="000000"/>
                      <w:spacing w:val="0"/>
                      <w:position w:val="0"/>
                      <w:sz w:val="21"/>
                      <w:szCs w:val="21"/>
                      <w:vertAlign w:val="baseline"/>
                      <w:lang w:val="en-US" w:eastAsia="zh-CN"/>
                    </w:rPr>
                  </w:pPr>
                  <w:r>
                    <w:rPr>
                      <w:rFonts w:hint="eastAsia" w:cs="Times New Roman"/>
                      <w:b w:val="0"/>
                      <w:bCs w:val="0"/>
                      <w:color w:val="000000"/>
                      <w:spacing w:val="0"/>
                      <w:position w:val="0"/>
                      <w:sz w:val="21"/>
                      <w:szCs w:val="21"/>
                      <w:vertAlign w:val="baseline"/>
                      <w:lang w:val="en-US" w:eastAsia="zh-CN"/>
                    </w:rPr>
                    <w:t>4、不涉及</w:t>
                  </w:r>
                </w:p>
                <w:p w14:paraId="5F41B15A">
                  <w:pPr>
                    <w:keepNext w:val="0"/>
                    <w:keepLines w:val="0"/>
                    <w:widowControl/>
                    <w:numPr>
                      <w:ilvl w:val="0"/>
                      <w:numId w:val="0"/>
                    </w:numPr>
                    <w:suppressLineNumbers w:val="0"/>
                    <w:jc w:val="left"/>
                    <w:rPr>
                      <w:rFonts w:hint="eastAsia" w:cs="Times New Roman"/>
                      <w:b w:val="0"/>
                      <w:bCs w:val="0"/>
                      <w:color w:val="000000"/>
                      <w:spacing w:val="0"/>
                      <w:position w:val="0"/>
                      <w:sz w:val="21"/>
                      <w:szCs w:val="21"/>
                      <w:vertAlign w:val="baseline"/>
                      <w:lang w:val="en-US" w:eastAsia="zh-CN"/>
                    </w:rPr>
                  </w:pPr>
                  <w:r>
                    <w:rPr>
                      <w:rFonts w:hint="eastAsia" w:cs="Times New Roman"/>
                      <w:b w:val="0"/>
                      <w:bCs w:val="0"/>
                      <w:color w:val="000000"/>
                      <w:spacing w:val="0"/>
                      <w:position w:val="0"/>
                      <w:sz w:val="21"/>
                      <w:szCs w:val="21"/>
                      <w:vertAlign w:val="baseline"/>
                      <w:lang w:val="en-US" w:eastAsia="zh-CN"/>
                    </w:rPr>
                    <w:t>5、本项目开采矿种为凹凸棒石粘土矿及伴生石膏，不在禁/限采矿种清单，属于允许类；已取得采矿许可证；</w:t>
                  </w:r>
                </w:p>
                <w:p w14:paraId="56847586">
                  <w:pPr>
                    <w:keepNext w:val="0"/>
                    <w:keepLines w:val="0"/>
                    <w:widowControl/>
                    <w:numPr>
                      <w:ilvl w:val="0"/>
                      <w:numId w:val="0"/>
                    </w:numPr>
                    <w:suppressLineNumbers w:val="0"/>
                    <w:jc w:val="left"/>
                    <w:rPr>
                      <w:rFonts w:hint="default" w:cs="Times New Roman"/>
                      <w:b w:val="0"/>
                      <w:bCs w:val="0"/>
                      <w:color w:val="000000"/>
                      <w:spacing w:val="0"/>
                      <w:position w:val="0"/>
                      <w:sz w:val="21"/>
                      <w:szCs w:val="21"/>
                      <w:vertAlign w:val="baseline"/>
                      <w:lang w:val="en-US" w:eastAsia="zh-CN"/>
                    </w:rPr>
                  </w:pPr>
                  <w:r>
                    <w:rPr>
                      <w:rFonts w:hint="eastAsia" w:cs="Times New Roman"/>
                      <w:b w:val="0"/>
                      <w:bCs w:val="0"/>
                      <w:color w:val="000000"/>
                      <w:spacing w:val="0"/>
                      <w:position w:val="0"/>
                      <w:sz w:val="21"/>
                      <w:szCs w:val="21"/>
                      <w:vertAlign w:val="baseline"/>
                      <w:lang w:val="en-US" w:eastAsia="zh-CN"/>
                    </w:rPr>
                    <w:t>6、不涉及。</w:t>
                  </w:r>
                </w:p>
                <w:p w14:paraId="17D61933">
                  <w:pPr>
                    <w:keepNext w:val="0"/>
                    <w:keepLines w:val="0"/>
                    <w:widowControl/>
                    <w:numPr>
                      <w:ilvl w:val="0"/>
                      <w:numId w:val="0"/>
                    </w:numPr>
                    <w:suppressLineNumbers w:val="0"/>
                    <w:jc w:val="left"/>
                    <w:rPr>
                      <w:rFonts w:hint="eastAsia" w:ascii="宋体" w:hAnsi="宋体" w:cs="宋体"/>
                      <w:b w:val="0"/>
                      <w:color w:val="000000"/>
                      <w:spacing w:val="0"/>
                      <w:kern w:val="0"/>
                      <w:position w:val="0"/>
                      <w:sz w:val="20"/>
                      <w:szCs w:val="20"/>
                      <w:lang w:val="en-US" w:eastAsia="zh-CN" w:bidi="ar"/>
                    </w:rPr>
                  </w:pPr>
                </w:p>
                <w:p w14:paraId="6F4F443A">
                  <w:pPr>
                    <w:pStyle w:val="20"/>
                    <w:keepNext w:val="0"/>
                    <w:keepLines w:val="0"/>
                    <w:widowControl/>
                    <w:suppressLineNumbers w:val="0"/>
                    <w:spacing w:line="240" w:lineRule="auto"/>
                    <w:jc w:val="both"/>
                    <w:textAlignment w:val="center"/>
                    <w:rPr>
                      <w:rFonts w:hint="eastAsia" w:ascii="Times New Roman" w:hAnsi="Times New Roman" w:eastAsia="宋体" w:cs="Times New Roman"/>
                      <w:b w:val="0"/>
                      <w:bCs w:val="0"/>
                      <w:color w:val="000000"/>
                      <w:spacing w:val="0"/>
                      <w:position w:val="0"/>
                      <w:sz w:val="21"/>
                      <w:szCs w:val="21"/>
                      <w:vertAlign w:val="baseline"/>
                      <w:lang w:val="en-US" w:eastAsia="zh-CN"/>
                    </w:rPr>
                  </w:pPr>
                </w:p>
              </w:tc>
              <w:tc>
                <w:tcPr>
                  <w:tcW w:w="731" w:type="dxa"/>
                  <w:tcBorders>
                    <w:right w:val="nil"/>
                  </w:tcBorders>
                  <w:shd w:val="clear" w:color="auto" w:fill="auto"/>
                  <w:vAlign w:val="center"/>
                </w:tcPr>
                <w:p w14:paraId="571D8AC3">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符合</w:t>
                  </w:r>
                </w:p>
              </w:tc>
            </w:tr>
            <w:tr w14:paraId="5087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97" w:type="dxa"/>
                  <w:tcBorders>
                    <w:left w:val="nil"/>
                  </w:tcBorders>
                  <w:shd w:val="clear" w:color="auto" w:fill="auto"/>
                  <w:vAlign w:val="center"/>
                </w:tcPr>
                <w:p w14:paraId="2C4FF9D1">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污染物排放管控</w:t>
                  </w:r>
                </w:p>
              </w:tc>
              <w:tc>
                <w:tcPr>
                  <w:tcW w:w="9357" w:type="dxa"/>
                  <w:shd w:val="clear" w:color="auto" w:fill="auto"/>
                  <w:vAlign w:val="center"/>
                </w:tcPr>
                <w:p w14:paraId="4B0C6073">
                  <w:pPr>
                    <w:pStyle w:val="20"/>
                    <w:keepNext w:val="0"/>
                    <w:keepLines w:val="0"/>
                    <w:widowControl/>
                    <w:numPr>
                      <w:ilvl w:val="0"/>
                      <w:numId w:val="3"/>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各类工业园区（集聚区）：严格实行污染物总量控制制度，根据区域环境质量改善目标，削减污染物排放总量。严格执行环境影响评价制度，同步规划、建设和完善污水、垃圾集中处置等污染治理设施，工业园区（集聚区）内各企业工业废水必须经预处理达到集中处理要求，方可进入工业园区（集聚区）污水集中处理设施。加强土壤和地下水污染防治与修复，发现污染扩散的，有关责任主体要及时采取污染物隔离、阻断等环境风险管控措施。落实《关于加强高耗能、高排放建设项目生态环境源头防控的指导意见》加强规划约束、严格“两高”项目环评审批、推进“两高”行业减污降碳协同控制等要求，加强“两高”项目生态环境源头防控。严格执行《地下水管理条例》中污染防治相关要求。落实《甘肃省减污降碳协同增效实施方案》相关要求，依法实施“双超双有高耗能”企业强制性清洁生产审核。全省新建钢铁项目原则上要达到超低排放水平。新、改、扩建涉重金属重点行业建设项目遵循重金属污染物排放“等量替换”原则，在环境影响评价文件及其批复中明确重金属污染物排放总量及来源。有色金属行业、铅蓄电池制造业等涉重金属重点行业企业继续依法依规开展落后产能淘汰工作，有色金属采选冶炼、铅酸蓄电池制造、皮革、化学原料及化学制品生产、电镀等涉重金属重点行业企业生产工艺设备实施升级改造。</w:t>
                  </w:r>
                </w:p>
                <w:p w14:paraId="3AEF23EA">
                  <w:pPr>
                    <w:pStyle w:val="20"/>
                    <w:keepNext w:val="0"/>
                    <w:keepLines w:val="0"/>
                    <w:widowControl/>
                    <w:numPr>
                      <w:ilvl w:val="0"/>
                      <w:numId w:val="3"/>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城镇生活类重点管控单元：严格实施污染物总量控制制度，根据区域环境质量改善目标，削减污染物排放总量。全省所有县城和重点镇应具备污水收集处理能力，现有城镇污水处理设施因地制宜进行改造，确保达到相应排放标准或再生利用要求。加强噪声和臭气异味防治，强化餐饮油烟治理，严格施工扬尘监管。加强土壤和地下水污染防治与修复。运用市场手段推进危险废物处置设施项目建设，实现处置能力与危险废物产生种类和数量基本匹配。加快医疗废物处置设施升级改造，确保医疗废物安全妥善处置。对于城镇建成区内出城入园、关闭退出的工业企业用地，应严格用地准入管理，开展土壤污染治理与修复，分用途加强环境管理。严格落实《甘肃省环境保护条例》相关要求，施用农药、化肥等农业投入品及进行灌溉，应当采取措施，防止重金属和其他有毒有害物质污染环境。从事畜禽养殖和屠宰的单位和个人应当对畜禽粪便、尸体和污水等废弃物进行科学处置，防止污染环境。</w:t>
                  </w:r>
                </w:p>
                <w:p w14:paraId="757D18E7">
                  <w:pPr>
                    <w:pStyle w:val="20"/>
                    <w:keepNext w:val="0"/>
                    <w:keepLines w:val="0"/>
                    <w:widowControl/>
                    <w:numPr>
                      <w:ilvl w:val="0"/>
                      <w:numId w:val="0"/>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cs="Times New Roman"/>
                      <w:b w:val="0"/>
                      <w:bCs w:val="0"/>
                      <w:color w:val="000000"/>
                      <w:spacing w:val="0"/>
                      <w:position w:val="0"/>
                      <w:sz w:val="21"/>
                      <w:szCs w:val="21"/>
                      <w:vertAlign w:val="baseline"/>
                      <w:lang w:val="en-US" w:eastAsia="zh-CN"/>
                    </w:rPr>
                    <w:t>3、</w:t>
                  </w:r>
                  <w:r>
                    <w:rPr>
                      <w:rFonts w:hint="default" w:ascii="Times New Roman" w:hAnsi="Times New Roman" w:eastAsia="宋体" w:cs="Times New Roman"/>
                      <w:b w:val="0"/>
                      <w:bCs w:val="0"/>
                      <w:color w:val="000000"/>
                      <w:spacing w:val="0"/>
                      <w:position w:val="0"/>
                      <w:sz w:val="21"/>
                      <w:szCs w:val="21"/>
                      <w:vertAlign w:val="baseline"/>
                    </w:rPr>
                    <w:t>矿产资源开发活动集中区域、农用地污染风险重点管控区（农用地严格管控类和安全利用类区域）：落实《“十四五”土壤、地下水和农村生态环境保护规划》相关要求，2023年起，在矿产资源开发活动集中区域、安全利用类和严格管控类耕地集中区域，执行《铅、锌工业污染物排放标准》《铜、镍、钴工业污染物排放标准》《无机化学工业污染物排放标准》中颗粒物和镉等重点重金属特别排放限值。矿产资源开发活动集中区域落实《甘肃省矿产资源总体规划（2021—2025年）》统筹矿产资源开发与生态环境保护、强化矿山生态保护修复相关要求，推动矿产资源开发绿色低碳转型。矿山生产企业依法编制矿山资源开发与恢复治理方案，完善和落实水土环境污染修复工程措施，全面推进绿色矿山建设。落实污染物总量控制制度，根据区域环境质量改善目标，削减污染物排放总量。加强生活污染和农业面源污染治理，严格控制化肥农药施加量，合理水产养殖布局，控制水产养殖污染，逐步削减农业面源污染物排放量。</w:t>
                  </w:r>
                </w:p>
              </w:tc>
              <w:tc>
                <w:tcPr>
                  <w:tcW w:w="2437" w:type="dxa"/>
                  <w:shd w:val="clear" w:color="auto" w:fill="auto"/>
                  <w:vAlign w:val="center"/>
                </w:tcPr>
                <w:p w14:paraId="246FFB7D">
                  <w:pPr>
                    <w:pStyle w:val="20"/>
                    <w:keepNext w:val="0"/>
                    <w:keepLines w:val="0"/>
                    <w:widowControl/>
                    <w:numPr>
                      <w:ilvl w:val="0"/>
                      <w:numId w:val="4"/>
                    </w:numPr>
                    <w:suppressLineNumbers w:val="0"/>
                    <w:spacing w:line="240" w:lineRule="auto"/>
                    <w:jc w:val="both"/>
                    <w:textAlignment w:val="center"/>
                    <w:rPr>
                      <w:rFonts w:hint="eastAsia" w:ascii="Times New Roman" w:hAnsi="Times New Roman" w:eastAsia="宋体" w:cs="Times New Roman"/>
                      <w:b w:val="0"/>
                      <w:bCs w:val="0"/>
                      <w:color w:val="000000"/>
                      <w:spacing w:val="0"/>
                      <w:position w:val="0"/>
                      <w:sz w:val="21"/>
                      <w:szCs w:val="21"/>
                      <w:vertAlign w:val="baseline"/>
                      <w:lang w:val="en-US" w:eastAsia="zh-CN"/>
                    </w:rPr>
                  </w:pPr>
                  <w:r>
                    <w:rPr>
                      <w:rFonts w:hint="default" w:ascii="Times New Roman" w:hAnsi="Times New Roman" w:eastAsia="宋体" w:cs="Times New Roman"/>
                      <w:b w:val="0"/>
                      <w:bCs w:val="0"/>
                      <w:color w:val="000000"/>
                      <w:spacing w:val="0"/>
                      <w:position w:val="0"/>
                      <w:sz w:val="21"/>
                      <w:szCs w:val="21"/>
                      <w:vertAlign w:val="baseline"/>
                    </w:rPr>
                    <w:t>项目不在工业园区、不属于</w:t>
                  </w:r>
                  <w:r>
                    <w:rPr>
                      <w:rFonts w:hint="eastAsia" w:ascii="Times New Roman" w:hAnsi="Times New Roman" w:eastAsia="宋体" w:cs="Times New Roman"/>
                      <w:b w:val="0"/>
                      <w:bCs w:val="0"/>
                      <w:color w:val="000000"/>
                      <w:spacing w:val="0"/>
                      <w:position w:val="0"/>
                      <w:sz w:val="21"/>
                      <w:szCs w:val="21"/>
                      <w:vertAlign w:val="baseline"/>
                      <w:lang w:eastAsia="zh-CN"/>
                    </w:rPr>
                    <w:t>“</w:t>
                  </w:r>
                  <w:r>
                    <w:rPr>
                      <w:rFonts w:hint="default" w:ascii="Times New Roman" w:hAnsi="Times New Roman" w:eastAsia="宋体" w:cs="Times New Roman"/>
                      <w:b w:val="0"/>
                      <w:bCs w:val="0"/>
                      <w:color w:val="000000"/>
                      <w:spacing w:val="0"/>
                      <w:position w:val="0"/>
                      <w:sz w:val="21"/>
                      <w:szCs w:val="21"/>
                      <w:vertAlign w:val="baseline"/>
                    </w:rPr>
                    <w:t>两高</w:t>
                  </w:r>
                  <w:r>
                    <w:rPr>
                      <w:rFonts w:hint="eastAsia" w:ascii="Times New Roman" w:hAnsi="Times New Roman" w:eastAsia="宋体" w:cs="Times New Roman"/>
                      <w:b w:val="0"/>
                      <w:bCs w:val="0"/>
                      <w:color w:val="000000"/>
                      <w:spacing w:val="0"/>
                      <w:position w:val="0"/>
                      <w:sz w:val="21"/>
                      <w:szCs w:val="21"/>
                      <w:vertAlign w:val="baseline"/>
                      <w:lang w:eastAsia="zh-CN"/>
                    </w:rPr>
                    <w:t>”</w:t>
                  </w:r>
                  <w:r>
                    <w:rPr>
                      <w:rFonts w:hint="eastAsia" w:ascii="Times New Roman" w:hAnsi="Times New Roman" w:eastAsia="宋体" w:cs="Times New Roman"/>
                      <w:b w:val="0"/>
                      <w:bCs w:val="0"/>
                      <w:color w:val="000000"/>
                      <w:spacing w:val="0"/>
                      <w:position w:val="0"/>
                      <w:sz w:val="21"/>
                      <w:szCs w:val="21"/>
                      <w:vertAlign w:val="baseline"/>
                      <w:lang w:val="en-US" w:eastAsia="zh-CN"/>
                    </w:rPr>
                    <w:t>项目，</w:t>
                  </w:r>
                  <w:r>
                    <w:rPr>
                      <w:rFonts w:hint="default" w:ascii="Times New Roman" w:hAnsi="Times New Roman" w:eastAsia="宋体" w:cs="Times New Roman"/>
                      <w:b w:val="0"/>
                      <w:bCs w:val="0"/>
                      <w:color w:val="000000"/>
                      <w:spacing w:val="0"/>
                      <w:position w:val="0"/>
                      <w:sz w:val="21"/>
                      <w:szCs w:val="21"/>
                      <w:vertAlign w:val="baseline"/>
                      <w:lang w:val="en-US" w:eastAsia="zh-CN"/>
                    </w:rPr>
                    <w:t>不</w:t>
                  </w:r>
                  <w:r>
                    <w:rPr>
                      <w:rFonts w:hint="eastAsia" w:ascii="Times New Roman" w:hAnsi="Times New Roman" w:cs="Times New Roman"/>
                      <w:b w:val="0"/>
                      <w:bCs w:val="0"/>
                      <w:color w:val="000000"/>
                      <w:spacing w:val="0"/>
                      <w:position w:val="0"/>
                      <w:sz w:val="21"/>
                      <w:szCs w:val="21"/>
                      <w:vertAlign w:val="baseline"/>
                      <w:lang w:val="en-US" w:eastAsia="zh-CN"/>
                    </w:rPr>
                    <w:t>在</w:t>
                  </w:r>
                  <w:r>
                    <w:rPr>
                      <w:rFonts w:hint="default" w:ascii="Times New Roman" w:hAnsi="Times New Roman" w:eastAsia="宋体" w:cs="Times New Roman"/>
                      <w:b w:val="0"/>
                      <w:bCs w:val="0"/>
                      <w:color w:val="000000"/>
                      <w:spacing w:val="0"/>
                      <w:position w:val="0"/>
                      <w:sz w:val="21"/>
                      <w:szCs w:val="21"/>
                      <w:vertAlign w:val="baseline"/>
                      <w:lang w:val="en-US" w:eastAsia="zh-CN"/>
                    </w:rPr>
                    <w:t>工业园</w:t>
                  </w:r>
                  <w:r>
                    <w:rPr>
                      <w:rFonts w:hint="eastAsia" w:ascii="Times New Roman" w:hAnsi="Times New Roman" w:cs="Times New Roman"/>
                      <w:b w:val="0"/>
                      <w:bCs w:val="0"/>
                      <w:color w:val="000000"/>
                      <w:spacing w:val="0"/>
                      <w:position w:val="0"/>
                      <w:sz w:val="21"/>
                      <w:szCs w:val="21"/>
                      <w:vertAlign w:val="baseline"/>
                      <w:lang w:val="en-US" w:eastAsia="zh-CN"/>
                    </w:rPr>
                    <w:t>内</w:t>
                  </w:r>
                  <w:r>
                    <w:rPr>
                      <w:rFonts w:hint="eastAsia" w:ascii="Times New Roman" w:hAnsi="Times New Roman" w:eastAsia="宋体" w:cs="Times New Roman"/>
                      <w:b w:val="0"/>
                      <w:bCs w:val="0"/>
                      <w:color w:val="000000"/>
                      <w:spacing w:val="0"/>
                      <w:position w:val="0"/>
                      <w:sz w:val="21"/>
                      <w:szCs w:val="21"/>
                      <w:vertAlign w:val="baseline"/>
                      <w:lang w:val="en-US" w:eastAsia="zh-CN"/>
                    </w:rPr>
                    <w:t>：</w:t>
                  </w:r>
                </w:p>
                <w:p w14:paraId="153A3FE8">
                  <w:pPr>
                    <w:pStyle w:val="20"/>
                    <w:keepNext w:val="0"/>
                    <w:keepLines w:val="0"/>
                    <w:widowControl/>
                    <w:numPr>
                      <w:ilvl w:val="0"/>
                      <w:numId w:val="4"/>
                    </w:numPr>
                    <w:suppressLineNumbers w:val="0"/>
                    <w:spacing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本项目不涉及城镇生活类重点管控单元；</w:t>
                  </w:r>
                </w:p>
                <w:p w14:paraId="413CF6B9">
                  <w:pPr>
                    <w:pStyle w:val="20"/>
                    <w:keepNext w:val="0"/>
                    <w:keepLines w:val="0"/>
                    <w:widowControl/>
                    <w:numPr>
                      <w:ilvl w:val="0"/>
                      <w:numId w:val="4"/>
                    </w:numPr>
                    <w:suppressLineNumbers w:val="0"/>
                    <w:spacing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本项目为露天矿山开采项目，主要污染物为粉尘、生活污水、噪声及剥离物（一般固废）和生活垃圾，不涉及重金属排放物，不属于农用地污染风险重点管控区。</w:t>
                  </w:r>
                </w:p>
                <w:p w14:paraId="127DBDC2">
                  <w:pPr>
                    <w:pStyle w:val="20"/>
                    <w:keepNext w:val="0"/>
                    <w:keepLines w:val="0"/>
                    <w:widowControl/>
                    <w:numPr>
                      <w:ilvl w:val="0"/>
                      <w:numId w:val="0"/>
                    </w:numPr>
                    <w:suppressLineNumbers w:val="0"/>
                    <w:spacing w:line="240" w:lineRule="auto"/>
                    <w:jc w:val="both"/>
                    <w:textAlignment w:val="center"/>
                    <w:rPr>
                      <w:rFonts w:hint="default" w:ascii="Times New Roman" w:hAnsi="Times New Roman" w:cs="Times New Roman"/>
                      <w:b w:val="0"/>
                      <w:bCs w:val="0"/>
                      <w:color w:val="000000"/>
                      <w:spacing w:val="0"/>
                      <w:position w:val="0"/>
                      <w:sz w:val="21"/>
                      <w:szCs w:val="21"/>
                      <w:vertAlign w:val="baseline"/>
                      <w:lang w:val="en-US" w:eastAsia="zh-CN"/>
                    </w:rPr>
                  </w:pPr>
                </w:p>
              </w:tc>
              <w:tc>
                <w:tcPr>
                  <w:tcW w:w="731" w:type="dxa"/>
                  <w:tcBorders>
                    <w:right w:val="nil"/>
                  </w:tcBorders>
                  <w:shd w:val="clear" w:color="auto" w:fill="auto"/>
                  <w:vAlign w:val="center"/>
                </w:tcPr>
                <w:p w14:paraId="1D49FE10">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符合</w:t>
                  </w:r>
                </w:p>
              </w:tc>
            </w:tr>
            <w:tr w14:paraId="11E8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20" w:hRule="atLeast"/>
              </w:trPr>
              <w:tc>
                <w:tcPr>
                  <w:tcW w:w="397" w:type="dxa"/>
                  <w:tcBorders>
                    <w:left w:val="nil"/>
                  </w:tcBorders>
                  <w:shd w:val="clear" w:color="auto" w:fill="auto"/>
                  <w:vAlign w:val="center"/>
                </w:tcPr>
                <w:p w14:paraId="4772CC6D">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环境风险防控</w:t>
                  </w:r>
                </w:p>
              </w:tc>
              <w:tc>
                <w:tcPr>
                  <w:tcW w:w="9357" w:type="dxa"/>
                  <w:shd w:val="clear" w:color="auto" w:fill="auto"/>
                  <w:vAlign w:val="center"/>
                </w:tcPr>
                <w:p w14:paraId="2AF0C84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jc w:val="both"/>
                    <w:textAlignment w:val="center"/>
                    <w:rPr>
                      <w:rFonts w:hint="eastAsia" w:ascii="Times New Roman" w:hAnsi="Times New Roman" w:eastAsia="宋体" w:cs="Times New Roman"/>
                      <w:b w:val="0"/>
                      <w:bCs w:val="0"/>
                      <w:color w:val="000000"/>
                      <w:spacing w:val="0"/>
                      <w:position w:val="0"/>
                      <w:sz w:val="21"/>
                      <w:szCs w:val="21"/>
                      <w:vertAlign w:val="baseline"/>
                      <w:lang w:eastAsia="zh-CN"/>
                    </w:rPr>
                  </w:pPr>
                  <w:r>
                    <w:rPr>
                      <w:rFonts w:hint="default" w:ascii="Times New Roman" w:hAnsi="Times New Roman" w:eastAsia="宋体" w:cs="Times New Roman"/>
                      <w:b w:val="0"/>
                      <w:bCs w:val="0"/>
                      <w:color w:val="000000"/>
                      <w:spacing w:val="0"/>
                      <w:position w:val="0"/>
                      <w:sz w:val="21"/>
                      <w:szCs w:val="21"/>
                      <w:vertAlign w:val="baseline"/>
                    </w:rPr>
                    <w:t>根据优先保护单元的单元属性、空间属性、环境要素特征，防控优先保护单元内各类活动损害生态服务功能或加剧生态环境问题的风险</w:t>
                  </w:r>
                  <w:r>
                    <w:rPr>
                      <w:rFonts w:hint="eastAsia" w:ascii="Times New Roman" w:hAnsi="Times New Roman" w:eastAsia="宋体" w:cs="Times New Roman"/>
                      <w:b w:val="0"/>
                      <w:bCs w:val="0"/>
                      <w:color w:val="000000"/>
                      <w:spacing w:val="0"/>
                      <w:position w:val="0"/>
                      <w:sz w:val="21"/>
                      <w:szCs w:val="21"/>
                      <w:vertAlign w:val="baseline"/>
                      <w:lang w:eastAsia="zh-CN"/>
                    </w:rPr>
                    <w:t>。</w:t>
                  </w:r>
                </w:p>
                <w:p w14:paraId="53222A91">
                  <w:pPr>
                    <w:pStyle w:val="20"/>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240" w:lineRule="auto"/>
                    <w:ind w:left="0"/>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各类工业园区（集聚区）：强化工业园区（集聚区）企业环境风险防范设施建设和正常运行监管，建立常态化的企业环境风险隐患排查整治机制，加强园区（集聚区）风险防控体系建设。严格落实《甘肃省环境保护条例》相关要求，企业事业单位和其他生产经营者应当定期排查环境安全隐患，开展环境风险评估，依法编制突发环境事件应急预案，报所在地生态环境主管部门和有关部门备案，并定期组织演练。</w:t>
                  </w:r>
                </w:p>
                <w:p w14:paraId="101099C9">
                  <w:pPr>
                    <w:pStyle w:val="20"/>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line="240" w:lineRule="auto"/>
                    <w:ind w:left="0"/>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城镇生活类重点管控单元：合理布局工业、商业、居住、科教等功能区块，严格控制噪声、恶臭等污染排放较大的建设项目布局。</w:t>
                  </w:r>
                </w:p>
                <w:p w14:paraId="71B0E565">
                  <w:pPr>
                    <w:pStyle w:val="20"/>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line="240" w:lineRule="auto"/>
                    <w:ind w:left="0"/>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以用途变更为住宅、公共管理与公共服务用地的污染地块为重点，严格落实风险管控和修复措施。受污染土壤修复后资源化利用的，不得对土壤和周边环境造成新的污染。对暂不开发的受污染建设地块，实施土壤污染风险管控，防止污染扩散。加强生态公益林保护与建设，防止水土流失。禁止向农用地排放重金属或者其他有毒有害物质含量超标的污水、污泥，以及可能造成土壤污染的清淤底泥、尾矿、矿渣等。</w:t>
                  </w:r>
                </w:p>
              </w:tc>
              <w:tc>
                <w:tcPr>
                  <w:tcW w:w="2437" w:type="dxa"/>
                  <w:shd w:val="clear" w:color="auto" w:fill="auto"/>
                  <w:vAlign w:val="center"/>
                </w:tcPr>
                <w:p w14:paraId="3048C6C8">
                  <w:pPr>
                    <w:pStyle w:val="20"/>
                    <w:keepNext w:val="0"/>
                    <w:keepLines w:val="0"/>
                    <w:widowControl/>
                    <w:numPr>
                      <w:ilvl w:val="0"/>
                      <w:numId w:val="6"/>
                    </w:numPr>
                    <w:suppressLineNumbers w:val="0"/>
                    <w:spacing w:line="240" w:lineRule="auto"/>
                    <w:jc w:val="both"/>
                    <w:textAlignment w:val="center"/>
                    <w:rPr>
                      <w:rFonts w:hint="eastAsia"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不涉及</w:t>
                  </w:r>
                </w:p>
                <w:p w14:paraId="6428470D">
                  <w:pPr>
                    <w:pStyle w:val="20"/>
                    <w:keepNext w:val="0"/>
                    <w:keepLines w:val="0"/>
                    <w:widowControl/>
                    <w:numPr>
                      <w:ilvl w:val="0"/>
                      <w:numId w:val="6"/>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不涉及</w:t>
                  </w:r>
                </w:p>
                <w:p w14:paraId="05DEAF76">
                  <w:pPr>
                    <w:pStyle w:val="20"/>
                    <w:keepNext w:val="0"/>
                    <w:keepLines w:val="0"/>
                    <w:widowControl/>
                    <w:numPr>
                      <w:ilvl w:val="0"/>
                      <w:numId w:val="6"/>
                    </w:numPr>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不涉及</w:t>
                  </w:r>
                </w:p>
              </w:tc>
              <w:tc>
                <w:tcPr>
                  <w:tcW w:w="731" w:type="dxa"/>
                  <w:tcBorders>
                    <w:right w:val="nil"/>
                  </w:tcBorders>
                  <w:shd w:val="clear" w:color="auto" w:fill="auto"/>
                  <w:vAlign w:val="center"/>
                </w:tcPr>
                <w:p w14:paraId="7B21B58E">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符合</w:t>
                  </w:r>
                </w:p>
              </w:tc>
            </w:tr>
            <w:tr w14:paraId="1B03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97" w:type="dxa"/>
                  <w:tcBorders>
                    <w:left w:val="nil"/>
                  </w:tcBorders>
                  <w:shd w:val="clear" w:color="auto" w:fill="auto"/>
                  <w:vAlign w:val="center"/>
                </w:tcPr>
                <w:p w14:paraId="57268475">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资源利用效率</w:t>
                  </w:r>
                </w:p>
              </w:tc>
              <w:tc>
                <w:tcPr>
                  <w:tcW w:w="9357" w:type="dxa"/>
                  <w:shd w:val="clear" w:color="auto" w:fill="auto"/>
                  <w:vAlign w:val="center"/>
                </w:tcPr>
                <w:p w14:paraId="39A13E17">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1、</w:t>
                  </w:r>
                  <w:r>
                    <w:rPr>
                      <w:rFonts w:hint="default" w:ascii="Times New Roman" w:hAnsi="Times New Roman" w:eastAsia="宋体" w:cs="Times New Roman"/>
                      <w:b w:val="0"/>
                      <w:bCs w:val="0"/>
                      <w:color w:val="000000"/>
                      <w:spacing w:val="0"/>
                      <w:position w:val="0"/>
                      <w:sz w:val="21"/>
                      <w:szCs w:val="21"/>
                      <w:vertAlign w:val="baseline"/>
                    </w:rPr>
                    <w:t xml:space="preserve">落实《甘肃省“十四五”能源发展规划》《甘肃省十四五节能减排综合工作方案》提高能源资源利用效率相关要求，严格落实能耗管控制度，有效抑制石油消费增量，引导扩大天然气消费，提高农村用能效率。“十四五” 时期，规模以上工业单位增加值能耗下降13.5％，万元工业增加值用水量下降12.9％。 </w:t>
                  </w:r>
                </w:p>
                <w:p w14:paraId="439D79CF">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2、</w:t>
                  </w:r>
                  <w:r>
                    <w:rPr>
                      <w:rFonts w:hint="default" w:ascii="Times New Roman" w:hAnsi="Times New Roman" w:eastAsia="宋体" w:cs="Times New Roman"/>
                      <w:b w:val="0"/>
                      <w:bCs w:val="0"/>
                      <w:color w:val="000000"/>
                      <w:spacing w:val="0"/>
                      <w:position w:val="0"/>
                      <w:sz w:val="21"/>
                      <w:szCs w:val="21"/>
                      <w:vertAlign w:val="baseline"/>
                    </w:rPr>
                    <w:t>落实《关于进一步加强水资源节约集约利用的意见》《甘肃省“十四五”水利发展规划》相关要求，落实最严格水资源管理制度，严格用水总量和强度双控，落实各级行政区用水效率管控指标，加强污水资源化利用。</w:t>
                  </w:r>
                </w:p>
                <w:p w14:paraId="5D3E211D">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3、</w:t>
                  </w:r>
                  <w:r>
                    <w:rPr>
                      <w:rFonts w:hint="default" w:ascii="Times New Roman" w:hAnsi="Times New Roman" w:eastAsia="宋体" w:cs="Times New Roman"/>
                      <w:b w:val="0"/>
                      <w:bCs w:val="0"/>
                      <w:color w:val="000000"/>
                      <w:spacing w:val="0"/>
                      <w:position w:val="0"/>
                      <w:sz w:val="21"/>
                      <w:szCs w:val="21"/>
                      <w:vertAlign w:val="baseline"/>
                    </w:rPr>
                    <w:t>各类工业园区（集聚区）：推进工业园区（集聚区）循环化改造，强化企业清洁生产改造。按照《关于推进污水资源化利用的指导意见》《关于进一步加强水资源节约集约利用的意见》相关要求，强化工业节水，坚持以水定产，强化企业和园区集约用水，实施节水改造。按照《关于加强高耗能、高排放建设项目生态环境源头防控的指导意见》相关要求，提高能源利用效率，推进“两高”行业减污降碳协同控制。严格执行行业能耗标准和国家产能置换政策要求，控制钢铁、建材、化工等耗煤行业耗煤量。</w:t>
                  </w:r>
                </w:p>
                <w:p w14:paraId="3259C9DF">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4、</w:t>
                  </w:r>
                  <w:r>
                    <w:rPr>
                      <w:rFonts w:hint="default" w:ascii="Times New Roman" w:hAnsi="Times New Roman" w:eastAsia="宋体" w:cs="Times New Roman"/>
                      <w:b w:val="0"/>
                      <w:bCs w:val="0"/>
                      <w:color w:val="000000"/>
                      <w:spacing w:val="0"/>
                      <w:position w:val="0"/>
                      <w:sz w:val="21"/>
                      <w:szCs w:val="21"/>
                      <w:vertAlign w:val="baseline"/>
                    </w:rPr>
                    <w:t>城镇生活类重点管控单元：按照《关于进一步加强水资源节约集约利用的意见》相关要求，坚持以水定城、以水定地、以水定人、以水定产，推行绿色生产生活方式，遏制用水浪费，从严控制高耗水服务业用水，严格用水定额管理。</w:t>
                  </w:r>
                </w:p>
                <w:p w14:paraId="6562BE4F">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5、</w:t>
                  </w:r>
                  <w:r>
                    <w:rPr>
                      <w:rFonts w:hint="default" w:ascii="Times New Roman" w:hAnsi="Times New Roman" w:eastAsia="宋体" w:cs="Times New Roman"/>
                      <w:b w:val="0"/>
                      <w:bCs w:val="0"/>
                      <w:color w:val="000000"/>
                      <w:spacing w:val="0"/>
                      <w:position w:val="0"/>
                      <w:sz w:val="21"/>
                      <w:szCs w:val="21"/>
                      <w:vertAlign w:val="baseline"/>
                    </w:rPr>
                    <w:t>严格执行《地下水管理条例》中节约与保护相关要求。取用地下水的单位和个人应当遵守取水总量控制和定额管理要求，使用先进节约用水技术、工艺和设备，采取循环用水、综合利用及废水处理回用等措施，实施技术改造，降低用水消耗。</w:t>
                  </w:r>
                </w:p>
                <w:p w14:paraId="3AFBD877">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Chars="0"/>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6、</w:t>
                  </w:r>
                  <w:r>
                    <w:rPr>
                      <w:rFonts w:hint="default" w:ascii="Times New Roman" w:hAnsi="Times New Roman" w:eastAsia="宋体" w:cs="Times New Roman"/>
                      <w:b w:val="0"/>
                      <w:bCs w:val="0"/>
                      <w:color w:val="000000"/>
                      <w:spacing w:val="0"/>
                      <w:position w:val="0"/>
                      <w:sz w:val="21"/>
                      <w:szCs w:val="21"/>
                      <w:vertAlign w:val="baseline"/>
                    </w:rPr>
                    <w:t>地下水开采重点管控区：严格执行《地下水管理条例》中超采治理相关要求。实行煤炭、水资源消耗总量和强度双控，优化能源结构，加强能源清洁利用。推进农业节水，提高农业用水效率。</w:t>
                  </w:r>
                </w:p>
              </w:tc>
              <w:tc>
                <w:tcPr>
                  <w:tcW w:w="2437" w:type="dxa"/>
                  <w:shd w:val="clear" w:color="auto" w:fill="auto"/>
                  <w:vAlign w:val="center"/>
                </w:tcPr>
                <w:p w14:paraId="01EBAEA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1、</w:t>
                  </w:r>
                  <w:r>
                    <w:rPr>
                      <w:rFonts w:hint="default" w:ascii="Times New Roman" w:hAnsi="Times New Roman" w:eastAsia="宋体" w:cs="Times New Roman"/>
                      <w:b w:val="0"/>
                      <w:bCs w:val="0"/>
                      <w:color w:val="000000"/>
                      <w:spacing w:val="0"/>
                      <w:position w:val="0"/>
                      <w:sz w:val="21"/>
                      <w:szCs w:val="21"/>
                      <w:vertAlign w:val="baseline"/>
                      <w:lang w:val="en-US" w:eastAsia="zh-CN"/>
                    </w:rPr>
                    <w:t>本项目采用电能，选用先进、能耗低生产设备，符合《甘肃省“十四五”能源发展规划》《甘肃省十四五节能减排综合工作方案》提高能源资源利用效率相关要求；</w:t>
                  </w:r>
                </w:p>
                <w:p w14:paraId="22842E8B">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2、</w:t>
                  </w:r>
                  <w:r>
                    <w:rPr>
                      <w:rFonts w:hint="default" w:ascii="Times New Roman" w:hAnsi="Times New Roman" w:eastAsia="宋体" w:cs="Times New Roman"/>
                      <w:b w:val="0"/>
                      <w:bCs w:val="0"/>
                      <w:color w:val="000000"/>
                      <w:spacing w:val="0"/>
                      <w:position w:val="0"/>
                      <w:sz w:val="21"/>
                      <w:szCs w:val="21"/>
                      <w:vertAlign w:val="baseline"/>
                      <w:lang w:val="en-US" w:eastAsia="zh-CN"/>
                    </w:rPr>
                    <w:t>本项目用水量较小，符合《关于进一步加强水资源节约集约利用的意见》《甘肃省“十四五”水利发展规划》相关要求；</w:t>
                  </w:r>
                </w:p>
                <w:p w14:paraId="5C60883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3、</w:t>
                  </w:r>
                  <w:r>
                    <w:rPr>
                      <w:rFonts w:hint="default" w:ascii="Times New Roman" w:hAnsi="Times New Roman" w:eastAsia="宋体" w:cs="Times New Roman"/>
                      <w:b w:val="0"/>
                      <w:bCs w:val="0"/>
                      <w:color w:val="000000"/>
                      <w:spacing w:val="0"/>
                      <w:position w:val="0"/>
                      <w:sz w:val="21"/>
                      <w:szCs w:val="21"/>
                      <w:vertAlign w:val="baseline"/>
                      <w:lang w:val="en-US" w:eastAsia="zh-CN"/>
                    </w:rPr>
                    <w:t>不涉及；</w:t>
                  </w:r>
                </w:p>
                <w:p w14:paraId="5B8D692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4、</w:t>
                  </w:r>
                  <w:r>
                    <w:rPr>
                      <w:rFonts w:hint="default" w:ascii="Times New Roman" w:hAnsi="Times New Roman" w:eastAsia="宋体" w:cs="Times New Roman"/>
                      <w:b w:val="0"/>
                      <w:bCs w:val="0"/>
                      <w:color w:val="000000"/>
                      <w:spacing w:val="0"/>
                      <w:position w:val="0"/>
                      <w:sz w:val="21"/>
                      <w:szCs w:val="21"/>
                      <w:vertAlign w:val="baseline"/>
                      <w:lang w:val="en-US" w:eastAsia="zh-CN"/>
                    </w:rPr>
                    <w:t>本项目生产用水均为抑尘用水，生产废水全部蒸发</w:t>
                  </w:r>
                  <w:r>
                    <w:rPr>
                      <w:rFonts w:hint="eastAsia" w:ascii="Times New Roman" w:hAnsi="Times New Roman" w:eastAsia="宋体" w:cs="Times New Roman"/>
                      <w:b w:val="0"/>
                      <w:bCs w:val="0"/>
                      <w:color w:val="000000"/>
                      <w:spacing w:val="0"/>
                      <w:position w:val="0"/>
                      <w:sz w:val="21"/>
                      <w:szCs w:val="21"/>
                      <w:vertAlign w:val="baseline"/>
                      <w:lang w:val="en-US" w:eastAsia="zh-CN"/>
                    </w:rPr>
                    <w:t>，</w:t>
                  </w:r>
                  <w:r>
                    <w:rPr>
                      <w:rFonts w:hint="default" w:ascii="Times New Roman" w:hAnsi="Times New Roman" w:eastAsia="宋体" w:cs="Times New Roman"/>
                      <w:b w:val="0"/>
                      <w:bCs w:val="0"/>
                      <w:color w:val="000000"/>
                      <w:spacing w:val="0"/>
                      <w:position w:val="0"/>
                      <w:sz w:val="21"/>
                      <w:szCs w:val="21"/>
                      <w:vertAlign w:val="baseline"/>
                      <w:lang w:val="en-US" w:eastAsia="zh-CN"/>
                    </w:rPr>
                    <w:t>生活污水泼洒降尘，符合《关于进一步加强水资源节约集约利用的意见》相关要求；</w:t>
                  </w:r>
                </w:p>
                <w:p w14:paraId="156B994F">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5、</w:t>
                  </w:r>
                  <w:r>
                    <w:rPr>
                      <w:rFonts w:hint="default" w:ascii="Times New Roman" w:hAnsi="Times New Roman" w:eastAsia="宋体" w:cs="Times New Roman"/>
                      <w:b w:val="0"/>
                      <w:bCs w:val="0"/>
                      <w:color w:val="000000"/>
                      <w:spacing w:val="0"/>
                      <w:position w:val="0"/>
                      <w:sz w:val="21"/>
                      <w:szCs w:val="21"/>
                      <w:vertAlign w:val="baseline"/>
                      <w:lang w:val="en-US" w:eastAsia="zh-CN"/>
                    </w:rPr>
                    <w:t>项目用水从附近村庄拉运（自来水），不涉及地下水；</w:t>
                  </w:r>
                </w:p>
                <w:p w14:paraId="6AD1988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6、</w:t>
                  </w:r>
                  <w:r>
                    <w:rPr>
                      <w:rFonts w:hint="default" w:ascii="Times New Roman" w:hAnsi="Times New Roman" w:eastAsia="宋体" w:cs="Times New Roman"/>
                      <w:b w:val="0"/>
                      <w:bCs w:val="0"/>
                      <w:color w:val="000000"/>
                      <w:spacing w:val="0"/>
                      <w:position w:val="0"/>
                      <w:sz w:val="21"/>
                      <w:szCs w:val="21"/>
                      <w:vertAlign w:val="baseline"/>
                      <w:lang w:val="en-US" w:eastAsia="zh-CN"/>
                    </w:rPr>
                    <w:t>不涉及。</w:t>
                  </w:r>
                </w:p>
              </w:tc>
              <w:tc>
                <w:tcPr>
                  <w:tcW w:w="731" w:type="dxa"/>
                  <w:tcBorders>
                    <w:right w:val="nil"/>
                  </w:tcBorders>
                  <w:shd w:val="clear" w:color="auto" w:fill="auto"/>
                  <w:vAlign w:val="center"/>
                </w:tcPr>
                <w:p w14:paraId="6916AB93">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符合</w:t>
                  </w:r>
                </w:p>
              </w:tc>
            </w:tr>
            <w:tr w14:paraId="52C4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97" w:type="dxa"/>
                  <w:tcBorders>
                    <w:left w:val="nil"/>
                  </w:tcBorders>
                  <w:shd w:val="clear" w:color="auto" w:fill="auto"/>
                  <w:vAlign w:val="center"/>
                </w:tcPr>
                <w:p w14:paraId="6CCC636B">
                  <w:pPr>
                    <w:pStyle w:val="20"/>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sz w:val="21"/>
                      <w:szCs w:val="21"/>
                      <w:lang w:val="en-US" w:eastAsia="zh-CN"/>
                    </w:rPr>
                  </w:pPr>
                </w:p>
              </w:tc>
              <w:tc>
                <w:tcPr>
                  <w:tcW w:w="9357" w:type="dxa"/>
                  <w:shd w:val="clear" w:color="auto" w:fill="auto"/>
                  <w:vAlign w:val="center"/>
                </w:tcPr>
                <w:p w14:paraId="7FD263FA">
                  <w:pPr>
                    <w:pStyle w:val="20"/>
                    <w:keepNext w:val="0"/>
                    <w:keepLines w:val="0"/>
                    <w:widowControl/>
                    <w:suppressLineNumbers w:val="0"/>
                    <w:spacing w:line="240" w:lineRule="auto"/>
                    <w:ind w:left="0" w:firstLine="0"/>
                    <w:jc w:val="center"/>
                    <w:textAlignment w:val="center"/>
                    <w:rPr>
                      <w:rFonts w:hint="default" w:ascii="Times New Roman" w:hAnsi="Times New Roman" w:eastAsia="宋体" w:cs="Times New Roman"/>
                      <w:b/>
                      <w:bCs/>
                      <w:color w:val="000000"/>
                      <w:spacing w:val="0"/>
                      <w:position w:val="0"/>
                      <w:sz w:val="21"/>
                      <w:szCs w:val="21"/>
                      <w:vertAlign w:val="baseline"/>
                    </w:rPr>
                  </w:pPr>
                  <w:r>
                    <w:rPr>
                      <w:rFonts w:hint="default" w:ascii="Times New Roman" w:hAnsi="Times New Roman" w:eastAsia="宋体" w:cs="Times New Roman"/>
                      <w:b/>
                      <w:bCs/>
                      <w:color w:val="000000"/>
                      <w:spacing w:val="0"/>
                      <w:position w:val="0"/>
                      <w:sz w:val="21"/>
                      <w:szCs w:val="21"/>
                      <w:lang w:val="en-US" w:eastAsia="zh-CN"/>
                    </w:rPr>
                    <w:t>张掖</w:t>
                  </w:r>
                  <w:r>
                    <w:rPr>
                      <w:rFonts w:hint="default" w:ascii="Times New Roman" w:hAnsi="Times New Roman" w:eastAsia="宋体" w:cs="Times New Roman"/>
                      <w:b/>
                      <w:bCs/>
                      <w:color w:val="000000"/>
                      <w:spacing w:val="0"/>
                      <w:position w:val="0"/>
                      <w:sz w:val="21"/>
                      <w:szCs w:val="21"/>
                    </w:rPr>
                    <w:t>市总体管控要求</w:t>
                  </w:r>
                </w:p>
              </w:tc>
              <w:tc>
                <w:tcPr>
                  <w:tcW w:w="2437" w:type="dxa"/>
                  <w:shd w:val="clear" w:color="auto" w:fill="auto"/>
                  <w:vAlign w:val="center"/>
                </w:tcPr>
                <w:p w14:paraId="0D945EEE">
                  <w:pPr>
                    <w:pStyle w:val="20"/>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spacing w:val="0"/>
                      <w:position w:val="0"/>
                      <w:sz w:val="21"/>
                      <w:szCs w:val="21"/>
                      <w:vertAlign w:val="baseline"/>
                    </w:rPr>
                  </w:pPr>
                  <w:r>
                    <w:rPr>
                      <w:rFonts w:hint="default" w:ascii="Times New Roman" w:hAnsi="Times New Roman" w:eastAsia="宋体" w:cs="Times New Roman"/>
                      <w:b/>
                      <w:bCs/>
                      <w:color w:val="000000"/>
                      <w:spacing w:val="0"/>
                      <w:position w:val="0"/>
                      <w:sz w:val="21"/>
                      <w:szCs w:val="21"/>
                      <w:vertAlign w:val="baseline"/>
                      <w:lang w:val="en-US" w:eastAsia="zh-CN"/>
                    </w:rPr>
                    <w:t>本项目情况</w:t>
                  </w:r>
                </w:p>
              </w:tc>
              <w:tc>
                <w:tcPr>
                  <w:tcW w:w="731" w:type="dxa"/>
                  <w:tcBorders>
                    <w:right w:val="nil"/>
                  </w:tcBorders>
                  <w:shd w:val="clear" w:color="auto" w:fill="auto"/>
                  <w:vAlign w:val="center"/>
                </w:tcPr>
                <w:p w14:paraId="1AD0F32C">
                  <w:pPr>
                    <w:pStyle w:val="20"/>
                    <w:keepNext w:val="0"/>
                    <w:keepLines w:val="0"/>
                    <w:widowControl/>
                    <w:suppressLineNumbers w:val="0"/>
                    <w:spacing w:line="240" w:lineRule="auto"/>
                    <w:jc w:val="center"/>
                    <w:textAlignment w:val="center"/>
                    <w:rPr>
                      <w:rFonts w:hint="default" w:ascii="Times New Roman" w:hAnsi="Times New Roman" w:eastAsia="宋体" w:cs="Times New Roman"/>
                      <w:b/>
                      <w:bCs/>
                      <w:color w:val="000000"/>
                      <w:spacing w:val="0"/>
                      <w:position w:val="0"/>
                      <w:sz w:val="21"/>
                      <w:szCs w:val="21"/>
                      <w:vertAlign w:val="baseline"/>
                    </w:rPr>
                  </w:pPr>
                  <w:r>
                    <w:rPr>
                      <w:rFonts w:hint="default" w:ascii="Times New Roman" w:hAnsi="Times New Roman" w:eastAsia="宋体" w:cs="Times New Roman"/>
                      <w:b/>
                      <w:bCs/>
                      <w:color w:val="000000"/>
                      <w:spacing w:val="0"/>
                      <w:position w:val="0"/>
                      <w:sz w:val="21"/>
                      <w:szCs w:val="21"/>
                      <w:vertAlign w:val="baseline"/>
                      <w:lang w:val="en-US" w:eastAsia="zh-CN"/>
                    </w:rPr>
                    <w:t>符合性</w:t>
                  </w:r>
                </w:p>
              </w:tc>
            </w:tr>
            <w:tr w14:paraId="7BA6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97" w:type="dxa"/>
                  <w:tcBorders>
                    <w:left w:val="nil"/>
                  </w:tcBorders>
                  <w:shd w:val="clear" w:color="auto" w:fill="auto"/>
                  <w:vAlign w:val="center"/>
                </w:tcPr>
                <w:p w14:paraId="2946E801">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空间布局约束</w:t>
                  </w:r>
                </w:p>
              </w:tc>
              <w:tc>
                <w:tcPr>
                  <w:tcW w:w="9357" w:type="dxa"/>
                  <w:shd w:val="clear" w:color="auto" w:fill="auto"/>
                  <w:vAlign w:val="center"/>
                </w:tcPr>
                <w:p w14:paraId="5850C3E8">
                  <w:pPr>
                    <w:pStyle w:val="20"/>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生态保护红线内经依法批准的重大基础设施建设、道路、管线等线性工程建设、改造、维护活动以及必要的河道、堤防、岸线整治活动和防洪设施、供水设施建设、修缮和改造活动等，位于生态保护红线法定保护地的，按照对应的保护地法律、法规、条例进行管理；位于生态保护红线内，但不涉及各类法定保护地的，仅允许不影响生态系统的服务功能，不降低生态环境质量，不影响完整性系统性的有限人为活动。具体待国家或省级生态红线管理办法出台后，严格执行。</w:t>
                  </w:r>
                </w:p>
                <w:p w14:paraId="54717F93">
                  <w:pPr>
                    <w:pStyle w:val="20"/>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default" w:ascii="Times New Roman" w:hAnsi="Times New Roman" w:eastAsia="宋体" w:cs="Times New Roman"/>
                      <w:b w:val="0"/>
                      <w:bCs w:val="0"/>
                      <w:color w:val="000000"/>
                      <w:spacing w:val="0"/>
                      <w:position w:val="0"/>
                      <w:sz w:val="21"/>
                      <w:szCs w:val="21"/>
                      <w:vertAlign w:val="baseline"/>
                    </w:rPr>
                    <w:t>在不违背法律法规和规章的前提下，一般生态空间内允许开展以下活动： ①生态保护修复和环境治理活动； ②原住民正常生产生活设施建设、修缮和改造； ③符合法律法规规定的林业活动； ④国防、军事等特殊用途设施建设、修缮和改造； ⑤生态环境保护监测、生态系统保护与修复工程、水土保持工程、公益性的自然资源监测或勘探、以及地质勘查活动；经依法批准的考古调查发掘和文物保护活动； ⑥必要的河道、堤防、岸线整治等活动，以及防洪设施和供水设施建设、修缮和改造活动； ⑦公路铁路交通、输油输气输电管线等线性工程； ⑧公共基础设施建设； ⑨观光旅游、休闲农业开发活动； ⑩矿产资源勘探；其他人类活动或建设项目（不属于禁止类、淘汰类的），通过评估并取得批准后开展。</w:t>
                  </w:r>
                </w:p>
                <w:p w14:paraId="26949139">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3、</w:t>
                  </w:r>
                  <w:r>
                    <w:rPr>
                      <w:rFonts w:hint="default" w:ascii="Times New Roman" w:hAnsi="Times New Roman" w:eastAsia="宋体" w:cs="Times New Roman"/>
                      <w:b w:val="0"/>
                      <w:bCs w:val="0"/>
                      <w:color w:val="000000"/>
                      <w:spacing w:val="0"/>
                      <w:position w:val="0"/>
                      <w:sz w:val="21"/>
                      <w:szCs w:val="21"/>
                      <w:vertAlign w:val="baseline"/>
                    </w:rPr>
                    <w:t xml:space="preserve">加快城市建成区重污染企业搬迁、改造或关闭退出，推动实施一批水泥、平板玻璃、钢铁、焦化、化工等重污染企业搬迁工程，形成有利于大气污染物扩散的城市和区域空间格局。继续加强城市生态增绿减污，降低沙尘、扬尘对大气环境的污染。城市建成区要加大造林绿化力度。在城市城区及其近郊禁止新建、扩建钢铁、有色、石化、水泥、化工等重污染企业,对城区内已建重污染企业要结合产业结构调整实施搬迁改造。积极开展高污染燃料禁燃区划定工作，逐步扩大禁燃区范围，加强高污染燃料禁燃区的管理。对布局分散、装备水平低、环保设施差的小型企业实行拉网式排查和清单制、台账式、网格化管理。对列入整治清单的“散乱污”企业，按照“先停后治”的原则，区别情况分类处置。列入关停取缔类的，坚决予以取缔；列入整合搬迁类的，要按照产业发展规模化、现代化的原则，搬迁至工业园区并实施升级改造；列入升级改造类的，实施清洁生产技术改造，全面提升污染治理水平。建立“散乱污”企业动态管理机制，坚决杜绝“散乱污”企业项目建设和已取缔的“散乱污”企业异地转移、死灰复燃。 </w:t>
                  </w:r>
                </w:p>
                <w:p w14:paraId="440400E1">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4、</w:t>
                  </w:r>
                  <w:r>
                    <w:rPr>
                      <w:rFonts w:hint="default" w:ascii="Times New Roman" w:hAnsi="Times New Roman" w:eastAsia="宋体" w:cs="Times New Roman"/>
                      <w:b w:val="0"/>
                      <w:bCs w:val="0"/>
                      <w:color w:val="000000"/>
                      <w:spacing w:val="0"/>
                      <w:position w:val="0"/>
                      <w:sz w:val="21"/>
                      <w:szCs w:val="21"/>
                      <w:vertAlign w:val="baseline"/>
                    </w:rPr>
                    <w:t>严格水源地保护区周边区域建设项目环境准入，依法清理饮用水水源保护区违法建筑和排污口，逐步实施隔离防护、警示宣传、界标界桩、污染源清理整治等水源地环境保护工程建设。严格控制缺水地区、地下水超采区和饮用水水源补给区、自然保护区等敏感区域高耗水、高污染行业发展。一级水功能区保护区区内禁止新、扩建排放水污染物的项目；开发利用区和缓冲区范围内禁止新、扩建造纸、制革、电镀、印染行业和以排放氨氮、总磷等主要污染物目；禁止新建、扩建增加重金属排放量的项目。二级水功能区域禁止建设新增不达标污染物排放量的工业项目。恢复和治理退化草地，加大湿地、沙化、退化及盐渍化草地的封禁和限牧力度，全面进行草原鼠害、火灾防治等综合防治。</w:t>
                  </w:r>
                </w:p>
                <w:p w14:paraId="59CFE1B6">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5、</w:t>
                  </w:r>
                  <w:r>
                    <w:rPr>
                      <w:rFonts w:hint="default" w:ascii="Times New Roman" w:hAnsi="Times New Roman" w:eastAsia="宋体" w:cs="Times New Roman"/>
                      <w:b w:val="0"/>
                      <w:bCs w:val="0"/>
                      <w:color w:val="000000"/>
                      <w:spacing w:val="0"/>
                      <w:position w:val="0"/>
                      <w:sz w:val="21"/>
                      <w:szCs w:val="21"/>
                      <w:vertAlign w:val="baseline"/>
                    </w:rPr>
                    <w:t>执行全省总体准入要求和张掖市年度水污染防治工作方案、大气污染防治工作方案、土壤污染防治工作方案要求。提高污水收集处理率，加强配套管网建设。淘汰落后产能，禁止新建严重污染水环境项目，对高风险化学品生产、使用进行严格控制，并逐步淘汰。</w:t>
                  </w:r>
                </w:p>
                <w:p w14:paraId="51B5E841">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6、</w:t>
                  </w:r>
                  <w:r>
                    <w:rPr>
                      <w:rFonts w:hint="default" w:ascii="Times New Roman" w:hAnsi="Times New Roman" w:eastAsia="宋体" w:cs="Times New Roman"/>
                      <w:b w:val="0"/>
                      <w:bCs w:val="0"/>
                      <w:color w:val="000000"/>
                      <w:spacing w:val="0"/>
                      <w:position w:val="0"/>
                      <w:sz w:val="21"/>
                      <w:szCs w:val="21"/>
                      <w:vertAlign w:val="baseline"/>
                    </w:rPr>
                    <w:t>拟建项目应严格执行国家、甘肃省、张掖市环保法律法规及产业政策要求，不得引进淘汰类、限制类及产能过剩的产品，根据园区生态环境准入清单，合理筛选入园项目，优先引入投资规模大、清洁生产水平高、污染轻的企业。</w:t>
                  </w:r>
                </w:p>
              </w:tc>
              <w:tc>
                <w:tcPr>
                  <w:tcW w:w="2437" w:type="dxa"/>
                  <w:shd w:val="clear" w:color="auto" w:fill="auto"/>
                  <w:vAlign w:val="center"/>
                </w:tcPr>
                <w:p w14:paraId="133B70D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1、本项目矿权及占地范围涉及“临泽县城镇空间”和“临泽县一般管控单元”，不涉及生态保护红线；</w:t>
                  </w:r>
                </w:p>
                <w:p w14:paraId="6C927B7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2、本项目不涉及一般生态空间；</w:t>
                  </w:r>
                </w:p>
                <w:p w14:paraId="391D3982">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3、本项目</w:t>
                  </w:r>
                  <w:r>
                    <w:rPr>
                      <w:rFonts w:hint="eastAsia" w:cs="Times New Roman"/>
                      <w:b w:val="0"/>
                      <w:bCs w:val="0"/>
                      <w:color w:val="000000"/>
                      <w:spacing w:val="0"/>
                      <w:position w:val="0"/>
                      <w:sz w:val="21"/>
                      <w:szCs w:val="21"/>
                      <w:vertAlign w:val="baseline"/>
                      <w:lang w:val="en-US" w:eastAsia="zh-CN"/>
                    </w:rPr>
                    <w:t>开采矿种为凹凸棒石粘土矿及伴生石膏，不属于</w:t>
                  </w:r>
                  <w:r>
                    <w:rPr>
                      <w:rFonts w:hint="default" w:ascii="Times New Roman" w:hAnsi="Times New Roman" w:eastAsia="宋体" w:cs="Times New Roman"/>
                      <w:b w:val="0"/>
                      <w:bCs w:val="0"/>
                      <w:color w:val="000000"/>
                      <w:spacing w:val="0"/>
                      <w:position w:val="0"/>
                      <w:sz w:val="21"/>
                      <w:szCs w:val="21"/>
                      <w:vertAlign w:val="baseline"/>
                    </w:rPr>
                    <w:t>城市建成区重污染企业</w:t>
                  </w:r>
                  <w:r>
                    <w:rPr>
                      <w:rFonts w:hint="eastAsia" w:ascii="Times New Roman" w:hAnsi="Times New Roman" w:cs="Times New Roman"/>
                      <w:b w:val="0"/>
                      <w:bCs w:val="0"/>
                      <w:color w:val="000000"/>
                      <w:spacing w:val="0"/>
                      <w:position w:val="0"/>
                      <w:sz w:val="21"/>
                      <w:szCs w:val="21"/>
                      <w:vertAlign w:val="baseline"/>
                      <w:lang w:eastAsia="zh-CN"/>
                    </w:rPr>
                    <w:t>，</w:t>
                  </w:r>
                  <w:r>
                    <w:rPr>
                      <w:rFonts w:hint="eastAsia" w:ascii="Times New Roman" w:hAnsi="Times New Roman" w:cs="Times New Roman"/>
                      <w:b w:val="0"/>
                      <w:bCs w:val="0"/>
                      <w:color w:val="000000"/>
                      <w:spacing w:val="0"/>
                      <w:position w:val="0"/>
                      <w:sz w:val="21"/>
                      <w:szCs w:val="21"/>
                      <w:vertAlign w:val="baseline"/>
                      <w:lang w:val="en-US" w:eastAsia="zh-CN"/>
                    </w:rPr>
                    <w:t>且项目位于临泽县板桥镇，远离城镇；</w:t>
                  </w:r>
                </w:p>
                <w:p w14:paraId="7C5A7F9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4、项目地表水发源于祁连山的黑河及其支流梨园河是流经临泽县的主要河流，黑河多年平均入境水量10.23×108m</w:t>
                  </w:r>
                  <w:r>
                    <w:rPr>
                      <w:rFonts w:hint="eastAsia" w:ascii="Times New Roman" w:hAnsi="Times New Roman" w:cs="Times New Roman"/>
                      <w:b w:val="0"/>
                      <w:bCs w:val="0"/>
                      <w:color w:val="000000"/>
                      <w:spacing w:val="0"/>
                      <w:position w:val="0"/>
                      <w:sz w:val="21"/>
                      <w:szCs w:val="21"/>
                      <w:vertAlign w:val="superscript"/>
                      <w:lang w:val="en-US" w:eastAsia="zh-CN"/>
                    </w:rPr>
                    <w:t>3</w:t>
                  </w:r>
                  <w:r>
                    <w:rPr>
                      <w:rFonts w:hint="eastAsia" w:ascii="Times New Roman" w:hAnsi="Times New Roman" w:cs="Times New Roman"/>
                      <w:b w:val="0"/>
                      <w:bCs w:val="0"/>
                      <w:color w:val="000000"/>
                      <w:spacing w:val="0"/>
                      <w:position w:val="0"/>
                      <w:sz w:val="21"/>
                      <w:szCs w:val="21"/>
                      <w:vertAlign w:val="baseline"/>
                      <w:lang w:val="en-US" w:eastAsia="zh-CN"/>
                    </w:rPr>
                    <w:t>/a。据现场调查，矿区内及外围无河流经过，项目不涉及水源地；</w:t>
                  </w:r>
                </w:p>
                <w:p w14:paraId="6171010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color w:val="000000"/>
                      <w:spacing w:val="0"/>
                      <w:position w:val="0"/>
                      <w:sz w:val="21"/>
                      <w:szCs w:val="21"/>
                      <w:vertAlign w:val="baseline"/>
                      <w:lang w:eastAsia="zh-CN"/>
                    </w:rPr>
                  </w:pPr>
                  <w:r>
                    <w:rPr>
                      <w:rFonts w:hint="eastAsia" w:cs="Times New Roman"/>
                      <w:b w:val="0"/>
                      <w:bCs w:val="0"/>
                      <w:color w:val="000000"/>
                      <w:spacing w:val="0"/>
                      <w:position w:val="0"/>
                      <w:sz w:val="21"/>
                      <w:szCs w:val="21"/>
                      <w:vertAlign w:val="baseline"/>
                      <w:lang w:val="en-US" w:eastAsia="zh-CN"/>
                    </w:rPr>
                    <w:t>5、项目用水量比较小，生产用水蒸发损耗，生活污水泼洒降尘，满足</w:t>
                  </w:r>
                  <w:r>
                    <w:rPr>
                      <w:rFonts w:hint="default" w:ascii="Times New Roman" w:hAnsi="Times New Roman" w:eastAsia="宋体" w:cs="Times New Roman"/>
                      <w:b w:val="0"/>
                      <w:bCs w:val="0"/>
                      <w:color w:val="000000"/>
                      <w:spacing w:val="0"/>
                      <w:position w:val="0"/>
                      <w:sz w:val="21"/>
                      <w:szCs w:val="21"/>
                      <w:vertAlign w:val="baseline"/>
                    </w:rPr>
                    <w:t>全省总体准入要求和张掖市年度水污染防治工作</w:t>
                  </w:r>
                  <w:r>
                    <w:rPr>
                      <w:rFonts w:hint="eastAsia" w:ascii="Times New Roman" w:hAnsi="Times New Roman" w:cs="Times New Roman"/>
                      <w:b w:val="0"/>
                      <w:bCs w:val="0"/>
                      <w:color w:val="000000"/>
                      <w:spacing w:val="0"/>
                      <w:position w:val="0"/>
                      <w:sz w:val="21"/>
                      <w:szCs w:val="21"/>
                      <w:vertAlign w:val="baseline"/>
                      <w:lang w:eastAsia="zh-CN"/>
                    </w:rPr>
                    <w:t>；</w:t>
                  </w:r>
                </w:p>
                <w:p w14:paraId="44C5DB3A">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eastAsia="宋体"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6、项目不属于鼓励类、限制类和淘汰类，属于允许类。</w:t>
                  </w:r>
                </w:p>
              </w:tc>
              <w:tc>
                <w:tcPr>
                  <w:tcW w:w="731" w:type="dxa"/>
                  <w:tcBorders>
                    <w:right w:val="nil"/>
                  </w:tcBorders>
                  <w:shd w:val="clear" w:color="auto" w:fill="auto"/>
                  <w:vAlign w:val="center"/>
                </w:tcPr>
                <w:p w14:paraId="6938B57D">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符合</w:t>
                  </w:r>
                </w:p>
              </w:tc>
            </w:tr>
            <w:tr w14:paraId="1EF3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97" w:type="dxa"/>
                  <w:tcBorders>
                    <w:left w:val="nil"/>
                  </w:tcBorders>
                  <w:shd w:val="clear" w:color="auto" w:fill="auto"/>
                  <w:vAlign w:val="center"/>
                </w:tcPr>
                <w:p w14:paraId="1F34DE19">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污染物排放管控</w:t>
                  </w:r>
                </w:p>
              </w:tc>
              <w:tc>
                <w:tcPr>
                  <w:tcW w:w="9357" w:type="dxa"/>
                  <w:shd w:val="clear" w:color="auto" w:fill="auto"/>
                  <w:vAlign w:val="center"/>
                </w:tcPr>
                <w:p w14:paraId="7AAF754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1、</w:t>
                  </w:r>
                  <w:r>
                    <w:rPr>
                      <w:rFonts w:hint="default" w:ascii="Times New Roman" w:hAnsi="Times New Roman" w:eastAsia="宋体" w:cs="Times New Roman"/>
                      <w:b w:val="0"/>
                      <w:bCs w:val="0"/>
                      <w:color w:val="000000"/>
                      <w:spacing w:val="0"/>
                      <w:position w:val="0"/>
                      <w:sz w:val="21"/>
                      <w:szCs w:val="21"/>
                      <w:vertAlign w:val="baseline"/>
                    </w:rPr>
                    <w:t>2025年全市可吸入颗粒物（PM</w:t>
                  </w:r>
                  <w:r>
                    <w:rPr>
                      <w:rFonts w:hint="default" w:ascii="Times New Roman" w:hAnsi="Times New Roman" w:eastAsia="宋体" w:cs="Times New Roman"/>
                      <w:b w:val="0"/>
                      <w:bCs w:val="0"/>
                      <w:color w:val="000000"/>
                      <w:spacing w:val="0"/>
                      <w:position w:val="0"/>
                      <w:sz w:val="21"/>
                      <w:szCs w:val="21"/>
                      <w:vertAlign w:val="subscript"/>
                    </w:rPr>
                    <w:t>10</w:t>
                  </w:r>
                  <w:r>
                    <w:rPr>
                      <w:rFonts w:hint="default" w:ascii="Times New Roman" w:hAnsi="Times New Roman" w:eastAsia="宋体" w:cs="Times New Roman"/>
                      <w:b w:val="0"/>
                      <w:bCs w:val="0"/>
                      <w:color w:val="000000"/>
                      <w:spacing w:val="0"/>
                      <w:position w:val="0"/>
                      <w:sz w:val="21"/>
                      <w:szCs w:val="21"/>
                      <w:vertAlign w:val="baseline"/>
                    </w:rPr>
                    <w:t>）年均浓度控制在54微克/立方米以下，细颗粒物（PM</w:t>
                  </w:r>
                  <w:r>
                    <w:rPr>
                      <w:rFonts w:hint="default" w:ascii="Times New Roman" w:hAnsi="Times New Roman" w:eastAsia="宋体" w:cs="Times New Roman"/>
                      <w:b w:val="0"/>
                      <w:bCs w:val="0"/>
                      <w:color w:val="000000"/>
                      <w:spacing w:val="0"/>
                      <w:position w:val="0"/>
                      <w:sz w:val="21"/>
                      <w:szCs w:val="21"/>
                      <w:vertAlign w:val="subscript"/>
                    </w:rPr>
                    <w:t>2.5</w:t>
                  </w:r>
                  <w:r>
                    <w:rPr>
                      <w:rFonts w:hint="default" w:ascii="Times New Roman" w:hAnsi="Times New Roman" w:eastAsia="宋体" w:cs="Times New Roman"/>
                      <w:b w:val="0"/>
                      <w:bCs w:val="0"/>
                      <w:color w:val="000000"/>
                      <w:spacing w:val="0"/>
                      <w:position w:val="0"/>
                      <w:sz w:val="21"/>
                      <w:szCs w:val="21"/>
                      <w:vertAlign w:val="baseline"/>
                    </w:rPr>
                    <w:t>）年均浓度控制在27微克/立方米以下，2035年保持稳定。县级及以上城市建成区基本淘汰每小时10蒸吨及以下燃煤锅炉及茶水炉、经营性炉灶、储粮烘干设备等燃煤设施，原则上不再新建每小时35蒸吨以下的燃煤锅炉，其他地区原则上不再新建每小时10蒸吨以下燃煤锅炉。逐步实施县级以上城市（含县城）城乡结合部及周边乡镇居民取暖土炕、土灶、小火炉煤改气、煤改电或洁净煤替代工程，在农村集中开展改灶、改暖等专项工作，推广采用碳晶、电热膜采暖新技术。加强对建筑、道路、拆迁、水利、物料堆场等各类工地及裸露地块的扬尘污染监管, 城市建成区机械化清扫率达到70%以上，其他县区建成区达到60%以上。</w:t>
                  </w:r>
                </w:p>
                <w:p w14:paraId="12F4B031">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2、</w:t>
                  </w:r>
                  <w:r>
                    <w:rPr>
                      <w:rFonts w:hint="default" w:ascii="Times New Roman" w:hAnsi="Times New Roman" w:eastAsia="宋体" w:cs="Times New Roman"/>
                      <w:b w:val="0"/>
                      <w:bCs w:val="0"/>
                      <w:color w:val="000000"/>
                      <w:spacing w:val="0"/>
                      <w:position w:val="0"/>
                      <w:sz w:val="21"/>
                      <w:szCs w:val="21"/>
                      <w:vertAlign w:val="baseline"/>
                    </w:rPr>
                    <w:t>不断提高城市绿化覆盖率，扎实做好祁连山国家公园和黑河生态带、交通大林带、城市绿化带“一园三带”生态示范建设。加大防沙治沙力度，因地制宜发展特色经济林，建设国家储备林，积极推进生态种草工程。深化黑河流域水环境管控，严格控制入河湖排污总量，确保主要污染物入河总量控制在水功能区纳污能力范围之内。推进水污染防治行动计划，加大水生态保护和水资源管理，优先保护饮用水水源地，加强工业、城镇等重点领域水污染防治，保障水环境安全。严格限制饮用水水源上游汇水区高污染、高风险行业环境准入，加大位于城镇水源地范围内工业企业、地下油管的污染治理，开展地下水饮用水源地环境基础调查和污染防治。加大制浆造纸、印染、食品加工等重污染行业企业的治理力度，提高工业水污染防治水平。加强地下水开发利用与保护，优化水资源调配，合理开发利用地下水资源，划定地下水一般超采区、严重超采区、禁采区，开展超采区治理项目与行动，实行水量、水位双控制，建设地下水污染防治体系，逐步修复被污染的地下水。</w:t>
                  </w:r>
                </w:p>
                <w:p w14:paraId="2B21A8D4">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3、</w:t>
                  </w:r>
                  <w:r>
                    <w:rPr>
                      <w:rFonts w:hint="default" w:ascii="Times New Roman" w:hAnsi="Times New Roman" w:eastAsia="宋体" w:cs="Times New Roman"/>
                      <w:b w:val="0"/>
                      <w:bCs w:val="0"/>
                      <w:color w:val="000000"/>
                      <w:spacing w:val="0"/>
                      <w:position w:val="0"/>
                      <w:sz w:val="21"/>
                      <w:szCs w:val="21"/>
                      <w:vertAlign w:val="baseline"/>
                    </w:rPr>
                    <w:t>提高生活污水收集处理率，所有县城和重点镇具备污水收集处理能力，甘州区、各县城污水处理率分别达到95%、85%左右。</w:t>
                  </w:r>
                </w:p>
                <w:p w14:paraId="3A9B593D">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4、</w:t>
                  </w:r>
                  <w:r>
                    <w:rPr>
                      <w:rFonts w:hint="default" w:ascii="Times New Roman" w:hAnsi="Times New Roman" w:eastAsia="宋体" w:cs="Times New Roman"/>
                      <w:b w:val="0"/>
                      <w:bCs w:val="0"/>
                      <w:color w:val="000000"/>
                      <w:spacing w:val="0"/>
                      <w:position w:val="0"/>
                      <w:sz w:val="21"/>
                      <w:szCs w:val="21"/>
                      <w:vertAlign w:val="baseline"/>
                    </w:rPr>
                    <w:t>推进城市黑臭水体整治。开展黑臭水体排查，公布黑臭水体名称、责任人及达标期限。采取控源截污、垃圾清理、清淤疏浚、生态修复等措施，加大黑臭水体治理力度。加强农用耕地和城镇建设用地开发利用监管，积极推进土壤污染治理修复，组织实施民乐县铬污染场地修复等重点工程，逐步改善土壤环境质量。全面推广可降解地膜，鼓励农膜和秸秆回收再利用，减轻白色污染，提高农业废物资源化综合利用水平。积极引导和鼓励农民使用生物农药或高效、低毒、低残留农药。推广测土配方施肥，结合实施以有机质提升工程、秸秆还田工程、生物固体废弃物综合开发利用为中心的有机培肥工程建设培肥地力。同重点管控单元要求</w:t>
                  </w:r>
                </w:p>
              </w:tc>
              <w:tc>
                <w:tcPr>
                  <w:tcW w:w="2437" w:type="dxa"/>
                  <w:shd w:val="clear" w:color="auto" w:fill="auto"/>
                  <w:vAlign w:val="center"/>
                </w:tcPr>
                <w:p w14:paraId="0C456A8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1、项目冬季不生产，不使用锅炉；</w:t>
                  </w:r>
                </w:p>
                <w:p w14:paraId="69B087E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2、本项目主要占地类型为裸土地，闭矿后对土地进行复垦；</w:t>
                  </w:r>
                  <w:r>
                    <w:rPr>
                      <w:rFonts w:hint="eastAsia" w:cs="Times New Roman"/>
                      <w:b w:val="0"/>
                      <w:bCs w:val="0"/>
                      <w:color w:val="000000"/>
                      <w:spacing w:val="0"/>
                      <w:position w:val="0"/>
                      <w:sz w:val="21"/>
                      <w:szCs w:val="21"/>
                      <w:vertAlign w:val="baseline"/>
                      <w:lang w:val="en-US" w:eastAsia="zh-CN"/>
                    </w:rPr>
                    <w:t>生产用水蒸发损耗，生活污水泼洒降尘，无生产、生活废水入河；</w:t>
                  </w:r>
                  <w:r>
                    <w:rPr>
                      <w:rFonts w:hint="eastAsia" w:ascii="Times New Roman" w:hAnsi="Times New Roman" w:cs="Times New Roman"/>
                      <w:b w:val="0"/>
                      <w:bCs w:val="0"/>
                      <w:color w:val="000000"/>
                      <w:spacing w:val="0"/>
                      <w:position w:val="0"/>
                      <w:sz w:val="21"/>
                      <w:szCs w:val="21"/>
                      <w:vertAlign w:val="baseline"/>
                      <w:lang w:val="en-US" w:eastAsia="zh-CN"/>
                    </w:rPr>
                    <w:t>不属于</w:t>
                  </w:r>
                  <w:r>
                    <w:rPr>
                      <w:rFonts w:hint="default" w:ascii="Times New Roman" w:hAnsi="Times New Roman" w:eastAsia="宋体" w:cs="Times New Roman"/>
                      <w:b w:val="0"/>
                      <w:bCs w:val="0"/>
                      <w:color w:val="000000"/>
                      <w:spacing w:val="0"/>
                      <w:position w:val="0"/>
                      <w:sz w:val="21"/>
                      <w:szCs w:val="21"/>
                      <w:vertAlign w:val="baseline"/>
                    </w:rPr>
                    <w:t>制浆造纸、印染、食品加工等重污染行业企业</w:t>
                  </w:r>
                  <w:r>
                    <w:rPr>
                      <w:rFonts w:hint="eastAsia" w:ascii="Times New Roman" w:hAnsi="Times New Roman" w:cs="Times New Roman"/>
                      <w:b w:val="0"/>
                      <w:bCs w:val="0"/>
                      <w:color w:val="000000"/>
                      <w:spacing w:val="0"/>
                      <w:position w:val="0"/>
                      <w:sz w:val="21"/>
                      <w:szCs w:val="21"/>
                      <w:vertAlign w:val="baseline"/>
                      <w:lang w:eastAsia="zh-CN"/>
                    </w:rPr>
                    <w:t>；</w:t>
                  </w:r>
                  <w:r>
                    <w:rPr>
                      <w:rFonts w:hint="eastAsia" w:ascii="Times New Roman" w:hAnsi="Times New Roman" w:cs="Times New Roman"/>
                      <w:b w:val="0"/>
                      <w:bCs w:val="0"/>
                      <w:color w:val="000000"/>
                      <w:spacing w:val="0"/>
                      <w:position w:val="0"/>
                      <w:sz w:val="21"/>
                      <w:szCs w:val="21"/>
                      <w:vertAlign w:val="baseline"/>
                      <w:lang w:val="en-US" w:eastAsia="zh-CN"/>
                    </w:rPr>
                    <w:t>项目不开采地下水；</w:t>
                  </w:r>
                </w:p>
                <w:p w14:paraId="12CBBC5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3、项目</w:t>
                  </w:r>
                  <w:r>
                    <w:rPr>
                      <w:rFonts w:hint="eastAsia" w:cs="Times New Roman"/>
                      <w:b w:val="0"/>
                      <w:bCs w:val="0"/>
                      <w:color w:val="000000"/>
                      <w:spacing w:val="0"/>
                      <w:position w:val="0"/>
                      <w:sz w:val="21"/>
                      <w:szCs w:val="21"/>
                      <w:vertAlign w:val="baseline"/>
                      <w:lang w:val="en-US" w:eastAsia="zh-CN"/>
                    </w:rPr>
                    <w:t>生活污水泼洒降尘；</w:t>
                  </w:r>
                </w:p>
                <w:p w14:paraId="19740D2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cs="Times New Roman"/>
                      <w:b w:val="0"/>
                      <w:bCs w:val="0"/>
                      <w:color w:val="000000"/>
                      <w:spacing w:val="0"/>
                      <w:position w:val="0"/>
                      <w:sz w:val="21"/>
                      <w:szCs w:val="21"/>
                      <w:vertAlign w:val="baseline"/>
                      <w:lang w:val="en-US" w:eastAsia="zh-CN"/>
                    </w:rPr>
                  </w:pPr>
                  <w:r>
                    <w:rPr>
                      <w:rFonts w:hint="eastAsia" w:cs="Times New Roman"/>
                      <w:b w:val="0"/>
                      <w:bCs w:val="0"/>
                      <w:color w:val="000000"/>
                      <w:spacing w:val="0"/>
                      <w:position w:val="0"/>
                      <w:sz w:val="21"/>
                      <w:szCs w:val="21"/>
                      <w:vertAlign w:val="baseline"/>
                      <w:lang w:val="en-US" w:eastAsia="zh-CN"/>
                    </w:rPr>
                    <w:t>4、项目为露天采矿，不从事农业种植，无化肥农药使用，矿石无重金属淋溶污染土壤风险。</w:t>
                  </w:r>
                </w:p>
              </w:tc>
              <w:tc>
                <w:tcPr>
                  <w:tcW w:w="731" w:type="dxa"/>
                  <w:tcBorders>
                    <w:right w:val="nil"/>
                  </w:tcBorders>
                  <w:shd w:val="clear" w:color="auto" w:fill="auto"/>
                  <w:vAlign w:val="center"/>
                </w:tcPr>
                <w:p w14:paraId="19AF4290">
                  <w:pPr>
                    <w:pStyle w:val="20"/>
                    <w:keepNext w:val="0"/>
                    <w:keepLines w:val="0"/>
                    <w:widowControl/>
                    <w:suppressLineNumbers w:val="0"/>
                    <w:spacing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符合</w:t>
                  </w:r>
                </w:p>
              </w:tc>
            </w:tr>
            <w:tr w14:paraId="447B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48" w:hRule="atLeast"/>
              </w:trPr>
              <w:tc>
                <w:tcPr>
                  <w:tcW w:w="397" w:type="dxa"/>
                  <w:tcBorders>
                    <w:left w:val="nil"/>
                  </w:tcBorders>
                  <w:shd w:val="clear" w:color="auto" w:fill="auto"/>
                  <w:vAlign w:val="center"/>
                </w:tcPr>
                <w:p w14:paraId="5AA8367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环境风险防控效率</w:t>
                  </w:r>
                </w:p>
              </w:tc>
              <w:tc>
                <w:tcPr>
                  <w:tcW w:w="9357" w:type="dxa"/>
                  <w:shd w:val="clear" w:color="auto" w:fill="auto"/>
                  <w:vAlign w:val="center"/>
                </w:tcPr>
                <w:p w14:paraId="4CEC85B4">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i w:val="0"/>
                      <w:iCs w:val="0"/>
                      <w:caps w:val="0"/>
                      <w:color w:val="000000"/>
                      <w:spacing w:val="0"/>
                      <w:sz w:val="21"/>
                      <w:szCs w:val="21"/>
                      <w:highlight w:val="none"/>
                      <w:shd w:val="clear" w:fill="FFFFFF"/>
                    </w:rPr>
                  </w:pPr>
                  <w:r>
                    <w:rPr>
                      <w:rFonts w:hint="default" w:ascii="Times New Roman" w:hAnsi="Times New Roman" w:eastAsia="宋体" w:cs="Times New Roman"/>
                      <w:b w:val="0"/>
                      <w:bCs w:val="0"/>
                      <w:i w:val="0"/>
                      <w:iCs w:val="0"/>
                      <w:caps w:val="0"/>
                      <w:color w:val="000000"/>
                      <w:spacing w:val="0"/>
                      <w:sz w:val="21"/>
                      <w:szCs w:val="21"/>
                      <w:highlight w:val="none"/>
                      <w:shd w:val="clear" w:fill="FFFFFF"/>
                    </w:rPr>
                    <w:t>加强对市区境内已取缔完成的所有河流干流、一级支流沿岸的非法开采开发行为以及集中式饮用水水源一、二级保护区和自然保护区核心区内采掘行业建设项目监督管理，防止死灰复燃。</w:t>
                  </w:r>
                </w:p>
                <w:p w14:paraId="5F402ABC">
                  <w:pPr>
                    <w:pStyle w:val="20"/>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i w:val="0"/>
                      <w:iCs w:val="0"/>
                      <w:caps w:val="0"/>
                      <w:color w:val="000000"/>
                      <w:spacing w:val="0"/>
                      <w:sz w:val="21"/>
                      <w:szCs w:val="21"/>
                      <w:highlight w:val="none"/>
                      <w:shd w:val="clear" w:fill="FFFFFF"/>
                    </w:rPr>
                  </w:pPr>
                  <w:r>
                    <w:rPr>
                      <w:rFonts w:hint="default" w:ascii="Times New Roman" w:hAnsi="Times New Roman" w:eastAsia="宋体" w:cs="Times New Roman"/>
                      <w:b w:val="0"/>
                      <w:bCs w:val="0"/>
                      <w:i w:val="0"/>
                      <w:iCs w:val="0"/>
                      <w:caps w:val="0"/>
                      <w:color w:val="000000"/>
                      <w:spacing w:val="0"/>
                      <w:sz w:val="21"/>
                      <w:szCs w:val="21"/>
                      <w:highlight w:val="none"/>
                      <w:shd w:val="clear" w:fill="FFFFFF"/>
                    </w:rPr>
                    <w:t xml:space="preserve">全面排查无主尾矿库、石油开采等主要环境风险源，有效防范采掘、石油行业对地表水、地下水的环境风险。重点加强肃南县、山丹县和高台县矿产资源开采污染土壤的风险防控。强化执法检查，对不正常使用烟气脱硫除尘设施、使用高灰分、高硫份劣质煤炭和污染物超标排放的燃煤锅炉使用单位，按照《环境保护法》和《大气污染防治法》的相关规定，从严从重处罚。加强对煤炭经营和使用单位煤质情况检验和检查，严禁销售和使用不符合甘肃省民用散煤民用型煤标准的煤炭。强化煤炭集中交易市场、煤炭经销企业、重点用煤单位、燃煤锅炉等煤炭销售和使用单位的煤质检测工作，对煤质检测不合格的企业或单位，由工信、市场监管、生态环境部门严格依据有关规定予以查处。 </w:t>
                  </w:r>
                </w:p>
                <w:p w14:paraId="3B3763CB">
                  <w:pPr>
                    <w:pStyle w:val="20"/>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highlight w:val="none"/>
                      <w:vertAlign w:val="baseline"/>
                    </w:rPr>
                  </w:pPr>
                  <w:r>
                    <w:rPr>
                      <w:rFonts w:hint="default" w:ascii="Times New Roman" w:hAnsi="Times New Roman" w:eastAsia="宋体" w:cs="Times New Roman"/>
                      <w:b w:val="0"/>
                      <w:bCs w:val="0"/>
                      <w:i w:val="0"/>
                      <w:iCs w:val="0"/>
                      <w:caps w:val="0"/>
                      <w:color w:val="000000"/>
                      <w:spacing w:val="0"/>
                      <w:sz w:val="21"/>
                      <w:szCs w:val="21"/>
                      <w:highlight w:val="none"/>
                      <w:shd w:val="clear" w:fill="FFFFFF"/>
                    </w:rPr>
                    <w:t>严格执行市政府《关于实行最严格大气污染防治管理的通告》，落实施工扬尘污染防治监管责任，各类建设施工场地全面落实“6个100%”抑尘措施和“四个一律”制度，对未落实或未有效落实抑尘防尘措施的一律责令停工整顿。在工程造价和施工中要确保各项施工扬尘治理费用落实到位，规模以上土方施工工地要安装在线监测和视频监控系统，并与监管部门联网。将扬尘管理不到位的不良信息纳入建筑市场信用管理体系，情节严重的，列入建筑市场主体“黑名单”。</w:t>
                  </w:r>
                </w:p>
                <w:p w14:paraId="654CEEA6">
                  <w:pPr>
                    <w:pStyle w:val="20"/>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highlight w:val="none"/>
                      <w:vertAlign w:val="baseline"/>
                    </w:rPr>
                  </w:pPr>
                  <w:r>
                    <w:rPr>
                      <w:rFonts w:hint="default" w:ascii="Times New Roman" w:hAnsi="Times New Roman" w:eastAsia="宋体" w:cs="Times New Roman"/>
                      <w:b w:val="0"/>
                      <w:bCs w:val="0"/>
                      <w:i w:val="0"/>
                      <w:iCs w:val="0"/>
                      <w:caps w:val="0"/>
                      <w:color w:val="000000"/>
                      <w:spacing w:val="0"/>
                      <w:sz w:val="21"/>
                      <w:szCs w:val="21"/>
                      <w:highlight w:val="none"/>
                      <w:shd w:val="clear" w:fill="FFFFFF"/>
                    </w:rPr>
                    <w:t>以铅、锌、铜等有色金属采选、及冶域及和耕地重金属污染突出区域为重点，聚焦涉镉等重金属重点行业企业，深入开展农用地周边环境风险排查整治。同重点管控单元要求</w:t>
                  </w:r>
                  <w:r>
                    <w:rPr>
                      <w:rFonts w:hint="eastAsia" w:ascii="Times New Roman" w:hAnsi="Times New Roman" w:eastAsia="宋体" w:cs="Times New Roman"/>
                      <w:b w:val="0"/>
                      <w:bCs w:val="0"/>
                      <w:i w:val="0"/>
                      <w:iCs w:val="0"/>
                      <w:caps w:val="0"/>
                      <w:color w:val="000000"/>
                      <w:spacing w:val="0"/>
                      <w:sz w:val="21"/>
                      <w:szCs w:val="21"/>
                      <w:highlight w:val="none"/>
                      <w:shd w:val="clear" w:fill="FFFFFF"/>
                      <w:lang w:eastAsia="zh-CN"/>
                    </w:rPr>
                    <w:t>。</w:t>
                  </w:r>
                </w:p>
                <w:p w14:paraId="2C50D367">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highlight w:val="none"/>
                      <w:vertAlign w:val="baseline"/>
                    </w:rPr>
                  </w:pPr>
                </w:p>
              </w:tc>
              <w:tc>
                <w:tcPr>
                  <w:tcW w:w="2437" w:type="dxa"/>
                  <w:shd w:val="clear" w:color="auto" w:fill="auto"/>
                  <w:vAlign w:val="center"/>
                </w:tcPr>
                <w:p w14:paraId="7C9925D2">
                  <w:pPr>
                    <w:pStyle w:val="20"/>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i w:val="0"/>
                      <w:iCs w:val="0"/>
                      <w:caps w:val="0"/>
                      <w:color w:val="000000"/>
                      <w:spacing w:val="0"/>
                      <w:sz w:val="21"/>
                      <w:szCs w:val="21"/>
                      <w:highlight w:val="none"/>
                      <w:shd w:val="clear" w:fill="FFFFFF"/>
                      <w:lang w:val="en-US" w:eastAsia="zh-CN"/>
                    </w:rPr>
                  </w:pPr>
                  <w:r>
                    <w:rPr>
                      <w:rFonts w:hint="eastAsia" w:ascii="Times New Roman" w:hAnsi="Times New Roman" w:cs="Times New Roman"/>
                      <w:b w:val="0"/>
                      <w:bCs w:val="0"/>
                      <w:i w:val="0"/>
                      <w:iCs w:val="0"/>
                      <w:caps w:val="0"/>
                      <w:color w:val="000000"/>
                      <w:spacing w:val="0"/>
                      <w:sz w:val="21"/>
                      <w:szCs w:val="21"/>
                      <w:highlight w:val="none"/>
                      <w:shd w:val="clear" w:fill="FFFFFF"/>
                      <w:lang w:val="en-US" w:eastAsia="zh-CN"/>
                    </w:rPr>
                    <w:t>项目冬季不生产，不使用锅炉；项目区设置一间危废贮存间，主要用于贮存设备维修保养所产生的废机油，已做防渗处理，无其他风险源；</w:t>
                  </w:r>
                </w:p>
                <w:p w14:paraId="6D4F7E5B">
                  <w:pPr>
                    <w:pStyle w:val="20"/>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cs="Times New Roman"/>
                      <w:b w:val="0"/>
                      <w:bCs w:val="0"/>
                      <w:i w:val="0"/>
                      <w:iCs w:val="0"/>
                      <w:caps w:val="0"/>
                      <w:color w:val="000000"/>
                      <w:spacing w:val="0"/>
                      <w:sz w:val="21"/>
                      <w:szCs w:val="21"/>
                      <w:highlight w:val="none"/>
                      <w:shd w:val="clear" w:fill="FFFFFF"/>
                      <w:lang w:val="en-US" w:eastAsia="zh-CN"/>
                    </w:rPr>
                  </w:pPr>
                  <w:r>
                    <w:rPr>
                      <w:rFonts w:hint="eastAsia" w:ascii="Times New Roman" w:hAnsi="Times New Roman" w:cs="Times New Roman"/>
                      <w:b w:val="0"/>
                      <w:bCs w:val="0"/>
                      <w:i w:val="0"/>
                      <w:iCs w:val="0"/>
                      <w:caps w:val="0"/>
                      <w:color w:val="000000"/>
                      <w:spacing w:val="0"/>
                      <w:sz w:val="21"/>
                      <w:szCs w:val="21"/>
                      <w:highlight w:val="none"/>
                      <w:shd w:val="clear" w:fill="FFFFFF"/>
                      <w:lang w:val="en-US" w:eastAsia="zh-CN"/>
                    </w:rPr>
                    <w:t>项目粉尘主要产生于：</w:t>
                  </w:r>
                  <w:r>
                    <w:rPr>
                      <w:rFonts w:hint="default" w:ascii="Times New Roman" w:hAnsi="Times New Roman" w:cs="Times New Roman"/>
                      <w:b w:val="0"/>
                      <w:bCs w:val="0"/>
                      <w:i w:val="0"/>
                      <w:iCs w:val="0"/>
                      <w:caps w:val="0"/>
                      <w:color w:val="000000"/>
                      <w:spacing w:val="0"/>
                      <w:sz w:val="21"/>
                      <w:szCs w:val="21"/>
                      <w:highlight w:val="none"/>
                      <w:shd w:val="clear" w:fill="FFFFFF"/>
                      <w:lang w:val="en-US" w:eastAsia="zh-CN"/>
                    </w:rPr>
                    <w:t>①开采粉尘：湿法作业，洒水降尘；②运输粉尘：洒水降尘，车辆加盖篷布；③排土场粉尘：排土场分层压实，表面覆盖密目网，在卸废作业点采用洒水降尘；④堆矿场粉尘：设置三面围挡+顶棚式结构，定期洒水降尘；⑤机械燃油废气：定期保养；采用优质燃油、自然扩散</w:t>
                  </w:r>
                  <w:r>
                    <w:rPr>
                      <w:rFonts w:hint="eastAsia" w:ascii="Times New Roman" w:hAnsi="Times New Roman" w:cs="Times New Roman"/>
                      <w:b w:val="0"/>
                      <w:bCs w:val="0"/>
                      <w:i w:val="0"/>
                      <w:iCs w:val="0"/>
                      <w:caps w:val="0"/>
                      <w:color w:val="000000"/>
                      <w:spacing w:val="0"/>
                      <w:sz w:val="21"/>
                      <w:szCs w:val="21"/>
                      <w:highlight w:val="none"/>
                      <w:shd w:val="clear" w:fill="FFFFFF"/>
                      <w:lang w:val="en-US" w:eastAsia="zh-CN"/>
                    </w:rPr>
                    <w:t>，矿区严格按照上述措施，对周围环境影响小；</w:t>
                  </w:r>
                </w:p>
                <w:p w14:paraId="5680E76E">
                  <w:pPr>
                    <w:pStyle w:val="20"/>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cs="Times New Roman"/>
                      <w:b w:val="0"/>
                      <w:bCs w:val="0"/>
                      <w:i w:val="0"/>
                      <w:iCs w:val="0"/>
                      <w:caps w:val="0"/>
                      <w:color w:val="000000"/>
                      <w:spacing w:val="0"/>
                      <w:sz w:val="21"/>
                      <w:szCs w:val="21"/>
                      <w:highlight w:val="none"/>
                      <w:shd w:val="clear" w:fill="FFFFFF"/>
                      <w:lang w:val="en-US" w:eastAsia="zh-CN"/>
                    </w:rPr>
                  </w:pPr>
                  <w:r>
                    <w:rPr>
                      <w:rFonts w:hint="eastAsia" w:ascii="Times New Roman" w:hAnsi="Times New Roman" w:cs="Times New Roman"/>
                      <w:b w:val="0"/>
                      <w:bCs w:val="0"/>
                      <w:i w:val="0"/>
                      <w:iCs w:val="0"/>
                      <w:caps w:val="0"/>
                      <w:color w:val="000000"/>
                      <w:spacing w:val="0"/>
                      <w:sz w:val="21"/>
                      <w:szCs w:val="21"/>
                      <w:highlight w:val="none"/>
                      <w:shd w:val="clear" w:fill="FFFFFF"/>
                      <w:lang w:val="en-US" w:eastAsia="zh-CN"/>
                    </w:rPr>
                    <w:t>项目不属于</w:t>
                  </w:r>
                  <w:r>
                    <w:rPr>
                      <w:rFonts w:hint="default" w:ascii="Times New Roman" w:hAnsi="Times New Roman" w:eastAsia="宋体" w:cs="Times New Roman"/>
                      <w:b w:val="0"/>
                      <w:bCs w:val="0"/>
                      <w:i w:val="0"/>
                      <w:iCs w:val="0"/>
                      <w:caps w:val="0"/>
                      <w:color w:val="000000"/>
                      <w:spacing w:val="0"/>
                      <w:sz w:val="21"/>
                      <w:szCs w:val="21"/>
                      <w:highlight w:val="none"/>
                      <w:shd w:val="clear" w:fill="FFFFFF"/>
                    </w:rPr>
                    <w:t>以铅、锌、铜等有色金属采选、及冶域及和耕地重金属污染</w:t>
                  </w:r>
                  <w:r>
                    <w:rPr>
                      <w:rFonts w:hint="eastAsia" w:ascii="Times New Roman" w:hAnsi="Times New Roman" w:cs="Times New Roman"/>
                      <w:b w:val="0"/>
                      <w:bCs w:val="0"/>
                      <w:i w:val="0"/>
                      <w:iCs w:val="0"/>
                      <w:caps w:val="0"/>
                      <w:color w:val="000000"/>
                      <w:spacing w:val="0"/>
                      <w:sz w:val="21"/>
                      <w:szCs w:val="21"/>
                      <w:highlight w:val="none"/>
                      <w:shd w:val="clear" w:fill="FFFFFF"/>
                      <w:lang w:eastAsia="zh-CN"/>
                    </w:rPr>
                    <w:t>。</w:t>
                  </w:r>
                </w:p>
              </w:tc>
              <w:tc>
                <w:tcPr>
                  <w:tcW w:w="731" w:type="dxa"/>
                  <w:tcBorders>
                    <w:right w:val="nil"/>
                  </w:tcBorders>
                  <w:shd w:val="clear" w:color="auto" w:fill="auto"/>
                  <w:vAlign w:val="center"/>
                </w:tcPr>
                <w:p w14:paraId="244B757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符合</w:t>
                  </w:r>
                </w:p>
              </w:tc>
            </w:tr>
            <w:tr w14:paraId="013F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trPr>
              <w:tc>
                <w:tcPr>
                  <w:tcW w:w="397" w:type="dxa"/>
                  <w:tcBorders>
                    <w:left w:val="nil"/>
                    <w:bottom w:val="single" w:color="000000" w:sz="12" w:space="0"/>
                  </w:tcBorders>
                  <w:shd w:val="clear" w:color="auto" w:fill="auto"/>
                  <w:vAlign w:val="center"/>
                </w:tcPr>
                <w:p w14:paraId="0EA6A11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资源利用效率</w:t>
                  </w:r>
                </w:p>
              </w:tc>
              <w:tc>
                <w:tcPr>
                  <w:tcW w:w="9357" w:type="dxa"/>
                  <w:tcBorders>
                    <w:bottom w:val="single" w:color="000000" w:sz="12" w:space="0"/>
                  </w:tcBorders>
                  <w:shd w:val="clear" w:color="auto" w:fill="auto"/>
                  <w:vAlign w:val="center"/>
                </w:tcPr>
                <w:p w14:paraId="3D6B057A">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i w:val="0"/>
                      <w:iCs w:val="0"/>
                      <w:caps w:val="0"/>
                      <w:color w:val="000000"/>
                      <w:spacing w:val="0"/>
                      <w:sz w:val="21"/>
                      <w:szCs w:val="21"/>
                      <w:highlight w:val="none"/>
                      <w:shd w:val="clear" w:fill="FFFFFF"/>
                    </w:rPr>
                  </w:pPr>
                  <w:r>
                    <w:rPr>
                      <w:rFonts w:hint="eastAsia" w:ascii="Times New Roman" w:hAnsi="Times New Roman" w:eastAsia="宋体" w:cs="Times New Roman"/>
                      <w:b w:val="0"/>
                      <w:bCs w:val="0"/>
                      <w:i w:val="0"/>
                      <w:iCs w:val="0"/>
                      <w:caps w:val="0"/>
                      <w:color w:val="000000"/>
                      <w:spacing w:val="0"/>
                      <w:sz w:val="21"/>
                      <w:szCs w:val="21"/>
                      <w:highlight w:val="none"/>
                      <w:shd w:val="clear" w:fill="FFFFFF"/>
                      <w:lang w:val="en-US" w:eastAsia="zh-CN"/>
                    </w:rPr>
                    <w:t>1、</w:t>
                  </w:r>
                  <w:r>
                    <w:rPr>
                      <w:rFonts w:hint="default" w:ascii="Times New Roman" w:hAnsi="Times New Roman" w:eastAsia="宋体" w:cs="Times New Roman"/>
                      <w:b w:val="0"/>
                      <w:bCs w:val="0"/>
                      <w:i w:val="0"/>
                      <w:iCs w:val="0"/>
                      <w:caps w:val="0"/>
                      <w:color w:val="000000"/>
                      <w:spacing w:val="0"/>
                      <w:sz w:val="21"/>
                      <w:szCs w:val="21"/>
                      <w:highlight w:val="none"/>
                      <w:shd w:val="clear" w:fill="FFFFFF"/>
                    </w:rPr>
                    <w:t>强化水资源配置能力建设，着力实施三大水资源调控配置工程，加快推进临泽红山湾、山丹白石崖、民乐山城河、张掖酥油口下库等20座水源工程建设，合理布局抗旱引提调工程，更新改造黑河西总干渠等控制性骨干工程，新增供水能力0.9亿立方米，缓解局部地区水资源供需矛盾。继续实施山丹马营河、民乐大堵麻、甘州大满、西浚、临泽梨园河等8个大型灌区续建配套与节水改造工程，推进童子坝、板桥等19个重点中小型灌区节水改造，推进末级渠系建设，完成干支渠建设1000公里，田间配套100万亩，提高输水效率和农业生产用水保障能力。</w:t>
                  </w:r>
                </w:p>
                <w:p w14:paraId="52CBEFC0">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i w:val="0"/>
                      <w:iCs w:val="0"/>
                      <w:caps w:val="0"/>
                      <w:color w:val="000000"/>
                      <w:spacing w:val="0"/>
                      <w:sz w:val="21"/>
                      <w:szCs w:val="21"/>
                      <w:highlight w:val="none"/>
                      <w:shd w:val="clear" w:fill="FFFFFF"/>
                    </w:rPr>
                  </w:pPr>
                  <w:r>
                    <w:rPr>
                      <w:rFonts w:hint="eastAsia" w:ascii="Times New Roman" w:hAnsi="Times New Roman" w:eastAsia="宋体" w:cs="Times New Roman"/>
                      <w:b w:val="0"/>
                      <w:bCs w:val="0"/>
                      <w:i w:val="0"/>
                      <w:iCs w:val="0"/>
                      <w:caps w:val="0"/>
                      <w:color w:val="000000"/>
                      <w:spacing w:val="0"/>
                      <w:sz w:val="21"/>
                      <w:szCs w:val="21"/>
                      <w:highlight w:val="none"/>
                      <w:shd w:val="clear" w:fill="FFFFFF"/>
                      <w:lang w:val="en-US" w:eastAsia="zh-CN"/>
                    </w:rPr>
                    <w:t>2、</w:t>
                  </w:r>
                  <w:r>
                    <w:rPr>
                      <w:rFonts w:hint="default" w:ascii="Times New Roman" w:hAnsi="Times New Roman" w:eastAsia="宋体" w:cs="Times New Roman"/>
                      <w:b w:val="0"/>
                      <w:bCs w:val="0"/>
                      <w:i w:val="0"/>
                      <w:iCs w:val="0"/>
                      <w:caps w:val="0"/>
                      <w:color w:val="000000"/>
                      <w:spacing w:val="0"/>
                      <w:sz w:val="21"/>
                      <w:szCs w:val="21"/>
                      <w:highlight w:val="none"/>
                      <w:shd w:val="clear" w:fill="FFFFFF"/>
                    </w:rPr>
                    <w:t>建立湿地生态用水保障机制，水资源利用要与湿地保护紧密结合，统筹协调区域或流域内水资源平衡，维护湿地生态用水需求。加强内陆河流域水资源合理利用与生态保护，优化用水结构，强化水资源管理；</w:t>
                  </w:r>
                </w:p>
                <w:p w14:paraId="4F4A789B">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i w:val="0"/>
                      <w:iCs w:val="0"/>
                      <w:caps w:val="0"/>
                      <w:color w:val="000000"/>
                      <w:spacing w:val="0"/>
                      <w:sz w:val="21"/>
                      <w:szCs w:val="21"/>
                      <w:highlight w:val="none"/>
                      <w:shd w:val="clear" w:fill="FFFFFF"/>
                    </w:rPr>
                  </w:pPr>
                  <w:r>
                    <w:rPr>
                      <w:rFonts w:hint="eastAsia" w:ascii="Times New Roman" w:hAnsi="Times New Roman" w:eastAsia="宋体" w:cs="Times New Roman"/>
                      <w:b w:val="0"/>
                      <w:bCs w:val="0"/>
                      <w:i w:val="0"/>
                      <w:iCs w:val="0"/>
                      <w:caps w:val="0"/>
                      <w:color w:val="000000"/>
                      <w:spacing w:val="0"/>
                      <w:sz w:val="21"/>
                      <w:szCs w:val="21"/>
                      <w:highlight w:val="none"/>
                      <w:shd w:val="clear" w:fill="FFFFFF"/>
                      <w:lang w:val="en-US" w:eastAsia="zh-CN"/>
                    </w:rPr>
                    <w:t>3、</w:t>
                  </w:r>
                  <w:r>
                    <w:rPr>
                      <w:rFonts w:hint="default" w:ascii="Times New Roman" w:hAnsi="Times New Roman" w:eastAsia="宋体" w:cs="Times New Roman"/>
                      <w:b w:val="0"/>
                      <w:bCs w:val="0"/>
                      <w:i w:val="0"/>
                      <w:iCs w:val="0"/>
                      <w:caps w:val="0"/>
                      <w:color w:val="000000"/>
                      <w:spacing w:val="0"/>
                      <w:sz w:val="21"/>
                      <w:szCs w:val="21"/>
                      <w:highlight w:val="none"/>
                      <w:shd w:val="clear" w:fill="FFFFFF"/>
                    </w:rPr>
                    <w:t>结合全省水功能区（河段）生态流量确定工作，布设主要生态基流及敏感生态需水控制断面，合理确定黑河湿地最小生态水位和基本生态断优化黑河水量调度方案，确保满足黑河流域经济社会发展和下游生态用水需求。加强工业水循环利用。推进矿井水综合利用，煤炭矿区补充用水、周边地区生产和生态用水应优先使用矿井水，加强洗煤废水循环利用。推行企业循环式生产，鼓励钢铁、纺织印染、造纸、石油、化工、制革等高耗水企业废水深度处理回用，不断提高中水回用率。 合理使用化肥农药。制定《化肥农药使用量零增长年度工作方案》并按计划实施，采取精准施肥、改进施肥方式、有机肥替代等，减少盲目施肥行为。大力推广高效新型肥料，鼓励农民及各农业经营主体增施有机肥，推进秸秆、畜禽粪便资源肥料化利用，推广水肥一体化等高效技术，减少化肥使用量。科学施用农药，推广农作物病虫害专业化统防统治和绿色防控技术，围绕制种玉米、蔬菜、马铃薯、果树、中药材等特色作物和小麦、油菜等主要农作物，建立适合不同作物的病虫绿色防控技术示范区。推广应用生物农药、高效低毒低残留农药和现代植保机械，提升雾化和沉降度，提高农药利用率。组建专业化统防统治组织，提高统防统治覆盖率。</w:t>
                  </w:r>
                </w:p>
                <w:p w14:paraId="7C67CCF6">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i w:val="0"/>
                      <w:iCs w:val="0"/>
                      <w:caps w:val="0"/>
                      <w:color w:val="000000"/>
                      <w:spacing w:val="0"/>
                      <w:sz w:val="21"/>
                      <w:szCs w:val="21"/>
                      <w:highlight w:val="none"/>
                      <w:shd w:val="clear" w:fill="FFFFFF"/>
                    </w:rPr>
                  </w:pPr>
                  <w:r>
                    <w:rPr>
                      <w:rFonts w:hint="eastAsia" w:ascii="Times New Roman" w:hAnsi="Times New Roman" w:eastAsia="宋体" w:cs="Times New Roman"/>
                      <w:b w:val="0"/>
                      <w:bCs w:val="0"/>
                      <w:i w:val="0"/>
                      <w:iCs w:val="0"/>
                      <w:caps w:val="0"/>
                      <w:color w:val="000000"/>
                      <w:spacing w:val="0"/>
                      <w:sz w:val="21"/>
                      <w:szCs w:val="21"/>
                      <w:highlight w:val="none"/>
                      <w:shd w:val="clear" w:fill="FFFFFF"/>
                      <w:lang w:val="en-US" w:eastAsia="zh-CN"/>
                    </w:rPr>
                    <w:t>4、</w:t>
                  </w:r>
                  <w:r>
                    <w:rPr>
                      <w:rFonts w:hint="default" w:ascii="Times New Roman" w:hAnsi="Times New Roman" w:eastAsia="宋体" w:cs="Times New Roman"/>
                      <w:b w:val="0"/>
                      <w:bCs w:val="0"/>
                      <w:i w:val="0"/>
                      <w:iCs w:val="0"/>
                      <w:caps w:val="0"/>
                      <w:color w:val="000000"/>
                      <w:spacing w:val="0"/>
                      <w:sz w:val="21"/>
                      <w:szCs w:val="21"/>
                      <w:highlight w:val="none"/>
                      <w:shd w:val="clear" w:fill="FFFFFF"/>
                    </w:rPr>
                    <w:t>完善县域生态布局，加快构建循环农业模式，突出培育生态农业循环发展新业态，大力培育沿山地区特色产业、肃南及山丹牧区草地生态畜牧业、灌区绿色高效现代都市农业等三种循环模式。加强秸秆、薪柴等生物质资源收、储、运体系建设，开展秸秆气化、固化、炭化等高效能源化利用。</w:t>
                  </w:r>
                </w:p>
                <w:p w14:paraId="74E690C9">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i w:val="0"/>
                      <w:iCs w:val="0"/>
                      <w:caps w:val="0"/>
                      <w:color w:val="000000"/>
                      <w:spacing w:val="0"/>
                      <w:sz w:val="21"/>
                      <w:szCs w:val="21"/>
                      <w:highlight w:val="none"/>
                      <w:shd w:val="clear" w:fill="FFFFFF"/>
                    </w:rPr>
                  </w:pPr>
                  <w:r>
                    <w:rPr>
                      <w:rFonts w:hint="eastAsia" w:ascii="Times New Roman" w:hAnsi="Times New Roman" w:eastAsia="宋体" w:cs="Times New Roman"/>
                      <w:b w:val="0"/>
                      <w:bCs w:val="0"/>
                      <w:i w:val="0"/>
                      <w:iCs w:val="0"/>
                      <w:caps w:val="0"/>
                      <w:color w:val="000000"/>
                      <w:spacing w:val="0"/>
                      <w:sz w:val="21"/>
                      <w:szCs w:val="21"/>
                      <w:highlight w:val="none"/>
                      <w:shd w:val="clear" w:fill="FFFFFF"/>
                      <w:lang w:val="en-US" w:eastAsia="zh-CN"/>
                    </w:rPr>
                    <w:t>5、</w:t>
                  </w:r>
                  <w:r>
                    <w:rPr>
                      <w:rFonts w:hint="default" w:ascii="Times New Roman" w:hAnsi="Times New Roman" w:eastAsia="宋体" w:cs="Times New Roman"/>
                      <w:b w:val="0"/>
                      <w:bCs w:val="0"/>
                      <w:i w:val="0"/>
                      <w:iCs w:val="0"/>
                      <w:caps w:val="0"/>
                      <w:color w:val="000000"/>
                      <w:spacing w:val="0"/>
                      <w:sz w:val="21"/>
                      <w:szCs w:val="21"/>
                      <w:highlight w:val="none"/>
                      <w:shd w:val="clear" w:fill="FFFFFF"/>
                    </w:rPr>
                    <w:t>有序发展水电，优化风能、太阳能开发布局，鼓励推广燃煤耦合生物质发电，因地制宜发展生物质能、地热能等。继续实施能源消耗总量和强度双控行动。健全节能标准体系，大力开发、推广节能高效技术和产品，逐步实现重点用能行业、设备节能标准全覆盖。</w:t>
                  </w:r>
                </w:p>
                <w:p w14:paraId="6475E923">
                  <w:pPr>
                    <w:pStyle w:val="20"/>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i w:val="0"/>
                      <w:iCs w:val="0"/>
                      <w:caps w:val="0"/>
                      <w:color w:val="000000"/>
                      <w:spacing w:val="0"/>
                      <w:sz w:val="21"/>
                      <w:szCs w:val="21"/>
                      <w:highlight w:val="none"/>
                      <w:shd w:val="clear" w:fill="FFFFFF"/>
                    </w:rPr>
                  </w:pPr>
                  <w:r>
                    <w:rPr>
                      <w:rFonts w:hint="eastAsia" w:ascii="Times New Roman" w:hAnsi="Times New Roman" w:eastAsia="宋体" w:cs="Times New Roman"/>
                      <w:b w:val="0"/>
                      <w:bCs w:val="0"/>
                      <w:i w:val="0"/>
                      <w:iCs w:val="0"/>
                      <w:caps w:val="0"/>
                      <w:color w:val="000000"/>
                      <w:spacing w:val="0"/>
                      <w:sz w:val="21"/>
                      <w:szCs w:val="21"/>
                      <w:highlight w:val="none"/>
                      <w:shd w:val="clear" w:fill="FFFFFF"/>
                      <w:lang w:val="en-US" w:eastAsia="zh-CN"/>
                    </w:rPr>
                    <w:t>6、</w:t>
                  </w:r>
                  <w:r>
                    <w:rPr>
                      <w:rFonts w:hint="default" w:ascii="Times New Roman" w:hAnsi="Times New Roman" w:eastAsia="宋体" w:cs="Times New Roman"/>
                      <w:b w:val="0"/>
                      <w:bCs w:val="0"/>
                      <w:i w:val="0"/>
                      <w:iCs w:val="0"/>
                      <w:caps w:val="0"/>
                      <w:color w:val="000000"/>
                      <w:spacing w:val="0"/>
                      <w:sz w:val="21"/>
                      <w:szCs w:val="21"/>
                      <w:highlight w:val="none"/>
                      <w:shd w:val="clear" w:fill="FFFFFF"/>
                    </w:rPr>
                    <w:t>按照全市煤炭消费总量控制目标，制定年度煤炭消费指标。新建耗煤项目实行煤炭减量替代，降低煤炭在能源消费中的占比，提高电力用煤在煤炭消费总量中的比重。禁燃区内禁止销售、燃用高污染燃料，禁止新建、扩建燃用高污染燃料的设施。区县政府要将禁燃区纳入“网格化”管理范围，组织专门力量，加大宣传动员和检查监控力度，严禁禁燃区内使用《高污染燃料目录》规定的有关高污染燃料。全面查处违反禁燃区规定的行为，对违反禁燃区规定销售、燃用高污染燃料等行为，依照《中华人民共和国大气污染防治法》等法律、法规予以处罚。同重点管控单元要求</w:t>
                  </w:r>
                </w:p>
              </w:tc>
              <w:tc>
                <w:tcPr>
                  <w:tcW w:w="2437" w:type="dxa"/>
                  <w:tcBorders>
                    <w:bottom w:val="single" w:color="000000" w:sz="12" w:space="0"/>
                  </w:tcBorders>
                  <w:shd w:val="clear" w:color="auto" w:fill="auto"/>
                  <w:vAlign w:val="center"/>
                </w:tcPr>
                <w:p w14:paraId="028C34C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eastAsia="宋体" w:cs="Times New Roman"/>
                      <w:b w:val="0"/>
                      <w:bCs w:val="0"/>
                      <w:color w:val="000000"/>
                      <w:spacing w:val="0"/>
                      <w:position w:val="0"/>
                      <w:sz w:val="21"/>
                      <w:szCs w:val="21"/>
                      <w:vertAlign w:val="baseline"/>
                      <w:lang w:val="en-US" w:eastAsia="zh-CN"/>
                    </w:rPr>
                    <w:t>1、</w:t>
                  </w:r>
                  <w:r>
                    <w:rPr>
                      <w:rFonts w:hint="eastAsia" w:ascii="Times New Roman" w:hAnsi="Times New Roman" w:cs="Times New Roman"/>
                      <w:b w:val="0"/>
                      <w:bCs w:val="0"/>
                      <w:color w:val="000000"/>
                      <w:spacing w:val="0"/>
                      <w:position w:val="0"/>
                      <w:sz w:val="21"/>
                      <w:szCs w:val="21"/>
                      <w:vertAlign w:val="baseline"/>
                      <w:lang w:val="en-US" w:eastAsia="zh-CN"/>
                    </w:rPr>
                    <w:t>项目地表水发源于祁连山的黑河及其支流梨园河是流经临泽县的主要河流，黑河多年平均入境水量10.23×108m</w:t>
                  </w:r>
                  <w:r>
                    <w:rPr>
                      <w:rFonts w:hint="eastAsia" w:ascii="Times New Roman" w:hAnsi="Times New Roman" w:cs="Times New Roman"/>
                      <w:b w:val="0"/>
                      <w:bCs w:val="0"/>
                      <w:color w:val="000000"/>
                      <w:spacing w:val="0"/>
                      <w:position w:val="0"/>
                      <w:sz w:val="21"/>
                      <w:szCs w:val="21"/>
                      <w:vertAlign w:val="superscript"/>
                      <w:lang w:val="en-US" w:eastAsia="zh-CN"/>
                    </w:rPr>
                    <w:t>3</w:t>
                  </w:r>
                  <w:r>
                    <w:rPr>
                      <w:rFonts w:hint="eastAsia" w:ascii="Times New Roman" w:hAnsi="Times New Roman" w:cs="Times New Roman"/>
                      <w:b w:val="0"/>
                      <w:bCs w:val="0"/>
                      <w:color w:val="000000"/>
                      <w:spacing w:val="0"/>
                      <w:position w:val="0"/>
                      <w:sz w:val="21"/>
                      <w:szCs w:val="21"/>
                      <w:vertAlign w:val="baseline"/>
                      <w:lang w:val="en-US" w:eastAsia="zh-CN"/>
                    </w:rPr>
                    <w:t>/a。据现场调查，矿区内及外围无河流经过；</w:t>
                  </w:r>
                </w:p>
                <w:p w14:paraId="34EBAA19">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2、不涉及；</w:t>
                  </w:r>
                </w:p>
                <w:p w14:paraId="402D7635">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3、不涉及；</w:t>
                  </w:r>
                </w:p>
                <w:p w14:paraId="6F841D5D">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4、不涉及；</w:t>
                  </w:r>
                </w:p>
                <w:p w14:paraId="529D1606">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5、本项目冬季不生产，不使用锅炉；</w:t>
                  </w:r>
                </w:p>
                <w:p w14:paraId="28466C2C">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eastAsia" w:ascii="Times New Roman" w:hAnsi="Times New Roman" w:eastAsia="宋体" w:cs="Times New Roman"/>
                      <w:b w:val="0"/>
                      <w:bCs w:val="0"/>
                      <w:color w:val="000000"/>
                      <w:spacing w:val="0"/>
                      <w:position w:val="0"/>
                      <w:sz w:val="21"/>
                      <w:szCs w:val="21"/>
                      <w:vertAlign w:val="baseline"/>
                      <w:lang w:val="en-US" w:eastAsia="zh-CN"/>
                    </w:rPr>
                  </w:pPr>
                  <w:r>
                    <w:rPr>
                      <w:rFonts w:hint="eastAsia" w:ascii="Times New Roman" w:hAnsi="Times New Roman" w:cs="Times New Roman"/>
                      <w:b w:val="0"/>
                      <w:bCs w:val="0"/>
                      <w:color w:val="000000"/>
                      <w:spacing w:val="0"/>
                      <w:position w:val="0"/>
                      <w:sz w:val="21"/>
                      <w:szCs w:val="21"/>
                      <w:vertAlign w:val="baseline"/>
                      <w:lang w:val="en-US" w:eastAsia="zh-CN"/>
                    </w:rPr>
                    <w:t>6、项目不使用煤炭作为燃料，办公采用电采暖，设备动力仅使用柴油，不属于新增耗煤建设项目。</w:t>
                  </w:r>
                </w:p>
              </w:tc>
              <w:tc>
                <w:tcPr>
                  <w:tcW w:w="731" w:type="dxa"/>
                  <w:tcBorders>
                    <w:bottom w:val="single" w:color="000000" w:sz="12" w:space="0"/>
                    <w:right w:val="nil"/>
                  </w:tcBorders>
                  <w:shd w:val="clear" w:color="auto" w:fill="auto"/>
                  <w:vAlign w:val="center"/>
                </w:tcPr>
                <w:p w14:paraId="6FA18E38">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center"/>
                    <w:rPr>
                      <w:rFonts w:hint="default" w:ascii="Times New Roman" w:hAnsi="Times New Roman" w:eastAsia="宋体" w:cs="Times New Roman"/>
                      <w:b w:val="0"/>
                      <w:bCs w:val="0"/>
                      <w:color w:val="000000"/>
                      <w:spacing w:val="0"/>
                      <w:position w:val="0"/>
                      <w:sz w:val="21"/>
                      <w:szCs w:val="21"/>
                      <w:vertAlign w:val="baseline"/>
                    </w:rPr>
                  </w:pPr>
                  <w:r>
                    <w:rPr>
                      <w:rFonts w:hint="eastAsia" w:ascii="Times New Roman" w:hAnsi="Times New Roman" w:eastAsia="宋体" w:cs="Times New Roman"/>
                      <w:b w:val="0"/>
                      <w:bCs w:val="0"/>
                      <w:color w:val="000000"/>
                      <w:spacing w:val="0"/>
                      <w:position w:val="0"/>
                      <w:sz w:val="21"/>
                      <w:szCs w:val="21"/>
                      <w:vertAlign w:val="baseline"/>
                      <w:lang w:val="en-US" w:eastAsia="zh-CN"/>
                    </w:rPr>
                    <w:t>符合</w:t>
                  </w:r>
                </w:p>
              </w:tc>
            </w:tr>
          </w:tbl>
          <w:p w14:paraId="6366D41E">
            <w:pPr>
              <w:pStyle w:val="15"/>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本</w:t>
            </w:r>
            <w:r>
              <w:rPr>
                <w:rFonts w:hint="default" w:ascii="Times New Roman" w:hAnsi="Times New Roman" w:eastAsia="宋体" w:cs="Times New Roman"/>
                <w:color w:val="auto"/>
                <w:kern w:val="2"/>
                <w:sz w:val="24"/>
                <w:szCs w:val="24"/>
                <w:highlight w:val="none"/>
                <w:lang w:val="en-US" w:eastAsia="zh-CN" w:bidi="ar"/>
              </w:rPr>
              <w:t>项目与</w:t>
            </w:r>
            <w:bookmarkStart w:id="3" w:name="OLE_LINK4"/>
            <w:r>
              <w:rPr>
                <w:rFonts w:hint="eastAsia" w:eastAsia="宋体"/>
                <w:color w:val="000000" w:themeColor="text1"/>
                <w:sz w:val="24"/>
                <w:highlight w:val="none"/>
                <w:lang w:val="en-US" w:eastAsia="zh-CN"/>
                <w14:textFill>
                  <w14:solidFill>
                    <w14:schemeClr w14:val="tx1"/>
                  </w14:solidFill>
                </w14:textFill>
              </w:rPr>
              <w:t>涉及的环境管控单元</w:t>
            </w:r>
            <w:r>
              <w:rPr>
                <w:rFonts w:hint="default" w:ascii="Times New Roman" w:hAnsi="Times New Roman" w:eastAsia="宋体" w:cs="Times New Roman"/>
                <w:color w:val="auto"/>
                <w:kern w:val="2"/>
                <w:sz w:val="24"/>
                <w:szCs w:val="24"/>
                <w:highlight w:val="none"/>
                <w:lang w:val="en-US" w:eastAsia="zh-CN" w:bidi="ar"/>
              </w:rPr>
              <w:t>生态环境准入清单</w:t>
            </w:r>
            <w:bookmarkEnd w:id="3"/>
            <w:r>
              <w:rPr>
                <w:rFonts w:hint="default" w:ascii="Times New Roman" w:hAnsi="Times New Roman" w:eastAsia="宋体" w:cs="Times New Roman"/>
                <w:color w:val="auto"/>
                <w:kern w:val="2"/>
                <w:sz w:val="24"/>
                <w:szCs w:val="24"/>
                <w:highlight w:val="none"/>
                <w:lang w:val="en-US" w:eastAsia="zh-CN" w:bidi="ar"/>
              </w:rPr>
              <w:t>对照情况</w:t>
            </w:r>
            <w:r>
              <w:rPr>
                <w:rFonts w:hint="eastAsia" w:ascii="Times New Roman" w:hAnsi="Times New Roman" w:eastAsia="宋体" w:cs="Times New Roman"/>
                <w:color w:val="auto"/>
                <w:kern w:val="2"/>
                <w:sz w:val="24"/>
                <w:szCs w:val="24"/>
                <w:highlight w:val="none"/>
                <w:lang w:val="en-US" w:eastAsia="zh-CN" w:bidi="ar"/>
              </w:rPr>
              <w:t>详</w:t>
            </w:r>
            <w:r>
              <w:rPr>
                <w:rFonts w:hint="default" w:ascii="Times New Roman" w:hAnsi="Times New Roman" w:eastAsia="宋体" w:cs="Times New Roman"/>
                <w:color w:val="auto"/>
                <w:kern w:val="2"/>
                <w:sz w:val="24"/>
                <w:szCs w:val="24"/>
                <w:highlight w:val="none"/>
                <w:lang w:val="en-US" w:eastAsia="zh-CN" w:bidi="ar"/>
              </w:rPr>
              <w:t>见</w:t>
            </w:r>
            <w:r>
              <w:rPr>
                <w:rFonts w:hint="eastAsia" w:ascii="Times New Roman" w:hAnsi="Times New Roman" w:eastAsia="宋体" w:cs="Times New Roman"/>
                <w:color w:val="auto"/>
                <w:kern w:val="2"/>
                <w:sz w:val="24"/>
                <w:szCs w:val="24"/>
                <w:highlight w:val="none"/>
                <w:lang w:val="en-US" w:eastAsia="zh-CN" w:bidi="ar"/>
              </w:rPr>
              <w:t>下</w:t>
            </w:r>
            <w:r>
              <w:rPr>
                <w:rFonts w:hint="default" w:ascii="Times New Roman" w:hAnsi="Times New Roman" w:eastAsia="宋体" w:cs="Times New Roman"/>
                <w:color w:val="auto"/>
                <w:kern w:val="2"/>
                <w:sz w:val="24"/>
                <w:szCs w:val="24"/>
                <w:highlight w:val="none"/>
                <w:lang w:val="en-US" w:eastAsia="zh-CN" w:bidi="ar"/>
              </w:rPr>
              <w:t>表</w:t>
            </w:r>
            <w:r>
              <w:rPr>
                <w:rFonts w:hint="eastAsia" w:ascii="Times New Roman" w:hAnsi="Times New Roman" w:eastAsia="宋体" w:cs="Times New Roman"/>
                <w:color w:val="auto"/>
                <w:kern w:val="2"/>
                <w:sz w:val="24"/>
                <w:szCs w:val="24"/>
                <w:highlight w:val="none"/>
                <w:lang w:val="en-US" w:eastAsia="zh-CN" w:bidi="ar"/>
              </w:rPr>
              <w:t>。</w:t>
            </w:r>
          </w:p>
          <w:p w14:paraId="46DE1B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b/>
                <w:bCs/>
                <w:color w:val="000000"/>
                <w:spacing w:val="0"/>
                <w:position w:val="0"/>
                <w:sz w:val="21"/>
                <w:szCs w:val="21"/>
              </w:rPr>
            </w:pPr>
            <w:r>
              <w:rPr>
                <w:rFonts w:hint="eastAsia" w:eastAsia="宋体" w:cs="Times New Roman"/>
                <w:b/>
                <w:bCs/>
                <w:sz w:val="21"/>
                <w:szCs w:val="21"/>
                <w:lang w:val="en-US" w:eastAsia="zh-CN"/>
              </w:rPr>
              <w:t xml:space="preserve">表1-2 </w:t>
            </w:r>
            <w:r>
              <w:rPr>
                <w:rFonts w:hint="default" w:ascii="Times New Roman" w:hAnsi="Times New Roman" w:eastAsia="宋体" w:cs="Times New Roman"/>
                <w:b/>
                <w:bCs/>
                <w:sz w:val="21"/>
                <w:szCs w:val="21"/>
              </w:rPr>
              <w:t>项目与</w:t>
            </w:r>
            <w:r>
              <w:rPr>
                <w:rFonts w:hint="eastAsia" w:ascii="Times New Roman" w:hAnsi="Times New Roman" w:eastAsia="宋体" w:cs="Times New Roman"/>
                <w:b/>
                <w:bCs/>
                <w:sz w:val="21"/>
                <w:szCs w:val="21"/>
                <w:lang w:val="en-US" w:eastAsia="zh-CN"/>
              </w:rPr>
              <w:t>涉及的环境管控单元的</w:t>
            </w:r>
            <w:r>
              <w:rPr>
                <w:rFonts w:hint="default" w:ascii="Times New Roman" w:hAnsi="Times New Roman" w:eastAsia="宋体" w:cs="Times New Roman"/>
                <w:b/>
                <w:bCs/>
                <w:sz w:val="21"/>
                <w:szCs w:val="21"/>
                <w:lang w:val="en-US" w:eastAsia="zh-CN"/>
              </w:rPr>
              <w:t>生态环境准入清单</w:t>
            </w:r>
            <w:r>
              <w:rPr>
                <w:rFonts w:hint="eastAsia" w:ascii="Times New Roman" w:hAnsi="Times New Roman" w:eastAsia="宋体" w:cs="Times New Roman"/>
                <w:b/>
                <w:bCs/>
                <w:sz w:val="21"/>
                <w:szCs w:val="21"/>
                <w:lang w:val="en-US" w:eastAsia="zh-CN"/>
              </w:rPr>
              <w:t>对照一览表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97"/>
              <w:gridCol w:w="793"/>
              <w:gridCol w:w="729"/>
              <w:gridCol w:w="5258"/>
              <w:gridCol w:w="4465"/>
              <w:gridCol w:w="975"/>
            </w:tblGrid>
            <w:tr w14:paraId="49BF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5" w:hRule="atLeast"/>
              </w:trPr>
              <w:tc>
                <w:tcPr>
                  <w:tcW w:w="597" w:type="dxa"/>
                  <w:tcBorders>
                    <w:top w:val="single" w:color="000000" w:sz="12" w:space="0"/>
                    <w:left w:val="nil"/>
                    <w:tl2br w:val="nil"/>
                  </w:tcBorders>
                  <w:shd w:val="clear" w:color="auto" w:fill="auto"/>
                  <w:noWrap w:val="0"/>
                  <w:vAlign w:val="center"/>
                </w:tcPr>
                <w:p w14:paraId="750D4CAE">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lang w:val="en-US" w:eastAsia="zh-CN"/>
                    </w:rPr>
                  </w:pPr>
                  <w:r>
                    <w:rPr>
                      <w:rFonts w:hint="default"/>
                      <w:b w:val="0"/>
                      <w:color w:val="000000"/>
                      <w:lang w:val="en-US" w:eastAsia="zh-CN"/>
                    </w:rPr>
                    <w:t>类别</w:t>
                  </w:r>
                </w:p>
              </w:tc>
              <w:tc>
                <w:tcPr>
                  <w:tcW w:w="793" w:type="dxa"/>
                  <w:tcBorders>
                    <w:top w:val="single" w:color="000000" w:sz="12" w:space="0"/>
                  </w:tcBorders>
                  <w:shd w:val="clear" w:color="auto" w:fill="auto"/>
                  <w:noWrap w:val="0"/>
                  <w:vAlign w:val="center"/>
                </w:tcPr>
                <w:p w14:paraId="17D5FE9D">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lang w:val="en-US" w:eastAsia="zh-CN"/>
                    </w:rPr>
                  </w:pPr>
                  <w:r>
                    <w:rPr>
                      <w:rFonts w:hint="default"/>
                      <w:b w:val="0"/>
                      <w:color w:val="000000"/>
                      <w:lang w:val="en-US" w:eastAsia="zh-CN"/>
                    </w:rPr>
                    <w:t>管控单元</w:t>
                  </w:r>
                </w:p>
              </w:tc>
              <w:tc>
                <w:tcPr>
                  <w:tcW w:w="5987" w:type="dxa"/>
                  <w:gridSpan w:val="2"/>
                  <w:tcBorders>
                    <w:top w:val="single" w:color="000000" w:sz="12" w:space="0"/>
                  </w:tcBorders>
                  <w:shd w:val="clear" w:color="auto" w:fill="auto"/>
                  <w:noWrap w:val="0"/>
                  <w:vAlign w:val="center"/>
                </w:tcPr>
                <w:p w14:paraId="1A70695D">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lang w:val="en-US" w:eastAsia="zh-CN"/>
                    </w:rPr>
                  </w:pPr>
                  <w:r>
                    <w:rPr>
                      <w:rFonts w:hint="default"/>
                      <w:b w:val="0"/>
                      <w:color w:val="000000"/>
                      <w:lang w:val="en-US" w:eastAsia="zh-CN"/>
                    </w:rPr>
                    <w:t>准入要求</w:t>
                  </w:r>
                </w:p>
              </w:tc>
              <w:tc>
                <w:tcPr>
                  <w:tcW w:w="4465" w:type="dxa"/>
                  <w:tcBorders>
                    <w:top w:val="single" w:color="000000" w:sz="12" w:space="0"/>
                  </w:tcBorders>
                  <w:shd w:val="clear" w:color="auto" w:fill="auto"/>
                  <w:noWrap w:val="0"/>
                  <w:vAlign w:val="center"/>
                </w:tcPr>
                <w:p w14:paraId="3A54A994">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lang w:val="en-US" w:eastAsia="zh-CN"/>
                    </w:rPr>
                  </w:pPr>
                  <w:r>
                    <w:rPr>
                      <w:rFonts w:hint="default"/>
                      <w:b w:val="0"/>
                      <w:color w:val="000000"/>
                      <w:lang w:val="en-US" w:eastAsia="zh-CN"/>
                    </w:rPr>
                    <w:t>本项目情况</w:t>
                  </w:r>
                </w:p>
              </w:tc>
              <w:tc>
                <w:tcPr>
                  <w:tcW w:w="975" w:type="dxa"/>
                  <w:tcBorders>
                    <w:top w:val="single" w:color="000000" w:sz="12" w:space="0"/>
                    <w:right w:val="nil"/>
                  </w:tcBorders>
                  <w:shd w:val="clear" w:color="auto" w:fill="auto"/>
                  <w:noWrap w:val="0"/>
                  <w:vAlign w:val="center"/>
                </w:tcPr>
                <w:p w14:paraId="11720742">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符合性</w:t>
                  </w:r>
                </w:p>
              </w:tc>
            </w:tr>
            <w:tr w14:paraId="4CED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5" w:hRule="atLeast"/>
              </w:trPr>
              <w:tc>
                <w:tcPr>
                  <w:tcW w:w="597" w:type="dxa"/>
                  <w:vMerge w:val="restart"/>
                  <w:tcBorders>
                    <w:left w:val="nil"/>
                  </w:tcBorders>
                  <w:shd w:val="clear" w:color="auto" w:fill="auto"/>
                  <w:noWrap w:val="0"/>
                  <w:vAlign w:val="center"/>
                </w:tcPr>
                <w:p w14:paraId="3A59D65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临泽县环境管控单元准入清单</w:t>
                  </w:r>
                </w:p>
                <w:p w14:paraId="6A25BFC6">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p>
              </w:tc>
              <w:tc>
                <w:tcPr>
                  <w:tcW w:w="793" w:type="dxa"/>
                  <w:vMerge w:val="restart"/>
                  <w:shd w:val="clear" w:color="auto" w:fill="auto"/>
                  <w:noWrap w:val="0"/>
                  <w:vAlign w:val="center"/>
                </w:tcPr>
                <w:p w14:paraId="680D4513">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临泽县一般管控单元</w:t>
                  </w:r>
                </w:p>
                <w:p w14:paraId="6A32B6C7">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p>
              </w:tc>
              <w:tc>
                <w:tcPr>
                  <w:tcW w:w="729" w:type="dxa"/>
                  <w:shd w:val="clear" w:color="auto" w:fill="auto"/>
                  <w:noWrap w:val="0"/>
                  <w:vAlign w:val="center"/>
                </w:tcPr>
                <w:p w14:paraId="08637E96">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空间布局约束</w:t>
                  </w:r>
                </w:p>
              </w:tc>
              <w:tc>
                <w:tcPr>
                  <w:tcW w:w="5258" w:type="dxa"/>
                  <w:shd w:val="clear" w:color="auto" w:fill="auto"/>
                  <w:noWrap w:val="0"/>
                  <w:vAlign w:val="center"/>
                </w:tcPr>
                <w:p w14:paraId="03939026">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执行全省和张掖市生态环境总体准入清单中一般管控单元的空间布局约束要求。</w:t>
                  </w:r>
                </w:p>
              </w:tc>
              <w:tc>
                <w:tcPr>
                  <w:tcW w:w="4465" w:type="dxa"/>
                  <w:shd w:val="clear" w:color="auto" w:fill="auto"/>
                  <w:noWrap w:val="0"/>
                  <w:vAlign w:val="center"/>
                </w:tcPr>
                <w:p w14:paraId="2FC9465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项目符合全省及张掖市生态环境总体准入清单中关于一般管控单元空间布局约束要求。</w:t>
                  </w:r>
                </w:p>
              </w:tc>
              <w:tc>
                <w:tcPr>
                  <w:tcW w:w="975" w:type="dxa"/>
                  <w:tcBorders>
                    <w:right w:val="nil"/>
                  </w:tcBorders>
                  <w:shd w:val="clear" w:color="auto" w:fill="auto"/>
                  <w:noWrap w:val="0"/>
                  <w:vAlign w:val="center"/>
                </w:tcPr>
                <w:p w14:paraId="71F315B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color w:val="000000"/>
                      <w:lang w:val="en-US" w:eastAsia="zh-CN"/>
                    </w:rPr>
                  </w:pPr>
                  <w:r>
                    <w:rPr>
                      <w:rFonts w:hint="eastAsia"/>
                      <w:b w:val="0"/>
                      <w:color w:val="000000"/>
                      <w:lang w:val="en-US" w:eastAsia="zh-CN"/>
                    </w:rPr>
                    <w:t>符合</w:t>
                  </w:r>
                </w:p>
              </w:tc>
            </w:tr>
            <w:tr w14:paraId="54B6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3" w:hRule="atLeast"/>
              </w:trPr>
              <w:tc>
                <w:tcPr>
                  <w:tcW w:w="597" w:type="dxa"/>
                  <w:vMerge w:val="continue"/>
                  <w:tcBorders>
                    <w:left w:val="nil"/>
                  </w:tcBorders>
                  <w:shd w:val="clear" w:color="auto" w:fill="auto"/>
                  <w:noWrap w:val="0"/>
                  <w:vAlign w:val="center"/>
                </w:tcPr>
                <w:p w14:paraId="3FEDB842">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p>
              </w:tc>
              <w:tc>
                <w:tcPr>
                  <w:tcW w:w="793" w:type="dxa"/>
                  <w:vMerge w:val="continue"/>
                  <w:shd w:val="clear" w:color="auto" w:fill="auto"/>
                  <w:noWrap w:val="0"/>
                  <w:vAlign w:val="center"/>
                </w:tcPr>
                <w:p w14:paraId="1EBFAE6C">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p>
              </w:tc>
              <w:tc>
                <w:tcPr>
                  <w:tcW w:w="729" w:type="dxa"/>
                  <w:shd w:val="clear" w:color="auto" w:fill="auto"/>
                  <w:noWrap w:val="0"/>
                  <w:vAlign w:val="center"/>
                </w:tcPr>
                <w:p w14:paraId="37258682">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污染物排放管控</w:t>
                  </w:r>
                </w:p>
              </w:tc>
              <w:tc>
                <w:tcPr>
                  <w:tcW w:w="5258" w:type="dxa"/>
                  <w:shd w:val="clear" w:color="auto" w:fill="auto"/>
                  <w:noWrap w:val="0"/>
                  <w:vAlign w:val="center"/>
                </w:tcPr>
                <w:p w14:paraId="1D6D5C12">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执行全省和张掖市生态环境总体准入清单中一般管控单元的污染物排放管控要求。</w:t>
                  </w:r>
                </w:p>
              </w:tc>
              <w:tc>
                <w:tcPr>
                  <w:tcW w:w="4465" w:type="dxa"/>
                  <w:shd w:val="clear" w:color="auto" w:fill="auto"/>
                  <w:noWrap w:val="0"/>
                  <w:vAlign w:val="center"/>
                </w:tcPr>
                <w:p w14:paraId="1EA867A7">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项目符合甘肃省和张掖市生态环境总体准入清单中一般管控单元污染物排放管控要求</w:t>
                  </w:r>
                </w:p>
              </w:tc>
              <w:tc>
                <w:tcPr>
                  <w:tcW w:w="975" w:type="dxa"/>
                  <w:tcBorders>
                    <w:right w:val="nil"/>
                  </w:tcBorders>
                  <w:shd w:val="clear" w:color="auto" w:fill="auto"/>
                  <w:noWrap w:val="0"/>
                  <w:vAlign w:val="center"/>
                </w:tcPr>
                <w:p w14:paraId="553163D7">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eastAsia"/>
                      <w:b w:val="0"/>
                      <w:color w:val="000000"/>
                      <w:lang w:val="en-US" w:eastAsia="zh-CN"/>
                    </w:rPr>
                    <w:t>符合</w:t>
                  </w:r>
                </w:p>
              </w:tc>
            </w:tr>
            <w:tr w14:paraId="1745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5" w:hRule="atLeast"/>
              </w:trPr>
              <w:tc>
                <w:tcPr>
                  <w:tcW w:w="597" w:type="dxa"/>
                  <w:vMerge w:val="continue"/>
                  <w:tcBorders>
                    <w:left w:val="nil"/>
                  </w:tcBorders>
                  <w:shd w:val="clear" w:color="auto" w:fill="auto"/>
                  <w:noWrap w:val="0"/>
                  <w:vAlign w:val="center"/>
                </w:tcPr>
                <w:p w14:paraId="36361776">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p>
              </w:tc>
              <w:tc>
                <w:tcPr>
                  <w:tcW w:w="793" w:type="dxa"/>
                  <w:vMerge w:val="continue"/>
                  <w:shd w:val="clear" w:color="auto" w:fill="auto"/>
                  <w:noWrap w:val="0"/>
                  <w:vAlign w:val="center"/>
                </w:tcPr>
                <w:p w14:paraId="74CFF233">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p>
              </w:tc>
              <w:tc>
                <w:tcPr>
                  <w:tcW w:w="729" w:type="dxa"/>
                  <w:shd w:val="clear" w:color="auto" w:fill="auto"/>
                  <w:noWrap w:val="0"/>
                  <w:vAlign w:val="center"/>
                </w:tcPr>
                <w:p w14:paraId="120DD52E">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环境风险防控</w:t>
                  </w:r>
                </w:p>
              </w:tc>
              <w:tc>
                <w:tcPr>
                  <w:tcW w:w="5258" w:type="dxa"/>
                  <w:shd w:val="clear" w:color="auto" w:fill="auto"/>
                  <w:noWrap w:val="0"/>
                  <w:vAlign w:val="center"/>
                </w:tcPr>
                <w:p w14:paraId="67165A09">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执行全省和张掖市生态环境总体准入清单中一般管控单元的环境风险防控要求。</w:t>
                  </w:r>
                </w:p>
              </w:tc>
              <w:tc>
                <w:tcPr>
                  <w:tcW w:w="4465" w:type="dxa"/>
                  <w:shd w:val="clear" w:color="auto" w:fill="auto"/>
                  <w:noWrap w:val="0"/>
                  <w:vAlign w:val="center"/>
                </w:tcPr>
                <w:p w14:paraId="49D8327D">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项目符合全省和张掖市生态环境总体准入清单中一般管控单元的环境风险防控要求。</w:t>
                  </w:r>
                </w:p>
              </w:tc>
              <w:tc>
                <w:tcPr>
                  <w:tcW w:w="975" w:type="dxa"/>
                  <w:tcBorders>
                    <w:right w:val="nil"/>
                  </w:tcBorders>
                  <w:shd w:val="clear" w:color="auto" w:fill="auto"/>
                  <w:noWrap w:val="0"/>
                  <w:vAlign w:val="center"/>
                </w:tcPr>
                <w:p w14:paraId="1128325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eastAsia"/>
                      <w:b w:val="0"/>
                      <w:color w:val="000000"/>
                      <w:lang w:val="en-US" w:eastAsia="zh-CN"/>
                    </w:rPr>
                    <w:t>符合</w:t>
                  </w:r>
                </w:p>
              </w:tc>
            </w:tr>
            <w:tr w14:paraId="5651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3" w:hRule="atLeast"/>
              </w:trPr>
              <w:tc>
                <w:tcPr>
                  <w:tcW w:w="597" w:type="dxa"/>
                  <w:vMerge w:val="continue"/>
                  <w:tcBorders>
                    <w:left w:val="nil"/>
                  </w:tcBorders>
                  <w:shd w:val="clear" w:color="auto" w:fill="auto"/>
                  <w:noWrap w:val="0"/>
                  <w:vAlign w:val="center"/>
                </w:tcPr>
                <w:p w14:paraId="01DBE199">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p>
              </w:tc>
              <w:tc>
                <w:tcPr>
                  <w:tcW w:w="793" w:type="dxa"/>
                  <w:vMerge w:val="continue"/>
                  <w:shd w:val="clear" w:color="auto" w:fill="auto"/>
                  <w:noWrap w:val="0"/>
                  <w:vAlign w:val="center"/>
                </w:tcPr>
                <w:p w14:paraId="0CB745CD">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p>
              </w:tc>
              <w:tc>
                <w:tcPr>
                  <w:tcW w:w="729" w:type="dxa"/>
                  <w:shd w:val="clear" w:color="auto" w:fill="auto"/>
                  <w:noWrap w:val="0"/>
                  <w:vAlign w:val="center"/>
                </w:tcPr>
                <w:p w14:paraId="712C4EEB">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资源利用效率要求</w:t>
                  </w:r>
                </w:p>
              </w:tc>
              <w:tc>
                <w:tcPr>
                  <w:tcW w:w="5258" w:type="dxa"/>
                  <w:shd w:val="clear" w:color="auto" w:fill="auto"/>
                  <w:noWrap w:val="0"/>
                  <w:vAlign w:val="center"/>
                </w:tcPr>
                <w:p w14:paraId="114AC1EC">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执行全省和张掖市生态环境总体准入清单中一般管控单元的资源利用效率要求</w:t>
                  </w:r>
                </w:p>
              </w:tc>
              <w:tc>
                <w:tcPr>
                  <w:tcW w:w="4465" w:type="dxa"/>
                  <w:shd w:val="clear" w:color="auto" w:fill="auto"/>
                  <w:noWrap w:val="0"/>
                  <w:vAlign w:val="center"/>
                </w:tcPr>
                <w:p w14:paraId="4BA6FD28">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default"/>
                      <w:b w:val="0"/>
                      <w:color w:val="000000"/>
                      <w:lang w:val="en-US" w:eastAsia="zh-CN"/>
                    </w:rPr>
                    <w:t>项目符合全省和张掖市生态环境总体准入清单中一般管控单元的资源利用效率要求</w:t>
                  </w:r>
                </w:p>
              </w:tc>
              <w:tc>
                <w:tcPr>
                  <w:tcW w:w="975" w:type="dxa"/>
                  <w:tcBorders>
                    <w:right w:val="nil"/>
                  </w:tcBorders>
                  <w:shd w:val="clear" w:color="auto" w:fill="auto"/>
                  <w:noWrap w:val="0"/>
                  <w:vAlign w:val="center"/>
                </w:tcPr>
                <w:p w14:paraId="53E69DAC">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rPr>
                  </w:pPr>
                  <w:r>
                    <w:rPr>
                      <w:rFonts w:hint="eastAsia"/>
                      <w:b w:val="0"/>
                      <w:color w:val="000000"/>
                      <w:lang w:val="en-US" w:eastAsia="zh-CN"/>
                    </w:rPr>
                    <w:t>符合</w:t>
                  </w:r>
                </w:p>
              </w:tc>
            </w:tr>
            <w:tr w14:paraId="70FB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2" w:hRule="atLeast"/>
              </w:trPr>
              <w:tc>
                <w:tcPr>
                  <w:tcW w:w="597" w:type="dxa"/>
                  <w:vMerge w:val="continue"/>
                  <w:tcBorders>
                    <w:left w:val="nil"/>
                  </w:tcBorders>
                  <w:shd w:val="clear" w:color="auto" w:fill="auto"/>
                  <w:noWrap w:val="0"/>
                  <w:vAlign w:val="center"/>
                </w:tcPr>
                <w:p w14:paraId="7712FE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lang w:val="en-US" w:eastAsia="zh-CN"/>
                    </w:rPr>
                  </w:pPr>
                </w:p>
              </w:tc>
              <w:tc>
                <w:tcPr>
                  <w:tcW w:w="793" w:type="dxa"/>
                  <w:vMerge w:val="restart"/>
                  <w:shd w:val="clear" w:color="auto" w:fill="auto"/>
                  <w:noWrap w:val="0"/>
                  <w:vAlign w:val="center"/>
                </w:tcPr>
                <w:p w14:paraId="1BAE33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lang w:val="en-US" w:eastAsia="zh-CN"/>
                    </w:rPr>
                  </w:pPr>
                  <w:r>
                    <w:rPr>
                      <w:rFonts w:hint="eastAsia" w:ascii="Times New Roman" w:hAnsi="Times New Roman" w:eastAsia="宋体" w:cs="Times New Roman"/>
                      <w:b w:val="0"/>
                      <w:color w:val="000000"/>
                      <w:lang w:val="en-US" w:eastAsia="zh-CN"/>
                    </w:rPr>
                    <w:t>临泽县城镇空间重点管控单元</w:t>
                  </w:r>
                </w:p>
              </w:tc>
              <w:tc>
                <w:tcPr>
                  <w:tcW w:w="729" w:type="dxa"/>
                  <w:shd w:val="clear" w:color="auto" w:fill="auto"/>
                  <w:noWrap w:val="0"/>
                  <w:vAlign w:val="center"/>
                </w:tcPr>
                <w:p w14:paraId="1AE009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lang w:val="en-US" w:eastAsia="zh-CN"/>
                    </w:rPr>
                  </w:pPr>
                  <w:r>
                    <w:rPr>
                      <w:rFonts w:hint="eastAsia" w:ascii="Times New Roman" w:hAnsi="Times New Roman" w:eastAsia="宋体" w:cs="Times New Roman"/>
                      <w:b w:val="0"/>
                      <w:color w:val="000000"/>
                      <w:lang w:val="en-US" w:eastAsia="zh-CN"/>
                    </w:rPr>
                    <w:t>空间布局约束</w:t>
                  </w:r>
                </w:p>
              </w:tc>
              <w:tc>
                <w:tcPr>
                  <w:tcW w:w="5258" w:type="dxa"/>
                  <w:shd w:val="clear" w:color="auto" w:fill="auto"/>
                  <w:noWrap w:val="0"/>
                  <w:vAlign w:val="center"/>
                </w:tcPr>
                <w:p w14:paraId="4104178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1.执行全省及张掖市生态环境总体准入清单中关于重点管控单元空间布局约束要求。落实主体功能区规划、国土空间规划等要求。</w:t>
                  </w:r>
                </w:p>
                <w:p w14:paraId="5991647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2.不得在县城及乡镇规划区周边</w:t>
                  </w:r>
                  <w:r>
                    <w:rPr>
                      <w:rFonts w:hint="eastAsia" w:ascii="Times New Roman" w:hAnsi="Times New Roman" w:eastAsia="宋体" w:cs="Times New Roman"/>
                      <w:b w:val="0"/>
                      <w:color w:val="000000"/>
                      <w:lang w:val="en-US" w:eastAsia="zh-CN"/>
                    </w:rPr>
                    <w:t>5</w:t>
                  </w:r>
                  <w:r>
                    <w:rPr>
                      <w:rFonts w:hint="default" w:ascii="Times New Roman" w:hAnsi="Times New Roman" w:eastAsia="宋体" w:cs="Times New Roman"/>
                      <w:b w:val="0"/>
                      <w:color w:val="000000"/>
                      <w:lang w:val="en-US" w:eastAsia="zh-CN"/>
                    </w:rPr>
                    <w:t>00米范围内布局养殖区。</w:t>
                  </w:r>
                </w:p>
              </w:tc>
              <w:tc>
                <w:tcPr>
                  <w:tcW w:w="4465" w:type="dxa"/>
                  <w:shd w:val="clear" w:color="auto" w:fill="auto"/>
                  <w:noWrap w:val="0"/>
                  <w:vAlign w:val="center"/>
                </w:tcPr>
                <w:p w14:paraId="0BFCA748">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b w:val="0"/>
                      <w:color w:val="000000"/>
                      <w:lang w:val="en-US" w:eastAsia="zh-CN"/>
                    </w:rPr>
                  </w:pPr>
                  <w:r>
                    <w:rPr>
                      <w:rFonts w:hint="eastAsia" w:ascii="Times New Roman" w:hAnsi="Times New Roman" w:eastAsia="宋体" w:cs="Times New Roman"/>
                      <w:b w:val="0"/>
                      <w:color w:val="000000"/>
                      <w:lang w:val="en-US" w:eastAsia="zh-CN"/>
                    </w:rPr>
                    <w:t>1、项目符合</w:t>
                  </w:r>
                  <w:r>
                    <w:rPr>
                      <w:rFonts w:hint="default" w:ascii="Times New Roman" w:hAnsi="Times New Roman" w:eastAsia="宋体" w:cs="Times New Roman"/>
                      <w:b w:val="0"/>
                      <w:color w:val="000000"/>
                      <w:lang w:val="en-US" w:eastAsia="zh-CN"/>
                    </w:rPr>
                    <w:t>全省及张掖市生态环境总体准入清单中关于重点管控单元空间布局约束要求</w:t>
                  </w:r>
                  <w:r>
                    <w:rPr>
                      <w:rFonts w:hint="eastAsia" w:ascii="Times New Roman" w:hAnsi="Times New Roman" w:eastAsia="宋体" w:cs="Times New Roman"/>
                      <w:b w:val="0"/>
                      <w:color w:val="000000"/>
                      <w:lang w:val="en-US" w:eastAsia="zh-CN"/>
                    </w:rPr>
                    <w:t>；</w:t>
                  </w:r>
                </w:p>
                <w:p w14:paraId="32A286A8">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lang w:val="en-US" w:eastAsia="zh-CN"/>
                    </w:rPr>
                  </w:pPr>
                  <w:r>
                    <w:rPr>
                      <w:rFonts w:hint="eastAsia" w:ascii="Times New Roman" w:hAnsi="Times New Roman" w:eastAsia="宋体" w:cs="Times New Roman"/>
                      <w:b w:val="0"/>
                      <w:color w:val="000000"/>
                      <w:lang w:val="en-US" w:eastAsia="zh-CN"/>
                    </w:rPr>
                    <w:t>2、项目</w:t>
                  </w:r>
                  <w:r>
                    <w:rPr>
                      <w:rFonts w:hint="eastAsia"/>
                      <w:b w:val="0"/>
                      <w:color w:val="000000"/>
                      <w:lang w:val="en-US" w:eastAsia="zh-CN"/>
                    </w:rPr>
                    <w:t>凹凸棒石粘土矿及石膏矿</w:t>
                  </w:r>
                  <w:r>
                    <w:rPr>
                      <w:rFonts w:hint="default"/>
                      <w:b w:val="0"/>
                      <w:color w:val="000000"/>
                      <w:lang w:val="en-US" w:eastAsia="zh-CN"/>
                    </w:rPr>
                    <w:t>开采项目</w:t>
                  </w:r>
                  <w:r>
                    <w:rPr>
                      <w:rFonts w:hint="eastAsia"/>
                      <w:b w:val="0"/>
                      <w:color w:val="000000"/>
                      <w:lang w:val="en-US" w:eastAsia="zh-CN"/>
                    </w:rPr>
                    <w:t>，不属于养殖项目。</w:t>
                  </w:r>
                </w:p>
              </w:tc>
              <w:tc>
                <w:tcPr>
                  <w:tcW w:w="975" w:type="dxa"/>
                  <w:tcBorders>
                    <w:right w:val="nil"/>
                  </w:tcBorders>
                  <w:shd w:val="clear" w:color="auto" w:fill="auto"/>
                  <w:noWrap w:val="0"/>
                  <w:vAlign w:val="center"/>
                </w:tcPr>
                <w:p w14:paraId="71A1172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lang w:val="en-US" w:eastAsia="zh-CN"/>
                    </w:rPr>
                  </w:pPr>
                  <w:r>
                    <w:rPr>
                      <w:rFonts w:hint="eastAsia"/>
                      <w:b w:val="0"/>
                      <w:color w:val="000000"/>
                      <w:lang w:val="en-US" w:eastAsia="zh-CN"/>
                    </w:rPr>
                    <w:t>符合</w:t>
                  </w:r>
                </w:p>
              </w:tc>
            </w:tr>
            <w:tr w14:paraId="1F17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77" w:hRule="atLeast"/>
              </w:trPr>
              <w:tc>
                <w:tcPr>
                  <w:tcW w:w="597" w:type="dxa"/>
                  <w:vMerge w:val="continue"/>
                  <w:tcBorders>
                    <w:left w:val="nil"/>
                  </w:tcBorders>
                  <w:shd w:val="clear" w:color="auto" w:fill="auto"/>
                  <w:noWrap w:val="0"/>
                  <w:vAlign w:val="center"/>
                </w:tcPr>
                <w:p w14:paraId="113B67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793" w:type="dxa"/>
                  <w:vMerge w:val="continue"/>
                  <w:shd w:val="clear" w:color="auto" w:fill="auto"/>
                  <w:noWrap w:val="0"/>
                  <w:vAlign w:val="center"/>
                </w:tcPr>
                <w:p w14:paraId="2E94E8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729" w:type="dxa"/>
                  <w:shd w:val="clear" w:color="auto" w:fill="auto"/>
                  <w:noWrap w:val="0"/>
                  <w:vAlign w:val="center"/>
                </w:tcPr>
                <w:p w14:paraId="6DF07C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污染物排放管控</w:t>
                  </w:r>
                </w:p>
              </w:tc>
              <w:tc>
                <w:tcPr>
                  <w:tcW w:w="5258" w:type="dxa"/>
                  <w:shd w:val="clear" w:color="auto" w:fill="auto"/>
                  <w:noWrap w:val="0"/>
                  <w:vAlign w:val="center"/>
                </w:tcPr>
                <w:p w14:paraId="2A481120">
                  <w:pPr>
                    <w:pStyle w:val="59"/>
                    <w:keepNext w:val="0"/>
                    <w:keepLines w:val="0"/>
                    <w:pageBreakBefore w:val="0"/>
                    <w:widowControl w:val="0"/>
                    <w:kinsoku/>
                    <w:wordWrap/>
                    <w:overflowPunct/>
                    <w:topLinePunct w:val="0"/>
                    <w:autoSpaceDE w:val="0"/>
                    <w:autoSpaceDN w:val="0"/>
                    <w:bidi w:val="0"/>
                    <w:adjustRightInd/>
                    <w:snapToGrid/>
                    <w:spacing w:before="0" w:line="240" w:lineRule="auto"/>
                    <w:ind w:right="94" w:right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1.执行甘肃省和张掖市生态环境总体准入清单中重点管控单元污染物排放管控要求。推进重点行业水污染治理升级改造，确保污水稳定达标排放。</w:t>
                  </w:r>
                </w:p>
                <w:p w14:paraId="0B4B7B5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color w:val="auto"/>
                      <w:kern w:val="2"/>
                      <w:sz w:val="21"/>
                      <w:szCs w:val="21"/>
                      <w:lang w:val="en-US" w:eastAsia="zh-CN" w:bidi="ar-SA"/>
                    </w:rPr>
                    <w:t>2.按照张掖市污染防治年度工作方案，强化城镇生活污染防治。执行甘肃省和张掖市生态环境总体准入清单中重点管控单元污染物排放管控要求。推进重点行业水污染治理升级改造，确保污水稳定达标排放。</w:t>
                  </w:r>
                </w:p>
              </w:tc>
              <w:tc>
                <w:tcPr>
                  <w:tcW w:w="4465" w:type="dxa"/>
                  <w:shd w:val="clear" w:color="auto" w:fill="auto"/>
                  <w:noWrap w:val="0"/>
                  <w:vAlign w:val="center"/>
                </w:tcPr>
                <w:p w14:paraId="2205CFF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w:t>
                  </w:r>
                  <w:r>
                    <w:rPr>
                      <w:rFonts w:hint="eastAsia" w:cs="Times New Roman"/>
                      <w:b w:val="0"/>
                      <w:color w:val="000000"/>
                      <w:sz w:val="21"/>
                      <w:szCs w:val="21"/>
                      <w:lang w:val="en-US" w:eastAsia="zh-CN"/>
                    </w:rPr>
                    <w:t>2</w:t>
                  </w:r>
                  <w:r>
                    <w:rPr>
                      <w:rFonts w:hint="eastAsia" w:ascii="Times New Roman" w:hAnsi="Times New Roman" w:eastAsia="宋体" w:cs="Times New Roman"/>
                      <w:b w:val="0"/>
                      <w:color w:val="000000"/>
                      <w:sz w:val="21"/>
                      <w:szCs w:val="21"/>
                      <w:lang w:val="en-US" w:eastAsia="zh-CN"/>
                    </w:rPr>
                    <w:t>项目</w:t>
                  </w:r>
                  <w:r>
                    <w:rPr>
                      <w:rFonts w:hint="default" w:ascii="Times New Roman" w:hAnsi="Times New Roman" w:eastAsia="宋体" w:cs="Times New Roman"/>
                      <w:color w:val="auto"/>
                      <w:kern w:val="2"/>
                      <w:sz w:val="21"/>
                      <w:szCs w:val="21"/>
                      <w:lang w:val="en-US" w:eastAsia="zh-CN" w:bidi="ar-SA"/>
                    </w:rPr>
                    <w:t>执行甘肃省和张掖市生态环境总体准入清单中重点管控单元污染物排放管控要求</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b w:val="0"/>
                      <w:color w:val="000000"/>
                      <w:sz w:val="21"/>
                      <w:szCs w:val="21"/>
                      <w:lang w:val="en-US" w:eastAsia="zh-CN"/>
                    </w:rPr>
                    <w:t>生产废水</w:t>
                  </w:r>
                  <w:r>
                    <w:rPr>
                      <w:rFonts w:hint="eastAsia" w:cs="Times New Roman"/>
                      <w:b w:val="0"/>
                      <w:color w:val="000000"/>
                      <w:sz w:val="21"/>
                      <w:szCs w:val="21"/>
                      <w:lang w:val="en-US" w:eastAsia="zh-CN"/>
                    </w:rPr>
                    <w:t>主要</w:t>
                  </w:r>
                  <w:r>
                    <w:rPr>
                      <w:rFonts w:hint="default" w:ascii="Times New Roman" w:hAnsi="Times New Roman" w:eastAsia="宋体" w:cs="Times New Roman"/>
                      <w:b w:val="0"/>
                      <w:color w:val="000000"/>
                      <w:sz w:val="21"/>
                      <w:szCs w:val="21"/>
                      <w:lang w:val="en-US" w:eastAsia="zh-CN"/>
                    </w:rPr>
                    <w:t>包括采场降尘、道路降尘等，全部以蒸发形式损失，不外排</w:t>
                  </w:r>
                  <w:r>
                    <w:rPr>
                      <w:rFonts w:hint="eastAsia" w:cs="Times New Roman"/>
                      <w:b w:val="0"/>
                      <w:color w:val="000000"/>
                      <w:sz w:val="21"/>
                      <w:szCs w:val="21"/>
                      <w:lang w:val="en-US" w:eastAsia="zh-CN"/>
                    </w:rPr>
                    <w:t>，生活污水</w:t>
                  </w:r>
                  <w:r>
                    <w:rPr>
                      <w:rFonts w:hint="default" w:ascii="Times New Roman" w:hAnsi="Times New Roman" w:eastAsia="宋体" w:cs="Times New Roman"/>
                      <w:b w:val="0"/>
                      <w:color w:val="000000"/>
                      <w:sz w:val="21"/>
                      <w:szCs w:val="21"/>
                      <w:lang w:val="en-US" w:eastAsia="zh-CN"/>
                    </w:rPr>
                    <w:t>环保早厕，定期清掏用作农肥；日常洗漱废水泼洒抑尘</w:t>
                  </w:r>
                  <w:r>
                    <w:rPr>
                      <w:rFonts w:hint="eastAsia" w:cs="Times New Roman"/>
                      <w:b w:val="0"/>
                      <w:color w:val="000000"/>
                      <w:sz w:val="21"/>
                      <w:szCs w:val="21"/>
                      <w:lang w:val="en-US" w:eastAsia="zh-CN"/>
                    </w:rPr>
                    <w:t>等。</w:t>
                  </w:r>
                </w:p>
              </w:tc>
              <w:tc>
                <w:tcPr>
                  <w:tcW w:w="975" w:type="dxa"/>
                  <w:tcBorders>
                    <w:right w:val="nil"/>
                  </w:tcBorders>
                  <w:shd w:val="clear" w:color="auto" w:fill="auto"/>
                  <w:noWrap w:val="0"/>
                  <w:vAlign w:val="center"/>
                </w:tcPr>
                <w:p w14:paraId="576DF0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b w:val="0"/>
                      <w:color w:val="000000"/>
                      <w:lang w:val="en-US" w:eastAsia="zh-CN"/>
                    </w:rPr>
                    <w:t>符合</w:t>
                  </w:r>
                </w:p>
              </w:tc>
            </w:tr>
            <w:tr w14:paraId="684F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5" w:hRule="atLeast"/>
              </w:trPr>
              <w:tc>
                <w:tcPr>
                  <w:tcW w:w="597" w:type="dxa"/>
                  <w:vMerge w:val="continue"/>
                  <w:tcBorders>
                    <w:left w:val="nil"/>
                  </w:tcBorders>
                  <w:shd w:val="clear" w:color="auto" w:fill="auto"/>
                  <w:noWrap w:val="0"/>
                  <w:vAlign w:val="center"/>
                </w:tcPr>
                <w:p w14:paraId="5D78DC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793" w:type="dxa"/>
                  <w:vMerge w:val="continue"/>
                  <w:shd w:val="clear" w:color="auto" w:fill="auto"/>
                  <w:noWrap w:val="0"/>
                  <w:vAlign w:val="center"/>
                </w:tcPr>
                <w:p w14:paraId="77CF82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729" w:type="dxa"/>
                  <w:shd w:val="clear" w:color="auto" w:fill="auto"/>
                  <w:noWrap w:val="0"/>
                  <w:vAlign w:val="center"/>
                </w:tcPr>
                <w:p w14:paraId="6FBE88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环境风险防控</w:t>
                  </w:r>
                </w:p>
              </w:tc>
              <w:tc>
                <w:tcPr>
                  <w:tcW w:w="5258" w:type="dxa"/>
                  <w:shd w:val="clear" w:color="auto" w:fill="auto"/>
                  <w:noWrap w:val="0"/>
                  <w:vAlign w:val="center"/>
                </w:tcPr>
                <w:p w14:paraId="49A15FC6">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color w:val="auto"/>
                      <w:kern w:val="2"/>
                      <w:sz w:val="21"/>
                      <w:szCs w:val="21"/>
                      <w:lang w:val="en-US" w:eastAsia="zh-CN" w:bidi="ar-SA"/>
                    </w:rPr>
                    <w:t>执行甘肃省和张掖市生态环境总体准入清单中重点管控单元的环境风险防控要求</w:t>
                  </w:r>
                  <w:r>
                    <w:rPr>
                      <w:rFonts w:hint="eastAsia" w:ascii="Times New Roman" w:hAnsi="Times New Roman" w:eastAsia="宋体" w:cs="Times New Roman"/>
                      <w:color w:val="auto"/>
                      <w:kern w:val="2"/>
                      <w:sz w:val="21"/>
                      <w:szCs w:val="21"/>
                      <w:lang w:val="en-US" w:eastAsia="zh-CN" w:bidi="ar-SA"/>
                    </w:rPr>
                    <w:t>。</w:t>
                  </w:r>
                </w:p>
              </w:tc>
              <w:tc>
                <w:tcPr>
                  <w:tcW w:w="4465" w:type="dxa"/>
                  <w:shd w:val="clear" w:color="auto" w:fill="auto"/>
                  <w:noWrap w:val="0"/>
                  <w:vAlign w:val="center"/>
                </w:tcPr>
                <w:p w14:paraId="03BA44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1、项目</w:t>
                  </w:r>
                  <w:r>
                    <w:rPr>
                      <w:rFonts w:hint="default" w:ascii="Times New Roman" w:hAnsi="Times New Roman" w:eastAsia="宋体" w:cs="Times New Roman"/>
                      <w:color w:val="auto"/>
                      <w:kern w:val="2"/>
                      <w:sz w:val="21"/>
                      <w:szCs w:val="21"/>
                      <w:lang w:val="en-US" w:eastAsia="zh-CN" w:bidi="ar-SA"/>
                    </w:rPr>
                    <w:t>执行甘肃省和张掖市生态环境总体准入清单中重点管控单元的环境风险防控要求</w:t>
                  </w:r>
                </w:p>
              </w:tc>
              <w:tc>
                <w:tcPr>
                  <w:tcW w:w="975" w:type="dxa"/>
                  <w:tcBorders>
                    <w:right w:val="nil"/>
                  </w:tcBorders>
                  <w:shd w:val="clear" w:color="auto" w:fill="auto"/>
                  <w:noWrap w:val="0"/>
                  <w:vAlign w:val="center"/>
                </w:tcPr>
                <w:p w14:paraId="3766E2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b w:val="0"/>
                      <w:color w:val="000000"/>
                      <w:lang w:val="en-US" w:eastAsia="zh-CN"/>
                    </w:rPr>
                    <w:t>符合</w:t>
                  </w:r>
                </w:p>
              </w:tc>
            </w:tr>
            <w:tr w14:paraId="575C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5" w:hRule="atLeast"/>
              </w:trPr>
              <w:tc>
                <w:tcPr>
                  <w:tcW w:w="597" w:type="dxa"/>
                  <w:vMerge w:val="continue"/>
                  <w:tcBorders>
                    <w:left w:val="nil"/>
                  </w:tcBorders>
                  <w:shd w:val="clear" w:color="auto" w:fill="auto"/>
                  <w:noWrap w:val="0"/>
                  <w:vAlign w:val="center"/>
                </w:tcPr>
                <w:p w14:paraId="4C49F0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793" w:type="dxa"/>
                  <w:vMerge w:val="continue"/>
                  <w:shd w:val="clear" w:color="auto" w:fill="auto"/>
                  <w:noWrap w:val="0"/>
                  <w:vAlign w:val="center"/>
                </w:tcPr>
                <w:p w14:paraId="623C56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729" w:type="dxa"/>
                  <w:tcBorders>
                    <w:bottom w:val="single" w:color="000000" w:sz="12" w:space="0"/>
                  </w:tcBorders>
                  <w:shd w:val="clear" w:color="auto" w:fill="auto"/>
                  <w:noWrap w:val="0"/>
                  <w:vAlign w:val="center"/>
                </w:tcPr>
                <w:p w14:paraId="7AFC6A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资源利用率要求</w:t>
                  </w:r>
                </w:p>
              </w:tc>
              <w:tc>
                <w:tcPr>
                  <w:tcW w:w="5258" w:type="dxa"/>
                  <w:tcBorders>
                    <w:bottom w:val="single" w:color="000000" w:sz="12" w:space="0"/>
                  </w:tcBorders>
                  <w:shd w:val="clear" w:color="auto" w:fill="auto"/>
                  <w:noWrap w:val="0"/>
                  <w:vAlign w:val="center"/>
                </w:tcPr>
                <w:p w14:paraId="214700DD">
                  <w:pPr>
                    <w:pStyle w:val="59"/>
                    <w:keepNext w:val="0"/>
                    <w:keepLines w:val="0"/>
                    <w:pageBreakBefore w:val="0"/>
                    <w:widowControl w:val="0"/>
                    <w:kinsoku/>
                    <w:wordWrap/>
                    <w:overflowPunct/>
                    <w:topLinePunct w:val="0"/>
                    <w:autoSpaceDE w:val="0"/>
                    <w:autoSpaceDN w:val="0"/>
                    <w:bidi w:val="0"/>
                    <w:adjustRightInd/>
                    <w:snapToGrid/>
                    <w:spacing w:before="0" w:line="240" w:lineRule="auto"/>
                    <w:ind w:right="95"/>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1.执行甘肃省和张掖市生态环境总体准入清单中重点管控单元的资源利用效率要求。</w:t>
                  </w:r>
                </w:p>
                <w:p w14:paraId="11B151A3">
                  <w:pPr>
                    <w:pStyle w:val="59"/>
                    <w:keepNext w:val="0"/>
                    <w:keepLines w:val="0"/>
                    <w:pageBreakBefore w:val="0"/>
                    <w:widowControl w:val="0"/>
                    <w:kinsoku/>
                    <w:wordWrap/>
                    <w:overflowPunct/>
                    <w:topLinePunct w:val="0"/>
                    <w:autoSpaceDE w:val="0"/>
                    <w:autoSpaceDN w:val="0"/>
                    <w:bidi w:val="0"/>
                    <w:adjustRightInd/>
                    <w:snapToGrid/>
                    <w:spacing w:before="0" w:line="240" w:lineRule="auto"/>
                    <w:ind w:right="95"/>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2.推广使用清洁能源，禁止新建、新建使用高污染燃料的设施。</w:t>
                  </w:r>
                </w:p>
                <w:p w14:paraId="1C0D0827">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color w:val="auto"/>
                      <w:kern w:val="2"/>
                      <w:sz w:val="21"/>
                      <w:szCs w:val="21"/>
                      <w:lang w:val="en-US" w:eastAsia="zh-CN" w:bidi="ar-SA"/>
                    </w:rPr>
                    <w:t>3.禁燃区内禁止销售和使用高污染燃料，禁止新建、新建燃用高污染燃料的设施。现有燃用煤炭、重油、渣油等高污染燃料的设施应当在城市人民政府规定的期限内改用清洁能源。</w:t>
                  </w:r>
                </w:p>
              </w:tc>
              <w:tc>
                <w:tcPr>
                  <w:tcW w:w="4465" w:type="dxa"/>
                  <w:tcBorders>
                    <w:bottom w:val="single" w:color="000000" w:sz="12" w:space="0"/>
                  </w:tcBorders>
                  <w:shd w:val="clear" w:color="auto" w:fill="auto"/>
                  <w:noWrap w:val="0"/>
                  <w:vAlign w:val="center"/>
                </w:tcPr>
                <w:p w14:paraId="1D11A370">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1、项目</w:t>
                  </w:r>
                  <w:r>
                    <w:rPr>
                      <w:rFonts w:hint="default" w:ascii="Times New Roman" w:hAnsi="Times New Roman" w:eastAsia="宋体" w:cs="Times New Roman"/>
                      <w:b w:val="0"/>
                      <w:color w:val="000000"/>
                      <w:sz w:val="21"/>
                      <w:szCs w:val="21"/>
                      <w:lang w:val="en-US" w:eastAsia="zh-CN"/>
                    </w:rPr>
                    <w:t>执行甘肃省和张掖市生态环境总体准入清单中重点管控单元的资源利用效率要求</w:t>
                  </w:r>
                  <w:r>
                    <w:rPr>
                      <w:rFonts w:hint="eastAsia" w:ascii="Times New Roman" w:hAnsi="Times New Roman" w:eastAsia="宋体" w:cs="Times New Roman"/>
                      <w:b w:val="0"/>
                      <w:color w:val="000000"/>
                      <w:sz w:val="21"/>
                      <w:szCs w:val="21"/>
                      <w:lang w:val="en-US" w:eastAsia="zh-CN"/>
                    </w:rPr>
                    <w:t>；</w:t>
                  </w:r>
                </w:p>
                <w:p w14:paraId="60FE382E">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2、矿山只开采、不加工，不使用高污染燃料的设施；</w:t>
                  </w:r>
                </w:p>
                <w:p w14:paraId="797C5289">
                  <w:pPr>
                    <w:keepNext w:val="0"/>
                    <w:keepLines w:val="0"/>
                    <w:pageBreakBefore w:val="0"/>
                    <w:widowControl w:val="0"/>
                    <w:kinsoku/>
                    <w:wordWrap/>
                    <w:overflowPunct/>
                    <w:topLinePunct w:val="0"/>
                    <w:autoSpaceDE/>
                    <w:autoSpaceDN/>
                    <w:bidi w:val="0"/>
                    <w:adjustRightInd/>
                    <w:snapToGrid/>
                    <w:jc w:val="left"/>
                    <w:textAlignment w:val="auto"/>
                    <w:rPr>
                      <w:rFonts w:hint="default"/>
                      <w:lang w:val="en-US" w:eastAsia="zh-CN"/>
                    </w:rPr>
                  </w:pPr>
                  <w:r>
                    <w:rPr>
                      <w:rFonts w:hint="eastAsia" w:ascii="Times New Roman" w:hAnsi="Times New Roman" w:eastAsia="宋体" w:cs="Times New Roman"/>
                      <w:b w:val="0"/>
                      <w:color w:val="000000"/>
                      <w:sz w:val="21"/>
                      <w:szCs w:val="21"/>
                      <w:lang w:val="en-US" w:eastAsia="zh-CN"/>
                    </w:rPr>
                    <w:t>3、项目</w:t>
                  </w:r>
                  <w:r>
                    <w:rPr>
                      <w:rFonts w:hint="eastAsia" w:eastAsia="宋体" w:cs="Times New Roman"/>
                      <w:b w:val="0"/>
                      <w:color w:val="000000"/>
                      <w:sz w:val="21"/>
                      <w:szCs w:val="21"/>
                      <w:lang w:val="en-US" w:eastAsia="zh-CN"/>
                    </w:rPr>
                    <w:t>不属于</w:t>
                  </w:r>
                  <w:r>
                    <w:rPr>
                      <w:rFonts w:hint="default" w:ascii="Times New Roman" w:hAnsi="Times New Roman" w:eastAsia="宋体" w:cs="Times New Roman"/>
                      <w:color w:val="auto"/>
                      <w:kern w:val="2"/>
                      <w:sz w:val="21"/>
                      <w:szCs w:val="21"/>
                      <w:lang w:val="en-US" w:eastAsia="zh-CN" w:bidi="ar-SA"/>
                    </w:rPr>
                    <w:t>禁燃区</w:t>
                  </w:r>
                  <w:r>
                    <w:rPr>
                      <w:rFonts w:hint="eastAsia" w:eastAsia="宋体" w:cs="Times New Roman"/>
                      <w:color w:val="auto"/>
                      <w:kern w:val="2"/>
                      <w:sz w:val="21"/>
                      <w:szCs w:val="21"/>
                      <w:lang w:val="en-US" w:eastAsia="zh-CN" w:bidi="ar-SA"/>
                    </w:rPr>
                    <w:t>。</w:t>
                  </w:r>
                </w:p>
              </w:tc>
              <w:tc>
                <w:tcPr>
                  <w:tcW w:w="975" w:type="dxa"/>
                  <w:tcBorders>
                    <w:bottom w:val="single" w:color="000000" w:sz="12" w:space="0"/>
                    <w:right w:val="nil"/>
                  </w:tcBorders>
                  <w:shd w:val="clear" w:color="auto" w:fill="auto"/>
                  <w:noWrap w:val="0"/>
                  <w:vAlign w:val="center"/>
                </w:tcPr>
                <w:p w14:paraId="120F2D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b w:val="0"/>
                      <w:color w:val="000000"/>
                      <w:lang w:val="en-US" w:eastAsia="zh-CN"/>
                    </w:rPr>
                    <w:t>符合</w:t>
                  </w:r>
                </w:p>
              </w:tc>
            </w:tr>
          </w:tbl>
          <w:p w14:paraId="4A151E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b w:val="0"/>
                <w:color w:val="000000"/>
                <w:sz w:val="24"/>
                <w:szCs w:val="24"/>
                <w:lang w:val="en-US" w:eastAsia="zh-CN"/>
              </w:rPr>
              <w:t>综</w:t>
            </w:r>
            <w:r>
              <w:rPr>
                <w:rFonts w:hint="default" w:ascii="Times New Roman" w:hAnsi="Times New Roman" w:eastAsia="宋体" w:cs="Times New Roman"/>
                <w:color w:val="000000"/>
                <w:kern w:val="0"/>
                <w:sz w:val="24"/>
                <w:szCs w:val="24"/>
                <w:lang w:val="en-US" w:eastAsia="zh-CN" w:bidi="ar"/>
              </w:rPr>
              <w:t>上所述，拟建项目的建设实施自身产生的三废经合理有效地处理</w:t>
            </w:r>
            <w:r>
              <w:rPr>
                <w:rFonts w:hint="eastAsia" w:cs="Times New Roman"/>
                <w:color w:val="000000"/>
                <w:kern w:val="0"/>
                <w:sz w:val="24"/>
                <w:szCs w:val="24"/>
                <w:lang w:val="en-US" w:eastAsia="zh-CN" w:bidi="ar"/>
              </w:rPr>
              <w:t>后</w:t>
            </w:r>
            <w:r>
              <w:rPr>
                <w:rFonts w:hint="default" w:ascii="Times New Roman" w:hAnsi="Times New Roman" w:eastAsia="宋体" w:cs="Times New Roman"/>
                <w:color w:val="000000"/>
                <w:kern w:val="0"/>
                <w:sz w:val="24"/>
                <w:szCs w:val="24"/>
                <w:lang w:val="en-US" w:eastAsia="zh-CN" w:bidi="ar"/>
              </w:rPr>
              <w:t>周围环境影响不大，因此，拟建项目符合</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三线一单</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、省市生态分区管控意见及张掖市生态环境准入要求。</w:t>
            </w:r>
          </w:p>
        </w:tc>
      </w:tr>
    </w:tbl>
    <w:p w14:paraId="19DA930F">
      <w:pPr>
        <w:pStyle w:val="22"/>
        <w:ind w:left="0" w:leftChars="0" w:firstLine="0" w:firstLineChars="0"/>
        <w:rPr>
          <w:rFonts w:hint="default" w:ascii="Times New Roman" w:hAnsi="Times New Roman" w:eastAsia="宋体" w:cs="Times New Roman"/>
          <w:sz w:val="24"/>
          <w:szCs w:val="24"/>
        </w:rPr>
        <w:sectPr>
          <w:pgSz w:w="16838" w:h="11906" w:orient="landscape"/>
          <w:pgMar w:top="1531" w:right="1701" w:bottom="1531" w:left="1701" w:header="851" w:footer="1077" w:gutter="0"/>
          <w:pgNumType w:fmt="decimal"/>
          <w:cols w:space="720" w:num="1"/>
          <w:docGrid w:linePitch="312" w:charSpace="0"/>
        </w:sectPr>
      </w:pPr>
    </w:p>
    <w:p w14:paraId="22E8C22D">
      <w:pPr>
        <w:pStyle w:val="22"/>
        <w:rPr>
          <w:rFonts w:hint="default" w:ascii="Times New Roman" w:hAnsi="Times New Roman" w:eastAsia="宋体" w:cs="Times New Roman"/>
          <w:sz w:val="24"/>
          <w:szCs w:val="24"/>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8488"/>
      </w:tblGrid>
      <w:tr w14:paraId="4296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72" w:type="dxa"/>
            <w:noWrap w:val="0"/>
            <w:vAlign w:val="top"/>
          </w:tcPr>
          <w:p w14:paraId="24D6592C">
            <w:pPr>
              <w:keepNext w:val="0"/>
              <w:keepLines w:val="0"/>
              <w:widowControl/>
              <w:suppressLineNumbers w:val="0"/>
              <w:jc w:val="left"/>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其他</w:t>
            </w:r>
          </w:p>
          <w:p w14:paraId="36A62FB7">
            <w:pPr>
              <w:keepNext w:val="0"/>
              <w:keepLines w:val="0"/>
              <w:widowControl/>
              <w:suppressLineNumbers w:val="0"/>
              <w:jc w:val="left"/>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符</w:t>
            </w:r>
          </w:p>
          <w:p w14:paraId="703562D6">
            <w:pPr>
              <w:keepNext w:val="0"/>
              <w:keepLines w:val="0"/>
              <w:widowControl/>
              <w:suppressLineNumbers w:val="0"/>
              <w:jc w:val="left"/>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合</w:t>
            </w:r>
          </w:p>
          <w:p w14:paraId="0F388B5B">
            <w:pPr>
              <w:keepNext w:val="0"/>
              <w:keepLines w:val="0"/>
              <w:widowControl/>
              <w:suppressLineNumbers w:val="0"/>
              <w:jc w:val="left"/>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性</w:t>
            </w:r>
          </w:p>
          <w:p w14:paraId="683E1BC4">
            <w:pPr>
              <w:keepNext w:val="0"/>
              <w:keepLines w:val="0"/>
              <w:widowControl/>
              <w:suppressLineNumbers w:val="0"/>
              <w:jc w:val="left"/>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分</w:t>
            </w:r>
          </w:p>
          <w:p w14:paraId="55B4873D">
            <w:pPr>
              <w:keepNext w:val="0"/>
              <w:keepLines w:val="0"/>
              <w:widowControl/>
              <w:suppressLineNumbers w:val="0"/>
              <w:jc w:val="left"/>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析</w:t>
            </w:r>
          </w:p>
          <w:p w14:paraId="7764BD73">
            <w:pPr>
              <w:pStyle w:val="22"/>
              <w:ind w:left="0" w:leftChars="0" w:firstLine="0" w:firstLineChars="0"/>
              <w:rPr>
                <w:rFonts w:hint="default" w:ascii="Times New Roman" w:hAnsi="Times New Roman" w:eastAsia="宋体" w:cs="Times New Roman"/>
                <w:sz w:val="24"/>
                <w:szCs w:val="24"/>
                <w:vertAlign w:val="baseline"/>
              </w:rPr>
            </w:pPr>
          </w:p>
        </w:tc>
        <w:tc>
          <w:tcPr>
            <w:tcW w:w="8488" w:type="dxa"/>
            <w:noWrap w:val="0"/>
            <w:vAlign w:val="top"/>
          </w:tcPr>
          <w:p w14:paraId="55E7D20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highlight w:val="none"/>
              </w:rPr>
            </w:pPr>
            <w:r>
              <w:rPr>
                <w:rFonts w:hint="eastAsia" w:cs="Times New Roman"/>
                <w:b/>
                <w:bCs/>
                <w:color w:val="000000"/>
                <w:kern w:val="0"/>
                <w:sz w:val="24"/>
                <w:szCs w:val="24"/>
                <w:highlight w:val="none"/>
                <w:lang w:val="en-US" w:eastAsia="zh-CN" w:bidi="ar"/>
              </w:rPr>
              <w:t>三</w:t>
            </w:r>
            <w:r>
              <w:rPr>
                <w:rFonts w:hint="default" w:ascii="Times New Roman" w:hAnsi="Times New Roman" w:eastAsia="宋体" w:cs="Times New Roman"/>
                <w:b/>
                <w:bCs/>
                <w:color w:val="000000"/>
                <w:kern w:val="0"/>
                <w:sz w:val="24"/>
                <w:szCs w:val="24"/>
                <w:highlight w:val="none"/>
                <w:lang w:val="en-US" w:eastAsia="zh-CN" w:bidi="ar"/>
              </w:rPr>
              <w:t>、与《空气质量持续改善行动计划》（国发〔2023〕24号）符合性分析</w:t>
            </w:r>
          </w:p>
          <w:p w14:paraId="274A18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本项目与《空气质量持续改善行动计划》（国发〔2023〕24号）文件符合性分析如下：</w:t>
            </w:r>
          </w:p>
          <w:p w14:paraId="297631AC">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表1-</w:t>
            </w:r>
            <w:r>
              <w:rPr>
                <w:rFonts w:hint="eastAsia" w:ascii="Times New Roman" w:hAnsi="Times New Roman" w:eastAsia="宋体" w:cs="Times New Roman"/>
                <w:b/>
                <w:bCs/>
                <w:color w:val="000000"/>
                <w:kern w:val="0"/>
                <w:sz w:val="21"/>
                <w:szCs w:val="21"/>
                <w:lang w:val="en-US" w:eastAsia="zh-CN" w:bidi="ar"/>
              </w:rPr>
              <w:t>3</w:t>
            </w:r>
            <w:r>
              <w:rPr>
                <w:rFonts w:hint="default" w:ascii="Times New Roman" w:hAnsi="Times New Roman" w:eastAsia="宋体" w:cs="Times New Roman"/>
                <w:b/>
                <w:bCs/>
                <w:color w:val="000000"/>
                <w:kern w:val="0"/>
                <w:sz w:val="21"/>
                <w:szCs w:val="21"/>
                <w:lang w:val="en-US" w:eastAsia="zh-CN" w:bidi="ar"/>
              </w:rPr>
              <w:t>与《空气质量持续改善行动计划》（符合性分析）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4820"/>
              <w:gridCol w:w="1930"/>
              <w:gridCol w:w="692"/>
            </w:tblGrid>
            <w:tr w14:paraId="7045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op w:val="single" w:color="000000" w:sz="12" w:space="0"/>
                    <w:left w:val="nil"/>
                    <w:tl2br w:val="nil"/>
                  </w:tcBorders>
                  <w:noWrap w:val="0"/>
                  <w:vAlign w:val="center"/>
                </w:tcPr>
                <w:p w14:paraId="270EBD13">
                  <w:pPr>
                    <w:keepNext w:val="0"/>
                    <w:keepLines w:val="0"/>
                    <w:widowControl/>
                    <w:suppressLineNumbers w:val="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序号</w:t>
                  </w:r>
                </w:p>
              </w:tc>
              <w:tc>
                <w:tcPr>
                  <w:tcW w:w="4820" w:type="dxa"/>
                  <w:tcBorders>
                    <w:top w:val="single" w:color="000000" w:sz="12" w:space="0"/>
                  </w:tcBorders>
                  <w:noWrap w:val="0"/>
                  <w:vAlign w:val="center"/>
                </w:tcPr>
                <w:p w14:paraId="1AF51406">
                  <w:pPr>
                    <w:keepNext w:val="0"/>
                    <w:keepLines w:val="0"/>
                    <w:widowControl/>
                    <w:suppressLineNumbers w:val="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要求</w:t>
                  </w:r>
                </w:p>
              </w:tc>
              <w:tc>
                <w:tcPr>
                  <w:tcW w:w="1930" w:type="dxa"/>
                  <w:tcBorders>
                    <w:top w:val="single" w:color="000000" w:sz="12" w:space="0"/>
                  </w:tcBorders>
                  <w:noWrap w:val="0"/>
                  <w:vAlign w:val="center"/>
                </w:tcPr>
                <w:p w14:paraId="75ADA0D6">
                  <w:pPr>
                    <w:keepNext w:val="0"/>
                    <w:keepLines w:val="0"/>
                    <w:widowControl/>
                    <w:suppressLineNumbers w:val="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本项目情况</w:t>
                  </w:r>
                </w:p>
                <w:p w14:paraId="4A3D4C80">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p>
              </w:tc>
              <w:tc>
                <w:tcPr>
                  <w:tcW w:w="692" w:type="dxa"/>
                  <w:tcBorders>
                    <w:top w:val="single" w:color="000000" w:sz="12" w:space="0"/>
                    <w:right w:val="nil"/>
                  </w:tcBorders>
                  <w:noWrap w:val="0"/>
                  <w:vAlign w:val="center"/>
                </w:tcPr>
                <w:p w14:paraId="7E377028">
                  <w:pPr>
                    <w:keepNext w:val="0"/>
                    <w:keepLines w:val="0"/>
                    <w:widowControl/>
                    <w:suppressLineNumbers w:val="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是否符合</w:t>
                  </w:r>
                </w:p>
                <w:p w14:paraId="542A1A6C">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p>
              </w:tc>
            </w:tr>
            <w:tr w14:paraId="16C3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left w:val="nil"/>
                  </w:tcBorders>
                  <w:noWrap w:val="0"/>
                  <w:vAlign w:val="center"/>
                </w:tcPr>
                <w:p w14:paraId="57AA0E3D">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1</w:t>
                  </w:r>
                </w:p>
              </w:tc>
              <w:tc>
                <w:tcPr>
                  <w:tcW w:w="4820" w:type="dxa"/>
                  <w:noWrap w:val="0"/>
                  <w:vAlign w:val="center"/>
                </w:tcPr>
                <w:p w14:paraId="081C54E8">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eastAsia" w:cs="Times New Roman"/>
                      <w:b w:val="0"/>
                      <w:color w:val="000000"/>
                      <w:sz w:val="21"/>
                      <w:szCs w:val="21"/>
                      <w:vertAlign w:val="baseline"/>
                      <w:lang w:val="en-US" w:eastAsia="zh-CN"/>
                    </w:rPr>
                    <w:t>1、</w:t>
                  </w:r>
                  <w:r>
                    <w:rPr>
                      <w:rFonts w:hint="default" w:ascii="Times New Roman" w:hAnsi="Times New Roman" w:eastAsia="宋体" w:cs="Times New Roman"/>
                      <w:b w:val="0"/>
                      <w:color w:val="000000"/>
                      <w:sz w:val="21"/>
                      <w:szCs w:val="21"/>
                      <w:vertAlign w:val="baseline"/>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w:t>
                  </w:r>
                </w:p>
                <w:p w14:paraId="60774234">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eastAsia" w:cs="Times New Roman"/>
                      <w:b w:val="0"/>
                      <w:color w:val="000000"/>
                      <w:sz w:val="21"/>
                      <w:szCs w:val="21"/>
                      <w:vertAlign w:val="baseline"/>
                      <w:lang w:val="en-US" w:eastAsia="zh-CN"/>
                    </w:rPr>
                    <w:t>2、</w:t>
                  </w:r>
                  <w:r>
                    <w:rPr>
                      <w:rFonts w:hint="default" w:ascii="Times New Roman" w:hAnsi="Times New Roman" w:eastAsia="宋体" w:cs="Times New Roman"/>
                      <w:b w:val="0"/>
                      <w:color w:val="000000"/>
                      <w:sz w:val="21"/>
                      <w:szCs w:val="21"/>
                      <w:vertAlign w:val="baseline"/>
                      <w:lang w:val="en-US" w:eastAsia="zh-CN"/>
                    </w:rPr>
                    <w:t>涉及产能置换的项目，被置换产能及其配套设施关停后，新建项目方可投产。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w:t>
                  </w:r>
                </w:p>
              </w:tc>
              <w:tc>
                <w:tcPr>
                  <w:tcW w:w="1930" w:type="dxa"/>
                  <w:noWrap w:val="0"/>
                  <w:vAlign w:val="center"/>
                </w:tcPr>
                <w:p w14:paraId="01B2550B">
                  <w:pPr>
                    <w:keepNext w:val="0"/>
                    <w:keepLines w:val="0"/>
                    <w:widowControl/>
                    <w:suppressLineNumbers w:val="0"/>
                    <w:jc w:val="both"/>
                    <w:rPr>
                      <w:rFonts w:hint="default"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1、</w:t>
                  </w:r>
                  <w:r>
                    <w:rPr>
                      <w:rFonts w:hint="default" w:ascii="Times New Roman" w:hAnsi="Times New Roman" w:eastAsia="宋体" w:cs="Times New Roman"/>
                      <w:b w:val="0"/>
                      <w:color w:val="000000"/>
                      <w:sz w:val="21"/>
                      <w:szCs w:val="21"/>
                      <w:vertAlign w:val="baseline"/>
                      <w:lang w:val="en-US" w:eastAsia="zh-CN"/>
                    </w:rPr>
                    <w:t>本项目为</w:t>
                  </w:r>
                  <w:r>
                    <w:rPr>
                      <w:rFonts w:hint="eastAsia" w:ascii="Times New Roman" w:hAnsi="Times New Roman" w:eastAsia="宋体" w:cs="Times New Roman"/>
                      <w:b w:val="0"/>
                      <w:color w:val="000000"/>
                      <w:sz w:val="21"/>
                      <w:szCs w:val="21"/>
                      <w:vertAlign w:val="baseline"/>
                      <w:lang w:val="en-US" w:eastAsia="zh-CN"/>
                    </w:rPr>
                    <w:t>凹凸棒石粘土矿及石膏</w:t>
                  </w:r>
                  <w:r>
                    <w:rPr>
                      <w:rFonts w:hint="eastAsia" w:cs="Times New Roman"/>
                      <w:b w:val="0"/>
                      <w:color w:val="000000"/>
                      <w:sz w:val="21"/>
                      <w:szCs w:val="21"/>
                      <w:vertAlign w:val="baseline"/>
                      <w:lang w:val="en-US" w:eastAsia="zh-CN"/>
                    </w:rPr>
                    <w:t>矿</w:t>
                  </w:r>
                  <w:r>
                    <w:rPr>
                      <w:rFonts w:hint="default" w:ascii="Times New Roman" w:hAnsi="Times New Roman" w:eastAsia="宋体" w:cs="Times New Roman"/>
                      <w:b w:val="0"/>
                      <w:color w:val="000000"/>
                      <w:sz w:val="21"/>
                      <w:szCs w:val="21"/>
                      <w:vertAlign w:val="baseline"/>
                      <w:lang w:val="en-US" w:eastAsia="zh-CN"/>
                    </w:rPr>
                    <w:t>开采项目，</w:t>
                  </w:r>
                  <w:r>
                    <w:rPr>
                      <w:rFonts w:hint="eastAsia" w:cs="Times New Roman"/>
                      <w:b w:val="0"/>
                      <w:color w:val="000000"/>
                      <w:sz w:val="21"/>
                      <w:szCs w:val="21"/>
                      <w:vertAlign w:val="baseline"/>
                      <w:lang w:val="en-US" w:eastAsia="zh-CN"/>
                    </w:rPr>
                    <w:t>不属于“</w:t>
                  </w:r>
                  <w:r>
                    <w:rPr>
                      <w:rFonts w:hint="default" w:ascii="Times New Roman" w:hAnsi="Times New Roman" w:eastAsia="宋体" w:cs="Times New Roman"/>
                      <w:b w:val="0"/>
                      <w:color w:val="000000"/>
                      <w:sz w:val="21"/>
                      <w:szCs w:val="21"/>
                      <w:vertAlign w:val="baseline"/>
                      <w:lang w:val="en-US" w:eastAsia="zh-CN"/>
                    </w:rPr>
                    <w:t>高耗能、高排放、低水平</w:t>
                  </w:r>
                  <w:r>
                    <w:rPr>
                      <w:rFonts w:hint="eastAsia" w:cs="Times New Roman"/>
                      <w:b w:val="0"/>
                      <w:color w:val="000000"/>
                      <w:sz w:val="21"/>
                      <w:szCs w:val="21"/>
                      <w:vertAlign w:val="baseline"/>
                      <w:lang w:val="en-US" w:eastAsia="zh-CN"/>
                    </w:rPr>
                    <w:t>”项目，主要</w:t>
                  </w:r>
                  <w:r>
                    <w:rPr>
                      <w:rFonts w:hint="default" w:ascii="Times New Roman" w:hAnsi="Times New Roman" w:eastAsia="宋体" w:cs="Times New Roman"/>
                      <w:b w:val="0"/>
                      <w:color w:val="000000"/>
                      <w:sz w:val="21"/>
                      <w:szCs w:val="21"/>
                      <w:vertAlign w:val="baseline"/>
                      <w:lang w:val="en-US" w:eastAsia="zh-CN"/>
                    </w:rPr>
                    <w:t>运输方式</w:t>
                  </w:r>
                  <w:r>
                    <w:rPr>
                      <w:rFonts w:hint="eastAsia" w:cs="Times New Roman"/>
                      <w:b w:val="0"/>
                      <w:color w:val="000000"/>
                      <w:sz w:val="21"/>
                      <w:szCs w:val="21"/>
                      <w:vertAlign w:val="baseline"/>
                      <w:lang w:val="en-US" w:eastAsia="zh-CN"/>
                    </w:rPr>
                    <w:t>采用公路开拓、汽车运输方式；</w:t>
                  </w:r>
                </w:p>
                <w:p w14:paraId="61A030D7">
                  <w:pPr>
                    <w:keepNext w:val="0"/>
                    <w:keepLines w:val="0"/>
                    <w:widowControl/>
                    <w:suppressLineNumbers w:val="0"/>
                    <w:jc w:val="both"/>
                    <w:rPr>
                      <w:rFonts w:hint="default" w:ascii="Times New Roman" w:hAnsi="Times New Roman" w:eastAsia="宋体" w:cs="Times New Roman"/>
                      <w:b w:val="0"/>
                      <w:color w:val="000000"/>
                      <w:sz w:val="21"/>
                      <w:szCs w:val="21"/>
                      <w:vertAlign w:val="baseline"/>
                    </w:rPr>
                  </w:pPr>
                  <w:r>
                    <w:rPr>
                      <w:rFonts w:hint="eastAsia" w:cs="Times New Roman"/>
                      <w:b w:val="0"/>
                      <w:color w:val="000000"/>
                      <w:sz w:val="21"/>
                      <w:szCs w:val="21"/>
                      <w:vertAlign w:val="baseline"/>
                      <w:lang w:val="en-US" w:eastAsia="zh-CN"/>
                    </w:rPr>
                    <w:t>2、</w:t>
                  </w:r>
                  <w:r>
                    <w:rPr>
                      <w:rFonts w:hint="default" w:ascii="Times New Roman" w:hAnsi="Times New Roman" w:eastAsia="宋体" w:cs="Times New Roman"/>
                      <w:b w:val="0"/>
                      <w:color w:val="000000"/>
                      <w:sz w:val="21"/>
                      <w:szCs w:val="21"/>
                      <w:vertAlign w:val="baseline"/>
                      <w:lang w:val="en-US" w:eastAsia="zh-CN"/>
                    </w:rPr>
                    <w:t>项目不属于钢铁</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焦化、烧结等高耗能项目</w:t>
                  </w:r>
                  <w:r>
                    <w:rPr>
                      <w:rFonts w:hint="eastAsia" w:cs="Times New Roman"/>
                      <w:b w:val="0"/>
                      <w:color w:val="000000"/>
                      <w:sz w:val="21"/>
                      <w:szCs w:val="21"/>
                      <w:vertAlign w:val="baseline"/>
                      <w:lang w:val="en-US" w:eastAsia="zh-CN"/>
                    </w:rPr>
                    <w:t>。</w:t>
                  </w:r>
                </w:p>
                <w:p w14:paraId="1217F24E">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p>
              </w:tc>
              <w:tc>
                <w:tcPr>
                  <w:tcW w:w="692" w:type="dxa"/>
                  <w:tcBorders>
                    <w:right w:val="nil"/>
                  </w:tcBorders>
                  <w:noWrap w:val="0"/>
                  <w:vAlign w:val="center"/>
                </w:tcPr>
                <w:p w14:paraId="0690304E">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符合</w:t>
                  </w:r>
                </w:p>
              </w:tc>
            </w:tr>
            <w:tr w14:paraId="1A4B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left w:val="nil"/>
                  </w:tcBorders>
                  <w:noWrap w:val="0"/>
                  <w:vAlign w:val="center"/>
                </w:tcPr>
                <w:p w14:paraId="68765FF4">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2</w:t>
                  </w:r>
                </w:p>
              </w:tc>
              <w:tc>
                <w:tcPr>
                  <w:tcW w:w="4820" w:type="dxa"/>
                  <w:noWrap w:val="0"/>
                  <w:vAlign w:val="center"/>
                </w:tcPr>
                <w:p w14:paraId="4D09F43C">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 点区域钢铁、焦化、电解铝等产业有序调整优化。</w:t>
                  </w:r>
                </w:p>
              </w:tc>
              <w:tc>
                <w:tcPr>
                  <w:tcW w:w="1930" w:type="dxa"/>
                  <w:noWrap w:val="0"/>
                  <w:vAlign w:val="center"/>
                </w:tcPr>
                <w:p w14:paraId="4BAB66BA">
                  <w:pPr>
                    <w:keepNext w:val="0"/>
                    <w:keepLines w:val="0"/>
                    <w:widowControl/>
                    <w:suppressLineNumbers w:val="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根据对照《产业结</w:t>
                  </w:r>
                </w:p>
                <w:p w14:paraId="127C25CF">
                  <w:pPr>
                    <w:keepNext w:val="0"/>
                    <w:keepLines w:val="0"/>
                    <w:widowControl/>
                    <w:suppressLineNumbers w:val="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构调整指导目录》</w:t>
                  </w:r>
                </w:p>
                <w:p w14:paraId="2D439848">
                  <w:pPr>
                    <w:keepNext w:val="0"/>
                    <w:keepLines w:val="0"/>
                    <w:widowControl/>
                    <w:suppressLineNumbers w:val="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项目不属于落后淘</w:t>
                  </w:r>
                </w:p>
                <w:p w14:paraId="3E3C1940">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kern w:val="0"/>
                      <w:sz w:val="21"/>
                      <w:szCs w:val="21"/>
                      <w:lang w:val="en-US" w:eastAsia="zh-CN" w:bidi="ar"/>
                    </w:rPr>
                    <w:t>汰产能</w:t>
                  </w:r>
                  <w:r>
                    <w:rPr>
                      <w:rFonts w:hint="eastAsia" w:cs="Times New Roman"/>
                      <w:b w:val="0"/>
                      <w:color w:val="000000"/>
                      <w:kern w:val="0"/>
                      <w:sz w:val="21"/>
                      <w:szCs w:val="21"/>
                      <w:lang w:val="en-US" w:eastAsia="zh-CN" w:bidi="ar"/>
                    </w:rPr>
                    <w:t>，项目不属于鼓励类和限制类，属于允许类。符合国家产业政策要求</w:t>
                  </w:r>
                  <w:r>
                    <w:rPr>
                      <w:rFonts w:hint="eastAsia" w:ascii="Times New Roman" w:hAnsi="Times New Roman" w:eastAsia="宋体" w:cs="Times New Roman"/>
                      <w:b w:val="0"/>
                      <w:color w:val="000000"/>
                      <w:kern w:val="0"/>
                      <w:sz w:val="21"/>
                      <w:szCs w:val="21"/>
                      <w:lang w:val="en-US" w:eastAsia="zh-CN" w:bidi="ar"/>
                    </w:rPr>
                    <w:t>。</w:t>
                  </w:r>
                </w:p>
              </w:tc>
              <w:tc>
                <w:tcPr>
                  <w:tcW w:w="692" w:type="dxa"/>
                  <w:tcBorders>
                    <w:right w:val="nil"/>
                  </w:tcBorders>
                  <w:noWrap w:val="0"/>
                  <w:vAlign w:val="center"/>
                </w:tcPr>
                <w:p w14:paraId="2108E2C8">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符合</w:t>
                  </w:r>
                </w:p>
              </w:tc>
            </w:tr>
            <w:tr w14:paraId="018A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left w:val="nil"/>
                  </w:tcBorders>
                  <w:noWrap w:val="0"/>
                  <w:vAlign w:val="center"/>
                </w:tcPr>
                <w:p w14:paraId="2FE67189">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3</w:t>
                  </w:r>
                </w:p>
              </w:tc>
              <w:tc>
                <w:tcPr>
                  <w:tcW w:w="4820" w:type="dxa"/>
                  <w:noWrap w:val="0"/>
                  <w:vAlign w:val="center"/>
                </w:tcPr>
                <w:p w14:paraId="50C564E1">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全面开展传统产业集群升级改造。中小型传统制造企业集中的城市要制定涉气产业集群发展规划，严格项目审批，严防污染下乡。针对现有产业集群制定专项整治方案，依法淘汰关停一批、搬迁入园一批、就地改造一批、做优做强一批。各地要结合产业集群特点，因地制宜建设集中供热中心、集中喷涂中心、有机溶剂集中回收处置中心、活性炭集中再生中心。</w:t>
                  </w:r>
                </w:p>
              </w:tc>
              <w:tc>
                <w:tcPr>
                  <w:tcW w:w="1930" w:type="dxa"/>
                  <w:noWrap w:val="0"/>
                  <w:vAlign w:val="center"/>
                </w:tcPr>
                <w:p w14:paraId="0911A3FB">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eastAsia" w:cs="Times New Roman"/>
                      <w:b w:val="0"/>
                      <w:color w:val="000000"/>
                      <w:kern w:val="0"/>
                      <w:sz w:val="21"/>
                      <w:szCs w:val="21"/>
                      <w:lang w:val="en-US" w:eastAsia="zh-CN" w:bidi="ar"/>
                    </w:rPr>
                    <w:t>本项目为</w:t>
                  </w:r>
                  <w:r>
                    <w:rPr>
                      <w:rFonts w:hint="default" w:ascii="Times New Roman" w:hAnsi="Times New Roman" w:eastAsia="宋体" w:cs="Times New Roman"/>
                      <w:b w:val="0"/>
                      <w:color w:val="000000"/>
                      <w:kern w:val="0"/>
                      <w:sz w:val="21"/>
                      <w:szCs w:val="21"/>
                      <w:lang w:val="en-US" w:eastAsia="zh-CN" w:bidi="ar"/>
                    </w:rPr>
                    <w:t>凹凸棒石粘土矿及石膏开采项目开采项目，不属于加工制造行业，无喷涂、有机溶剂使用等涉气生产工序；选址不在城市建成区范围，不在涉气产业集群整治范围内</w:t>
                  </w:r>
                  <w:r>
                    <w:rPr>
                      <w:rFonts w:hint="eastAsia" w:cs="Times New Roman"/>
                      <w:b w:val="0"/>
                      <w:color w:val="000000"/>
                      <w:kern w:val="0"/>
                      <w:sz w:val="21"/>
                      <w:szCs w:val="21"/>
                      <w:lang w:val="en-US" w:eastAsia="zh-CN" w:bidi="ar"/>
                    </w:rPr>
                    <w:t>。</w:t>
                  </w:r>
                </w:p>
              </w:tc>
              <w:tc>
                <w:tcPr>
                  <w:tcW w:w="692" w:type="dxa"/>
                  <w:tcBorders>
                    <w:right w:val="nil"/>
                  </w:tcBorders>
                  <w:noWrap w:val="0"/>
                  <w:vAlign w:val="center"/>
                </w:tcPr>
                <w:p w14:paraId="65620832">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符合</w:t>
                  </w:r>
                </w:p>
              </w:tc>
            </w:tr>
            <w:tr w14:paraId="4591F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left w:val="nil"/>
                    <w:bottom w:val="single" w:color="000000" w:sz="12" w:space="0"/>
                  </w:tcBorders>
                  <w:noWrap w:val="0"/>
                  <w:vAlign w:val="center"/>
                </w:tcPr>
                <w:p w14:paraId="3B01FD35">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4</w:t>
                  </w:r>
                </w:p>
              </w:tc>
              <w:tc>
                <w:tcPr>
                  <w:tcW w:w="4820" w:type="dxa"/>
                  <w:tcBorders>
                    <w:bottom w:val="single" w:color="000000" w:sz="12" w:space="0"/>
                  </w:tcBorders>
                  <w:noWrap w:val="0"/>
                  <w:vAlign w:val="center"/>
                </w:tcPr>
                <w:p w14:paraId="317406E1">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w:t>
                  </w:r>
                  <w:r>
                    <w:rPr>
                      <w:rFonts w:hint="default" w:ascii="Times New Roman" w:hAnsi="Times New Roman" w:eastAsia="宋体" w:cs="Times New Roman"/>
                      <w:b w:val="0"/>
                      <w:color w:val="000000"/>
                      <w:kern w:val="0"/>
                      <w:sz w:val="21"/>
                      <w:szCs w:val="21"/>
                      <w:vertAlign w:val="subscript"/>
                      <w:lang w:val="en-US" w:eastAsia="zh-CN" w:bidi="ar"/>
                    </w:rPr>
                    <w:t>2.5</w:t>
                  </w:r>
                  <w:r>
                    <w:rPr>
                      <w:rFonts w:hint="default" w:ascii="Times New Roman" w:hAnsi="Times New Roman" w:eastAsia="宋体" w:cs="Times New Roman"/>
                      <w:b w:val="0"/>
                      <w:color w:val="000000"/>
                      <w:kern w:val="0"/>
                      <w:sz w:val="21"/>
                      <w:szCs w:val="21"/>
                      <w:lang w:val="en-US" w:eastAsia="zh-CN" w:bidi="ar"/>
                    </w:rPr>
                    <w:t>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tc>
              <w:tc>
                <w:tcPr>
                  <w:tcW w:w="1930" w:type="dxa"/>
                  <w:tcBorders>
                    <w:bottom w:val="single" w:color="000000" w:sz="12" w:space="0"/>
                  </w:tcBorders>
                  <w:noWrap w:val="0"/>
                  <w:vAlign w:val="center"/>
                </w:tcPr>
                <w:p w14:paraId="4A73C45D">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凹凸棒石粘土矿及石膏开采项目，</w:t>
                  </w:r>
                  <w:r>
                    <w:rPr>
                      <w:rFonts w:hint="eastAsia" w:cs="Times New Roman"/>
                      <w:b w:val="0"/>
                      <w:color w:val="000000"/>
                      <w:kern w:val="0"/>
                      <w:sz w:val="21"/>
                      <w:szCs w:val="21"/>
                      <w:lang w:val="en-US" w:eastAsia="zh-CN" w:bidi="ar"/>
                    </w:rPr>
                    <w:t>冬季不开采，</w:t>
                  </w:r>
                  <w:r>
                    <w:rPr>
                      <w:rFonts w:hint="default" w:ascii="Times New Roman" w:hAnsi="Times New Roman" w:eastAsia="宋体" w:cs="Times New Roman"/>
                      <w:b w:val="0"/>
                      <w:color w:val="000000"/>
                      <w:kern w:val="0"/>
                      <w:sz w:val="21"/>
                      <w:szCs w:val="21"/>
                      <w:lang w:val="en-US" w:eastAsia="zh-CN" w:bidi="ar"/>
                    </w:rPr>
                    <w:t>项目不配套建设任何燃煤锅炉、烘干炉、燃煤炉灶等燃煤设施</w:t>
                  </w:r>
                  <w:r>
                    <w:rPr>
                      <w:rFonts w:hint="eastAsia" w:ascii="Times New Roman" w:hAnsi="Times New Roman" w:eastAsia="宋体" w:cs="Times New Roman"/>
                      <w:b w:val="0"/>
                      <w:color w:val="000000"/>
                      <w:kern w:val="0"/>
                      <w:sz w:val="21"/>
                      <w:szCs w:val="21"/>
                      <w:lang w:val="en-US" w:eastAsia="zh-CN" w:bidi="ar"/>
                    </w:rPr>
                    <w:t>。</w:t>
                  </w:r>
                </w:p>
              </w:tc>
              <w:tc>
                <w:tcPr>
                  <w:tcW w:w="692" w:type="dxa"/>
                  <w:tcBorders>
                    <w:bottom w:val="single" w:color="000000" w:sz="12" w:space="0"/>
                    <w:right w:val="nil"/>
                  </w:tcBorders>
                  <w:noWrap w:val="0"/>
                  <w:vAlign w:val="center"/>
                </w:tcPr>
                <w:p w14:paraId="52896BD9">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符合</w:t>
                  </w:r>
                </w:p>
              </w:tc>
            </w:tr>
          </w:tbl>
          <w:p w14:paraId="0B2ED43C">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b/>
                <w:bCs/>
                <w:color w:val="000000"/>
                <w:kern w:val="0"/>
                <w:sz w:val="24"/>
                <w:szCs w:val="24"/>
                <w:highlight w:val="none"/>
                <w:lang w:val="en-US" w:eastAsia="zh-CN" w:bidi="ar"/>
              </w:rPr>
              <w:t>四</w:t>
            </w:r>
            <w:r>
              <w:rPr>
                <w:rFonts w:hint="default" w:ascii="Times New Roman" w:hAnsi="Times New Roman" w:eastAsia="宋体" w:cs="Times New Roman"/>
                <w:b/>
                <w:bCs/>
                <w:color w:val="000000"/>
                <w:kern w:val="0"/>
                <w:sz w:val="24"/>
                <w:szCs w:val="24"/>
                <w:highlight w:val="none"/>
                <w:lang w:val="en-US" w:eastAsia="zh-CN" w:bidi="ar"/>
              </w:rPr>
              <w:t>、与《甘肃省空气质量持续改善行动实施方案》（甘政发〔2024〕26号）</w:t>
            </w:r>
            <w:r>
              <w:rPr>
                <w:rFonts w:hint="eastAsia" w:ascii="Times New Roman" w:hAnsi="Times New Roman" w:eastAsia="宋体" w:cs="Times New Roman"/>
                <w:b/>
                <w:bCs/>
                <w:color w:val="000000"/>
                <w:kern w:val="0"/>
                <w:sz w:val="24"/>
                <w:szCs w:val="24"/>
                <w:highlight w:val="none"/>
                <w:lang w:val="en-US" w:eastAsia="zh-CN" w:bidi="ar"/>
              </w:rPr>
              <w:t>的</w:t>
            </w:r>
            <w:r>
              <w:rPr>
                <w:rFonts w:hint="default" w:ascii="Times New Roman" w:hAnsi="Times New Roman" w:eastAsia="宋体" w:cs="Times New Roman"/>
                <w:b/>
                <w:bCs/>
                <w:color w:val="000000"/>
                <w:kern w:val="0"/>
                <w:sz w:val="24"/>
                <w:szCs w:val="24"/>
                <w:highlight w:val="none"/>
                <w:lang w:val="en-US" w:eastAsia="zh-CN" w:bidi="ar"/>
              </w:rPr>
              <w:t>符合性分析</w:t>
            </w:r>
          </w:p>
          <w:p w14:paraId="05E56C5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本项目与</w:t>
            </w:r>
            <w:r>
              <w:rPr>
                <w:rFonts w:hint="default" w:ascii="Times New Roman" w:hAnsi="Times New Roman" w:eastAsia="宋体" w:cs="Times New Roman"/>
                <w:b w:val="0"/>
                <w:bCs w:val="0"/>
                <w:color w:val="000000"/>
                <w:kern w:val="0"/>
                <w:sz w:val="24"/>
                <w:szCs w:val="24"/>
                <w:highlight w:val="none"/>
                <w:lang w:val="en-US" w:eastAsia="zh-CN" w:bidi="ar"/>
              </w:rPr>
              <w:t>《甘肃省空气质量持续改善行动实施方案》</w:t>
            </w:r>
            <w:r>
              <w:rPr>
                <w:rFonts w:hint="default" w:ascii="Times New Roman" w:hAnsi="Times New Roman" w:eastAsia="宋体" w:cs="Times New Roman"/>
                <w:color w:val="000000"/>
                <w:kern w:val="0"/>
                <w:sz w:val="24"/>
                <w:szCs w:val="24"/>
                <w:lang w:val="en-US" w:eastAsia="zh-CN" w:bidi="ar"/>
              </w:rPr>
              <w:t>（甘政发〔2024〕26号）文件符合性分析如下：</w:t>
            </w:r>
          </w:p>
          <w:p w14:paraId="04DCD69E">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表1-</w:t>
            </w:r>
            <w:r>
              <w:rPr>
                <w:rFonts w:hint="eastAsia" w:ascii="Times New Roman" w:hAnsi="Times New Roman" w:eastAsia="宋体" w:cs="Times New Roman"/>
                <w:b/>
                <w:bCs/>
                <w:color w:val="000000"/>
                <w:kern w:val="0"/>
                <w:sz w:val="21"/>
                <w:szCs w:val="21"/>
                <w:lang w:val="en-US" w:eastAsia="zh-CN" w:bidi="ar"/>
              </w:rPr>
              <w:t>4</w:t>
            </w:r>
            <w:r>
              <w:rPr>
                <w:rFonts w:hint="default" w:ascii="Times New Roman" w:hAnsi="Times New Roman" w:eastAsia="宋体" w:cs="Times New Roman"/>
                <w:b/>
                <w:bCs/>
                <w:color w:val="000000"/>
                <w:kern w:val="0"/>
                <w:sz w:val="21"/>
                <w:szCs w:val="21"/>
                <w:lang w:val="en-US" w:eastAsia="zh-CN" w:bidi="ar"/>
              </w:rPr>
              <w:t>与</w:t>
            </w:r>
            <w:r>
              <w:rPr>
                <w:rFonts w:hint="default" w:ascii="Times New Roman" w:hAnsi="Times New Roman" w:eastAsia="宋体" w:cs="Times New Roman"/>
                <w:b/>
                <w:bCs/>
                <w:color w:val="000000"/>
                <w:kern w:val="0"/>
                <w:sz w:val="21"/>
                <w:szCs w:val="21"/>
                <w:highlight w:val="none"/>
                <w:lang w:val="en-US" w:eastAsia="zh-CN" w:bidi="ar"/>
              </w:rPr>
              <w:t>《甘肃省空气质量持续改善行动实施方案》</w:t>
            </w:r>
            <w:r>
              <w:rPr>
                <w:rFonts w:hint="default" w:ascii="Times New Roman" w:hAnsi="Times New Roman" w:eastAsia="宋体" w:cs="Times New Roman"/>
                <w:b/>
                <w:bCs/>
                <w:color w:val="000000"/>
                <w:kern w:val="0"/>
                <w:sz w:val="21"/>
                <w:szCs w:val="21"/>
                <w:lang w:val="en-US" w:eastAsia="zh-CN" w:bidi="ar"/>
              </w:rPr>
              <w:t>（符合性分析）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4820"/>
              <w:gridCol w:w="1930"/>
              <w:gridCol w:w="692"/>
            </w:tblGrid>
            <w:tr w14:paraId="2BD4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top w:val="single" w:color="000000" w:sz="12" w:space="0"/>
                    <w:left w:val="nil"/>
                    <w:tl2br w:val="nil"/>
                  </w:tcBorders>
                  <w:noWrap w:val="0"/>
                  <w:vAlign w:val="center"/>
                </w:tcPr>
                <w:p w14:paraId="2D680767">
                  <w:pPr>
                    <w:keepNext w:val="0"/>
                    <w:keepLines w:val="0"/>
                    <w:widowControl/>
                    <w:suppressLineNumbers w:val="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序号</w:t>
                  </w:r>
                </w:p>
              </w:tc>
              <w:tc>
                <w:tcPr>
                  <w:tcW w:w="4820" w:type="dxa"/>
                  <w:tcBorders>
                    <w:top w:val="single" w:color="000000" w:sz="12" w:space="0"/>
                  </w:tcBorders>
                  <w:noWrap w:val="0"/>
                  <w:vAlign w:val="center"/>
                </w:tcPr>
                <w:p w14:paraId="39B84FC6">
                  <w:pPr>
                    <w:keepNext w:val="0"/>
                    <w:keepLines w:val="0"/>
                    <w:widowControl/>
                    <w:suppressLineNumbers w:val="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要求</w:t>
                  </w:r>
                </w:p>
              </w:tc>
              <w:tc>
                <w:tcPr>
                  <w:tcW w:w="1930" w:type="dxa"/>
                  <w:tcBorders>
                    <w:top w:val="single" w:color="000000" w:sz="12" w:space="0"/>
                  </w:tcBorders>
                  <w:noWrap w:val="0"/>
                  <w:vAlign w:val="center"/>
                </w:tcPr>
                <w:p w14:paraId="1334185C">
                  <w:pPr>
                    <w:keepNext w:val="0"/>
                    <w:keepLines w:val="0"/>
                    <w:widowControl/>
                    <w:suppressLineNumbers w:val="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本项目情况</w:t>
                  </w:r>
                </w:p>
                <w:p w14:paraId="3F416D4B">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p>
              </w:tc>
              <w:tc>
                <w:tcPr>
                  <w:tcW w:w="692" w:type="dxa"/>
                  <w:tcBorders>
                    <w:top w:val="single" w:color="000000" w:sz="12" w:space="0"/>
                    <w:right w:val="nil"/>
                  </w:tcBorders>
                  <w:noWrap w:val="0"/>
                  <w:vAlign w:val="center"/>
                </w:tcPr>
                <w:p w14:paraId="3ECE2EA9">
                  <w:pPr>
                    <w:keepNext w:val="0"/>
                    <w:keepLines w:val="0"/>
                    <w:widowControl/>
                    <w:suppressLineNumbers w:val="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是否符合</w:t>
                  </w:r>
                </w:p>
                <w:p w14:paraId="6AC8D799">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p>
              </w:tc>
            </w:tr>
            <w:tr w14:paraId="2A53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left w:val="nil"/>
                  </w:tcBorders>
                  <w:noWrap w:val="0"/>
                  <w:vAlign w:val="center"/>
                </w:tcPr>
                <w:p w14:paraId="6CF3951C">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1</w:t>
                  </w:r>
                </w:p>
              </w:tc>
              <w:tc>
                <w:tcPr>
                  <w:tcW w:w="4820" w:type="dxa"/>
                  <w:noWrap w:val="0"/>
                  <w:vAlign w:val="center"/>
                </w:tcPr>
                <w:p w14:paraId="246EBFFC">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eastAsia" w:cs="Times New Roman"/>
                      <w:b w:val="0"/>
                      <w:color w:val="000000"/>
                      <w:sz w:val="21"/>
                      <w:szCs w:val="21"/>
                      <w:vertAlign w:val="baseline"/>
                      <w:lang w:val="en-US" w:eastAsia="zh-CN"/>
                    </w:rPr>
                    <w:t>严格落实项目准入要求。严格新改扩建高耗能、高排放、低水平项目审批，落实产业规划、产业政策、生态环境分区管控方案、规划环评、项目环评、节能审查、产能置换、重点污染物总量控制、污染物排放区域削减、碳排放管控等相关要求，原则上采用清洁运输方式。严格执行重点行业产能置换办法，督促涉及产能置换的新建项目在被置换产能及其配套设施关停后投产。严禁违规新增钢铁产能。推行钢铁、焦化、烧结一体化布局，减少独立焦化、烧结、球团和热轧企业及工序，淘汰落后煤炭洗选产能；有序引导高炉—转炉长流程炼钢转型为电炉短流程炼钢</w:t>
                  </w:r>
                </w:p>
              </w:tc>
              <w:tc>
                <w:tcPr>
                  <w:tcW w:w="1930" w:type="dxa"/>
                  <w:noWrap w:val="0"/>
                  <w:vAlign w:val="center"/>
                </w:tcPr>
                <w:p w14:paraId="5862FCA0">
                  <w:pPr>
                    <w:keepNext w:val="0"/>
                    <w:keepLines w:val="0"/>
                    <w:widowControl/>
                    <w:suppressLineNumbers w:val="0"/>
                    <w:jc w:val="both"/>
                    <w:rPr>
                      <w:rFonts w:hint="default" w:ascii="Times New Roman" w:hAnsi="Times New Roman" w:eastAsia="宋体" w:cs="Times New Roman"/>
                      <w:b w:val="0"/>
                      <w:color w:val="000000"/>
                      <w:sz w:val="21"/>
                      <w:szCs w:val="21"/>
                      <w:vertAlign w:val="baseline"/>
                      <w:lang w:val="en-US"/>
                    </w:rPr>
                  </w:pPr>
                  <w:r>
                    <w:rPr>
                      <w:rFonts w:hint="default" w:ascii="Times New Roman" w:hAnsi="Times New Roman" w:eastAsia="宋体" w:cs="Times New Roman"/>
                      <w:b w:val="0"/>
                      <w:color w:val="000000"/>
                      <w:sz w:val="21"/>
                      <w:szCs w:val="21"/>
                      <w:vertAlign w:val="baseline"/>
                      <w:lang w:val="en-US" w:eastAsia="zh-CN"/>
                    </w:rPr>
                    <w:t>本项目为</w:t>
                  </w:r>
                  <w:r>
                    <w:rPr>
                      <w:rFonts w:hint="eastAsia" w:ascii="Times New Roman" w:hAnsi="Times New Roman" w:eastAsia="宋体" w:cs="Times New Roman"/>
                      <w:b w:val="0"/>
                      <w:color w:val="000000"/>
                      <w:sz w:val="21"/>
                      <w:szCs w:val="21"/>
                      <w:vertAlign w:val="baseline"/>
                      <w:lang w:val="en-US" w:eastAsia="zh-CN"/>
                    </w:rPr>
                    <w:t>凹凸棒石粘土矿及石膏</w:t>
                  </w:r>
                  <w:r>
                    <w:rPr>
                      <w:rFonts w:hint="eastAsia" w:cs="Times New Roman"/>
                      <w:b w:val="0"/>
                      <w:color w:val="000000"/>
                      <w:sz w:val="21"/>
                      <w:szCs w:val="21"/>
                      <w:vertAlign w:val="baseline"/>
                      <w:lang w:val="en-US" w:eastAsia="zh-CN"/>
                    </w:rPr>
                    <w:t>矿</w:t>
                  </w:r>
                  <w:r>
                    <w:rPr>
                      <w:rFonts w:hint="default" w:ascii="Times New Roman" w:hAnsi="Times New Roman" w:eastAsia="宋体" w:cs="Times New Roman"/>
                      <w:b w:val="0"/>
                      <w:color w:val="000000"/>
                      <w:sz w:val="21"/>
                      <w:szCs w:val="21"/>
                      <w:vertAlign w:val="baseline"/>
                      <w:lang w:val="en-US" w:eastAsia="zh-CN"/>
                    </w:rPr>
                    <w:t>开采项目，</w:t>
                  </w:r>
                  <w:r>
                    <w:rPr>
                      <w:rFonts w:hint="eastAsia" w:cs="Times New Roman"/>
                      <w:b w:val="0"/>
                      <w:color w:val="000000"/>
                      <w:sz w:val="21"/>
                      <w:szCs w:val="21"/>
                      <w:vertAlign w:val="baseline"/>
                      <w:lang w:val="en-US" w:eastAsia="zh-CN"/>
                    </w:rPr>
                    <w:t>不属于“</w:t>
                  </w:r>
                  <w:r>
                    <w:rPr>
                      <w:rFonts w:hint="default" w:ascii="Times New Roman" w:hAnsi="Times New Roman" w:eastAsia="宋体" w:cs="Times New Roman"/>
                      <w:b w:val="0"/>
                      <w:color w:val="000000"/>
                      <w:sz w:val="21"/>
                      <w:szCs w:val="21"/>
                      <w:vertAlign w:val="baseline"/>
                      <w:lang w:val="en-US" w:eastAsia="zh-CN"/>
                    </w:rPr>
                    <w:t>高耗能、高排放、低水平</w:t>
                  </w:r>
                  <w:r>
                    <w:rPr>
                      <w:rFonts w:hint="eastAsia" w:cs="Times New Roman"/>
                      <w:b w:val="0"/>
                      <w:color w:val="000000"/>
                      <w:sz w:val="21"/>
                      <w:szCs w:val="21"/>
                      <w:vertAlign w:val="baseline"/>
                      <w:lang w:val="en-US" w:eastAsia="zh-CN"/>
                    </w:rPr>
                    <w:t>”项目，项目只开采，不加工，不涉及独立焦化、烧结、球团和热轧企业及工序。</w:t>
                  </w:r>
                </w:p>
              </w:tc>
              <w:tc>
                <w:tcPr>
                  <w:tcW w:w="692" w:type="dxa"/>
                  <w:tcBorders>
                    <w:right w:val="nil"/>
                  </w:tcBorders>
                  <w:noWrap w:val="0"/>
                  <w:vAlign w:val="center"/>
                </w:tcPr>
                <w:p w14:paraId="7E80BFB9">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符合</w:t>
                  </w:r>
                </w:p>
              </w:tc>
            </w:tr>
            <w:tr w14:paraId="1456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left w:val="nil"/>
                  </w:tcBorders>
                  <w:noWrap w:val="0"/>
                  <w:vAlign w:val="center"/>
                </w:tcPr>
                <w:p w14:paraId="5916AD08">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2</w:t>
                  </w:r>
                </w:p>
              </w:tc>
              <w:tc>
                <w:tcPr>
                  <w:tcW w:w="4820" w:type="dxa"/>
                  <w:noWrap w:val="0"/>
                  <w:vAlign w:val="center"/>
                </w:tcPr>
                <w:p w14:paraId="11B91362">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rPr>
                    <w:t>持续推进货物运输绿色转型。调整优化货物运输方式，煤炭、矿石等大宗货物中长距离运输以铁路为主，短距离运输优先采用封闭式皮带廊道或新能源车辆。在煤矿、钢铁、火电、有色、焦化、煤化工等行业新改扩建项目中积极推广清洁运输方式。充分发挥公铁联用等运输方式的组合优势，推进铁路专用线进厂进园进企。合理提高物流铁路运输比例，兰州市采用公铁联运等“外集内配”物流方式。加强铁路专用线和联运转运衔接设施建设，加快柳沟至红沙梁等铁路专用线建设。督促新建及迁建大宗货物年运量150万吨以上的重点工业园区、物流园区、工矿企业和储煤基地接入铁路专用线或管道。</w:t>
                  </w:r>
                </w:p>
              </w:tc>
              <w:tc>
                <w:tcPr>
                  <w:tcW w:w="1930" w:type="dxa"/>
                  <w:noWrap w:val="0"/>
                  <w:vAlign w:val="center"/>
                </w:tcPr>
                <w:p w14:paraId="02BC1EF8">
                  <w:pPr>
                    <w:keepNext w:val="0"/>
                    <w:keepLines w:val="0"/>
                    <w:widowControl/>
                    <w:suppressLineNumbers w:val="0"/>
                    <w:jc w:val="both"/>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项目主要</w:t>
                  </w:r>
                  <w:r>
                    <w:rPr>
                      <w:rFonts w:hint="default" w:ascii="Times New Roman" w:hAnsi="Times New Roman" w:eastAsia="宋体" w:cs="Times New Roman"/>
                      <w:b w:val="0"/>
                      <w:color w:val="000000"/>
                      <w:sz w:val="21"/>
                      <w:szCs w:val="21"/>
                      <w:vertAlign w:val="baseline"/>
                      <w:lang w:val="en-US" w:eastAsia="zh-CN"/>
                    </w:rPr>
                    <w:t>运输方式</w:t>
                  </w:r>
                  <w:r>
                    <w:rPr>
                      <w:rFonts w:hint="eastAsia" w:cs="Times New Roman"/>
                      <w:b w:val="0"/>
                      <w:color w:val="000000"/>
                      <w:sz w:val="21"/>
                      <w:szCs w:val="21"/>
                      <w:vertAlign w:val="baseline"/>
                      <w:lang w:val="en-US" w:eastAsia="zh-CN"/>
                    </w:rPr>
                    <w:t>采用公路开拓、汽车运输方式，在运输过程中对道路</w:t>
                  </w:r>
                  <w:r>
                    <w:rPr>
                      <w:rFonts w:hint="default" w:ascii="Times New Roman" w:hAnsi="Times New Roman" w:eastAsia="宋体" w:cs="Times New Roman"/>
                      <w:b w:val="0"/>
                      <w:color w:val="000000"/>
                      <w:sz w:val="21"/>
                      <w:szCs w:val="21"/>
                      <w:lang w:val="en-US" w:eastAsia="zh-CN"/>
                    </w:rPr>
                    <w:t>洒水降尘，车辆加盖篷布</w:t>
                  </w:r>
                  <w:r>
                    <w:rPr>
                      <w:rFonts w:hint="eastAsia" w:ascii="Times New Roman" w:hAnsi="Times New Roman" w:eastAsia="宋体" w:cs="Times New Roman"/>
                      <w:b w:val="0"/>
                      <w:color w:val="000000"/>
                      <w:sz w:val="21"/>
                      <w:szCs w:val="21"/>
                      <w:lang w:val="en-US" w:eastAsia="zh-CN"/>
                    </w:rPr>
                    <w:t>，有效减少扬尘，开采的矿种外售至临泽县周边地区，不属于重伤距离的运输。</w:t>
                  </w:r>
                </w:p>
              </w:tc>
              <w:tc>
                <w:tcPr>
                  <w:tcW w:w="692" w:type="dxa"/>
                  <w:tcBorders>
                    <w:right w:val="nil"/>
                  </w:tcBorders>
                  <w:noWrap w:val="0"/>
                  <w:vAlign w:val="center"/>
                </w:tcPr>
                <w:p w14:paraId="0A5E0231">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符合</w:t>
                  </w:r>
                </w:p>
              </w:tc>
            </w:tr>
            <w:tr w14:paraId="35C6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left w:val="nil"/>
                  </w:tcBorders>
                  <w:noWrap w:val="0"/>
                  <w:vAlign w:val="center"/>
                </w:tcPr>
                <w:p w14:paraId="23816287">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3</w:t>
                  </w:r>
                </w:p>
              </w:tc>
              <w:tc>
                <w:tcPr>
                  <w:tcW w:w="4820" w:type="dxa"/>
                  <w:noWrap w:val="0"/>
                  <w:vAlign w:val="center"/>
                </w:tcPr>
                <w:p w14:paraId="10E36E9B">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eastAsia"/>
                    </w:rPr>
                    <w:t>深化扬尘污染综合治理。督促施工单位严格落实工地“六个百分之百”防尘抑尘措施，将防治扬尘污染费用纳入工程造价。强化施工工地扬尘监管，鼓励占地面积5000平方米及以上施工工地在土方阶段安装视频监控和在线监测设施，鼓励道路、水务等长距离线性工程实行分段施工。积极发展装配式建筑，力争到2025年，装配式建筑占新建建筑面积比例达到30%。推进吸尘式机械化湿式清扫作业，加大城市主干道、外环路、出入口、城乡结合部等重点路段冲洗保洁力度，到2025年，地级城市建成区道路机械化清扫率达到80%左右，县城建成区达到70%左右。基本完成工矿企业大型煤炭、矿石等干散物料堆场抑尘设施建设和物料输送系统封闭改造。对城市公共裸地以及废旧厂区、物流园、集中停放重型货车的场地等进行排查建档，采取绿化、硬化、清扫等措施减少扬尘。</w:t>
                  </w:r>
                </w:p>
              </w:tc>
              <w:tc>
                <w:tcPr>
                  <w:tcW w:w="1930" w:type="dxa"/>
                  <w:noWrap w:val="0"/>
                  <w:vAlign w:val="center"/>
                </w:tcPr>
                <w:p w14:paraId="36290F71">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highlight w:val="none"/>
                      <w:lang w:val="en-US" w:eastAsia="zh-CN"/>
                    </w:rPr>
                    <w:t>本项目扬尘主要措施为；</w:t>
                  </w:r>
                  <w:r>
                    <w:rPr>
                      <w:rFonts w:hint="default" w:ascii="Times New Roman" w:hAnsi="Times New Roman" w:eastAsia="宋体" w:cs="Times New Roman"/>
                      <w:b w:val="0"/>
                      <w:color w:val="000000"/>
                      <w:sz w:val="21"/>
                      <w:szCs w:val="21"/>
                      <w:highlight w:val="none"/>
                      <w:lang w:val="en-US" w:eastAsia="zh-CN"/>
                    </w:rPr>
                    <w:t>①开采粉尘：湿法作业，洒水降尘；</w:t>
                  </w:r>
                  <w:r>
                    <w:rPr>
                      <w:rFonts w:hint="default" w:ascii="Times New Roman" w:hAnsi="Times New Roman" w:eastAsia="宋体" w:cs="Times New Roman"/>
                      <w:b w:val="0"/>
                      <w:color w:val="000000"/>
                      <w:sz w:val="21"/>
                      <w:szCs w:val="21"/>
                      <w:lang w:val="en-US" w:eastAsia="zh-CN"/>
                    </w:rPr>
                    <w:t>②运输粉尘：洒水降尘，车辆加盖篷布；③排土场粉尘：排土场分层压实，表面覆盖密目网，在卸废作业点采用洒水降尘；</w:t>
                  </w:r>
                </w:p>
                <w:p w14:paraId="5738CC11">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lang w:val="en-US" w:eastAsia="zh-CN"/>
                    </w:rPr>
                    <w:t>④堆</w:t>
                  </w:r>
                  <w:r>
                    <w:rPr>
                      <w:rFonts w:hint="eastAsia" w:ascii="Times New Roman" w:hAnsi="Times New Roman" w:eastAsia="宋体" w:cs="Times New Roman"/>
                      <w:b w:val="0"/>
                      <w:color w:val="000000"/>
                      <w:sz w:val="21"/>
                      <w:szCs w:val="21"/>
                      <w:lang w:val="en-US" w:eastAsia="zh-CN"/>
                    </w:rPr>
                    <w:t>矿</w:t>
                  </w:r>
                  <w:r>
                    <w:rPr>
                      <w:rFonts w:hint="default" w:ascii="Times New Roman" w:hAnsi="Times New Roman" w:eastAsia="宋体" w:cs="Times New Roman"/>
                      <w:b w:val="0"/>
                      <w:color w:val="000000"/>
                      <w:sz w:val="21"/>
                      <w:szCs w:val="21"/>
                      <w:lang w:val="en-US" w:eastAsia="zh-CN"/>
                    </w:rPr>
                    <w:t>场</w:t>
                  </w:r>
                  <w:r>
                    <w:rPr>
                      <w:rFonts w:hint="eastAsia" w:ascii="Times New Roman" w:hAnsi="Times New Roman" w:eastAsia="宋体" w:cs="Times New Roman"/>
                      <w:b w:val="0"/>
                      <w:color w:val="000000"/>
                      <w:sz w:val="21"/>
                      <w:szCs w:val="21"/>
                      <w:lang w:val="en-US" w:eastAsia="zh-CN"/>
                    </w:rPr>
                    <w:t>粉尘</w:t>
                  </w:r>
                  <w:r>
                    <w:rPr>
                      <w:rFonts w:hint="default" w:ascii="Times New Roman" w:hAnsi="Times New Roman" w:eastAsia="宋体" w:cs="Times New Roman"/>
                      <w:b w:val="0"/>
                      <w:color w:val="000000"/>
                      <w:sz w:val="21"/>
                      <w:szCs w:val="21"/>
                      <w:lang w:val="en-US" w:eastAsia="zh-CN"/>
                    </w:rPr>
                    <w:t>：设置三面围挡+顶棚式结构，定期</w:t>
                  </w:r>
                  <w:r>
                    <w:rPr>
                      <w:rFonts w:hint="eastAsia" w:cs="Times New Roman"/>
                      <w:b w:val="0"/>
                      <w:color w:val="000000"/>
                      <w:sz w:val="21"/>
                      <w:szCs w:val="21"/>
                      <w:lang w:val="en-US" w:eastAsia="zh-CN"/>
                    </w:rPr>
                    <w:t>洒</w:t>
                  </w:r>
                  <w:r>
                    <w:rPr>
                      <w:rFonts w:hint="default" w:ascii="Times New Roman" w:hAnsi="Times New Roman" w:eastAsia="宋体" w:cs="Times New Roman"/>
                      <w:b w:val="0"/>
                      <w:color w:val="000000"/>
                      <w:sz w:val="21"/>
                      <w:szCs w:val="21"/>
                      <w:lang w:val="en-US" w:eastAsia="zh-CN"/>
                    </w:rPr>
                    <w:t>水降尘</w:t>
                  </w:r>
                  <w:r>
                    <w:rPr>
                      <w:rFonts w:hint="eastAsia" w:cs="Times New Roman"/>
                      <w:b w:val="0"/>
                      <w:color w:val="000000"/>
                      <w:sz w:val="21"/>
                      <w:szCs w:val="21"/>
                      <w:lang w:val="en-US" w:eastAsia="zh-CN"/>
                    </w:rPr>
                    <w:t>；通过以上措施对周围环境影响较小。</w:t>
                  </w:r>
                </w:p>
              </w:tc>
              <w:tc>
                <w:tcPr>
                  <w:tcW w:w="692" w:type="dxa"/>
                  <w:tcBorders>
                    <w:right w:val="nil"/>
                  </w:tcBorders>
                  <w:noWrap w:val="0"/>
                  <w:vAlign w:val="center"/>
                </w:tcPr>
                <w:p w14:paraId="558F9ADE">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符合</w:t>
                  </w:r>
                </w:p>
              </w:tc>
            </w:tr>
            <w:tr w14:paraId="0A38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tcBorders>
                    <w:left w:val="nil"/>
                    <w:bottom w:val="single" w:color="000000" w:sz="12" w:space="0"/>
                  </w:tcBorders>
                  <w:noWrap w:val="0"/>
                  <w:vAlign w:val="center"/>
                </w:tcPr>
                <w:p w14:paraId="0E66565E">
                  <w:pPr>
                    <w:keepNext w:val="0"/>
                    <w:keepLines w:val="0"/>
                    <w:widowControl/>
                    <w:suppressLineNumbers w:val="0"/>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4</w:t>
                  </w:r>
                </w:p>
              </w:tc>
              <w:tc>
                <w:tcPr>
                  <w:tcW w:w="4820" w:type="dxa"/>
                  <w:tcBorders>
                    <w:bottom w:val="single" w:color="000000" w:sz="12" w:space="0"/>
                  </w:tcBorders>
                  <w:noWrap w:val="0"/>
                  <w:vAlign w:val="center"/>
                </w:tcPr>
                <w:p w14:paraId="774F3A02">
                  <w:pPr>
                    <w:keepNext w:val="0"/>
                    <w:keepLines w:val="0"/>
                    <w:widowControl/>
                    <w:suppressLineNumbers w:val="0"/>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十七）强化矿山生态环境综合整治。严格执行自然保护地和生态保护红线范围内的矿业权设置管控规则，加强新设露天矿山审批。新建矿山严格按照绿色矿山建设标准进行规划、设计、建设和运营管理，原则上同步建设铁路专用线或采用其他清洁运输方式。生产矿山加快绿色升级改造，实现环境生态化、开采方式科学化、资源利用高效化、管理信息数字化、矿区社区和谐化。</w:t>
                  </w:r>
                </w:p>
              </w:tc>
              <w:tc>
                <w:tcPr>
                  <w:tcW w:w="1930" w:type="dxa"/>
                  <w:tcBorders>
                    <w:bottom w:val="single" w:color="000000" w:sz="12" w:space="0"/>
                  </w:tcBorders>
                  <w:noWrap w:val="0"/>
                  <w:vAlign w:val="center"/>
                </w:tcPr>
                <w:p w14:paraId="3486776F">
                  <w:pPr>
                    <w:keepNext w:val="0"/>
                    <w:keepLines w:val="0"/>
                    <w:widowControl/>
                    <w:suppressLineNumbers w:val="0"/>
                    <w:jc w:val="both"/>
                    <w:rPr>
                      <w:rFonts w:hint="default" w:ascii="Times New Roman" w:hAnsi="Times New Roman" w:eastAsia="宋体" w:cs="Times New Roman"/>
                      <w:b w:val="0"/>
                      <w:color w:val="000000"/>
                      <w:sz w:val="21"/>
                      <w:szCs w:val="21"/>
                      <w:vertAlign w:val="baseline"/>
                    </w:rPr>
                  </w:pPr>
                  <w:r>
                    <w:rPr>
                      <w:rFonts w:hint="eastAsia" w:ascii="Times New Roman" w:hAnsi="Times New Roman" w:eastAsia="宋体" w:cs="Times New Roman"/>
                      <w:lang w:val="en-US" w:eastAsia="zh-CN"/>
                    </w:rPr>
                    <w:t>项目不在生态红线范围内，</w:t>
                  </w:r>
                  <w:r>
                    <w:rPr>
                      <w:rFonts w:hint="default" w:ascii="Times New Roman" w:hAnsi="Times New Roman" w:eastAsia="宋体" w:cs="Times New Roman"/>
                      <w:lang w:val="en-US" w:eastAsia="zh-CN"/>
                    </w:rPr>
                    <w:t>拟建露天采场1个，采用自上而下分台阶的露天开采方式，开拓方式—公路运输（汽车）开拓</w:t>
                  </w:r>
                  <w:r>
                    <w:rPr>
                      <w:rFonts w:hint="eastAsia" w:ascii="Times New Roman" w:hAnsi="Times New Roman" w:eastAsia="宋体" w:cs="Times New Roman"/>
                      <w:lang w:val="en-US" w:eastAsia="zh-CN"/>
                    </w:rPr>
                    <w:t>。</w:t>
                  </w:r>
                </w:p>
              </w:tc>
              <w:tc>
                <w:tcPr>
                  <w:tcW w:w="692" w:type="dxa"/>
                  <w:tcBorders>
                    <w:bottom w:val="single" w:color="000000" w:sz="12" w:space="0"/>
                    <w:right w:val="nil"/>
                  </w:tcBorders>
                  <w:noWrap w:val="0"/>
                  <w:vAlign w:val="center"/>
                </w:tcPr>
                <w:p w14:paraId="202CAB69">
                  <w:pPr>
                    <w:keepNext w:val="0"/>
                    <w:keepLines w:val="0"/>
                    <w:widowControl/>
                    <w:suppressLineNumbers w:val="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kern w:val="0"/>
                      <w:sz w:val="21"/>
                      <w:szCs w:val="21"/>
                      <w:lang w:val="en-US" w:eastAsia="zh-CN" w:bidi="ar"/>
                    </w:rPr>
                    <w:t>符合</w:t>
                  </w:r>
                </w:p>
              </w:tc>
            </w:tr>
          </w:tbl>
          <w:p w14:paraId="517143E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五、《矿山生态环境保护与污染防治技术政策》符合性分析</w:t>
            </w:r>
          </w:p>
          <w:p w14:paraId="1D91111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本项目与《矿山生态环境保护与污染防治技术政策》的符合性分析见表1-</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p>
          <w:p w14:paraId="773B2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color w:val="000000"/>
                <w:kern w:val="0"/>
                <w:sz w:val="21"/>
                <w:szCs w:val="21"/>
                <w:lang w:val="en-US" w:eastAsia="zh-CN" w:bidi="ar"/>
              </w:rPr>
              <w:t>表1-</w:t>
            </w:r>
            <w:r>
              <w:rPr>
                <w:rFonts w:hint="eastAsia" w:cs="Times New Roman"/>
                <w:b/>
                <w:bCs/>
                <w:color w:val="000000"/>
                <w:kern w:val="0"/>
                <w:sz w:val="21"/>
                <w:szCs w:val="21"/>
                <w:lang w:val="en-US" w:eastAsia="zh-CN" w:bidi="ar"/>
              </w:rPr>
              <w:t>5</w:t>
            </w:r>
            <w:r>
              <w:rPr>
                <w:rFonts w:hint="default" w:ascii="Times New Roman" w:hAnsi="Times New Roman" w:eastAsia="宋体" w:cs="Times New Roman"/>
                <w:b/>
                <w:bCs/>
                <w:color w:val="000000"/>
                <w:kern w:val="0"/>
                <w:sz w:val="21"/>
                <w:szCs w:val="21"/>
                <w:lang w:val="en-US" w:eastAsia="zh-CN" w:bidi="ar"/>
              </w:rPr>
              <w:t>本项目与矿山生态环境保护与污染防治技术政策符合性分析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167"/>
              <w:gridCol w:w="2544"/>
              <w:gridCol w:w="1167"/>
            </w:tblGrid>
            <w:tr w14:paraId="411B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1" w:type="dxa"/>
                  <w:gridSpan w:val="2"/>
                  <w:tcBorders>
                    <w:top w:val="single" w:color="000000" w:sz="12" w:space="0"/>
                    <w:left w:val="nil"/>
                    <w:tl2br w:val="nil"/>
                  </w:tcBorders>
                  <w:noWrap w:val="0"/>
                  <w:vAlign w:val="center"/>
                </w:tcPr>
                <w:p w14:paraId="68FDA8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《矿山生态环境保护与污染防治技术政策》的相关要点</w:t>
                  </w:r>
                </w:p>
              </w:tc>
              <w:tc>
                <w:tcPr>
                  <w:tcW w:w="2544" w:type="dxa"/>
                  <w:tcBorders>
                    <w:top w:val="single" w:color="000000" w:sz="12" w:space="0"/>
                  </w:tcBorders>
                  <w:noWrap w:val="0"/>
                  <w:vAlign w:val="center"/>
                </w:tcPr>
                <w:p w14:paraId="12BA1A2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项目设计要点</w:t>
                  </w:r>
                </w:p>
              </w:tc>
              <w:tc>
                <w:tcPr>
                  <w:tcW w:w="1167" w:type="dxa"/>
                  <w:tcBorders>
                    <w:top w:val="single" w:color="000000" w:sz="12" w:space="0"/>
                    <w:right w:val="nil"/>
                  </w:tcBorders>
                  <w:noWrap w:val="0"/>
                  <w:vAlign w:val="center"/>
                </w:tcPr>
                <w:p w14:paraId="1BD55B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符合性</w:t>
                  </w:r>
                </w:p>
              </w:tc>
            </w:tr>
            <w:tr w14:paraId="0232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tcBorders>
                    <w:left w:val="nil"/>
                  </w:tcBorders>
                  <w:noWrap w:val="0"/>
                  <w:vAlign w:val="center"/>
                </w:tcPr>
                <w:p w14:paraId="677338B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选址规定</w:t>
                  </w:r>
                </w:p>
                <w:p w14:paraId="470AABD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noWrap w:val="0"/>
                  <w:vAlign w:val="center"/>
                </w:tcPr>
                <w:p w14:paraId="2860EA0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禁止在依法划定的自然保护区</w:t>
                  </w:r>
                  <w:r>
                    <w:rPr>
                      <w:rFonts w:hint="eastAsia"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核心区、缓冲区</w:t>
                  </w:r>
                  <w:r>
                    <w:rPr>
                      <w:rFonts w:hint="eastAsia"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、风景名胜区、森林公园、饮用水水源保护区、重要湖泊周边、文物古迹所在地、地质遗迹保护区、基本农田保护区等区域内采矿</w:t>
                  </w:r>
                </w:p>
              </w:tc>
              <w:tc>
                <w:tcPr>
                  <w:tcW w:w="2544" w:type="dxa"/>
                  <w:noWrap w:val="0"/>
                  <w:vAlign w:val="center"/>
                </w:tcPr>
                <w:p w14:paraId="5EE0963F">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本项目矿权范围均不在规定禁止采矿的敏感区内。</w:t>
                  </w:r>
                </w:p>
                <w:p w14:paraId="0B06B3D1">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p>
              </w:tc>
              <w:tc>
                <w:tcPr>
                  <w:tcW w:w="1167" w:type="dxa"/>
                  <w:tcBorders>
                    <w:right w:val="nil"/>
                  </w:tcBorders>
                  <w:noWrap w:val="0"/>
                  <w:vAlign w:val="center"/>
                </w:tcPr>
                <w:p w14:paraId="0D91A4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r w14:paraId="6A33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tcBorders>
                    <w:left w:val="nil"/>
                  </w:tcBorders>
                  <w:noWrap w:val="0"/>
                  <w:vAlign w:val="center"/>
                </w:tcPr>
                <w:p w14:paraId="1C0166E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noWrap w:val="0"/>
                  <w:vAlign w:val="center"/>
                </w:tcPr>
                <w:p w14:paraId="70F25CF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禁止新建对生态环境产生不可恢复利用的、产生破坏性影响的矿产资源开发项目</w:t>
                  </w:r>
                </w:p>
              </w:tc>
              <w:tc>
                <w:tcPr>
                  <w:tcW w:w="2544" w:type="dxa"/>
                  <w:noWrap w:val="0"/>
                  <w:vAlign w:val="center"/>
                </w:tcPr>
                <w:p w14:paraId="5B045604">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工业场地区形成的占地在服务期满后开展土地复垦工作，以恢复和改善矿区生态环境。</w:t>
                  </w:r>
                </w:p>
              </w:tc>
              <w:tc>
                <w:tcPr>
                  <w:tcW w:w="1167" w:type="dxa"/>
                  <w:tcBorders>
                    <w:right w:val="nil"/>
                  </w:tcBorders>
                  <w:noWrap w:val="0"/>
                  <w:vAlign w:val="center"/>
                </w:tcPr>
                <w:p w14:paraId="1E64FA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r w14:paraId="397C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tcBorders>
                    <w:left w:val="nil"/>
                  </w:tcBorders>
                  <w:noWrap w:val="0"/>
                  <w:vAlign w:val="center"/>
                </w:tcPr>
                <w:p w14:paraId="774FCC1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noWrap w:val="0"/>
                  <w:vAlign w:val="center"/>
                </w:tcPr>
                <w:p w14:paraId="3A1042B7">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矿产资源开发应符合国家产业政策要求，选址、布局应符合所在地的区域发展规划</w:t>
                  </w:r>
                </w:p>
              </w:tc>
              <w:tc>
                <w:tcPr>
                  <w:tcW w:w="2544" w:type="dxa"/>
                  <w:noWrap w:val="0"/>
                  <w:vAlign w:val="center"/>
                </w:tcPr>
                <w:p w14:paraId="235AD917">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符合国家产业政策</w:t>
                  </w:r>
                </w:p>
              </w:tc>
              <w:tc>
                <w:tcPr>
                  <w:tcW w:w="1167" w:type="dxa"/>
                  <w:tcBorders>
                    <w:right w:val="nil"/>
                  </w:tcBorders>
                  <w:noWrap w:val="0"/>
                  <w:vAlign w:val="center"/>
                </w:tcPr>
                <w:p w14:paraId="6BA0788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r w14:paraId="6D2A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left w:val="nil"/>
                  </w:tcBorders>
                  <w:noWrap w:val="0"/>
                  <w:vAlign w:val="center"/>
                </w:tcPr>
                <w:p w14:paraId="603224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矿产资源开</w:t>
                  </w:r>
                </w:p>
                <w:p w14:paraId="58DD47A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发设计</w:t>
                  </w:r>
                </w:p>
              </w:tc>
              <w:tc>
                <w:tcPr>
                  <w:tcW w:w="3167" w:type="dxa"/>
                  <w:noWrap w:val="0"/>
                  <w:vAlign w:val="center"/>
                </w:tcPr>
                <w:p w14:paraId="1344BC6A">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矿井水和矿山其它外排水应统筹规划、分类管理、综合利用</w:t>
                  </w:r>
                </w:p>
              </w:tc>
              <w:tc>
                <w:tcPr>
                  <w:tcW w:w="2544" w:type="dxa"/>
                  <w:noWrap w:val="0"/>
                  <w:vAlign w:val="center"/>
                </w:tcPr>
                <w:p w14:paraId="0977556E">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生产废水</w:t>
                  </w:r>
                  <w:r>
                    <w:rPr>
                      <w:rFonts w:hint="eastAsia" w:cs="Times New Roman"/>
                      <w:b w:val="0"/>
                      <w:color w:val="000000"/>
                      <w:sz w:val="21"/>
                      <w:szCs w:val="21"/>
                      <w:lang w:val="en-US" w:eastAsia="zh-CN"/>
                    </w:rPr>
                    <w:t>主要</w:t>
                  </w:r>
                  <w:r>
                    <w:rPr>
                      <w:rFonts w:hint="default" w:ascii="Times New Roman" w:hAnsi="Times New Roman" w:eastAsia="宋体" w:cs="Times New Roman"/>
                      <w:b w:val="0"/>
                      <w:color w:val="000000"/>
                      <w:sz w:val="21"/>
                      <w:szCs w:val="21"/>
                      <w:lang w:val="en-US" w:eastAsia="zh-CN"/>
                    </w:rPr>
                    <w:t>包括采场降尘、道路降尘等，全部以蒸发形式损失，不外排</w:t>
                  </w:r>
                  <w:r>
                    <w:rPr>
                      <w:rFonts w:hint="eastAsia" w:cs="Times New Roman"/>
                      <w:b w:val="0"/>
                      <w:color w:val="000000"/>
                      <w:sz w:val="21"/>
                      <w:szCs w:val="21"/>
                      <w:lang w:val="en-US" w:eastAsia="zh-CN"/>
                    </w:rPr>
                    <w:t>，生活污水</w:t>
                  </w:r>
                  <w:r>
                    <w:rPr>
                      <w:rFonts w:hint="default" w:ascii="Times New Roman" w:hAnsi="Times New Roman" w:eastAsia="宋体" w:cs="Times New Roman"/>
                      <w:b w:val="0"/>
                      <w:color w:val="000000"/>
                      <w:sz w:val="21"/>
                      <w:szCs w:val="21"/>
                      <w:lang w:val="en-US" w:eastAsia="zh-CN"/>
                    </w:rPr>
                    <w:t>环保早厕，定期清掏用作农肥；日常洗漱废水泼洒抑尘</w:t>
                  </w:r>
                  <w:r>
                    <w:rPr>
                      <w:rFonts w:hint="eastAsia" w:cs="Times New Roman"/>
                      <w:b w:val="0"/>
                      <w:color w:val="000000"/>
                      <w:sz w:val="21"/>
                      <w:szCs w:val="21"/>
                      <w:lang w:val="en-US" w:eastAsia="zh-CN"/>
                    </w:rPr>
                    <w:t>等。</w:t>
                  </w:r>
                </w:p>
              </w:tc>
              <w:tc>
                <w:tcPr>
                  <w:tcW w:w="1167" w:type="dxa"/>
                  <w:tcBorders>
                    <w:right w:val="nil"/>
                  </w:tcBorders>
                  <w:noWrap w:val="0"/>
                  <w:vAlign w:val="center"/>
                </w:tcPr>
                <w:p w14:paraId="6DBE896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r w14:paraId="7175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tcBorders>
                    <w:left w:val="nil"/>
                  </w:tcBorders>
                  <w:noWrap w:val="0"/>
                  <w:vAlign w:val="center"/>
                </w:tcPr>
                <w:p w14:paraId="093E02D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矿坑水的综合利用和废水、废气的处理</w:t>
                  </w:r>
                </w:p>
                <w:p w14:paraId="4606EF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noWrap w:val="0"/>
                  <w:vAlign w:val="center"/>
                </w:tcPr>
                <w:p w14:paraId="09B02BD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鼓励将矿坑水优先利用为生产用水，作为辅助水源加以利用</w:t>
                  </w:r>
                </w:p>
              </w:tc>
              <w:tc>
                <w:tcPr>
                  <w:tcW w:w="2544" w:type="dxa"/>
                  <w:noWrap w:val="0"/>
                  <w:vAlign w:val="center"/>
                </w:tcPr>
                <w:p w14:paraId="4A056A5B">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本项目开采过程中不产生矿坑废水</w:t>
                  </w:r>
                  <w:r>
                    <w:rPr>
                      <w:rFonts w:hint="eastAsia" w:cs="Times New Roman"/>
                      <w:b w:val="0"/>
                      <w:color w:val="000000"/>
                      <w:sz w:val="21"/>
                      <w:szCs w:val="21"/>
                      <w:vertAlign w:val="baseline"/>
                      <w:lang w:val="en-US" w:eastAsia="zh-CN"/>
                    </w:rPr>
                    <w:t>。</w:t>
                  </w:r>
                </w:p>
              </w:tc>
              <w:tc>
                <w:tcPr>
                  <w:tcW w:w="1167" w:type="dxa"/>
                  <w:tcBorders>
                    <w:right w:val="nil"/>
                  </w:tcBorders>
                  <w:noWrap w:val="0"/>
                  <w:vAlign w:val="center"/>
                </w:tcPr>
                <w:p w14:paraId="7F26F1F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r w14:paraId="260F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tcBorders>
                    <w:left w:val="nil"/>
                  </w:tcBorders>
                  <w:noWrap w:val="0"/>
                  <w:vAlign w:val="center"/>
                </w:tcPr>
                <w:p w14:paraId="7C018D3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noWrap w:val="0"/>
                  <w:vAlign w:val="center"/>
                </w:tcPr>
                <w:p w14:paraId="5789C691">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宜采取灌浆等工程措施，避免和减少采矿活动破坏地下水均衡系统</w:t>
                  </w:r>
                </w:p>
              </w:tc>
              <w:tc>
                <w:tcPr>
                  <w:tcW w:w="2544" w:type="dxa"/>
                  <w:noWrap w:val="0"/>
                  <w:vAlign w:val="center"/>
                </w:tcPr>
                <w:p w14:paraId="55415EAE">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本项目开采过程中不产生矿坑废水。</w:t>
                  </w:r>
                </w:p>
              </w:tc>
              <w:tc>
                <w:tcPr>
                  <w:tcW w:w="1167" w:type="dxa"/>
                  <w:tcBorders>
                    <w:right w:val="nil"/>
                  </w:tcBorders>
                  <w:noWrap w:val="0"/>
                  <w:vAlign w:val="center"/>
                </w:tcPr>
                <w:p w14:paraId="2E538AB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r w14:paraId="74F3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tcBorders>
                    <w:left w:val="nil"/>
                  </w:tcBorders>
                  <w:noWrap w:val="0"/>
                  <w:vAlign w:val="center"/>
                </w:tcPr>
                <w:p w14:paraId="15B30A1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noWrap w:val="0"/>
                  <w:vAlign w:val="center"/>
                </w:tcPr>
                <w:p w14:paraId="48199A5A">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宜采用安装除尘装置，湿式作业，个体防护等措施，防治凿岩、铲装、运输等采矿作业中的粉尘污染</w:t>
                  </w:r>
                </w:p>
              </w:tc>
              <w:tc>
                <w:tcPr>
                  <w:tcW w:w="2544" w:type="dxa"/>
                  <w:noWrap w:val="0"/>
                  <w:vAlign w:val="center"/>
                </w:tcPr>
                <w:p w14:paraId="6E97D1BD">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采矿方法为机械铲装、汽车运输，开采、运输过程中进行洒水降尘</w:t>
                  </w:r>
                  <w:r>
                    <w:rPr>
                      <w:rFonts w:hint="eastAsia" w:cs="Times New Roman"/>
                      <w:b w:val="0"/>
                      <w:color w:val="000000"/>
                      <w:sz w:val="21"/>
                      <w:szCs w:val="21"/>
                      <w:vertAlign w:val="baseline"/>
                      <w:lang w:val="en-US" w:eastAsia="zh-CN"/>
                    </w:rPr>
                    <w:t>。</w:t>
                  </w:r>
                </w:p>
              </w:tc>
              <w:tc>
                <w:tcPr>
                  <w:tcW w:w="1167" w:type="dxa"/>
                  <w:tcBorders>
                    <w:right w:val="nil"/>
                  </w:tcBorders>
                  <w:noWrap w:val="0"/>
                  <w:vAlign w:val="center"/>
                </w:tcPr>
                <w:p w14:paraId="4E602B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r w14:paraId="443C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tcBorders>
                    <w:left w:val="nil"/>
                  </w:tcBorders>
                  <w:noWrap w:val="0"/>
                  <w:vAlign w:val="center"/>
                </w:tcPr>
                <w:p w14:paraId="2084035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固体废物贮存和综合利</w:t>
                  </w:r>
                </w:p>
                <w:p w14:paraId="23B6BF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用</w:t>
                  </w:r>
                </w:p>
                <w:p w14:paraId="1F827A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noWrap w:val="0"/>
                  <w:vAlign w:val="center"/>
                </w:tcPr>
                <w:p w14:paraId="2A00986E">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对采矿活动所产生的固体废物，应使用专用场所堆放，并采取有效措施防止二次环境污染及诱发次生地质灾害。</w:t>
                  </w:r>
                </w:p>
                <w:p w14:paraId="7561BDC7">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p>
              </w:tc>
              <w:tc>
                <w:tcPr>
                  <w:tcW w:w="2544" w:type="dxa"/>
                  <w:vMerge w:val="restart"/>
                  <w:noWrap w:val="0"/>
                  <w:vAlign w:val="center"/>
                </w:tcPr>
                <w:p w14:paraId="16F3E942">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vertAlign w:val="baseline"/>
                      <w:lang w:val="en-US" w:eastAsia="zh-CN"/>
                    </w:rPr>
                    <w:t>本项目固</w:t>
                  </w:r>
                  <w:r>
                    <w:rPr>
                      <w:rFonts w:hint="eastAsia" w:cs="Times New Roman"/>
                      <w:b w:val="0"/>
                      <w:color w:val="auto"/>
                      <w:sz w:val="21"/>
                      <w:szCs w:val="21"/>
                      <w:vertAlign w:val="baseline"/>
                      <w:lang w:val="en-US" w:eastAsia="zh-CN"/>
                    </w:rPr>
                    <w:t>体废物</w:t>
                  </w:r>
                  <w:r>
                    <w:rPr>
                      <w:rFonts w:hint="default" w:ascii="Times New Roman" w:hAnsi="Times New Roman" w:eastAsia="宋体" w:cs="Times New Roman"/>
                      <w:b w:val="0"/>
                      <w:color w:val="auto"/>
                      <w:sz w:val="21"/>
                      <w:szCs w:val="21"/>
                      <w:vertAlign w:val="baseline"/>
                      <w:lang w:val="en-US" w:eastAsia="zh-CN"/>
                    </w:rPr>
                    <w:t>废主要为生活垃圾</w:t>
                  </w:r>
                  <w:r>
                    <w:rPr>
                      <w:rFonts w:hint="eastAsia" w:cs="Times New Roman"/>
                      <w:b w:val="0"/>
                      <w:color w:val="auto"/>
                      <w:sz w:val="21"/>
                      <w:szCs w:val="21"/>
                      <w:vertAlign w:val="baseline"/>
                      <w:lang w:val="en-US" w:eastAsia="zh-CN"/>
                    </w:rPr>
                    <w:t>、</w:t>
                  </w:r>
                  <w:r>
                    <w:rPr>
                      <w:rFonts w:hint="default" w:ascii="Times New Roman" w:hAnsi="Times New Roman" w:eastAsia="宋体" w:cs="Times New Roman"/>
                      <w:b w:val="0"/>
                      <w:color w:val="auto"/>
                      <w:sz w:val="21"/>
                      <w:szCs w:val="21"/>
                      <w:lang w:val="en-US" w:eastAsia="zh-CN"/>
                    </w:rPr>
                    <w:t>剥离物</w:t>
                  </w:r>
                  <w:r>
                    <w:rPr>
                      <w:rFonts w:hint="eastAsia" w:cs="Times New Roman"/>
                      <w:b w:val="0"/>
                      <w:color w:val="auto"/>
                      <w:sz w:val="21"/>
                      <w:szCs w:val="21"/>
                      <w:lang w:val="en-US" w:eastAsia="zh-CN"/>
                    </w:rPr>
                    <w:t>、</w:t>
                  </w:r>
                  <w:r>
                    <w:rPr>
                      <w:rFonts w:hint="default" w:ascii="Times New Roman" w:hAnsi="Times New Roman" w:eastAsia="宋体" w:cs="Times New Roman"/>
                      <w:b w:val="0"/>
                      <w:color w:val="auto"/>
                      <w:sz w:val="21"/>
                      <w:szCs w:val="21"/>
                      <w:lang w:val="en-US" w:eastAsia="zh-CN"/>
                    </w:rPr>
                    <w:t>废机油</w:t>
                  </w:r>
                  <w:r>
                    <w:rPr>
                      <w:rFonts w:hint="eastAsia" w:cs="Times New Roman"/>
                      <w:b w:val="0"/>
                      <w:color w:val="auto"/>
                      <w:sz w:val="21"/>
                      <w:szCs w:val="21"/>
                      <w:lang w:val="en-US" w:eastAsia="zh-CN"/>
                    </w:rPr>
                    <w:t>。</w:t>
                  </w:r>
                  <w:r>
                    <w:rPr>
                      <w:rFonts w:hint="default" w:ascii="Times New Roman" w:hAnsi="Times New Roman" w:eastAsia="宋体" w:cs="Times New Roman"/>
                      <w:b w:val="0"/>
                      <w:color w:val="auto"/>
                      <w:sz w:val="21"/>
                      <w:szCs w:val="21"/>
                      <w:vertAlign w:val="baseline"/>
                      <w:lang w:val="en-US" w:eastAsia="zh-CN"/>
                    </w:rPr>
                    <w:t>生活垃圾</w:t>
                  </w:r>
                  <w:r>
                    <w:rPr>
                      <w:rFonts w:hint="default" w:ascii="Times New Roman" w:hAnsi="Times New Roman" w:eastAsia="宋体" w:cs="Times New Roman"/>
                      <w:b w:val="0"/>
                      <w:color w:val="auto"/>
                      <w:sz w:val="21"/>
                      <w:szCs w:val="21"/>
                      <w:lang w:val="en-US" w:eastAsia="zh-CN"/>
                    </w:rPr>
                    <w:t>设有垃圾桶集中收集，定期拉运至当地环卫部门指定地点处置</w:t>
                  </w:r>
                  <w:r>
                    <w:rPr>
                      <w:rFonts w:hint="eastAsia" w:cs="Times New Roman"/>
                      <w:b w:val="0"/>
                      <w:color w:val="auto"/>
                      <w:sz w:val="21"/>
                      <w:szCs w:val="21"/>
                      <w:lang w:val="en-US" w:eastAsia="zh-CN"/>
                    </w:rPr>
                    <w:t>；</w:t>
                  </w:r>
                  <w:r>
                    <w:rPr>
                      <w:rFonts w:hint="default" w:ascii="Times New Roman" w:hAnsi="Times New Roman" w:eastAsia="宋体" w:cs="Times New Roman"/>
                      <w:b w:val="0"/>
                      <w:color w:val="auto"/>
                      <w:sz w:val="21"/>
                      <w:szCs w:val="21"/>
                      <w:lang w:val="en-US" w:eastAsia="zh-CN"/>
                    </w:rPr>
                    <w:t>剥离表土</w:t>
                  </w:r>
                  <w:r>
                    <w:rPr>
                      <w:rFonts w:hint="eastAsia" w:ascii="Times New Roman" w:hAnsi="Times New Roman" w:eastAsia="宋体" w:cs="Times New Roman"/>
                      <w:b w:val="0"/>
                      <w:color w:val="auto"/>
                      <w:sz w:val="21"/>
                      <w:szCs w:val="21"/>
                      <w:lang w:val="en-US" w:eastAsia="zh-CN"/>
                    </w:rPr>
                    <w:t>及废石</w:t>
                  </w:r>
                  <w:r>
                    <w:rPr>
                      <w:rFonts w:hint="default" w:ascii="Times New Roman" w:hAnsi="Times New Roman" w:eastAsia="宋体" w:cs="Times New Roman"/>
                      <w:b w:val="0"/>
                      <w:color w:val="auto"/>
                      <w:sz w:val="21"/>
                      <w:szCs w:val="21"/>
                      <w:lang w:val="en-US" w:eastAsia="zh-CN"/>
                    </w:rPr>
                    <w:t>直接拉运至排土场</w:t>
                  </w:r>
                  <w:r>
                    <w:rPr>
                      <w:rFonts w:hint="eastAsia" w:cs="Times New Roman"/>
                      <w:b w:val="0"/>
                      <w:color w:val="auto"/>
                      <w:sz w:val="21"/>
                      <w:szCs w:val="21"/>
                      <w:lang w:val="en-US" w:eastAsia="zh-CN"/>
                    </w:rPr>
                    <w:t>，</w:t>
                  </w:r>
                  <w:r>
                    <w:rPr>
                      <w:rFonts w:hint="default" w:ascii="Times New Roman" w:hAnsi="Times New Roman" w:eastAsia="宋体" w:cs="Times New Roman"/>
                      <w:b w:val="0"/>
                      <w:color w:val="auto"/>
                      <w:sz w:val="21"/>
                      <w:szCs w:val="21"/>
                      <w:lang w:val="en-US" w:eastAsia="zh-CN"/>
                    </w:rPr>
                    <w:t>开采产生的废石剥离物用于上一段采区以及终了形成的采坑回填，表土剥离物用于生态恢复及土地复垦。废机油暂存</w:t>
                  </w:r>
                  <w:r>
                    <w:rPr>
                      <w:rFonts w:hint="eastAsia" w:cs="Times New Roman"/>
                      <w:b w:val="0"/>
                      <w:color w:val="auto"/>
                      <w:sz w:val="21"/>
                      <w:szCs w:val="21"/>
                      <w:lang w:val="en-US" w:eastAsia="zh-CN"/>
                    </w:rPr>
                    <w:t>于</w:t>
                  </w:r>
                  <w:r>
                    <w:rPr>
                      <w:rFonts w:hint="default" w:ascii="Times New Roman" w:hAnsi="Times New Roman" w:eastAsia="宋体" w:cs="Times New Roman"/>
                      <w:b w:val="0"/>
                      <w:color w:val="auto"/>
                      <w:sz w:val="21"/>
                      <w:szCs w:val="21"/>
                      <w:lang w:val="en-US" w:eastAsia="zh-CN"/>
                    </w:rPr>
                    <w:t>危废暂存点</w:t>
                  </w:r>
                  <w:r>
                    <w:rPr>
                      <w:rFonts w:hint="eastAsia" w:ascii="Times New Roman" w:hAnsi="Times New Roman" w:eastAsia="宋体" w:cs="Times New Roman"/>
                      <w:b w:val="0"/>
                      <w:color w:val="auto"/>
                      <w:sz w:val="21"/>
                      <w:szCs w:val="21"/>
                      <w:lang w:val="en-US" w:eastAsia="zh-CN"/>
                    </w:rPr>
                    <w:t>，</w:t>
                  </w:r>
                  <w:r>
                    <w:rPr>
                      <w:rFonts w:hint="default" w:ascii="Times New Roman" w:hAnsi="Times New Roman" w:eastAsia="宋体" w:cs="Times New Roman"/>
                      <w:b w:val="0"/>
                      <w:color w:val="auto"/>
                      <w:sz w:val="21"/>
                      <w:szCs w:val="21"/>
                      <w:lang w:val="en-US" w:eastAsia="zh-CN"/>
                    </w:rPr>
                    <w:t>定期交由有资质的单位清运处置</w:t>
                  </w:r>
                  <w:r>
                    <w:rPr>
                      <w:rFonts w:hint="eastAsia" w:cs="Times New Roman"/>
                      <w:b w:val="0"/>
                      <w:color w:val="auto"/>
                      <w:sz w:val="21"/>
                      <w:szCs w:val="21"/>
                      <w:lang w:val="en-US" w:eastAsia="zh-CN"/>
                    </w:rPr>
                    <w:t>。通过以上措施，固体废物合理利用，不会产生二次污染。</w:t>
                  </w:r>
                </w:p>
                <w:p w14:paraId="3B3C87AA">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auto"/>
                      <w:sz w:val="21"/>
                      <w:szCs w:val="21"/>
                      <w:vertAlign w:val="baseline"/>
                      <w:lang w:val="en-US" w:eastAsia="zh-CN"/>
                    </w:rPr>
                  </w:pPr>
                </w:p>
                <w:p w14:paraId="75D54FF2">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p>
              </w:tc>
              <w:tc>
                <w:tcPr>
                  <w:tcW w:w="1167" w:type="dxa"/>
                  <w:vMerge w:val="restart"/>
                  <w:tcBorders>
                    <w:right w:val="nil"/>
                  </w:tcBorders>
                  <w:noWrap w:val="0"/>
                  <w:vAlign w:val="center"/>
                </w:tcPr>
                <w:p w14:paraId="0C6E06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r w14:paraId="40BE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tcBorders>
                    <w:left w:val="nil"/>
                  </w:tcBorders>
                  <w:noWrap w:val="0"/>
                  <w:vAlign w:val="center"/>
                </w:tcPr>
                <w:p w14:paraId="37F2627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noWrap w:val="0"/>
                  <w:vAlign w:val="center"/>
                </w:tcPr>
                <w:p w14:paraId="1D096835">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大力推广采矿固体废物的综合利用技术</w:t>
                  </w:r>
                </w:p>
                <w:p w14:paraId="6F230E75">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p>
              </w:tc>
              <w:tc>
                <w:tcPr>
                  <w:tcW w:w="2544" w:type="dxa"/>
                  <w:vMerge w:val="continue"/>
                  <w:noWrap w:val="0"/>
                  <w:vAlign w:val="center"/>
                </w:tcPr>
                <w:p w14:paraId="2D655B7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p>
              </w:tc>
              <w:tc>
                <w:tcPr>
                  <w:tcW w:w="1167" w:type="dxa"/>
                  <w:vMerge w:val="continue"/>
                  <w:tcBorders>
                    <w:right w:val="nil"/>
                  </w:tcBorders>
                  <w:noWrap w:val="0"/>
                  <w:vAlign w:val="center"/>
                </w:tcPr>
                <w:p w14:paraId="42E8354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r>
            <w:tr w14:paraId="3E8E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Borders>
                    <w:left w:val="nil"/>
                    <w:bottom w:val="single" w:color="000000" w:sz="12" w:space="0"/>
                  </w:tcBorders>
                  <w:noWrap w:val="0"/>
                  <w:vAlign w:val="center"/>
                </w:tcPr>
                <w:p w14:paraId="1C6D234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废弃地复垦</w:t>
                  </w:r>
                </w:p>
                <w:p w14:paraId="3248469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3167" w:type="dxa"/>
                  <w:tcBorders>
                    <w:bottom w:val="single" w:color="000000" w:sz="12" w:space="0"/>
                  </w:tcBorders>
                  <w:noWrap w:val="0"/>
                  <w:vAlign w:val="center"/>
                </w:tcPr>
                <w:p w14:paraId="5EBDDF6A">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矿山生产过程中应采取种植植物和覆盖等复垦措施，对排土场等永久性坡面进行稳定化处理，防止水土流失和滑坡。排土场等固废堆场服务期满后，应及时封场和复垦，防止水土流失及风蚀扬尘等</w:t>
                  </w:r>
                </w:p>
              </w:tc>
              <w:tc>
                <w:tcPr>
                  <w:tcW w:w="2544" w:type="dxa"/>
                  <w:tcBorders>
                    <w:bottom w:val="single" w:color="000000" w:sz="12" w:space="0"/>
                  </w:tcBorders>
                  <w:noWrap w:val="0"/>
                  <w:vAlign w:val="center"/>
                </w:tcPr>
                <w:p w14:paraId="4DEA477C">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对形成永久占地的区域及时进行复垦。</w:t>
                  </w:r>
                </w:p>
                <w:p w14:paraId="02BCEB44">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vertAlign w:val="baseline"/>
                      <w:lang w:val="en-US" w:eastAsia="zh-CN"/>
                    </w:rPr>
                  </w:pPr>
                </w:p>
              </w:tc>
              <w:tc>
                <w:tcPr>
                  <w:tcW w:w="1167" w:type="dxa"/>
                  <w:tcBorders>
                    <w:bottom w:val="single" w:color="000000" w:sz="12" w:space="0"/>
                    <w:right w:val="nil"/>
                  </w:tcBorders>
                  <w:noWrap w:val="0"/>
                  <w:vAlign w:val="center"/>
                </w:tcPr>
                <w:p w14:paraId="102E62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cs="Times New Roman"/>
                      <w:b w:val="0"/>
                      <w:color w:val="000000"/>
                      <w:sz w:val="21"/>
                      <w:szCs w:val="21"/>
                      <w:vertAlign w:val="baseline"/>
                      <w:lang w:val="en-US" w:eastAsia="zh-CN"/>
                    </w:rPr>
                    <w:t>符合</w:t>
                  </w:r>
                </w:p>
              </w:tc>
            </w:tr>
          </w:tbl>
          <w:p w14:paraId="08445E35">
            <w:pPr>
              <w:keepNext w:val="0"/>
              <w:keepLines w:val="0"/>
              <w:pageBreakBefore w:val="0"/>
              <w:widowControl/>
              <w:suppressLineNumbers w:val="0"/>
              <w:kinsoku/>
              <w:wordWrap/>
              <w:overflowPunct/>
              <w:topLinePunct w:val="0"/>
              <w:autoSpaceDE/>
              <w:autoSpaceDN/>
              <w:bidi w:val="0"/>
              <w:adjustRightInd/>
              <w:spacing w:line="360" w:lineRule="auto"/>
              <w:ind w:right="0" w:firstLine="482" w:firstLineChars="200"/>
              <w:jc w:val="left"/>
              <w:textAlignment w:val="auto"/>
              <w:rPr>
                <w:rFonts w:hint="default" w:ascii="Times New Roman" w:hAnsi="Times New Roman" w:eastAsia="宋体" w:cs="Times New Roman"/>
                <w:sz w:val="24"/>
                <w:szCs w:val="24"/>
              </w:rPr>
            </w:pPr>
            <w:r>
              <w:rPr>
                <w:rFonts w:hint="eastAsia" w:cs="Times New Roman"/>
                <w:b/>
                <w:bCs/>
                <w:color w:val="000000"/>
                <w:kern w:val="0"/>
                <w:sz w:val="24"/>
                <w:szCs w:val="24"/>
                <w:lang w:val="en-US" w:eastAsia="zh-CN" w:bidi="ar"/>
              </w:rPr>
              <w:t>六</w:t>
            </w:r>
            <w:r>
              <w:rPr>
                <w:rFonts w:hint="default" w:ascii="Times New Roman" w:hAnsi="Times New Roman" w:eastAsia="宋体" w:cs="Times New Roman"/>
                <w:b/>
                <w:bCs/>
                <w:color w:val="000000"/>
                <w:kern w:val="0"/>
                <w:sz w:val="24"/>
                <w:szCs w:val="24"/>
                <w:lang w:val="en-US" w:eastAsia="zh-CN" w:bidi="ar"/>
              </w:rPr>
              <w:t>、项目与《临泽县国土空间总体规划</w:t>
            </w:r>
            <w:r>
              <w:rPr>
                <w:rFonts w:hint="eastAsia"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2021-2035</w:t>
            </w:r>
            <w:r>
              <w:rPr>
                <w:rFonts w:hint="eastAsia"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》符合性分析</w:t>
            </w:r>
          </w:p>
          <w:p w14:paraId="3C602DC2">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《临泽县国土空间总体规划</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2021-2035</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》中提到：突出临泽县在国家生态保护格局中的</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北拒风沙、南护祁连</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重要作用，积极融入河西走廊经济发展带，协同建设</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一带</w:t>
            </w:r>
            <w:r>
              <w:rPr>
                <w:rFonts w:hint="eastAsia" w:ascii="Times New Roman" w:hAnsi="Times New Roman" w:eastAsia="宋体" w:cs="Times New Roman"/>
                <w:color w:val="000000"/>
                <w:kern w:val="0"/>
                <w:sz w:val="24"/>
                <w:szCs w:val="24"/>
                <w:lang w:val="en-US" w:eastAsia="zh-CN" w:bidi="ar"/>
              </w:rPr>
              <w:t>一</w:t>
            </w:r>
            <w:r>
              <w:rPr>
                <w:rFonts w:hint="default" w:ascii="Times New Roman" w:hAnsi="Times New Roman" w:eastAsia="宋体" w:cs="Times New Roman"/>
                <w:color w:val="000000"/>
                <w:kern w:val="0"/>
                <w:sz w:val="24"/>
                <w:szCs w:val="24"/>
                <w:lang w:val="en-US" w:eastAsia="zh-CN" w:bidi="ar"/>
              </w:rPr>
              <w:t>路</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。落实省级国土空间规划提出的</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省级城市化地区主体功能定位和</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农业优先、文旅赋能</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县域发展导向要求，深度融入甘肃省</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一核三带</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发展格局</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积极参与张掖市</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一屛四城五区</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目标建设，谋定县域</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一核四廊多点</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空间发展格局，建设六大产业功能区，以</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六化</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促城乡一体化，推动临泽县实现“一城五县”建设目标。</w:t>
            </w:r>
            <w:r>
              <w:rPr>
                <w:rFonts w:hint="default" w:ascii="Times New Roman" w:hAnsi="Times New Roman" w:eastAsia="宋体" w:cs="Times New Roman"/>
                <w:color w:val="000000"/>
                <w:kern w:val="0"/>
                <w:sz w:val="24"/>
                <w:szCs w:val="24"/>
                <w:highlight w:val="none"/>
                <w:lang w:val="en-US" w:eastAsia="zh-CN" w:bidi="ar"/>
              </w:rPr>
              <w:t>根据《临泽县国土空间总体规</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2021-2035年</w:t>
            </w:r>
            <w:r>
              <w:rPr>
                <w:rFonts w:hint="eastAsia"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》县域国土空间规划分区图，本</w:t>
            </w:r>
            <w:r>
              <w:rPr>
                <w:rFonts w:hint="default" w:ascii="Times New Roman" w:hAnsi="Times New Roman" w:eastAsia="宋体" w:cs="Times New Roman"/>
                <w:color w:val="000000"/>
                <w:kern w:val="0"/>
                <w:sz w:val="24"/>
                <w:szCs w:val="24"/>
                <w:lang w:val="en-US" w:eastAsia="zh-CN" w:bidi="ar"/>
              </w:rPr>
              <w:t>项目选址位于矿产能源发展区，本项目主要为凹凸棒石粘土矿及石膏开采项目，符合发展要求，因此项目与《临泽县国土空间总体规划(2021-2035年)》相符合。</w:t>
            </w:r>
          </w:p>
          <w:p w14:paraId="16475F5E">
            <w:pPr>
              <w:pStyle w:val="22"/>
              <w:keepNext w:val="0"/>
              <w:keepLines w:val="0"/>
              <w:pageBreakBefore w:val="0"/>
              <w:widowControl/>
              <w:kinsoku/>
              <w:wordWrap/>
              <w:overflowPunct/>
              <w:topLinePunct w:val="0"/>
              <w:autoSpaceDE/>
              <w:autoSpaceDN/>
              <w:bidi w:val="0"/>
              <w:adjustRightInd/>
              <w:spacing w:before="0" w:after="0" w:line="360" w:lineRule="auto"/>
              <w:ind w:left="0" w:leftChars="0" w:right="0" w:firstLine="482" w:firstLineChars="200"/>
              <w:textAlignment w:val="auto"/>
              <w:rPr>
                <w:rFonts w:hint="default" w:ascii="Times New Roman" w:hAnsi="Times New Roman" w:eastAsia="宋体" w:cs="Times New Roman"/>
                <w:sz w:val="24"/>
                <w:szCs w:val="24"/>
                <w:vertAlign w:val="baseline"/>
              </w:rPr>
            </w:pPr>
            <w:r>
              <w:rPr>
                <w:rFonts w:hint="eastAsia" w:ascii="Times New Roman" w:hAnsi="Times New Roman" w:cs="Times New Roman"/>
                <w:b/>
                <w:bCs/>
                <w:sz w:val="24"/>
                <w:szCs w:val="24"/>
                <w:vertAlign w:val="baseline"/>
                <w:lang w:val="en-US" w:eastAsia="zh-CN"/>
              </w:rPr>
              <w:t>七</w:t>
            </w:r>
            <w:r>
              <w:rPr>
                <w:rFonts w:hint="default" w:ascii="Times New Roman" w:hAnsi="Times New Roman" w:eastAsia="宋体" w:cs="Times New Roman"/>
                <w:b/>
                <w:bCs/>
                <w:sz w:val="24"/>
                <w:szCs w:val="24"/>
                <w:vertAlign w:val="baseline"/>
                <w:lang w:val="en-US" w:eastAsia="zh-CN"/>
              </w:rPr>
              <w:t>、选址合理性分析。</w:t>
            </w:r>
          </w:p>
          <w:p w14:paraId="123FC2EE">
            <w:pPr>
              <w:pStyle w:val="22"/>
              <w:keepNext w:val="0"/>
              <w:keepLines w:val="0"/>
              <w:pageBreakBefore w:val="0"/>
              <w:widowControl/>
              <w:kinsoku/>
              <w:wordWrap/>
              <w:overflowPunct/>
              <w:topLinePunct w:val="0"/>
              <w:autoSpaceDE/>
              <w:autoSpaceDN/>
              <w:bidi w:val="0"/>
              <w:adjustRightInd/>
              <w:spacing w:before="0" w:after="0" w:line="360" w:lineRule="auto"/>
              <w:ind w:left="0" w:leftChars="0" w:right="0" w:firstLine="240" w:firstLineChars="1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val="en-US" w:eastAsia="zh-CN"/>
              </w:rPr>
              <w:t>（1）选址所在地环境敏感程度</w:t>
            </w:r>
          </w:p>
          <w:p w14:paraId="0DB48FE3">
            <w:pPr>
              <w:pStyle w:val="22"/>
              <w:keepNext w:val="0"/>
              <w:keepLines w:val="0"/>
              <w:pageBreakBefore w:val="0"/>
              <w:widowControl/>
              <w:kinsoku/>
              <w:wordWrap/>
              <w:overflowPunct/>
              <w:topLinePunct w:val="0"/>
              <w:autoSpaceDE/>
              <w:autoSpaceDN/>
              <w:bidi w:val="0"/>
              <w:adjustRightInd/>
              <w:spacing w:before="0" w:after="0" w:line="360" w:lineRule="auto"/>
              <w:ind w:left="0" w:leftChars="0" w:right="0" w:firstLine="480" w:firstLineChars="200"/>
              <w:textAlignment w:val="auto"/>
              <w:rPr>
                <w:rFonts w:hint="default" w:ascii="Times New Roman" w:hAnsi="Times New Roman" w:eastAsia="宋体" w:cs="Times New Roman"/>
                <w:sz w:val="24"/>
                <w:szCs w:val="24"/>
                <w:vertAlign w:val="baseline"/>
              </w:rPr>
            </w:pPr>
            <w:r>
              <w:rPr>
                <w:rFonts w:hint="eastAsia" w:ascii="Times New Roman" w:hAnsi="Times New Roman" w:cs="Times New Roman"/>
                <w:sz w:val="24"/>
                <w:szCs w:val="24"/>
                <w:vertAlign w:val="baseline"/>
                <w:lang w:val="en-US" w:eastAsia="zh-CN"/>
              </w:rPr>
              <w:t>本项目位于</w:t>
            </w:r>
            <w:r>
              <w:rPr>
                <w:rFonts w:hint="default" w:ascii="Times New Roman" w:hAnsi="Times New Roman" w:eastAsia="宋体" w:cs="Times New Roman"/>
                <w:sz w:val="24"/>
                <w:szCs w:val="24"/>
                <w:vertAlign w:val="baseline"/>
                <w:lang w:val="en-US" w:eastAsia="zh-CN"/>
              </w:rPr>
              <w:t>临泽县板桥镇。项目选址不在风景名胜区、自然保护区、水源保护区和其他需要特别保护的区域内，基本无环境制约因素。</w:t>
            </w:r>
          </w:p>
          <w:p w14:paraId="66BBBE18">
            <w:pPr>
              <w:pStyle w:val="22"/>
              <w:keepNext w:val="0"/>
              <w:keepLines w:val="0"/>
              <w:pageBreakBefore w:val="0"/>
              <w:widowControl/>
              <w:kinsoku/>
              <w:wordWrap/>
              <w:overflowPunct/>
              <w:topLinePunct w:val="0"/>
              <w:autoSpaceDE/>
              <w:autoSpaceDN/>
              <w:bidi w:val="0"/>
              <w:adjustRightInd/>
              <w:spacing w:before="0" w:after="0" w:line="360" w:lineRule="auto"/>
              <w:ind w:left="0" w:leftChars="0" w:right="0" w:firstLine="240" w:firstLineChars="1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val="en-US" w:eastAsia="zh-CN"/>
              </w:rPr>
              <w:t>（2）环境影响程度</w:t>
            </w:r>
          </w:p>
          <w:p w14:paraId="2D7E22D0">
            <w:pPr>
              <w:pStyle w:val="22"/>
              <w:keepNext w:val="0"/>
              <w:keepLines w:val="0"/>
              <w:pageBreakBefore w:val="0"/>
              <w:widowControl/>
              <w:kinsoku/>
              <w:wordWrap/>
              <w:overflowPunct/>
              <w:topLinePunct w:val="0"/>
              <w:autoSpaceDE/>
              <w:autoSpaceDN/>
              <w:bidi w:val="0"/>
              <w:adjustRightInd/>
              <w:spacing w:before="0" w:after="0" w:line="360" w:lineRule="auto"/>
              <w:ind w:left="0" w:leftChars="0" w:right="0" w:firstLine="480" w:firstLineChars="2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val="en-US" w:eastAsia="zh-CN"/>
              </w:rPr>
              <w:t>根据工程分析确定的污染物源强，通过大气环境、水环境、声环境影响分析，说明项目建成后污染物达标排放对区域环境空气、水环境、声环境影响较小。</w:t>
            </w:r>
          </w:p>
          <w:p w14:paraId="28AA3521">
            <w:pPr>
              <w:pStyle w:val="22"/>
              <w:keepNext w:val="0"/>
              <w:keepLines w:val="0"/>
              <w:pageBreakBefore w:val="0"/>
              <w:widowControl/>
              <w:kinsoku/>
              <w:wordWrap/>
              <w:overflowPunct/>
              <w:topLinePunct w:val="0"/>
              <w:autoSpaceDE/>
              <w:autoSpaceDN/>
              <w:bidi w:val="0"/>
              <w:adjustRightInd/>
              <w:spacing w:before="0" w:after="0" w:line="360" w:lineRule="auto"/>
              <w:ind w:left="0" w:leftChars="0" w:right="0" w:firstLine="480" w:firstLineChars="200"/>
              <w:textAlignment w:val="auto"/>
              <w:rPr>
                <w:rFonts w:hint="default" w:ascii="Times New Roman" w:hAnsi="Times New Roman" w:eastAsia="宋体" w:cs="Times New Roman"/>
                <w:sz w:val="24"/>
                <w:szCs w:val="24"/>
                <w:vertAlign w:val="baseline"/>
              </w:rPr>
            </w:pPr>
            <w:r>
              <w:rPr>
                <w:rFonts w:hint="default" w:ascii="Times New Roman" w:hAnsi="Times New Roman" w:eastAsia="宋体" w:cs="Times New Roman"/>
                <w:sz w:val="24"/>
                <w:szCs w:val="24"/>
                <w:vertAlign w:val="baseline"/>
                <w:lang w:val="en-US" w:eastAsia="zh-CN"/>
              </w:rPr>
              <w:t>综上所述，本项目周边制约因素较少，符合相关保护条例和规范要求，用地性质符合相关规划，项目污染物在经过预防治理措施后能够达到相关标准要求，因此本项目选址可行。</w:t>
            </w:r>
          </w:p>
          <w:p w14:paraId="64E9191B">
            <w:pPr>
              <w:pStyle w:val="22"/>
              <w:ind w:left="0" w:leftChars="0" w:firstLine="0" w:firstLineChars="0"/>
              <w:rPr>
                <w:rFonts w:hint="default" w:ascii="Times New Roman" w:hAnsi="Times New Roman" w:eastAsia="宋体" w:cs="Times New Roman"/>
                <w:sz w:val="24"/>
                <w:szCs w:val="24"/>
                <w:vertAlign w:val="baseline"/>
              </w:rPr>
            </w:pPr>
          </w:p>
          <w:p w14:paraId="2884D176">
            <w:pPr>
              <w:pStyle w:val="22"/>
              <w:ind w:left="0" w:leftChars="0" w:firstLine="0" w:firstLineChars="0"/>
              <w:rPr>
                <w:rFonts w:hint="default" w:ascii="Times New Roman" w:hAnsi="Times New Roman" w:eastAsia="宋体" w:cs="Times New Roman"/>
                <w:sz w:val="24"/>
                <w:szCs w:val="24"/>
                <w:vertAlign w:val="baseline"/>
              </w:rPr>
            </w:pPr>
          </w:p>
          <w:p w14:paraId="0BD3F4D8">
            <w:pPr>
              <w:pStyle w:val="22"/>
              <w:ind w:left="0" w:leftChars="0" w:firstLine="0" w:firstLineChars="0"/>
              <w:rPr>
                <w:rFonts w:hint="default" w:ascii="Times New Roman" w:hAnsi="Times New Roman" w:eastAsia="宋体" w:cs="Times New Roman"/>
                <w:sz w:val="24"/>
                <w:szCs w:val="24"/>
                <w:vertAlign w:val="baseline"/>
              </w:rPr>
            </w:pPr>
          </w:p>
          <w:p w14:paraId="13B7B0DB">
            <w:pPr>
              <w:pStyle w:val="22"/>
              <w:ind w:left="0" w:leftChars="0" w:firstLine="0" w:firstLineChars="0"/>
              <w:rPr>
                <w:rFonts w:hint="default" w:ascii="Times New Roman" w:hAnsi="Times New Roman" w:eastAsia="宋体" w:cs="Times New Roman"/>
                <w:sz w:val="24"/>
                <w:szCs w:val="24"/>
                <w:vertAlign w:val="baseline"/>
              </w:rPr>
            </w:pPr>
          </w:p>
          <w:p w14:paraId="00F3839D">
            <w:pPr>
              <w:pStyle w:val="22"/>
              <w:ind w:left="0" w:leftChars="0" w:firstLine="0" w:firstLineChars="0"/>
              <w:rPr>
                <w:rFonts w:hint="default" w:ascii="Times New Roman" w:hAnsi="Times New Roman" w:eastAsia="宋体" w:cs="Times New Roman"/>
                <w:sz w:val="24"/>
                <w:szCs w:val="24"/>
                <w:vertAlign w:val="baseline"/>
              </w:rPr>
            </w:pPr>
          </w:p>
          <w:p w14:paraId="7A33B74C">
            <w:pPr>
              <w:pStyle w:val="22"/>
              <w:ind w:left="0" w:leftChars="0" w:firstLine="0" w:firstLineChars="0"/>
              <w:rPr>
                <w:rFonts w:hint="default" w:ascii="Times New Roman" w:hAnsi="Times New Roman" w:eastAsia="宋体" w:cs="Times New Roman"/>
                <w:sz w:val="24"/>
                <w:szCs w:val="24"/>
                <w:vertAlign w:val="baseline"/>
              </w:rPr>
            </w:pPr>
          </w:p>
        </w:tc>
      </w:tr>
    </w:tbl>
    <w:p w14:paraId="695A5CBD">
      <w:pPr>
        <w:pStyle w:val="22"/>
        <w:ind w:left="0" w:leftChars="0" w:firstLine="0" w:firstLineChars="0"/>
        <w:rPr>
          <w:rFonts w:hint="default" w:ascii="Times New Roman" w:hAnsi="Times New Roman" w:eastAsia="宋体" w:cs="Times New Roman"/>
          <w:sz w:val="24"/>
          <w:szCs w:val="24"/>
        </w:rPr>
        <w:sectPr>
          <w:pgSz w:w="11906" w:h="16838"/>
          <w:pgMar w:top="1701" w:right="1531" w:bottom="1701" w:left="1531" w:header="851" w:footer="1077" w:gutter="0"/>
          <w:pgNumType w:fmt="decimal"/>
          <w:cols w:space="720" w:num="1"/>
          <w:docGrid w:linePitch="312" w:charSpace="0"/>
        </w:sectPr>
      </w:pPr>
    </w:p>
    <w:p w14:paraId="14066249">
      <w:pPr>
        <w:pStyle w:val="20"/>
        <w:jc w:val="center"/>
        <w:outlineLvl w:val="0"/>
        <w:rPr>
          <w:rFonts w:hint="default" w:ascii="Times New Roman" w:hAnsi="Times New Roman" w:eastAsia="宋体" w:cs="Times New Roman"/>
          <w:b/>
          <w:bCs/>
          <w:snapToGrid w:val="0"/>
          <w:sz w:val="28"/>
          <w:szCs w:val="28"/>
        </w:rPr>
      </w:pPr>
      <w:r>
        <w:rPr>
          <w:rFonts w:hint="default" w:ascii="Times New Roman" w:hAnsi="Times New Roman" w:eastAsia="宋体" w:cs="Times New Roman"/>
          <w:b/>
          <w:bCs/>
          <w:snapToGrid w:val="0"/>
          <w:sz w:val="28"/>
          <w:szCs w:val="28"/>
        </w:rPr>
        <w:t>二、建设内容</w:t>
      </w:r>
    </w:p>
    <w:tbl>
      <w:tblPr>
        <w:tblStyle w:val="23"/>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380"/>
      </w:tblGrid>
      <w:tr w14:paraId="3AFB5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710" w:type="dxa"/>
            <w:noWrap w:val="0"/>
            <w:vAlign w:val="center"/>
          </w:tcPr>
          <w:p w14:paraId="218D5F83">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地理位置</w:t>
            </w:r>
          </w:p>
        </w:tc>
        <w:tc>
          <w:tcPr>
            <w:tcW w:w="8380" w:type="dxa"/>
            <w:noWrap w:val="0"/>
            <w:vAlign w:val="center"/>
          </w:tcPr>
          <w:p w14:paraId="1E509F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eastAsia="宋体" w:cs="Times New Roman"/>
                <w:color w:val="000000"/>
                <w:kern w:val="0"/>
                <w:sz w:val="24"/>
                <w:szCs w:val="24"/>
                <w:lang w:val="en-US" w:eastAsia="zh-CN" w:bidi="ar"/>
              </w:rPr>
              <w:t>本项目位于甘肃省张掖市临泽县板桥镇，矿区位于临泽县25°方位，直据约25km，行政区划隶属临泽县板桥镇管辖，自矿区有汽车便道通行13km到板桥镇；板桥镇至临泽县城15km，为217县级公路，矿区距兰新铁路临泽火车站30km，交通较为便利</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矿区中心地理坐标为东经：100°17′3</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841</w:t>
            </w:r>
            <w:r>
              <w:rPr>
                <w:rFonts w:hint="default" w:ascii="Times New Roman" w:hAnsi="Times New Roman" w:eastAsia="宋体" w:cs="Times New Roman"/>
                <w:color w:val="000000"/>
                <w:kern w:val="0"/>
                <w:sz w:val="24"/>
                <w:szCs w:val="24"/>
                <w:lang w:val="en-US" w:eastAsia="zh-CN" w:bidi="ar"/>
              </w:rPr>
              <w:t>″北纬：39°20′4</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644</w:t>
            </w:r>
            <w:r>
              <w:rPr>
                <w:rFonts w:hint="default" w:ascii="Times New Roman" w:hAnsi="Times New Roman" w:eastAsia="宋体" w:cs="Times New Roman"/>
                <w:color w:val="000000"/>
                <w:kern w:val="0"/>
                <w:sz w:val="24"/>
                <w:szCs w:val="24"/>
                <w:lang w:val="en-US" w:eastAsia="zh-CN" w:bidi="ar"/>
              </w:rPr>
              <w:t>″。具体位置见附图1。</w:t>
            </w:r>
          </w:p>
        </w:tc>
      </w:tr>
      <w:tr w14:paraId="0F6F4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8" w:hRule="atLeast"/>
          <w:jc w:val="center"/>
        </w:trPr>
        <w:tc>
          <w:tcPr>
            <w:tcW w:w="710" w:type="dxa"/>
            <w:noWrap w:val="0"/>
            <w:vAlign w:val="center"/>
          </w:tcPr>
          <w:p w14:paraId="416D00C6">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项目组成及规模</w:t>
            </w:r>
          </w:p>
        </w:tc>
        <w:tc>
          <w:tcPr>
            <w:tcW w:w="8380" w:type="dxa"/>
            <w:noWrap w:val="0"/>
            <w:vAlign w:val="center"/>
          </w:tcPr>
          <w:p w14:paraId="148B561B">
            <w:pPr>
              <w:keepNext w:val="0"/>
              <w:keepLines w:val="0"/>
              <w:pageBreakBefore w:val="0"/>
              <w:widowControl/>
              <w:numPr>
                <w:ilvl w:val="0"/>
                <w:numId w:val="10"/>
              </w:numPr>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矿区由来</w:t>
            </w:r>
          </w:p>
          <w:p w14:paraId="1AF3C608">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i w:val="0"/>
                <w:iCs w:val="0"/>
                <w:caps w:val="0"/>
                <w:color w:val="000000"/>
                <w:spacing w:val="0"/>
                <w:sz w:val="24"/>
                <w:szCs w:val="24"/>
                <w:lang w:eastAsia="zh-CN"/>
              </w:rPr>
            </w:pP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甘肃惠临实业发展有限公司临泽县凹凸棒石粘土矿</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位于甘肃省张掖市临泽县板桥镇，</w:t>
            </w:r>
            <w:r>
              <w:rPr>
                <w:rFonts w:hint="default" w:ascii="Times New Roman" w:hAnsi="Times New Roman" w:eastAsia="宋体" w:cs="Times New Roman"/>
                <w:i w:val="0"/>
                <w:iCs w:val="0"/>
                <w:caps w:val="0"/>
                <w:color w:val="000000"/>
                <w:spacing w:val="0"/>
                <w:sz w:val="24"/>
                <w:szCs w:val="24"/>
                <w:lang w:val="en-US" w:eastAsia="zh-CN"/>
              </w:rPr>
              <w:t>属于新建</w:t>
            </w:r>
            <w:r>
              <w:rPr>
                <w:rFonts w:hint="default" w:ascii="Times New Roman" w:hAnsi="Times New Roman" w:eastAsia="宋体" w:cs="Times New Roman"/>
                <w:i w:val="0"/>
                <w:iCs w:val="0"/>
                <w:caps w:val="0"/>
                <w:color w:val="000000"/>
                <w:spacing w:val="0"/>
                <w:sz w:val="24"/>
                <w:szCs w:val="24"/>
              </w:rPr>
              <w:t>露天开采非金属矿山</w:t>
            </w:r>
            <w:r>
              <w:rPr>
                <w:rFonts w:hint="default" w:ascii="Times New Roman" w:hAnsi="Times New Roman" w:eastAsia="宋体" w:cs="Times New Roman"/>
                <w:i w:val="0"/>
                <w:iCs w:val="0"/>
                <w:caps w:val="0"/>
                <w:color w:val="000000"/>
                <w:spacing w:val="0"/>
                <w:sz w:val="24"/>
                <w:szCs w:val="24"/>
                <w:lang w:val="en-US" w:eastAsia="zh-CN"/>
              </w:rPr>
              <w:t>。矿权人为</w:t>
            </w:r>
            <w:r>
              <w:rPr>
                <w:rFonts w:hint="default" w:ascii="Times New Roman" w:hAnsi="Times New Roman" w:eastAsia="宋体" w:cs="Times New Roman"/>
                <w:i w:val="0"/>
                <w:iCs w:val="0"/>
                <w:caps w:val="0"/>
                <w:color w:val="000000"/>
                <w:spacing w:val="0"/>
                <w:sz w:val="24"/>
                <w:szCs w:val="24"/>
              </w:rPr>
              <w:t>甘肃惠临实业发展有限公司</w:t>
            </w:r>
            <w:r>
              <w:rPr>
                <w:rFonts w:hint="default" w:ascii="Times New Roman" w:hAnsi="Times New Roman" w:eastAsia="宋体" w:cs="Times New Roman"/>
                <w:i w:val="0"/>
                <w:iCs w:val="0"/>
                <w:caps w:val="0"/>
                <w:color w:val="000000"/>
                <w:spacing w:val="0"/>
                <w:sz w:val="24"/>
                <w:szCs w:val="24"/>
                <w:lang w:eastAsia="zh-CN"/>
              </w:rPr>
              <w:t>，该项目原名为甘肃凯西生态环境工程有限公司临泽县凹凸棒石粘土矿，原</w:t>
            </w:r>
            <w:r>
              <w:rPr>
                <w:rFonts w:hint="default" w:ascii="Times New Roman" w:hAnsi="Times New Roman" w:eastAsia="宋体" w:cs="Times New Roman"/>
                <w:i w:val="0"/>
                <w:iCs w:val="0"/>
                <w:caps w:val="0"/>
                <w:color w:val="000000"/>
                <w:spacing w:val="0"/>
                <w:sz w:val="24"/>
                <w:szCs w:val="24"/>
                <w:lang w:val="en-US" w:eastAsia="zh-CN"/>
              </w:rPr>
              <w:t>矿山</w:t>
            </w:r>
            <w:r>
              <w:rPr>
                <w:rFonts w:hint="default" w:ascii="Times New Roman" w:hAnsi="Times New Roman" w:eastAsia="宋体" w:cs="Times New Roman"/>
                <w:i w:val="0"/>
                <w:iCs w:val="0"/>
                <w:caps w:val="0"/>
                <w:color w:val="000000"/>
                <w:spacing w:val="0"/>
                <w:sz w:val="24"/>
                <w:szCs w:val="24"/>
                <w:lang w:eastAsia="zh-CN"/>
              </w:rPr>
              <w:t>由甘肃凯西生态环境工程有限公司投资建设，该公司2022年在项目延续过程中将该矿山矿业权出让。经</w:t>
            </w:r>
            <w:r>
              <w:rPr>
                <w:rFonts w:hint="eastAsia" w:ascii="Times New Roman" w:hAnsi="Times New Roman" w:cs="Times New Roman"/>
                <w:i w:val="0"/>
                <w:iCs w:val="0"/>
                <w:caps w:val="0"/>
                <w:color w:val="000000"/>
                <w:spacing w:val="0"/>
                <w:sz w:val="24"/>
                <w:szCs w:val="24"/>
                <w:lang w:val="en-US" w:eastAsia="zh-CN"/>
              </w:rPr>
              <w:t>杭州上城区人民法院</w:t>
            </w:r>
            <w:r>
              <w:rPr>
                <w:rFonts w:hint="default" w:ascii="Times New Roman" w:hAnsi="Times New Roman" w:eastAsia="宋体" w:cs="Times New Roman"/>
                <w:i w:val="0"/>
                <w:iCs w:val="0"/>
                <w:caps w:val="0"/>
                <w:color w:val="000000"/>
                <w:spacing w:val="0"/>
                <w:sz w:val="24"/>
                <w:szCs w:val="24"/>
                <w:lang w:eastAsia="zh-CN"/>
              </w:rPr>
              <w:t>公开举行的招拍挂，由甘肃惠临实业发展有限公司取得了矿业权。甘肃惠临实业发展有限公司成立于2015年03月06日，注册地位于甘肃省张掖市临泽县工业园区，法定代表人为张建虎。企业类型为有限责任公司</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lang w:eastAsia="zh-CN"/>
              </w:rPr>
              <w:t>国有独资</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lang w:eastAsia="zh-CN"/>
              </w:rPr>
              <w:t>，营业执照统一社会信用代码为916207233321278170。</w:t>
            </w:r>
          </w:p>
          <w:p w14:paraId="04E01861">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i w:val="0"/>
                <w:iCs w:val="0"/>
                <w:caps w:val="0"/>
                <w:color w:val="000000"/>
                <w:spacing w:val="0"/>
                <w:sz w:val="24"/>
                <w:szCs w:val="24"/>
              </w:rPr>
            </w:pPr>
            <w:r>
              <w:rPr>
                <w:rFonts w:hint="default" w:ascii="Times New Roman" w:hAnsi="Times New Roman" w:eastAsia="宋体" w:cs="Times New Roman"/>
                <w:i w:val="0"/>
                <w:iCs w:val="0"/>
                <w:caps w:val="0"/>
                <w:color w:val="000000"/>
                <w:spacing w:val="0"/>
                <w:sz w:val="24"/>
                <w:szCs w:val="24"/>
              </w:rPr>
              <w:t>甘肃惠临实业发展有限公司于2024年8月5日取得了由张掖市自然资源局颁发的甘肃惠临实业发展有限公司临泽县凹凸棒石粘土矿《采矿许可证》，证号：C6207002011097130117694，开采矿种为凹凸棒石粘土、石膏，开采方式为露天开采，生产规模：5万吨/年，矿区面积为1.5653km²，开采深度为：1472～1422m，采矿许可证有效期限为2022年9月5日至2027年9月5日。</w:t>
            </w:r>
          </w:p>
          <w:p w14:paraId="612C0C33">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i w:val="0"/>
                <w:iCs w:val="0"/>
                <w:caps w:val="0"/>
                <w:color w:val="000000"/>
                <w:spacing w:val="0"/>
                <w:sz w:val="24"/>
                <w:szCs w:val="24"/>
              </w:rPr>
            </w:pPr>
            <w:r>
              <w:rPr>
                <w:rFonts w:hint="default" w:ascii="Times New Roman" w:hAnsi="Times New Roman" w:eastAsia="宋体" w:cs="Times New Roman"/>
                <w:i w:val="0"/>
                <w:iCs w:val="0"/>
                <w:caps w:val="0"/>
                <w:color w:val="000000"/>
                <w:spacing w:val="0"/>
                <w:sz w:val="24"/>
                <w:szCs w:val="24"/>
              </w:rPr>
              <w:t>截止目前，</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甘肃惠临实业发展有限公司临泽县凹凸棒石粘土矿</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已完成《甘肃惠临实业发展有限公司临泽县凹凸棒石粘土矿2024年储量</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一表三图</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》《甘肃惠临实业发展有限公司临泽县凹凸棒石粘土矿矿产资源开发与恢复治理方案》</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以下简称方案</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等报告的编制及评审工作。</w:t>
            </w:r>
          </w:p>
          <w:p w14:paraId="5C2B739F">
            <w:pPr>
              <w:pStyle w:val="2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i w:val="0"/>
                <w:iCs w:val="0"/>
                <w:caps w:val="0"/>
                <w:color w:val="000000"/>
                <w:spacing w:val="0"/>
                <w:sz w:val="24"/>
                <w:szCs w:val="24"/>
              </w:rPr>
            </w:pPr>
            <w:r>
              <w:rPr>
                <w:rFonts w:hint="default" w:ascii="Times New Roman" w:hAnsi="Times New Roman" w:eastAsia="宋体" w:cs="Times New Roman"/>
                <w:i w:val="0"/>
                <w:iCs w:val="0"/>
                <w:caps w:val="0"/>
                <w:color w:val="000000"/>
                <w:spacing w:val="0"/>
                <w:sz w:val="24"/>
                <w:szCs w:val="24"/>
              </w:rPr>
              <w:t>根据《中华人民共和国环境保护法》、《中华人民共和国环境影响评价法》、《建设项目环境保护管理条例》、《建设项目环境影响评价分类管理名录》</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2021年版</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有关规定，该项目属于</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八、非金属矿采选业10-11土砂石开采101</w:t>
            </w:r>
            <w:r>
              <w:rPr>
                <w:rFonts w:hint="default" w:ascii="Times New Roman" w:hAnsi="Times New Roman" w:eastAsia="宋体"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不含河道采砂项目</w:t>
            </w:r>
            <w:r>
              <w:rPr>
                <w:rFonts w:hint="default" w:ascii="Times New Roman" w:hAnsi="Times New Roman" w:eastAsia="宋体"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其他</w:t>
            </w:r>
            <w:r>
              <w:rPr>
                <w:rFonts w:hint="eastAsia" w:ascii="Times New Roman" w:hAnsi="Times New Roman" w:cs="Times New Roman"/>
                <w:i w:val="0"/>
                <w:iCs w:val="0"/>
                <w:caps w:val="0"/>
                <w:color w:val="000000"/>
                <w:spacing w:val="0"/>
                <w:sz w:val="24"/>
                <w:szCs w:val="24"/>
                <w:lang w:eastAsia="zh-CN"/>
              </w:rPr>
              <w:t>”</w:t>
            </w:r>
            <w:r>
              <w:rPr>
                <w:rFonts w:hint="default" w:ascii="Times New Roman" w:hAnsi="Times New Roman" w:eastAsia="宋体" w:cs="Times New Roman"/>
                <w:i w:val="0"/>
                <w:iCs w:val="0"/>
                <w:caps w:val="0"/>
                <w:color w:val="000000"/>
                <w:spacing w:val="0"/>
                <w:sz w:val="24"/>
                <w:szCs w:val="24"/>
              </w:rPr>
              <w:t>，需编制环境影响报告表。为此，甘肃惠临实业发展有限公司委托我公司承担该项目的环境影响评价的编制工作。接受委托后，我单位技术人员认真研究了该项目的有关材料，并进行实地踏勘、调研，收集和核实了有关材料，为项目的工程设计、施工及建成后的环境管理以及相关部门审查批准提供了科学依据。</w:t>
            </w:r>
          </w:p>
          <w:p w14:paraId="33BC30BD">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2、项目概况</w:t>
            </w:r>
          </w:p>
          <w:p w14:paraId="616CAF4A">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项目名称</w:t>
            </w:r>
            <w:r>
              <w:rPr>
                <w:rFonts w:hint="default" w:ascii="Times New Roman" w:hAnsi="Times New Roman" w:eastAsia="宋体" w:cs="Times New Roman"/>
                <w:color w:val="000000"/>
                <w:kern w:val="0"/>
                <w:sz w:val="24"/>
                <w:szCs w:val="24"/>
                <w:lang w:val="en-US" w:eastAsia="zh-CN" w:bidi="ar"/>
              </w:rPr>
              <w:t>：甘肃惠临实业发展有限公司临泽县板桥镇凹凸棒石粘土矿项目</w:t>
            </w:r>
          </w:p>
          <w:p w14:paraId="55DFDEB4">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建设单位</w:t>
            </w:r>
            <w:r>
              <w:rPr>
                <w:rFonts w:hint="default" w:ascii="Times New Roman" w:hAnsi="Times New Roman" w:eastAsia="宋体" w:cs="Times New Roman"/>
                <w:color w:val="000000"/>
                <w:kern w:val="0"/>
                <w:sz w:val="24"/>
                <w:szCs w:val="24"/>
                <w:lang w:val="en-US" w:eastAsia="zh-CN" w:bidi="ar"/>
              </w:rPr>
              <w:t>：甘肃惠临实业发展有限公司</w:t>
            </w:r>
          </w:p>
          <w:p w14:paraId="55C79A21">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建设性质</w:t>
            </w:r>
            <w:r>
              <w:rPr>
                <w:rFonts w:hint="default" w:ascii="Times New Roman" w:hAnsi="Times New Roman" w:eastAsia="宋体" w:cs="Times New Roman"/>
                <w:color w:val="000000"/>
                <w:kern w:val="0"/>
                <w:sz w:val="24"/>
                <w:szCs w:val="24"/>
                <w:lang w:val="en-US" w:eastAsia="zh-CN" w:bidi="ar"/>
              </w:rPr>
              <w:t>：新建</w:t>
            </w:r>
          </w:p>
          <w:p w14:paraId="32D82B57">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项目总投资</w:t>
            </w:r>
            <w:r>
              <w:rPr>
                <w:rFonts w:hint="default" w:ascii="Times New Roman" w:hAnsi="Times New Roman" w:eastAsia="宋体" w:cs="Times New Roman"/>
                <w:color w:val="000000"/>
                <w:kern w:val="0"/>
                <w:sz w:val="24"/>
                <w:szCs w:val="24"/>
                <w:lang w:val="en-US" w:eastAsia="zh-CN" w:bidi="ar"/>
              </w:rPr>
              <w:t>：520万元</w:t>
            </w:r>
          </w:p>
          <w:p w14:paraId="0AB8CB83">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占地面积</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sz w:val="24"/>
                <w:szCs w:val="24"/>
                <w:lang w:val="en-US" w:eastAsia="zh-CN"/>
              </w:rPr>
              <w:t>矿区面积1.5653km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14:paraId="0DCC09FF">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eastAsia"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建设规模及内容</w:t>
            </w:r>
            <w:r>
              <w:rPr>
                <w:rFonts w:hint="default" w:ascii="Times New Roman" w:hAnsi="Times New Roman" w:eastAsia="宋体" w:cs="Times New Roman"/>
                <w:color w:val="000000"/>
                <w:kern w:val="0"/>
                <w:sz w:val="24"/>
                <w:szCs w:val="24"/>
                <w:lang w:val="en-US" w:eastAsia="zh-CN" w:bidi="ar"/>
              </w:rPr>
              <w:t>：本项目设计生产规模为5万</w:t>
            </w:r>
            <w:r>
              <w:rPr>
                <w:rFonts w:hint="eastAsia" w:cs="Times New Roman"/>
                <w:color w:val="000000"/>
                <w:kern w:val="0"/>
                <w:sz w:val="24"/>
                <w:szCs w:val="24"/>
                <w:lang w:val="en-US" w:eastAsia="zh-CN" w:bidi="ar"/>
              </w:rPr>
              <w:t>t/a</w:t>
            </w:r>
          </w:p>
          <w:p w14:paraId="0E4806EB">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项目人员</w:t>
            </w:r>
            <w:r>
              <w:rPr>
                <w:rFonts w:hint="default" w:ascii="Times New Roman" w:hAnsi="Times New Roman" w:eastAsia="宋体" w:cs="Times New Roman"/>
                <w:color w:val="000000"/>
                <w:kern w:val="0"/>
                <w:sz w:val="24"/>
                <w:szCs w:val="24"/>
                <w:lang w:val="en-US" w:eastAsia="zh-CN" w:bidi="ar"/>
              </w:rPr>
              <w:t>：本项目员工6人</w:t>
            </w:r>
          </w:p>
          <w:p w14:paraId="22E4C4BB">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工作制度</w:t>
            </w:r>
            <w:r>
              <w:rPr>
                <w:rFonts w:hint="default" w:ascii="Times New Roman" w:hAnsi="Times New Roman" w:eastAsia="宋体" w:cs="Times New Roman"/>
                <w:color w:val="000000"/>
                <w:kern w:val="0"/>
                <w:sz w:val="24"/>
                <w:szCs w:val="24"/>
                <w:lang w:val="en-US" w:eastAsia="zh-CN" w:bidi="ar"/>
              </w:rPr>
              <w:t>：一年工作200天，每天1班，每班8小时</w:t>
            </w:r>
          </w:p>
          <w:p w14:paraId="5BF9CD4D">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3、建设内容：</w:t>
            </w:r>
          </w:p>
          <w:p w14:paraId="3C4FE2A8">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本项目矿区总面积</w:t>
            </w:r>
            <w:r>
              <w:rPr>
                <w:rFonts w:hint="default" w:ascii="Times New Roman" w:hAnsi="Times New Roman" w:eastAsia="宋体" w:cs="Times New Roman"/>
                <w:sz w:val="24"/>
                <w:szCs w:val="24"/>
                <w:lang w:val="en-US" w:eastAsia="zh-CN"/>
              </w:rPr>
              <w:t>1.5653km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color w:val="000000"/>
                <w:kern w:val="0"/>
                <w:sz w:val="24"/>
                <w:szCs w:val="24"/>
                <w:lang w:val="en-US" w:eastAsia="zh-CN" w:bidi="ar"/>
              </w:rPr>
              <w:t>，年开采规模5万</w:t>
            </w:r>
            <w:r>
              <w:rPr>
                <w:rFonts w:hint="eastAsia" w:cs="Times New Roman"/>
                <w:color w:val="000000"/>
                <w:kern w:val="0"/>
                <w:sz w:val="24"/>
                <w:szCs w:val="24"/>
                <w:lang w:val="en-US" w:eastAsia="zh-CN" w:bidi="ar"/>
              </w:rPr>
              <w:t>t/a</w:t>
            </w:r>
            <w:r>
              <w:rPr>
                <w:rFonts w:hint="default" w:ascii="Times New Roman" w:hAnsi="Times New Roman" w:eastAsia="宋体" w:cs="Times New Roman"/>
                <w:color w:val="000000"/>
                <w:kern w:val="0"/>
                <w:sz w:val="24"/>
                <w:szCs w:val="24"/>
                <w:lang w:val="en-US" w:eastAsia="zh-CN" w:bidi="ar"/>
              </w:rPr>
              <w:t>，主要由首采区</w:t>
            </w:r>
            <w:r>
              <w:rPr>
                <w:rFonts w:hint="eastAsia" w:ascii="Times New Roman" w:hAnsi="Times New Roman" w:eastAsia="宋体" w:cs="Times New Roman"/>
                <w:color w:val="000000"/>
                <w:kern w:val="0"/>
                <w:sz w:val="24"/>
                <w:szCs w:val="24"/>
                <w:lang w:val="en-US" w:eastAsia="zh-CN" w:bidi="ar"/>
              </w:rPr>
              <w:t>及排土场、堆矿场地、防洪坝</w:t>
            </w:r>
            <w:r>
              <w:rPr>
                <w:rFonts w:hint="eastAsia"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矿区道路及临时值班室等</w:t>
            </w:r>
            <w:r>
              <w:rPr>
                <w:rFonts w:hint="default" w:ascii="Times New Roman" w:hAnsi="Times New Roman" w:eastAsia="宋体" w:cs="Times New Roman"/>
                <w:color w:val="000000"/>
                <w:kern w:val="0"/>
                <w:sz w:val="24"/>
                <w:szCs w:val="24"/>
                <w:lang w:val="en-US" w:eastAsia="zh-CN" w:bidi="ar"/>
              </w:rPr>
              <w:t>组成</w:t>
            </w:r>
            <w:r>
              <w:rPr>
                <w:rFonts w:hint="default" w:ascii="Times New Roman" w:hAnsi="Times New Roman" w:eastAsia="宋体" w:cs="Times New Roman"/>
                <w:color w:val="000000"/>
                <w:kern w:val="0"/>
                <w:sz w:val="24"/>
                <w:szCs w:val="24"/>
                <w:vertAlign w:val="baseline"/>
                <w:lang w:val="en-US" w:eastAsia="zh-CN" w:bidi="ar"/>
              </w:rPr>
              <w:t>，</w:t>
            </w:r>
            <w:r>
              <w:rPr>
                <w:rFonts w:hint="default" w:ascii="Times New Roman" w:hAnsi="Times New Roman" w:eastAsia="宋体" w:cs="Times New Roman"/>
                <w:color w:val="000000"/>
                <w:kern w:val="0"/>
                <w:sz w:val="24"/>
                <w:szCs w:val="24"/>
                <w:lang w:val="en-US" w:eastAsia="zh-CN" w:bidi="ar"/>
              </w:rPr>
              <w:t>并配套建设环保设施和其他辅助设施。</w:t>
            </w:r>
            <w:r>
              <w:rPr>
                <w:rFonts w:hint="eastAsia" w:cs="Times New Roman"/>
                <w:color w:val="000000"/>
                <w:kern w:val="0"/>
                <w:sz w:val="24"/>
                <w:szCs w:val="24"/>
                <w:lang w:val="en-US" w:eastAsia="zh-CN" w:bidi="ar"/>
              </w:rPr>
              <w:t>（</w:t>
            </w:r>
            <w:r>
              <w:rPr>
                <w:rFonts w:hint="eastAsia" w:cs="Times New Roman"/>
                <w:b w:val="0"/>
                <w:color w:val="000000"/>
                <w:sz w:val="24"/>
                <w:szCs w:val="24"/>
                <w:lang w:val="en-US" w:eastAsia="zh-CN"/>
              </w:rPr>
              <w:t>固体废物：根据露天开采终了剖面图可知，本项目剥离物覆盖层主要是第四系上更新统洪积砂砾石（以下简称覆盖层）</w:t>
            </w:r>
            <w:r>
              <w:rPr>
                <w:rFonts w:hint="eastAsia" w:cs="Times New Roman"/>
                <w:color w:val="000000"/>
                <w:kern w:val="0"/>
                <w:sz w:val="24"/>
                <w:szCs w:val="24"/>
                <w:lang w:val="en-US" w:eastAsia="zh-CN" w:bidi="ar"/>
              </w:rPr>
              <w:t>）。</w:t>
            </w:r>
          </w:p>
          <w:p w14:paraId="60D56EC9">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项目组成见表2-1。</w:t>
            </w:r>
          </w:p>
          <w:p w14:paraId="568AC095">
            <w:pPr>
              <w:pStyle w:val="22"/>
              <w:keepNext w:val="0"/>
              <w:keepLines w:val="0"/>
              <w:pageBreakBefore w:val="0"/>
              <w:widowControl/>
              <w:kinsoku/>
              <w:wordWrap/>
              <w:overflowPunct/>
              <w:topLinePunct w:val="0"/>
              <w:autoSpaceDE/>
              <w:autoSpaceDN/>
              <w:bidi w:val="0"/>
              <w:adjustRightInd/>
              <w:snapToGrid/>
              <w:spacing w:before="0" w:after="0" w:line="360" w:lineRule="auto"/>
              <w:ind w:right="0"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vertAlign w:val="baseline"/>
                <w:lang w:val="en-US" w:eastAsia="zh-CN"/>
              </w:rPr>
              <w:t>表2-1 项目工程组成一览表</w:t>
            </w:r>
          </w:p>
          <w:tbl>
            <w:tblPr>
              <w:tblStyle w:val="24"/>
              <w:tblW w:w="813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500"/>
              <w:gridCol w:w="4748"/>
              <w:gridCol w:w="704"/>
            </w:tblGrid>
            <w:tr w14:paraId="0231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tcBorders>
                    <w:top w:val="single" w:color="000000" w:sz="12" w:space="0"/>
                    <w:left w:val="nil"/>
                    <w:tl2br w:val="nil"/>
                  </w:tcBorders>
                  <w:noWrap w:val="0"/>
                  <w:vAlign w:val="center"/>
                </w:tcPr>
                <w:p w14:paraId="05C2E41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工程类别</w:t>
                  </w:r>
                </w:p>
              </w:tc>
              <w:tc>
                <w:tcPr>
                  <w:tcW w:w="1500" w:type="dxa"/>
                  <w:tcBorders>
                    <w:top w:val="single" w:color="000000" w:sz="12" w:space="0"/>
                  </w:tcBorders>
                  <w:noWrap w:val="0"/>
                  <w:vAlign w:val="center"/>
                </w:tcPr>
                <w:p w14:paraId="6CEF71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工程名称</w:t>
                  </w:r>
                </w:p>
              </w:tc>
              <w:tc>
                <w:tcPr>
                  <w:tcW w:w="4748" w:type="dxa"/>
                  <w:tcBorders>
                    <w:top w:val="single" w:color="000000" w:sz="12" w:space="0"/>
                  </w:tcBorders>
                  <w:noWrap w:val="0"/>
                  <w:vAlign w:val="center"/>
                </w:tcPr>
                <w:p w14:paraId="19D9C5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主要建设内容</w:t>
                  </w:r>
                </w:p>
              </w:tc>
              <w:tc>
                <w:tcPr>
                  <w:tcW w:w="704" w:type="dxa"/>
                  <w:tcBorders>
                    <w:top w:val="single" w:color="000000" w:sz="12" w:space="0"/>
                    <w:right w:val="nil"/>
                  </w:tcBorders>
                  <w:noWrap w:val="0"/>
                  <w:vAlign w:val="center"/>
                </w:tcPr>
                <w:p w14:paraId="07CB2E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备注</w:t>
                  </w:r>
                </w:p>
              </w:tc>
            </w:tr>
            <w:tr w14:paraId="24BF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6" w:type="dxa"/>
                  <w:tcBorders>
                    <w:left w:val="nil"/>
                  </w:tcBorders>
                  <w:noWrap w:val="0"/>
                  <w:vAlign w:val="center"/>
                </w:tcPr>
                <w:p w14:paraId="2CFAB8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主体工程</w:t>
                  </w:r>
                </w:p>
              </w:tc>
              <w:tc>
                <w:tcPr>
                  <w:tcW w:w="1500" w:type="dxa"/>
                  <w:noWrap w:val="0"/>
                  <w:vAlign w:val="center"/>
                </w:tcPr>
                <w:p w14:paraId="1E2C2F57">
                  <w:pPr>
                    <w:keepNext w:val="0"/>
                    <w:keepLines w:val="0"/>
                    <w:pageBreakBefore w:val="0"/>
                    <w:widowControl w:val="0"/>
                    <w:kinsoku/>
                    <w:wordWrap/>
                    <w:overflowPunct/>
                    <w:topLinePunct w:val="0"/>
                    <w:autoSpaceDE/>
                    <w:autoSpaceDN/>
                    <w:bidi w:val="0"/>
                    <w:adjustRightInd/>
                    <w:snapToGrid/>
                    <w:ind w:firstLine="210" w:firstLineChars="100"/>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露天采场</w:t>
                  </w:r>
                </w:p>
              </w:tc>
              <w:tc>
                <w:tcPr>
                  <w:tcW w:w="4748" w:type="dxa"/>
                  <w:noWrap w:val="0"/>
                  <w:vAlign w:val="center"/>
                </w:tcPr>
                <w:p w14:paraId="37661EBF">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auto"/>
                      <w:sz w:val="21"/>
                      <w:szCs w:val="21"/>
                      <w:lang w:val="en-US" w:eastAsia="zh-CN"/>
                    </w:rPr>
                    <w:t>拟建露天采场1个，矿区面积1.5653km</w:t>
                  </w:r>
                  <w:r>
                    <w:rPr>
                      <w:rFonts w:hint="default" w:ascii="Times New Roman" w:hAnsi="Times New Roman" w:eastAsia="宋体" w:cs="Times New Roman"/>
                      <w:b w:val="0"/>
                      <w:color w:val="auto"/>
                      <w:sz w:val="21"/>
                      <w:szCs w:val="21"/>
                      <w:vertAlign w:val="superscript"/>
                      <w:lang w:val="en-US" w:eastAsia="zh-CN"/>
                    </w:rPr>
                    <w:t>2</w:t>
                  </w:r>
                  <w:r>
                    <w:rPr>
                      <w:rFonts w:hint="default" w:ascii="Times New Roman" w:hAnsi="Times New Roman" w:eastAsia="宋体" w:cs="Times New Roman"/>
                      <w:b w:val="0"/>
                      <w:color w:val="auto"/>
                      <w:sz w:val="21"/>
                      <w:szCs w:val="21"/>
                      <w:lang w:val="en-US" w:eastAsia="zh-CN"/>
                    </w:rPr>
                    <w:t>，开采境界面积</w:t>
                  </w:r>
                  <w:r>
                    <w:rPr>
                      <w:rFonts w:hint="default" w:ascii="Times New Roman" w:hAnsi="Times New Roman" w:eastAsia="宋体" w:cs="Times New Roman"/>
                    </w:rPr>
                    <w:t>1.1316km²</w:t>
                  </w:r>
                  <w:r>
                    <w:rPr>
                      <w:rFonts w:hint="default" w:ascii="Times New Roman" w:hAnsi="Times New Roman" w:eastAsia="宋体" w:cs="Times New Roman"/>
                      <w:lang w:eastAsia="zh-CN"/>
                    </w:rPr>
                    <w:t>，</w:t>
                  </w:r>
                  <w:r>
                    <w:rPr>
                      <w:rFonts w:hint="default" w:ascii="Times New Roman" w:hAnsi="Times New Roman" w:eastAsia="宋体" w:cs="Times New Roman"/>
                      <w:b w:val="0"/>
                      <w:color w:val="auto"/>
                      <w:sz w:val="21"/>
                      <w:szCs w:val="21"/>
                      <w:lang w:val="en-US" w:eastAsia="zh-CN"/>
                    </w:rPr>
                    <w:t>设计开采规模5万吨/年，开采标高1472m~1422m，矿山服务年限165.7a</w:t>
                  </w:r>
                  <w:r>
                    <w:rPr>
                      <w:rFonts w:hint="eastAsia" w:cs="Times New Roman"/>
                      <w:b w:val="0"/>
                      <w:color w:val="auto"/>
                      <w:sz w:val="21"/>
                      <w:szCs w:val="21"/>
                      <w:lang w:val="en-US" w:eastAsia="zh-CN"/>
                    </w:rPr>
                    <w:t>，</w:t>
                  </w:r>
                  <w:r>
                    <w:rPr>
                      <w:rFonts w:hint="default" w:ascii="Times New Roman" w:hAnsi="Times New Roman" w:eastAsia="宋体" w:cs="Times New Roman"/>
                      <w:b w:val="0"/>
                      <w:color w:val="auto"/>
                      <w:sz w:val="21"/>
                      <w:szCs w:val="21"/>
                      <w:lang w:val="en-US" w:eastAsia="zh-CN"/>
                    </w:rPr>
                    <w:t>采用自上而下分台阶的露天开采方式，开拓方式—公路运输（汽车）开拓，采矿权范围内设计可采凹凸棒石粘土矿矿产资源量为606.97万t，</w:t>
                  </w:r>
                  <w:r>
                    <w:rPr>
                      <w:rFonts w:hint="default" w:ascii="Times New Roman" w:hAnsi="Times New Roman" w:eastAsia="宋体" w:cs="Times New Roman"/>
                      <w:color w:val="auto"/>
                      <w:sz w:val="21"/>
                      <w:szCs w:val="21"/>
                      <w:lang w:val="en-US" w:eastAsia="zh-CN"/>
                    </w:rPr>
                    <w:t>石膏矿为265.88</w:t>
                  </w:r>
                  <w:r>
                    <w:rPr>
                      <w:rFonts w:hint="default" w:ascii="Times New Roman" w:hAnsi="Times New Roman" w:eastAsia="宋体" w:cs="Times New Roman"/>
                      <w:b w:val="0"/>
                      <w:color w:val="auto"/>
                      <w:sz w:val="21"/>
                      <w:szCs w:val="21"/>
                      <w:lang w:val="en-US" w:eastAsia="zh-CN"/>
                    </w:rPr>
                    <w:t>万t。</w:t>
                  </w:r>
                </w:p>
              </w:tc>
              <w:tc>
                <w:tcPr>
                  <w:tcW w:w="704" w:type="dxa"/>
                  <w:tcBorders>
                    <w:right w:val="nil"/>
                  </w:tcBorders>
                  <w:noWrap w:val="0"/>
                  <w:vAlign w:val="center"/>
                </w:tcPr>
                <w:p w14:paraId="6DD939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新建</w:t>
                  </w:r>
                </w:p>
              </w:tc>
            </w:tr>
            <w:tr w14:paraId="13F5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tcBorders>
                    <w:left w:val="nil"/>
                  </w:tcBorders>
                  <w:noWrap w:val="0"/>
                  <w:vAlign w:val="center"/>
                </w:tcPr>
                <w:p w14:paraId="5A6F79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辅助工程</w:t>
                  </w:r>
                </w:p>
              </w:tc>
              <w:tc>
                <w:tcPr>
                  <w:tcW w:w="1500" w:type="dxa"/>
                  <w:noWrap w:val="0"/>
                  <w:vAlign w:val="center"/>
                </w:tcPr>
                <w:p w14:paraId="24DC22F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rPr>
                    <w:t>临时值班室</w:t>
                  </w:r>
                </w:p>
              </w:tc>
              <w:tc>
                <w:tcPr>
                  <w:tcW w:w="4748" w:type="dxa"/>
                  <w:noWrap w:val="0"/>
                  <w:vAlign w:val="center"/>
                </w:tcPr>
                <w:p w14:paraId="3185DF71">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位于</w:t>
                  </w:r>
                  <w:r>
                    <w:rPr>
                      <w:rFonts w:hint="default" w:ascii="Times New Roman" w:hAnsi="Times New Roman" w:eastAsia="宋体" w:cs="Times New Roman"/>
                      <w:b w:val="0"/>
                      <w:color w:val="000000"/>
                      <w:sz w:val="21"/>
                      <w:szCs w:val="21"/>
                      <w:lang w:val="en-US" w:eastAsia="zh-CN"/>
                    </w:rPr>
                    <w:t>在首采工作面西侧，设计采用岩棉板结构，建筑面积160m²。</w:t>
                  </w:r>
                </w:p>
              </w:tc>
              <w:tc>
                <w:tcPr>
                  <w:tcW w:w="704" w:type="dxa"/>
                  <w:tcBorders>
                    <w:right w:val="nil"/>
                  </w:tcBorders>
                  <w:noWrap w:val="0"/>
                  <w:vAlign w:val="center"/>
                </w:tcPr>
                <w:p w14:paraId="60BE92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新建</w:t>
                  </w:r>
                </w:p>
              </w:tc>
            </w:tr>
            <w:tr w14:paraId="68A9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tcBorders>
                    <w:left w:val="nil"/>
                  </w:tcBorders>
                  <w:noWrap w:val="0"/>
                  <w:vAlign w:val="center"/>
                </w:tcPr>
                <w:p w14:paraId="73BB62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防洪工程</w:t>
                  </w:r>
                </w:p>
              </w:tc>
              <w:tc>
                <w:tcPr>
                  <w:tcW w:w="1500" w:type="dxa"/>
                  <w:noWrap w:val="0"/>
                  <w:vAlign w:val="center"/>
                </w:tcPr>
                <w:p w14:paraId="7353C57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val="en-US" w:eastAsia="zh-CN"/>
                    </w:rPr>
                  </w:pPr>
                  <w:r>
                    <w:rPr>
                      <w:rFonts w:hint="eastAsia"/>
                      <w:lang w:val="en-US" w:eastAsia="zh-CN"/>
                    </w:rPr>
                    <w:t>防洪坝</w:t>
                  </w:r>
                </w:p>
              </w:tc>
              <w:tc>
                <w:tcPr>
                  <w:tcW w:w="4748" w:type="dxa"/>
                  <w:noWrap w:val="0"/>
                  <w:vAlign w:val="center"/>
                </w:tcPr>
                <w:p w14:paraId="4F0F5B37">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b w:val="0"/>
                      <w:color w:val="000000"/>
                      <w:sz w:val="21"/>
                      <w:szCs w:val="21"/>
                      <w:lang w:val="en-US" w:eastAsia="zh-CN"/>
                    </w:rPr>
                  </w:pPr>
                  <w:r>
                    <w:rPr>
                      <w:rFonts w:hint="eastAsia" w:ascii="宋体" w:hAnsi="宋体" w:cs="宋体"/>
                    </w:rPr>
                    <w:t>沿1#采场东北侧边界修筑截洪沟640m，2#采场东、南侧边界修筑防洪坝3200m</w:t>
                  </w:r>
                  <w:r>
                    <w:rPr>
                      <w:rFonts w:hint="eastAsia" w:ascii="宋体" w:hAnsi="宋体" w:cs="宋体"/>
                      <w:lang w:eastAsia="zh-CN"/>
                    </w:rPr>
                    <w:t>，</w:t>
                  </w:r>
                  <w:r>
                    <w:rPr>
                      <w:rFonts w:hint="eastAsia" w:ascii="宋体" w:hAnsi="宋体" w:cs="宋体"/>
                    </w:rPr>
                    <w:t>防洪坝规格为上宽3m，下宽5m，高度2.5m，结构为碾压式土石坝</w:t>
                  </w:r>
                  <w:r>
                    <w:rPr>
                      <w:rFonts w:hint="eastAsia" w:ascii="宋体" w:hAnsi="宋体" w:cs="宋体"/>
                      <w:lang w:eastAsia="zh-CN"/>
                    </w:rPr>
                    <w:t>。</w:t>
                  </w:r>
                </w:p>
              </w:tc>
              <w:tc>
                <w:tcPr>
                  <w:tcW w:w="704" w:type="dxa"/>
                  <w:tcBorders>
                    <w:right w:val="nil"/>
                  </w:tcBorders>
                  <w:noWrap w:val="0"/>
                  <w:vAlign w:val="center"/>
                </w:tcPr>
                <w:p w14:paraId="71640C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新建</w:t>
                  </w:r>
                </w:p>
              </w:tc>
            </w:tr>
            <w:tr w14:paraId="118E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vMerge w:val="restart"/>
                  <w:tcBorders>
                    <w:left w:val="nil"/>
                  </w:tcBorders>
                  <w:noWrap w:val="0"/>
                  <w:vAlign w:val="center"/>
                </w:tcPr>
                <w:p w14:paraId="490A58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储运工程</w:t>
                  </w:r>
                </w:p>
              </w:tc>
              <w:tc>
                <w:tcPr>
                  <w:tcW w:w="1500" w:type="dxa"/>
                  <w:noWrap w:val="0"/>
                  <w:vAlign w:val="center"/>
                </w:tcPr>
                <w:p w14:paraId="7B91BFF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原料堆场</w:t>
                  </w:r>
                </w:p>
              </w:tc>
              <w:tc>
                <w:tcPr>
                  <w:tcW w:w="4748" w:type="dxa"/>
                  <w:noWrap w:val="0"/>
                  <w:vAlign w:val="center"/>
                </w:tcPr>
                <w:p w14:paraId="4834FF2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拟建原料堆矿场1处，位于办公生活区西北侧，占地面积约</w:t>
                  </w:r>
                  <w:r>
                    <w:rPr>
                      <w:rFonts w:hint="eastAsia" w:cs="Times New Roman"/>
                      <w:b w:val="0"/>
                      <w:color w:val="000000"/>
                      <w:sz w:val="21"/>
                      <w:szCs w:val="21"/>
                      <w:lang w:val="en-US" w:eastAsia="zh-CN"/>
                    </w:rPr>
                    <w:t>1</w:t>
                  </w:r>
                  <w:r>
                    <w:rPr>
                      <w:rFonts w:hint="eastAsia"/>
                    </w:rPr>
                    <w:t>000m²</w:t>
                  </w:r>
                  <w:r>
                    <w:rPr>
                      <w:rFonts w:hint="default" w:ascii="Times New Roman" w:hAnsi="Times New Roman" w:eastAsia="宋体" w:cs="Times New Roman"/>
                      <w:b w:val="0"/>
                      <w:color w:val="000000"/>
                      <w:sz w:val="21"/>
                      <w:szCs w:val="21"/>
                      <w:lang w:val="en-US" w:eastAsia="zh-CN"/>
                    </w:rPr>
                    <w:t>，采用</w:t>
                  </w:r>
                  <w:r>
                    <w:rPr>
                      <w:rFonts w:hint="eastAsia" w:ascii="Times New Roman" w:hAnsi="Times New Roman" w:eastAsia="宋体" w:cs="Times New Roman"/>
                      <w:b w:val="0"/>
                      <w:color w:val="000000"/>
                      <w:sz w:val="21"/>
                      <w:szCs w:val="21"/>
                      <w:lang w:val="en-US" w:eastAsia="zh-CN"/>
                    </w:rPr>
                    <w:t>“</w:t>
                  </w:r>
                  <w:r>
                    <w:rPr>
                      <w:rFonts w:hint="default" w:ascii="Times New Roman" w:hAnsi="Times New Roman" w:eastAsia="宋体" w:cs="Times New Roman"/>
                      <w:b w:val="0"/>
                      <w:color w:val="000000"/>
                      <w:sz w:val="21"/>
                      <w:szCs w:val="21"/>
                      <w:lang w:val="en-US" w:eastAsia="zh-CN"/>
                    </w:rPr>
                    <w:t>三面围挡+顶棚</w:t>
                  </w:r>
                  <w:r>
                    <w:rPr>
                      <w:rFonts w:hint="eastAsia" w:ascii="Times New Roman" w:hAnsi="Times New Roman" w:eastAsia="宋体" w:cs="Times New Roman"/>
                      <w:b w:val="0"/>
                      <w:color w:val="000000"/>
                      <w:sz w:val="21"/>
                      <w:szCs w:val="21"/>
                      <w:lang w:val="en-US" w:eastAsia="zh-CN"/>
                    </w:rPr>
                    <w:t>”</w:t>
                  </w:r>
                  <w:r>
                    <w:rPr>
                      <w:rFonts w:hint="default" w:ascii="Times New Roman" w:hAnsi="Times New Roman" w:eastAsia="宋体" w:cs="Times New Roman"/>
                      <w:b w:val="0"/>
                      <w:color w:val="000000"/>
                      <w:sz w:val="21"/>
                      <w:szCs w:val="21"/>
                      <w:lang w:val="en-US" w:eastAsia="zh-CN"/>
                    </w:rPr>
                    <w:t>结构。</w:t>
                  </w:r>
                </w:p>
              </w:tc>
              <w:tc>
                <w:tcPr>
                  <w:tcW w:w="704" w:type="dxa"/>
                  <w:tcBorders>
                    <w:right w:val="nil"/>
                  </w:tcBorders>
                  <w:noWrap w:val="0"/>
                  <w:vAlign w:val="center"/>
                </w:tcPr>
                <w:p w14:paraId="02ED84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新建</w:t>
                  </w:r>
                </w:p>
              </w:tc>
            </w:tr>
            <w:tr w14:paraId="3942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6" w:type="dxa"/>
                  <w:vMerge w:val="continue"/>
                  <w:tcBorders>
                    <w:left w:val="nil"/>
                  </w:tcBorders>
                  <w:noWrap w:val="0"/>
                  <w:vAlign w:val="center"/>
                </w:tcPr>
                <w:p w14:paraId="1879BF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1500" w:type="dxa"/>
                  <w:noWrap w:val="0"/>
                  <w:vAlign w:val="center"/>
                </w:tcPr>
                <w:p w14:paraId="7E65F0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排土场</w:t>
                  </w:r>
                </w:p>
              </w:tc>
              <w:tc>
                <w:tcPr>
                  <w:tcW w:w="4748" w:type="dxa"/>
                  <w:noWrap w:val="0"/>
                  <w:vAlign w:val="center"/>
                </w:tcPr>
                <w:p w14:paraId="63605EC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拟建</w:t>
                  </w:r>
                  <w:r>
                    <w:rPr>
                      <w:rFonts w:hint="eastAsia" w:ascii="Times New Roman" w:hAnsi="Times New Roman" w:eastAsia="宋体" w:cs="Times New Roman"/>
                      <w:b w:val="0"/>
                      <w:color w:val="000000"/>
                      <w:sz w:val="21"/>
                      <w:szCs w:val="21"/>
                      <w:lang w:val="en-US" w:eastAsia="zh-CN"/>
                    </w:rPr>
                    <w:t>排土</w:t>
                  </w:r>
                  <w:r>
                    <w:rPr>
                      <w:rFonts w:hint="default" w:ascii="Times New Roman" w:hAnsi="Times New Roman" w:eastAsia="宋体" w:cs="Times New Roman"/>
                      <w:b w:val="0"/>
                      <w:color w:val="000000"/>
                      <w:sz w:val="21"/>
                      <w:szCs w:val="21"/>
                      <w:lang w:val="en-US" w:eastAsia="zh-CN"/>
                    </w:rPr>
                    <w:t>场1处，位于矿区内西北侧。排土场设计规格为长度约265m，宽度约255m，排土场占地面积66675m²。用于矿石剥离过程中产生的</w:t>
                  </w:r>
                  <w:r>
                    <w:rPr>
                      <w:rFonts w:hint="eastAsia" w:ascii="Times New Roman" w:hAnsi="Times New Roman" w:eastAsia="宋体" w:cs="Times New Roman"/>
                      <w:b w:val="0"/>
                      <w:color w:val="000000"/>
                      <w:sz w:val="21"/>
                      <w:szCs w:val="21"/>
                      <w:lang w:val="en-US" w:eastAsia="zh-CN"/>
                    </w:rPr>
                    <w:t>表土及</w:t>
                  </w:r>
                  <w:r>
                    <w:rPr>
                      <w:rFonts w:hint="default" w:ascii="Times New Roman" w:hAnsi="Times New Roman" w:eastAsia="宋体" w:cs="Times New Roman"/>
                      <w:b w:val="0"/>
                      <w:color w:val="000000"/>
                      <w:sz w:val="21"/>
                      <w:szCs w:val="21"/>
                      <w:lang w:val="en-US" w:eastAsia="zh-CN"/>
                    </w:rPr>
                    <w:t>废石。</w:t>
                  </w:r>
                </w:p>
              </w:tc>
              <w:tc>
                <w:tcPr>
                  <w:tcW w:w="704" w:type="dxa"/>
                  <w:tcBorders>
                    <w:right w:val="nil"/>
                  </w:tcBorders>
                  <w:noWrap w:val="0"/>
                  <w:vAlign w:val="center"/>
                </w:tcPr>
                <w:p w14:paraId="2AE66A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r w14:paraId="732A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vMerge w:val="continue"/>
                  <w:tcBorders>
                    <w:left w:val="nil"/>
                  </w:tcBorders>
                  <w:noWrap w:val="0"/>
                  <w:vAlign w:val="center"/>
                </w:tcPr>
                <w:p w14:paraId="2CABAF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1500" w:type="dxa"/>
                  <w:noWrap w:val="0"/>
                  <w:vAlign w:val="center"/>
                </w:tcPr>
                <w:p w14:paraId="50B52C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矿山道路</w:t>
                  </w:r>
                </w:p>
              </w:tc>
              <w:tc>
                <w:tcPr>
                  <w:tcW w:w="4748" w:type="dxa"/>
                  <w:noWrap w:val="0"/>
                  <w:vAlign w:val="center"/>
                </w:tcPr>
                <w:p w14:paraId="0D4D39F4">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FF"/>
                      <w:sz w:val="21"/>
                      <w:szCs w:val="21"/>
                      <w:lang w:val="en-US" w:eastAsia="zh-CN"/>
                    </w:rPr>
                  </w:pPr>
                  <w:r>
                    <w:rPr>
                      <w:rFonts w:hint="default" w:ascii="Times New Roman" w:hAnsi="Times New Roman" w:eastAsia="宋体" w:cs="Times New Roman"/>
                      <w:b w:val="0"/>
                      <w:color w:val="000000"/>
                      <w:sz w:val="21"/>
                      <w:szCs w:val="21"/>
                      <w:lang w:val="en-US" w:eastAsia="zh-CN"/>
                    </w:rPr>
                    <w:t>运输利用道路为已有便道，主干道为双车道，路面宽度6.0m，</w:t>
                  </w:r>
                  <w:r>
                    <w:rPr>
                      <w:rFonts w:hint="eastAsia" w:cs="Times New Roman"/>
                      <w:b w:val="0"/>
                      <w:color w:val="000000"/>
                      <w:sz w:val="21"/>
                      <w:szCs w:val="21"/>
                      <w:lang w:val="en-US" w:eastAsia="zh-CN"/>
                    </w:rPr>
                    <w:t>长2000m，</w:t>
                  </w:r>
                  <w:r>
                    <w:rPr>
                      <w:rFonts w:hint="default" w:ascii="Times New Roman" w:hAnsi="Times New Roman" w:eastAsia="宋体" w:cs="Times New Roman"/>
                      <w:b w:val="0"/>
                      <w:color w:val="000000"/>
                      <w:sz w:val="21"/>
                      <w:szCs w:val="21"/>
                      <w:lang w:val="en-US" w:eastAsia="zh-CN"/>
                    </w:rPr>
                    <w:t>矿区道路纵坡不大于8%，计算行车速度20km/h</w:t>
                  </w:r>
                  <w:r>
                    <w:rPr>
                      <w:rFonts w:hint="eastAsia" w:ascii="Times New Roman" w:hAnsi="Times New Roman" w:eastAsia="宋体" w:cs="Times New Roman"/>
                      <w:b w:val="0"/>
                      <w:color w:val="000000"/>
                      <w:sz w:val="21"/>
                      <w:szCs w:val="21"/>
                      <w:lang w:val="en-US" w:eastAsia="zh-CN"/>
                    </w:rPr>
                    <w:t>，占地面积</w:t>
                  </w:r>
                  <w:r>
                    <w:rPr>
                      <w:rFonts w:hint="eastAsia" w:cs="Times New Roman"/>
                      <w:b w:val="0"/>
                      <w:color w:val="000000"/>
                      <w:sz w:val="21"/>
                      <w:szCs w:val="21"/>
                      <w:lang w:val="en-US" w:eastAsia="zh-CN"/>
                    </w:rPr>
                    <w:t>1</w:t>
                  </w:r>
                  <w:r>
                    <w:rPr>
                      <w:rFonts w:hint="eastAsia" w:ascii="Times New Roman" w:hAnsi="Times New Roman" w:eastAsia="宋体" w:cs="Times New Roman"/>
                      <w:b w:val="0"/>
                      <w:color w:val="000000"/>
                      <w:sz w:val="21"/>
                      <w:szCs w:val="21"/>
                      <w:lang w:val="en-US" w:eastAsia="zh-CN"/>
                    </w:rPr>
                    <w:t>2000m</w:t>
                  </w:r>
                  <w:r>
                    <w:rPr>
                      <w:rFonts w:hint="eastAsia" w:ascii="Times New Roman" w:hAnsi="Times New Roman" w:eastAsia="宋体" w:cs="Times New Roman"/>
                      <w:b w:val="0"/>
                      <w:color w:val="000000"/>
                      <w:sz w:val="21"/>
                      <w:szCs w:val="21"/>
                      <w:vertAlign w:val="superscript"/>
                      <w:lang w:val="en-US" w:eastAsia="zh-CN"/>
                    </w:rPr>
                    <w:t>2</w:t>
                  </w:r>
                  <w:r>
                    <w:rPr>
                      <w:rFonts w:hint="eastAsia" w:cs="Times New Roman"/>
                      <w:b w:val="0"/>
                      <w:color w:val="0000FF"/>
                      <w:sz w:val="21"/>
                      <w:szCs w:val="21"/>
                      <w:shd w:val="clear"/>
                      <w:lang w:val="en-US" w:eastAsia="zh-CN"/>
                    </w:rPr>
                    <w:t>。</w:t>
                  </w:r>
                </w:p>
              </w:tc>
              <w:tc>
                <w:tcPr>
                  <w:tcW w:w="704" w:type="dxa"/>
                  <w:tcBorders>
                    <w:right w:val="nil"/>
                  </w:tcBorders>
                  <w:noWrap w:val="0"/>
                  <w:vAlign w:val="center"/>
                </w:tcPr>
                <w:p w14:paraId="2C8540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新建</w:t>
                  </w:r>
                </w:p>
              </w:tc>
            </w:tr>
            <w:tr w14:paraId="55F5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6" w:type="dxa"/>
                  <w:vMerge w:val="restart"/>
                  <w:tcBorders>
                    <w:left w:val="nil"/>
                  </w:tcBorders>
                  <w:noWrap w:val="0"/>
                  <w:vAlign w:val="center"/>
                </w:tcPr>
                <w:p w14:paraId="4080E3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公用工程</w:t>
                  </w:r>
                </w:p>
              </w:tc>
              <w:tc>
                <w:tcPr>
                  <w:tcW w:w="1500" w:type="dxa"/>
                  <w:noWrap w:val="0"/>
                  <w:vAlign w:val="center"/>
                </w:tcPr>
                <w:p w14:paraId="37E438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供水</w:t>
                  </w:r>
                </w:p>
              </w:tc>
              <w:tc>
                <w:tcPr>
                  <w:tcW w:w="4748" w:type="dxa"/>
                  <w:noWrap w:val="0"/>
                  <w:vAlign w:val="center"/>
                </w:tcPr>
                <w:p w14:paraId="5373B25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矿山生产生活用水依靠拉水车从附近板桥镇拉取供给</w:t>
                  </w:r>
                  <w:r>
                    <w:rPr>
                      <w:rFonts w:hint="eastAsia" w:ascii="Times New Roman" w:hAnsi="Times New Roman" w:eastAsia="宋体" w:cs="Times New Roman"/>
                      <w:b w:val="0"/>
                      <w:color w:val="000000"/>
                      <w:sz w:val="21"/>
                      <w:szCs w:val="21"/>
                      <w:lang w:val="en-US" w:eastAsia="zh-CN"/>
                    </w:rPr>
                    <w:t>，</w:t>
                  </w:r>
                  <w:r>
                    <w:rPr>
                      <w:rFonts w:hint="eastAsia" w:cs="Times New Roman"/>
                      <w:b w:val="0"/>
                      <w:color w:val="000000"/>
                      <w:sz w:val="21"/>
                      <w:szCs w:val="21"/>
                      <w:lang w:val="en-US" w:eastAsia="zh-CN"/>
                    </w:rPr>
                    <w:t>生产供水设置一台</w:t>
                  </w:r>
                  <w:r>
                    <w:rPr>
                      <w:rFonts w:hint="eastAsia" w:ascii="宋体" w:hAnsi="宋体" w:cs="宋体"/>
                    </w:rPr>
                    <w:t>5t洒水车</w:t>
                  </w:r>
                  <w:r>
                    <w:rPr>
                      <w:rFonts w:hint="eastAsia" w:ascii="宋体" w:hAnsi="宋体" w:cs="宋体"/>
                      <w:lang w:eastAsia="zh-CN"/>
                    </w:rPr>
                    <w:t>，</w:t>
                  </w:r>
                  <w:r>
                    <w:rPr>
                      <w:rFonts w:hint="eastAsia" w:ascii="宋体" w:hAnsi="宋体" w:cs="宋体"/>
                      <w:lang w:val="en-US" w:eastAsia="zh-CN"/>
                    </w:rPr>
                    <w:t>每天运输供水，</w:t>
                  </w:r>
                  <w:r>
                    <w:rPr>
                      <w:rFonts w:hint="eastAsia" w:cs="Times New Roman"/>
                      <w:b w:val="0"/>
                      <w:color w:val="000000"/>
                      <w:sz w:val="21"/>
                      <w:szCs w:val="21"/>
                      <w:lang w:val="en-US" w:eastAsia="zh-CN"/>
                    </w:rPr>
                    <w:t>生活区设置2</w:t>
                  </w:r>
                  <w:r>
                    <w:rPr>
                      <w:rFonts w:hint="eastAsia" w:ascii="宋体" w:hAnsi="宋体" w:cs="宋体"/>
                    </w:rPr>
                    <w:t>m</w:t>
                  </w:r>
                  <w:r>
                    <w:rPr>
                      <w:rFonts w:hint="eastAsia" w:ascii="宋体" w:hAnsi="宋体" w:cs="宋体"/>
                      <w:vertAlign w:val="superscript"/>
                    </w:rPr>
                    <w:t>3</w:t>
                  </w:r>
                  <w:r>
                    <w:rPr>
                      <w:rFonts w:hint="eastAsia" w:ascii="宋体" w:hAnsi="宋体" w:cs="宋体"/>
                    </w:rPr>
                    <w:t>的储水罐储水</w:t>
                  </w:r>
                  <w:r>
                    <w:rPr>
                      <w:rFonts w:hint="eastAsia" w:ascii="宋体" w:hAnsi="宋体" w:cs="宋体"/>
                      <w:lang w:eastAsia="zh-CN"/>
                    </w:rPr>
                    <w:t>，</w:t>
                  </w:r>
                  <w:r>
                    <w:rPr>
                      <w:rFonts w:hint="default" w:ascii="Times New Roman" w:hAnsi="Times New Roman" w:eastAsia="宋体" w:cs="Times New Roman"/>
                      <w:b w:val="0"/>
                      <w:color w:val="000000"/>
                      <w:sz w:val="21"/>
                      <w:szCs w:val="21"/>
                      <w:lang w:val="en-US" w:eastAsia="zh-CN"/>
                    </w:rPr>
                    <w:t>可满足日常用水需求</w:t>
                  </w:r>
                  <w:r>
                    <w:rPr>
                      <w:rFonts w:hint="eastAsia" w:cs="Times New Roman"/>
                      <w:b w:val="0"/>
                      <w:color w:val="000000"/>
                      <w:sz w:val="21"/>
                      <w:szCs w:val="21"/>
                      <w:lang w:val="en-US" w:eastAsia="zh-CN"/>
                    </w:rPr>
                    <w:t>。</w:t>
                  </w:r>
                </w:p>
              </w:tc>
              <w:tc>
                <w:tcPr>
                  <w:tcW w:w="704" w:type="dxa"/>
                  <w:tcBorders>
                    <w:right w:val="nil"/>
                  </w:tcBorders>
                  <w:noWrap w:val="0"/>
                  <w:vAlign w:val="center"/>
                </w:tcPr>
                <w:p w14:paraId="18619C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r w14:paraId="6E23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vMerge w:val="continue"/>
                  <w:tcBorders>
                    <w:left w:val="nil"/>
                  </w:tcBorders>
                  <w:noWrap w:val="0"/>
                  <w:vAlign w:val="center"/>
                </w:tcPr>
                <w:p w14:paraId="6D1E2F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1500" w:type="dxa"/>
                  <w:noWrap w:val="0"/>
                  <w:vAlign w:val="center"/>
                </w:tcPr>
                <w:p w14:paraId="5BB976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供电</w:t>
                  </w:r>
                </w:p>
              </w:tc>
              <w:tc>
                <w:tcPr>
                  <w:tcW w:w="4748" w:type="dxa"/>
                  <w:noWrap w:val="0"/>
                  <w:vAlign w:val="center"/>
                </w:tcPr>
                <w:p w14:paraId="6CD4AD39">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引自矿区附近板桥镇已有供电设施。</w:t>
                  </w:r>
                </w:p>
              </w:tc>
              <w:tc>
                <w:tcPr>
                  <w:tcW w:w="704" w:type="dxa"/>
                  <w:tcBorders>
                    <w:right w:val="nil"/>
                  </w:tcBorders>
                  <w:noWrap w:val="0"/>
                  <w:vAlign w:val="center"/>
                </w:tcPr>
                <w:p w14:paraId="3E6834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r w14:paraId="1A8D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vMerge w:val="continue"/>
                  <w:tcBorders>
                    <w:left w:val="nil"/>
                  </w:tcBorders>
                  <w:noWrap w:val="0"/>
                  <w:vAlign w:val="center"/>
                </w:tcPr>
                <w:p w14:paraId="091F16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1500" w:type="dxa"/>
                  <w:noWrap w:val="0"/>
                  <w:vAlign w:val="center"/>
                </w:tcPr>
                <w:p w14:paraId="4678BD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供暖</w:t>
                  </w:r>
                </w:p>
              </w:tc>
              <w:tc>
                <w:tcPr>
                  <w:tcW w:w="4748" w:type="dxa"/>
                  <w:noWrap w:val="0"/>
                  <w:vAlign w:val="center"/>
                </w:tcPr>
                <w:p w14:paraId="1EAB45A7">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冬季不生产</w:t>
                  </w:r>
                  <w:r>
                    <w:rPr>
                      <w:rFonts w:hint="eastAsia" w:cs="Times New Roman"/>
                      <w:b w:val="0"/>
                      <w:color w:val="000000"/>
                      <w:sz w:val="21"/>
                      <w:szCs w:val="21"/>
                      <w:lang w:val="en-US" w:eastAsia="zh-CN"/>
                    </w:rPr>
                    <w:t>。</w:t>
                  </w:r>
                </w:p>
              </w:tc>
              <w:tc>
                <w:tcPr>
                  <w:tcW w:w="704" w:type="dxa"/>
                  <w:tcBorders>
                    <w:right w:val="nil"/>
                  </w:tcBorders>
                  <w:noWrap w:val="0"/>
                  <w:vAlign w:val="center"/>
                </w:tcPr>
                <w:p w14:paraId="6B48A3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r w14:paraId="290A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vMerge w:val="restart"/>
                  <w:tcBorders>
                    <w:left w:val="nil"/>
                  </w:tcBorders>
                  <w:noWrap w:val="0"/>
                  <w:vAlign w:val="center"/>
                </w:tcPr>
                <w:p w14:paraId="71198C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环保工程</w:t>
                  </w:r>
                </w:p>
              </w:tc>
              <w:tc>
                <w:tcPr>
                  <w:tcW w:w="1500" w:type="dxa"/>
                  <w:noWrap w:val="0"/>
                  <w:vAlign w:val="center"/>
                </w:tcPr>
                <w:p w14:paraId="44DD0F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废气治理</w:t>
                  </w:r>
                </w:p>
              </w:tc>
              <w:tc>
                <w:tcPr>
                  <w:tcW w:w="4748" w:type="dxa"/>
                  <w:noWrap w:val="0"/>
                  <w:vAlign w:val="center"/>
                </w:tcPr>
                <w:p w14:paraId="0C891C6E">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①开采粉尘：湿法作业，洒水降尘；</w:t>
                  </w:r>
                </w:p>
                <w:p w14:paraId="63BEA5CD">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②运输粉尘：洒水降尘，车辆加盖篷布；</w:t>
                  </w:r>
                </w:p>
                <w:p w14:paraId="75BF55B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③排土场粉尘：排土场分层压实，表面覆盖密目网，在卸废作业点采用洒水降尘；</w:t>
                  </w:r>
                </w:p>
                <w:p w14:paraId="1ED8DBCF">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④堆</w:t>
                  </w:r>
                  <w:r>
                    <w:rPr>
                      <w:rFonts w:hint="eastAsia" w:ascii="Times New Roman" w:hAnsi="Times New Roman" w:eastAsia="宋体" w:cs="Times New Roman"/>
                      <w:b w:val="0"/>
                      <w:color w:val="000000"/>
                      <w:sz w:val="21"/>
                      <w:szCs w:val="21"/>
                      <w:lang w:val="en-US" w:eastAsia="zh-CN"/>
                    </w:rPr>
                    <w:t>矿</w:t>
                  </w:r>
                  <w:r>
                    <w:rPr>
                      <w:rFonts w:hint="default" w:ascii="Times New Roman" w:hAnsi="Times New Roman" w:eastAsia="宋体" w:cs="Times New Roman"/>
                      <w:b w:val="0"/>
                      <w:color w:val="000000"/>
                      <w:sz w:val="21"/>
                      <w:szCs w:val="21"/>
                      <w:lang w:val="en-US" w:eastAsia="zh-CN"/>
                    </w:rPr>
                    <w:t>场</w:t>
                  </w:r>
                  <w:r>
                    <w:rPr>
                      <w:rFonts w:hint="eastAsia" w:ascii="Times New Roman" w:hAnsi="Times New Roman" w:eastAsia="宋体" w:cs="Times New Roman"/>
                      <w:b w:val="0"/>
                      <w:color w:val="000000"/>
                      <w:sz w:val="21"/>
                      <w:szCs w:val="21"/>
                      <w:lang w:val="en-US" w:eastAsia="zh-CN"/>
                    </w:rPr>
                    <w:t>粉尘</w:t>
                  </w:r>
                  <w:r>
                    <w:rPr>
                      <w:rFonts w:hint="default" w:ascii="Times New Roman" w:hAnsi="Times New Roman" w:eastAsia="宋体" w:cs="Times New Roman"/>
                      <w:b w:val="0"/>
                      <w:color w:val="000000"/>
                      <w:sz w:val="21"/>
                      <w:szCs w:val="21"/>
                      <w:lang w:val="en-US" w:eastAsia="zh-CN"/>
                    </w:rPr>
                    <w:t>：设置三面围挡+顶棚式结构，定期</w:t>
                  </w:r>
                  <w:r>
                    <w:rPr>
                      <w:rFonts w:hint="eastAsia" w:cs="Times New Roman"/>
                      <w:b w:val="0"/>
                      <w:color w:val="000000"/>
                      <w:sz w:val="21"/>
                      <w:szCs w:val="21"/>
                      <w:lang w:val="en-US" w:eastAsia="zh-CN"/>
                    </w:rPr>
                    <w:t>洒</w:t>
                  </w:r>
                  <w:r>
                    <w:rPr>
                      <w:rFonts w:hint="default" w:ascii="Times New Roman" w:hAnsi="Times New Roman" w:eastAsia="宋体" w:cs="Times New Roman"/>
                      <w:b w:val="0"/>
                      <w:color w:val="000000"/>
                      <w:sz w:val="21"/>
                      <w:szCs w:val="21"/>
                      <w:lang w:val="en-US" w:eastAsia="zh-CN"/>
                    </w:rPr>
                    <w:t>水降尘</w:t>
                  </w:r>
                  <w:r>
                    <w:rPr>
                      <w:rFonts w:hint="eastAsia" w:cs="Times New Roman"/>
                      <w:b w:val="0"/>
                      <w:color w:val="000000"/>
                      <w:sz w:val="21"/>
                      <w:szCs w:val="21"/>
                      <w:lang w:val="en-US" w:eastAsia="zh-CN"/>
                    </w:rPr>
                    <w:t>；</w:t>
                  </w:r>
                </w:p>
                <w:p w14:paraId="5A7FE92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auto"/>
                      <w:sz w:val="21"/>
                      <w:szCs w:val="21"/>
                      <w:lang w:val="en-US" w:eastAsia="zh-CN"/>
                    </w:rPr>
                    <w:t>⑤机械燃油废气：定期保养；采用优质燃油、自然扩散</w:t>
                  </w:r>
                  <w:r>
                    <w:rPr>
                      <w:rFonts w:hint="eastAsia" w:cs="Times New Roman"/>
                      <w:b w:val="0"/>
                      <w:color w:val="auto"/>
                      <w:sz w:val="21"/>
                      <w:szCs w:val="21"/>
                      <w:lang w:val="en-US" w:eastAsia="zh-CN"/>
                    </w:rPr>
                    <w:t>。</w:t>
                  </w:r>
                </w:p>
              </w:tc>
              <w:tc>
                <w:tcPr>
                  <w:tcW w:w="704" w:type="dxa"/>
                  <w:tcBorders>
                    <w:right w:val="nil"/>
                  </w:tcBorders>
                  <w:noWrap w:val="0"/>
                  <w:vAlign w:val="center"/>
                </w:tcPr>
                <w:p w14:paraId="1F7A28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r w14:paraId="6F7C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vMerge w:val="continue"/>
                  <w:tcBorders>
                    <w:left w:val="nil"/>
                  </w:tcBorders>
                  <w:noWrap w:val="0"/>
                  <w:vAlign w:val="center"/>
                </w:tcPr>
                <w:p w14:paraId="68B07F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1500" w:type="dxa"/>
                  <w:noWrap w:val="0"/>
                  <w:vAlign w:val="center"/>
                </w:tcPr>
                <w:p w14:paraId="673CC8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废水治理</w:t>
                  </w:r>
                </w:p>
              </w:tc>
              <w:tc>
                <w:tcPr>
                  <w:tcW w:w="4748" w:type="dxa"/>
                  <w:noWrap w:val="0"/>
                  <w:vAlign w:val="center"/>
                </w:tcPr>
                <w:p w14:paraId="420FE48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①生活污水：项目设置环保早厕，定期清掏用作农肥；日常洗漱废水泼洒抑尘；</w:t>
                  </w:r>
                </w:p>
                <w:p w14:paraId="4312EE03">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②生产废水：采场生产用水包括采场降尘、排土场及堆场洒水降尘</w:t>
                  </w:r>
                  <w:r>
                    <w:rPr>
                      <w:rFonts w:hint="eastAsia" w:cs="Times New Roman"/>
                      <w:b w:val="0"/>
                      <w:color w:val="000000"/>
                      <w:sz w:val="21"/>
                      <w:szCs w:val="21"/>
                      <w:lang w:val="en-US" w:eastAsia="zh-CN"/>
                    </w:rPr>
                    <w:t>、</w:t>
                  </w:r>
                  <w:r>
                    <w:rPr>
                      <w:rFonts w:hint="default" w:ascii="Times New Roman" w:hAnsi="Times New Roman" w:eastAsia="宋体" w:cs="Times New Roman"/>
                      <w:b w:val="0"/>
                      <w:color w:val="000000"/>
                      <w:sz w:val="21"/>
                      <w:szCs w:val="21"/>
                      <w:lang w:val="en-US" w:eastAsia="zh-CN"/>
                    </w:rPr>
                    <w:t>道路降尘等，全部以蒸发形式损失，不外排。</w:t>
                  </w:r>
                </w:p>
              </w:tc>
              <w:tc>
                <w:tcPr>
                  <w:tcW w:w="704" w:type="dxa"/>
                  <w:tcBorders>
                    <w:right w:val="nil"/>
                  </w:tcBorders>
                  <w:noWrap w:val="0"/>
                  <w:vAlign w:val="center"/>
                </w:tcPr>
                <w:p w14:paraId="5C27B6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r w14:paraId="3077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vMerge w:val="continue"/>
                  <w:tcBorders>
                    <w:left w:val="nil"/>
                  </w:tcBorders>
                  <w:noWrap w:val="0"/>
                  <w:vAlign w:val="center"/>
                </w:tcPr>
                <w:p w14:paraId="18C368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1500" w:type="dxa"/>
                  <w:noWrap w:val="0"/>
                  <w:vAlign w:val="center"/>
                </w:tcPr>
                <w:p w14:paraId="633BDB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噪声治理</w:t>
                  </w:r>
                </w:p>
              </w:tc>
              <w:tc>
                <w:tcPr>
                  <w:tcW w:w="4748" w:type="dxa"/>
                  <w:noWrap w:val="0"/>
                  <w:vAlign w:val="center"/>
                </w:tcPr>
                <w:p w14:paraId="594397F5">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选用低噪声设备、减振降噪、合理布局，矿区内实行了车辆限速行驶并禁鸣喇叭，夜间禁止作业</w:t>
                  </w:r>
                  <w:r>
                    <w:rPr>
                      <w:rFonts w:hint="eastAsia" w:cs="Times New Roman"/>
                      <w:b w:val="0"/>
                      <w:color w:val="000000"/>
                      <w:sz w:val="21"/>
                      <w:szCs w:val="21"/>
                      <w:lang w:val="en-US" w:eastAsia="zh-CN"/>
                    </w:rPr>
                    <w:t>。</w:t>
                  </w:r>
                </w:p>
              </w:tc>
              <w:tc>
                <w:tcPr>
                  <w:tcW w:w="704" w:type="dxa"/>
                  <w:tcBorders>
                    <w:right w:val="nil"/>
                  </w:tcBorders>
                  <w:noWrap w:val="0"/>
                  <w:vAlign w:val="center"/>
                </w:tcPr>
                <w:p w14:paraId="0B8B51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r w14:paraId="705A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6" w:type="dxa"/>
                  <w:vMerge w:val="continue"/>
                  <w:tcBorders>
                    <w:left w:val="nil"/>
                  </w:tcBorders>
                  <w:noWrap w:val="0"/>
                  <w:vAlign w:val="center"/>
                </w:tcPr>
                <w:p w14:paraId="369341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1500" w:type="dxa"/>
                  <w:noWrap w:val="0"/>
                  <w:vAlign w:val="center"/>
                </w:tcPr>
                <w:p w14:paraId="6F1BE6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固废治理</w:t>
                  </w:r>
                </w:p>
              </w:tc>
              <w:tc>
                <w:tcPr>
                  <w:tcW w:w="4748" w:type="dxa"/>
                  <w:noWrap w:val="0"/>
                  <w:vAlign w:val="center"/>
                </w:tcPr>
                <w:p w14:paraId="1B6A1483">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①生活垃圾：项目生产区设有垃圾桶集中收集，定期拉运至当地环卫部门指定地点处置；</w:t>
                  </w:r>
                </w:p>
                <w:p w14:paraId="7B8B707F">
                  <w:pPr>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②剥离物</w:t>
                  </w:r>
                  <w:r>
                    <w:rPr>
                      <w:rFonts w:hint="eastAsia" w:cs="Times New Roman"/>
                      <w:b w:val="0"/>
                      <w:color w:val="000000"/>
                      <w:sz w:val="21"/>
                      <w:szCs w:val="21"/>
                      <w:lang w:val="en-US" w:eastAsia="zh-CN"/>
                    </w:rPr>
                    <w:t>覆盖层</w:t>
                  </w:r>
                  <w:r>
                    <w:rPr>
                      <w:rFonts w:hint="default" w:ascii="Times New Roman" w:hAnsi="Times New Roman" w:eastAsia="宋体" w:cs="Times New Roman"/>
                      <w:b w:val="0"/>
                      <w:color w:val="000000"/>
                      <w:sz w:val="21"/>
                      <w:szCs w:val="21"/>
                      <w:lang w:val="en-US" w:eastAsia="zh-CN"/>
                    </w:rPr>
                    <w:t>：矿山实行</w:t>
                  </w:r>
                  <w:r>
                    <w:rPr>
                      <w:rFonts w:hint="eastAsia" w:ascii="Times New Roman" w:hAnsi="Times New Roman" w:eastAsia="宋体" w:cs="Times New Roman"/>
                      <w:b w:val="0"/>
                      <w:color w:val="000000"/>
                      <w:sz w:val="21"/>
                      <w:szCs w:val="21"/>
                      <w:lang w:val="en-US" w:eastAsia="zh-CN"/>
                    </w:rPr>
                    <w:t>“</w:t>
                  </w:r>
                  <w:r>
                    <w:rPr>
                      <w:rFonts w:hint="default" w:ascii="Times New Roman" w:hAnsi="Times New Roman" w:eastAsia="宋体" w:cs="Times New Roman"/>
                      <w:b w:val="0"/>
                      <w:color w:val="000000"/>
                      <w:sz w:val="21"/>
                      <w:szCs w:val="21"/>
                      <w:lang w:val="en-US" w:eastAsia="zh-CN"/>
                    </w:rPr>
                    <w:t>边开采边复垦方式</w:t>
                  </w:r>
                  <w:r>
                    <w:rPr>
                      <w:rFonts w:hint="eastAsia" w:ascii="Times New Roman" w:hAnsi="Times New Roman" w:eastAsia="宋体" w:cs="Times New Roman"/>
                      <w:b w:val="0"/>
                      <w:color w:val="000000"/>
                      <w:sz w:val="21"/>
                      <w:szCs w:val="21"/>
                      <w:lang w:val="en-US" w:eastAsia="zh-CN"/>
                    </w:rPr>
                    <w:t>”，覆盖层全部排至排土场，用于闭坑后生态恢复。</w:t>
                  </w:r>
                </w:p>
                <w:p w14:paraId="037DE8EF">
                  <w:pPr>
                    <w:pStyle w:val="22"/>
                    <w:keepNext w:val="0"/>
                    <w:keepLines w:val="0"/>
                    <w:pageBreakBefore w:val="0"/>
                    <w:kinsoku/>
                    <w:wordWrap/>
                    <w:overflowPunct/>
                    <w:topLinePunct w:val="0"/>
                    <w:autoSpaceDE/>
                    <w:autoSpaceDN/>
                    <w:bidi w:val="0"/>
                    <w:adjustRightInd/>
                    <w:spacing w:before="0" w:after="0" w:line="240" w:lineRule="auto"/>
                    <w:ind w:left="0" w:leftChars="0" w:right="0" w:firstLine="0" w:firstLineChars="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color w:val="000000"/>
                      <w:sz w:val="21"/>
                      <w:szCs w:val="21"/>
                      <w:lang w:val="en-US" w:eastAsia="zh-CN"/>
                    </w:rPr>
                    <w:t>③废机油：新建1座5m</w:t>
                  </w:r>
                  <w:r>
                    <w:rPr>
                      <w:rFonts w:hint="default" w:ascii="Times New Roman" w:hAnsi="Times New Roman" w:eastAsia="宋体" w:cs="Times New Roman"/>
                      <w:b w:val="0"/>
                      <w:color w:val="000000"/>
                      <w:sz w:val="21"/>
                      <w:szCs w:val="21"/>
                      <w:vertAlign w:val="superscript"/>
                      <w:lang w:val="en-US" w:eastAsia="zh-CN"/>
                    </w:rPr>
                    <w:t>2</w:t>
                  </w:r>
                  <w:r>
                    <w:rPr>
                      <w:rFonts w:hint="default" w:ascii="Times New Roman" w:hAnsi="Times New Roman" w:eastAsia="宋体" w:cs="Times New Roman"/>
                      <w:b w:val="0"/>
                      <w:color w:val="000000"/>
                      <w:sz w:val="21"/>
                      <w:szCs w:val="21"/>
                      <w:lang w:val="en-US" w:eastAsia="zh-CN"/>
                    </w:rPr>
                    <w:t>的危废</w:t>
                  </w:r>
                  <w:r>
                    <w:rPr>
                      <w:rFonts w:hint="eastAsia" w:ascii="Times New Roman" w:hAnsi="Times New Roman" w:cs="Times New Roman"/>
                      <w:b w:val="0"/>
                      <w:color w:val="000000"/>
                      <w:sz w:val="21"/>
                      <w:szCs w:val="21"/>
                      <w:lang w:val="en-US" w:eastAsia="zh-CN"/>
                    </w:rPr>
                    <w:t>贮存</w:t>
                  </w:r>
                  <w:r>
                    <w:rPr>
                      <w:rFonts w:hint="default" w:ascii="Times New Roman" w:hAnsi="Times New Roman" w:eastAsia="宋体" w:cs="Times New Roman"/>
                      <w:b w:val="0"/>
                      <w:color w:val="000000"/>
                      <w:sz w:val="21"/>
                      <w:szCs w:val="21"/>
                      <w:lang w:val="en-US" w:eastAsia="zh-CN"/>
                    </w:rPr>
                    <w:t>点暂存，定期交由有资质的单位清运处置。</w:t>
                  </w:r>
                </w:p>
              </w:tc>
              <w:tc>
                <w:tcPr>
                  <w:tcW w:w="704" w:type="dxa"/>
                  <w:tcBorders>
                    <w:right w:val="nil"/>
                  </w:tcBorders>
                  <w:noWrap w:val="0"/>
                  <w:vAlign w:val="center"/>
                </w:tcPr>
                <w:p w14:paraId="3988D3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r w14:paraId="397D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186" w:type="dxa"/>
                  <w:vMerge w:val="continue"/>
                  <w:tcBorders>
                    <w:left w:val="nil"/>
                    <w:bottom w:val="single" w:color="000000" w:sz="12" w:space="0"/>
                  </w:tcBorders>
                  <w:noWrap w:val="0"/>
                  <w:vAlign w:val="center"/>
                </w:tcPr>
                <w:p w14:paraId="477078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1500" w:type="dxa"/>
                  <w:tcBorders>
                    <w:bottom w:val="single" w:color="000000" w:sz="12" w:space="0"/>
                  </w:tcBorders>
                  <w:noWrap w:val="0"/>
                  <w:vAlign w:val="center"/>
                </w:tcPr>
                <w:p w14:paraId="591F396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生态治理</w:t>
                  </w:r>
                </w:p>
              </w:tc>
              <w:tc>
                <w:tcPr>
                  <w:tcW w:w="4748" w:type="dxa"/>
                  <w:tcBorders>
                    <w:bottom w:val="single" w:color="000000" w:sz="12" w:space="0"/>
                  </w:tcBorders>
                  <w:noWrap w:val="0"/>
                  <w:vAlign w:val="center"/>
                </w:tcPr>
                <w:p w14:paraId="615620AB">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开采过程中实施</w:t>
                  </w:r>
                  <w:r>
                    <w:rPr>
                      <w:rFonts w:hint="eastAsia" w:ascii="Times New Roman" w:hAnsi="Times New Roman" w:eastAsia="宋体" w:cs="Times New Roman"/>
                      <w:b w:val="0"/>
                      <w:color w:val="000000"/>
                      <w:sz w:val="21"/>
                      <w:szCs w:val="21"/>
                      <w:lang w:val="en-US" w:eastAsia="zh-CN"/>
                    </w:rPr>
                    <w:t>“</w:t>
                  </w:r>
                  <w:r>
                    <w:rPr>
                      <w:rFonts w:hint="default" w:ascii="Times New Roman" w:hAnsi="Times New Roman" w:eastAsia="宋体" w:cs="Times New Roman"/>
                      <w:b w:val="0"/>
                      <w:color w:val="000000"/>
                      <w:sz w:val="21"/>
                      <w:szCs w:val="21"/>
                      <w:lang w:val="en-US" w:eastAsia="zh-CN"/>
                    </w:rPr>
                    <w:t>边开采、边治理、边修复</w:t>
                  </w:r>
                  <w:r>
                    <w:rPr>
                      <w:rFonts w:hint="eastAsia" w:ascii="Times New Roman" w:hAnsi="Times New Roman" w:eastAsia="宋体" w:cs="Times New Roman"/>
                      <w:b w:val="0"/>
                      <w:color w:val="000000"/>
                      <w:sz w:val="21"/>
                      <w:szCs w:val="21"/>
                      <w:lang w:val="en-US" w:eastAsia="zh-CN"/>
                    </w:rPr>
                    <w:t>”</w:t>
                  </w:r>
                  <w:r>
                    <w:rPr>
                      <w:rFonts w:hint="default" w:ascii="Times New Roman" w:hAnsi="Times New Roman" w:eastAsia="宋体" w:cs="Times New Roman"/>
                      <w:b w:val="0"/>
                      <w:color w:val="000000"/>
                      <w:sz w:val="21"/>
                      <w:szCs w:val="21"/>
                      <w:lang w:val="en-US" w:eastAsia="zh-CN"/>
                    </w:rPr>
                    <w:t>措施，剥离</w:t>
                  </w:r>
                  <w:r>
                    <w:rPr>
                      <w:rFonts w:hint="eastAsia" w:cs="Times New Roman"/>
                      <w:b w:val="0"/>
                      <w:color w:val="000000"/>
                      <w:sz w:val="21"/>
                      <w:szCs w:val="21"/>
                      <w:lang w:val="en-US" w:eastAsia="zh-CN"/>
                    </w:rPr>
                    <w:t>覆盖层</w:t>
                  </w:r>
                  <w:r>
                    <w:rPr>
                      <w:rFonts w:hint="default" w:ascii="Times New Roman" w:hAnsi="Times New Roman" w:eastAsia="宋体" w:cs="Times New Roman"/>
                      <w:b w:val="0"/>
                      <w:color w:val="000000"/>
                      <w:sz w:val="21"/>
                      <w:szCs w:val="21"/>
                      <w:lang w:val="en-US" w:eastAsia="zh-CN"/>
                    </w:rPr>
                    <w:t>用于上一平台回填覆土，恢复植被；服务期满后对采区、排土场及所有临时占地进行土地整治、生态恢复。</w:t>
                  </w:r>
                </w:p>
              </w:tc>
              <w:tc>
                <w:tcPr>
                  <w:tcW w:w="704" w:type="dxa"/>
                  <w:tcBorders>
                    <w:bottom w:val="single" w:color="000000" w:sz="12" w:space="0"/>
                    <w:right w:val="nil"/>
                  </w:tcBorders>
                  <w:noWrap w:val="0"/>
                  <w:vAlign w:val="center"/>
                </w:tcPr>
                <w:p w14:paraId="53349E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w:t>
                  </w:r>
                </w:p>
              </w:tc>
            </w:tr>
          </w:tbl>
          <w:p w14:paraId="4F53CB48">
            <w:pPr>
              <w:keepNext w:val="0"/>
              <w:keepLines w:val="0"/>
              <w:pageBreakBefore w:val="0"/>
              <w:widowControl/>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4、</w:t>
            </w:r>
            <w:r>
              <w:rPr>
                <w:rFonts w:hint="default" w:ascii="Times New Roman" w:hAnsi="Times New Roman" w:eastAsia="宋体" w:cs="Times New Roman"/>
                <w:b/>
                <w:bCs/>
                <w:kern w:val="0"/>
                <w:sz w:val="24"/>
                <w:szCs w:val="24"/>
                <w:lang w:val="en-US" w:eastAsia="zh-CN"/>
              </w:rPr>
              <w:t>矿区范围及资源概况</w:t>
            </w:r>
          </w:p>
          <w:p w14:paraId="53C6386C">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4.1矿权范围</w:t>
            </w:r>
          </w:p>
          <w:p w14:paraId="181DC60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设计开采</w:t>
            </w:r>
            <w:r>
              <w:rPr>
                <w:rFonts w:hint="eastAsia" w:ascii="Times New Roman" w:hAnsi="Times New Roman" w:cs="Times New Roman"/>
                <w:sz w:val="24"/>
                <w:szCs w:val="24"/>
                <w:lang w:val="en-US" w:eastAsia="zh-CN"/>
              </w:rPr>
              <w:t>境界范围</w:t>
            </w:r>
            <w:r>
              <w:rPr>
                <w:rFonts w:hint="default" w:ascii="Times New Roman" w:hAnsi="Times New Roman" w:eastAsia="宋体" w:cs="Times New Roman"/>
                <w:sz w:val="24"/>
                <w:szCs w:val="24"/>
                <w:lang w:val="en-US" w:eastAsia="zh-CN"/>
              </w:rPr>
              <w:t>由7个拐点圈定，开采矿种为有凹凸棒石粘土矿和石膏</w:t>
            </w:r>
            <w:r>
              <w:rPr>
                <w:rFonts w:hint="eastAsia" w:ascii="Times New Roman" w:hAnsi="Times New Roman" w:cs="Times New Roman"/>
                <w:sz w:val="24"/>
                <w:szCs w:val="24"/>
                <w:lang w:val="en-US" w:eastAsia="zh-CN"/>
              </w:rPr>
              <w:t>矿</w:t>
            </w:r>
            <w:r>
              <w:rPr>
                <w:rFonts w:hint="default" w:ascii="Times New Roman" w:hAnsi="Times New Roman" w:eastAsia="宋体" w:cs="Times New Roman"/>
                <w:sz w:val="24"/>
                <w:szCs w:val="24"/>
                <w:lang w:val="en-US" w:eastAsia="zh-CN"/>
              </w:rPr>
              <w:t>，矿权范围拐点坐标情况见表2-2。</w:t>
            </w:r>
          </w:p>
          <w:p w14:paraId="205F1E00">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22" w:firstLineChars="200"/>
              <w:jc w:val="center"/>
              <w:rPr>
                <w:rFonts w:hint="default" w:ascii="Times New Roman" w:hAnsi="Times New Roman" w:eastAsia="宋体" w:cs="Times New Roman"/>
                <w:b/>
                <w:bCs/>
                <w:i w:val="0"/>
                <w:iCs w:val="0"/>
                <w:sz w:val="21"/>
                <w:szCs w:val="21"/>
                <w:lang w:val="en-US" w:eastAsia="zh-CN"/>
              </w:rPr>
            </w:pPr>
            <w:r>
              <w:rPr>
                <w:rFonts w:hint="default" w:ascii="Times New Roman" w:hAnsi="Times New Roman" w:eastAsia="宋体" w:cs="Times New Roman"/>
                <w:b/>
                <w:bCs/>
                <w:i w:val="0"/>
                <w:iCs w:val="0"/>
                <w:sz w:val="21"/>
                <w:szCs w:val="21"/>
                <w:lang w:val="en-US" w:eastAsia="zh-CN"/>
              </w:rPr>
              <w:t>表2-2 设计开采范围拐点坐标一览表</w:t>
            </w:r>
          </w:p>
          <w:tbl>
            <w:tblPr>
              <w:tblStyle w:val="24"/>
              <w:tblW w:w="8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3896"/>
              <w:gridCol w:w="2748"/>
            </w:tblGrid>
            <w:tr w14:paraId="020B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vMerge w:val="restart"/>
                  <w:noWrap w:val="0"/>
                  <w:vAlign w:val="center"/>
                </w:tcPr>
                <w:p w14:paraId="6F42444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拐点编号</w:t>
                  </w:r>
                </w:p>
              </w:tc>
              <w:tc>
                <w:tcPr>
                  <w:tcW w:w="6644" w:type="dxa"/>
                  <w:gridSpan w:val="2"/>
                  <w:noWrap w:val="0"/>
                  <w:vAlign w:val="center"/>
                </w:tcPr>
                <w:p w14:paraId="1DDF4E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2000国家大地坐标系</w:t>
                  </w:r>
                </w:p>
              </w:tc>
            </w:tr>
            <w:tr w14:paraId="0892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vMerge w:val="continue"/>
                  <w:noWrap w:val="0"/>
                  <w:vAlign w:val="center"/>
                </w:tcPr>
                <w:p w14:paraId="65FA6C2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p>
              </w:tc>
              <w:tc>
                <w:tcPr>
                  <w:tcW w:w="3896" w:type="dxa"/>
                  <w:noWrap w:val="0"/>
                  <w:vAlign w:val="center"/>
                </w:tcPr>
                <w:p w14:paraId="22D49A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X</w:t>
                  </w:r>
                </w:p>
              </w:tc>
              <w:tc>
                <w:tcPr>
                  <w:tcW w:w="2748" w:type="dxa"/>
                  <w:noWrap w:val="0"/>
                  <w:vAlign w:val="center"/>
                </w:tcPr>
                <w:p w14:paraId="26D225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Y</w:t>
                  </w:r>
                </w:p>
              </w:tc>
            </w:tr>
            <w:tr w14:paraId="4580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noWrap w:val="0"/>
                  <w:vAlign w:val="center"/>
                </w:tcPr>
                <w:p w14:paraId="10B2DA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3896" w:type="dxa"/>
                  <w:noWrap w:val="0"/>
                  <w:vAlign w:val="center"/>
                </w:tcPr>
                <w:p w14:paraId="786FA9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4359093.81</w:t>
                  </w:r>
                </w:p>
              </w:tc>
              <w:tc>
                <w:tcPr>
                  <w:tcW w:w="2748" w:type="dxa"/>
                  <w:noWrap w:val="0"/>
                  <w:vAlign w:val="center"/>
                </w:tcPr>
                <w:p w14:paraId="7D5AAE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33610232.27</w:t>
                  </w:r>
                </w:p>
              </w:tc>
            </w:tr>
            <w:tr w14:paraId="3FD0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noWrap w:val="0"/>
                  <w:vAlign w:val="center"/>
                </w:tcPr>
                <w:p w14:paraId="4D3E1F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w:t>
                  </w:r>
                </w:p>
              </w:tc>
              <w:tc>
                <w:tcPr>
                  <w:tcW w:w="3896" w:type="dxa"/>
                  <w:noWrap w:val="0"/>
                  <w:vAlign w:val="center"/>
                </w:tcPr>
                <w:p w14:paraId="773B20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4357877.8</w:t>
                  </w:r>
                </w:p>
              </w:tc>
              <w:tc>
                <w:tcPr>
                  <w:tcW w:w="2748" w:type="dxa"/>
                  <w:noWrap w:val="0"/>
                  <w:vAlign w:val="center"/>
                </w:tcPr>
                <w:p w14:paraId="3130A9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33611517.28</w:t>
                  </w:r>
                </w:p>
              </w:tc>
            </w:tr>
            <w:tr w14:paraId="0988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noWrap w:val="0"/>
                  <w:vAlign w:val="center"/>
                </w:tcPr>
                <w:p w14:paraId="15CE59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w:t>
                  </w:r>
                </w:p>
              </w:tc>
              <w:tc>
                <w:tcPr>
                  <w:tcW w:w="3896" w:type="dxa"/>
                  <w:noWrap w:val="0"/>
                  <w:vAlign w:val="center"/>
                </w:tcPr>
                <w:p w14:paraId="040F08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4355961.78</w:t>
                  </w:r>
                </w:p>
              </w:tc>
              <w:tc>
                <w:tcPr>
                  <w:tcW w:w="2748" w:type="dxa"/>
                  <w:noWrap w:val="0"/>
                  <w:vAlign w:val="center"/>
                </w:tcPr>
                <w:p w14:paraId="38D3836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33612912.3</w:t>
                  </w:r>
                </w:p>
              </w:tc>
            </w:tr>
            <w:tr w14:paraId="7929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noWrap w:val="0"/>
                  <w:vAlign w:val="center"/>
                </w:tcPr>
                <w:p w14:paraId="715CF3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p>
              </w:tc>
              <w:tc>
                <w:tcPr>
                  <w:tcW w:w="3896" w:type="dxa"/>
                  <w:noWrap w:val="0"/>
                  <w:vAlign w:val="center"/>
                </w:tcPr>
                <w:p w14:paraId="61D77D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4354461.77</w:t>
                  </w:r>
                </w:p>
              </w:tc>
              <w:tc>
                <w:tcPr>
                  <w:tcW w:w="2748" w:type="dxa"/>
                  <w:noWrap w:val="0"/>
                  <w:vAlign w:val="center"/>
                </w:tcPr>
                <w:p w14:paraId="321234C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33613764.32</w:t>
                  </w:r>
                </w:p>
              </w:tc>
            </w:tr>
            <w:tr w14:paraId="0D96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noWrap w:val="0"/>
                  <w:vAlign w:val="center"/>
                </w:tcPr>
                <w:p w14:paraId="6F1C6B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w:t>
                  </w:r>
                </w:p>
              </w:tc>
              <w:tc>
                <w:tcPr>
                  <w:tcW w:w="3896" w:type="dxa"/>
                  <w:noWrap w:val="0"/>
                  <w:vAlign w:val="center"/>
                </w:tcPr>
                <w:p w14:paraId="619B09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4354461.77</w:t>
                  </w:r>
                </w:p>
              </w:tc>
              <w:tc>
                <w:tcPr>
                  <w:tcW w:w="2748" w:type="dxa"/>
                  <w:noWrap w:val="0"/>
                  <w:vAlign w:val="center"/>
                </w:tcPr>
                <w:p w14:paraId="7C9754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33613222.3</w:t>
                  </w:r>
                </w:p>
              </w:tc>
            </w:tr>
            <w:tr w14:paraId="4E1C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noWrap w:val="0"/>
                  <w:vAlign w:val="center"/>
                </w:tcPr>
                <w:p w14:paraId="47B423A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p>
              </w:tc>
              <w:tc>
                <w:tcPr>
                  <w:tcW w:w="3896" w:type="dxa"/>
                  <w:noWrap w:val="0"/>
                  <w:vAlign w:val="center"/>
                </w:tcPr>
                <w:p w14:paraId="78B95CC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4356251.78</w:t>
                  </w:r>
                </w:p>
              </w:tc>
              <w:tc>
                <w:tcPr>
                  <w:tcW w:w="2748" w:type="dxa"/>
                  <w:noWrap w:val="0"/>
                  <w:vAlign w:val="center"/>
                </w:tcPr>
                <w:p w14:paraId="16008C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33612592.3</w:t>
                  </w:r>
                </w:p>
              </w:tc>
            </w:tr>
            <w:tr w14:paraId="6FD6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noWrap w:val="0"/>
                  <w:vAlign w:val="center"/>
                </w:tcPr>
                <w:p w14:paraId="48CA9C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p>
              </w:tc>
              <w:tc>
                <w:tcPr>
                  <w:tcW w:w="3896" w:type="dxa"/>
                  <w:noWrap w:val="0"/>
                  <w:vAlign w:val="center"/>
                </w:tcPr>
                <w:p w14:paraId="19772C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4358961.81</w:t>
                  </w:r>
                </w:p>
              </w:tc>
              <w:tc>
                <w:tcPr>
                  <w:tcW w:w="2748" w:type="dxa"/>
                  <w:noWrap w:val="0"/>
                  <w:vAlign w:val="center"/>
                </w:tcPr>
                <w:p w14:paraId="094478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33610012.26</w:t>
                  </w:r>
                </w:p>
              </w:tc>
            </w:tr>
            <w:tr w14:paraId="6B39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5" w:type="dxa"/>
                  <w:noWrap w:val="0"/>
                  <w:vAlign w:val="center"/>
                </w:tcPr>
                <w:p w14:paraId="49835D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矿权面积</w:t>
                  </w:r>
                </w:p>
              </w:tc>
              <w:tc>
                <w:tcPr>
                  <w:tcW w:w="6644" w:type="dxa"/>
                  <w:gridSpan w:val="2"/>
                  <w:noWrap w:val="0"/>
                  <w:vAlign w:val="center"/>
                </w:tcPr>
                <w:p w14:paraId="543F28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1.5653km</w:t>
                  </w:r>
                  <w:r>
                    <w:rPr>
                      <w:rFonts w:hint="default" w:ascii="Times New Roman" w:hAnsi="Times New Roman" w:eastAsia="宋体" w:cs="Times New Roman"/>
                      <w:sz w:val="24"/>
                      <w:szCs w:val="24"/>
                      <w:vertAlign w:val="superscript"/>
                      <w:lang w:val="en-US" w:eastAsia="zh-CN"/>
                    </w:rPr>
                    <w:t>2</w:t>
                  </w:r>
                </w:p>
              </w:tc>
            </w:tr>
            <w:tr w14:paraId="493E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595" w:type="dxa"/>
                  <w:noWrap w:val="0"/>
                  <w:vAlign w:val="center"/>
                </w:tcPr>
                <w:p w14:paraId="386AC83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开采标高</w:t>
                  </w:r>
                </w:p>
              </w:tc>
              <w:tc>
                <w:tcPr>
                  <w:tcW w:w="6644" w:type="dxa"/>
                  <w:gridSpan w:val="2"/>
                  <w:noWrap w:val="0"/>
                  <w:vAlign w:val="center"/>
                </w:tcPr>
                <w:p w14:paraId="2FFD20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147</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m~1422m</w:t>
                  </w:r>
                </w:p>
              </w:tc>
            </w:tr>
          </w:tbl>
          <w:p w14:paraId="0BFB449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4.2 矿产资源概况</w:t>
            </w:r>
          </w:p>
          <w:p w14:paraId="1D75C6CB">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4.2.1资源储量</w:t>
            </w:r>
          </w:p>
          <w:p w14:paraId="139408A7">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w:t>
            </w:r>
            <w:r>
              <w:rPr>
                <w:rFonts w:hint="default" w:ascii="Times New Roman" w:hAnsi="Times New Roman" w:eastAsia="宋体" w:cs="Times New Roman"/>
                <w:i w:val="0"/>
                <w:iCs w:val="0"/>
                <w:caps w:val="0"/>
                <w:color w:val="000000"/>
                <w:spacing w:val="0"/>
                <w:sz w:val="24"/>
                <w:szCs w:val="24"/>
              </w:rPr>
              <w:t>甘肃惠临实业发展有限公司临泽县凹凸棒石粘土矿矿产资源开发与恢复治理方案</w:t>
            </w:r>
            <w:r>
              <w:rPr>
                <w:rFonts w:hint="default" w:ascii="Times New Roman" w:hAnsi="Times New Roman" w:eastAsia="宋体" w:cs="Times New Roman"/>
                <w:sz w:val="24"/>
                <w:szCs w:val="24"/>
                <w:lang w:val="en-US" w:eastAsia="zh-CN"/>
              </w:rPr>
              <w:t>》（以下简称项目《矿产资源开采方案》）</w:t>
            </w:r>
            <w:r>
              <w:rPr>
                <w:rFonts w:hint="eastAsia" w:ascii="Times New Roman" w:hAnsi="Times New Roman" w:eastAsia="宋体" w:cs="Times New Roman"/>
                <w:sz w:val="24"/>
                <w:szCs w:val="24"/>
                <w:lang w:val="en-US" w:eastAsia="zh-CN"/>
              </w:rPr>
              <w:t>可知：</w:t>
            </w:r>
          </w:p>
          <w:p w14:paraId="3ADA82DE">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1.保有资源量</w:t>
            </w:r>
          </w:p>
          <w:p w14:paraId="1B5F895F">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依据2012年3月由甘肃省地质矿产勘查开发局水文地质工程地质勘察院编制的原《甘肃省临泽县甘肃凯西生态环境工程有限公司临泽县凹凸棒石粘土矿资源储量核实报告》资料（截至2012年3月21日），经张掖市国土资源局评审备案，矿山累计查明凹凸棒石粘土矿总资源/储量为</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122b+333</w:t>
            </w:r>
            <w:r>
              <w:rPr>
                <w:rFonts w:hint="eastAsia" w:ascii="Times New Roman" w:hAnsi="Times New Roman" w:cs="Times New Roman"/>
                <w:sz w:val="24"/>
                <w:szCs w:val="24"/>
                <w:lang w:val="en-US" w:eastAsia="zh-CN"/>
              </w:rPr>
              <w:t>）</w:t>
            </w:r>
            <w:r>
              <w:rPr>
                <w:rFonts w:hint="eastAsia" w:ascii="Times New Roman" w:hAnsi="Times New Roman" w:eastAsia="宋体" w:cs="Times New Roman"/>
                <w:sz w:val="24"/>
                <w:szCs w:val="24"/>
                <w:lang w:val="en-US" w:eastAsia="zh-CN"/>
              </w:rPr>
              <w:t>557.79万m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，石膏矿总资源/储量为194.53万m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p>
          <w:p w14:paraId="32E2E7E7">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依据2025年3月由甘肃煤田地质局一四五队提交的《甘肃惠临实业发展有限公司临泽县凹凸棒石粘土矿2024年度储量“一表三图”》，截至2024年12月31日，矿山凹凸棒石粘土矿累计动用105.237</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t。矿山石膏矿累计动用78.14</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t。</w:t>
            </w:r>
          </w:p>
          <w:p w14:paraId="4892EDB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截至2024年12月31日，凹凸棒石粘土矿保有推断资源量为843.01</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t，石膏矿保有推断资源量为369.28</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t。</w:t>
            </w:r>
          </w:p>
          <w:p w14:paraId="0ACEB75C">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2.可利用资源量</w:t>
            </w:r>
          </w:p>
          <w:p w14:paraId="36C87DC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推断资源量按80%利用，则可利用资源量为：</w:t>
            </w:r>
          </w:p>
          <w:p w14:paraId="01A8CA14">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凹凸棒石粘土矿可利用资源量=843.01×104t×80%=674.41</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t</w:t>
            </w:r>
          </w:p>
          <w:p w14:paraId="75D4F37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矿山的石膏矿可利用资源量=369.28×104t×80%=295.42</w:t>
            </w:r>
            <w:r>
              <w:rPr>
                <w:rFonts w:hint="eastAsia" w:ascii="Times New Roman" w:hAnsi="Times New Roman" w:cs="Times New Roman"/>
                <w:sz w:val="24"/>
                <w:szCs w:val="24"/>
                <w:lang w:val="en-US" w:eastAsia="zh-CN"/>
              </w:rPr>
              <w:t>万t</w:t>
            </w:r>
          </w:p>
          <w:p w14:paraId="1947E0F5">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3.可采出资源量</w:t>
            </w:r>
          </w:p>
          <w:p w14:paraId="1F0E0C5E">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根据各年度《甘肃惠临实业发展有限公司临泽县凹凸棒石粘土矿年度储量“一表三图”》可知，矿山历年回采率90%，故本次设计回采率取90%，则可采资源量为：凹凸棒石：674.41×10</w:t>
            </w:r>
            <w:r>
              <w:rPr>
                <w:rFonts w:hint="eastAsia" w:ascii="Times New Roman" w:hAnsi="Times New Roman" w:eastAsia="宋体" w:cs="Times New Roman"/>
                <w:sz w:val="24"/>
                <w:szCs w:val="24"/>
                <w:vertAlign w:val="superscript"/>
                <w:lang w:val="en-US" w:eastAsia="zh-CN"/>
              </w:rPr>
              <w:t>4</w:t>
            </w:r>
            <w:r>
              <w:rPr>
                <w:rFonts w:hint="eastAsia" w:ascii="Times New Roman" w:hAnsi="Times New Roman" w:eastAsia="宋体" w:cs="Times New Roman"/>
                <w:sz w:val="24"/>
                <w:szCs w:val="24"/>
                <w:lang w:val="en-US" w:eastAsia="zh-CN"/>
              </w:rPr>
              <w:t>t×0.90=606.97</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t（357.04</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m</w:t>
            </w:r>
            <w:r>
              <w:rPr>
                <w:rFonts w:hint="eastAsia" w:ascii="Times New Roman" w:hAnsi="Times New Roman"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）。石膏：295.42×10</w:t>
            </w:r>
            <w:r>
              <w:rPr>
                <w:rFonts w:hint="eastAsia" w:ascii="Times New Roman" w:hAnsi="Times New Roman" w:eastAsia="宋体" w:cs="Times New Roman"/>
                <w:sz w:val="24"/>
                <w:szCs w:val="24"/>
                <w:vertAlign w:val="superscript"/>
                <w:lang w:val="en-US" w:eastAsia="zh-CN"/>
              </w:rPr>
              <w:t>4</w:t>
            </w:r>
            <w:r>
              <w:rPr>
                <w:rFonts w:hint="eastAsia" w:ascii="Times New Roman" w:hAnsi="Times New Roman" w:eastAsia="宋体" w:cs="Times New Roman"/>
                <w:sz w:val="24"/>
                <w:szCs w:val="24"/>
                <w:lang w:val="en-US" w:eastAsia="zh-CN"/>
              </w:rPr>
              <w:t>t×90%=265.88</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t（128.44</w:t>
            </w:r>
            <w:r>
              <w:rPr>
                <w:rFonts w:hint="eastAsia" w:ascii="Times New Roman" w:hAnsi="Times New Roman" w:cs="Times New Roman"/>
                <w:sz w:val="24"/>
                <w:szCs w:val="24"/>
                <w:lang w:val="en-US" w:eastAsia="zh-CN"/>
              </w:rPr>
              <w:t>万</w:t>
            </w:r>
            <w:r>
              <w:rPr>
                <w:rFonts w:hint="eastAsia" w:ascii="Times New Roman" w:hAnsi="Times New Roman" w:eastAsia="宋体" w:cs="Times New Roman"/>
                <w:sz w:val="24"/>
                <w:szCs w:val="24"/>
                <w:lang w:val="en-US" w:eastAsia="zh-CN"/>
              </w:rPr>
              <w:t>m</w:t>
            </w:r>
            <w:r>
              <w:rPr>
                <w:rFonts w:hint="eastAsia" w:ascii="Times New Roman" w:hAnsi="Times New Roman" w:eastAsia="宋体" w:cs="Times New Roman"/>
                <w:sz w:val="24"/>
                <w:szCs w:val="24"/>
                <w:vertAlign w:val="superscript"/>
                <w:lang w:val="en-US" w:eastAsia="zh-CN"/>
              </w:rPr>
              <w:t>3</w:t>
            </w:r>
            <w:r>
              <w:rPr>
                <w:rFonts w:hint="eastAsia" w:ascii="Times New Roman" w:hAnsi="Times New Roman" w:eastAsia="宋体" w:cs="Times New Roman"/>
                <w:sz w:val="24"/>
                <w:szCs w:val="24"/>
                <w:lang w:val="en-US" w:eastAsia="zh-CN"/>
              </w:rPr>
              <w:t>）。</w:t>
            </w:r>
          </w:p>
          <w:p w14:paraId="3E7AF90B">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4.露天开采剥离量及采剥比</w:t>
            </w:r>
          </w:p>
          <w:p w14:paraId="3845300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根据《储量核实报告》，该矿总覆盖层厚0.1～10.5m，根据矿山已有采坑实际揭露的厚度，同时考虑矿区边界预留边坡段变薄的因素，该矿总覆盖层剥离厚度平均约为4.2m，矿区内开采境界面积为1.1316km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，已采区面积为16.5万m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，经计算矿山剩余的剥离总量为405.97</w:t>
            </w:r>
            <w:r>
              <w:rPr>
                <w:rFonts w:hint="eastAsia" w:ascii="Times New Roman" w:hAnsi="Times New Roman" w:cs="Times New Roman"/>
                <w:sz w:val="24"/>
                <w:szCs w:val="24"/>
                <w:lang w:val="en-US" w:eastAsia="zh-CN"/>
              </w:rPr>
              <w:t>万</w:t>
            </w:r>
            <w:r>
              <w:rPr>
                <w:rFonts w:hint="default" w:ascii="Times New Roman" w:hAnsi="Times New Roman" w:eastAsia="宋体" w:cs="Times New Roman"/>
                <w:sz w:val="24"/>
                <w:szCs w:val="24"/>
                <w:lang w:val="en-US" w:eastAsia="zh-CN"/>
              </w:rPr>
              <w:t>m</w:t>
            </w:r>
            <w:r>
              <w:rPr>
                <w:rFonts w:hint="eastAsia" w:ascii="Times New Roman" w:hAnsi="Times New Roman"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p w14:paraId="03817FDB">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sz w:val="24"/>
                <w:szCs w:val="24"/>
                <w:lang w:val="en-US" w:eastAsia="zh-CN"/>
              </w:rPr>
              <w:t>矿山总剥采比为：405.97×10</w:t>
            </w:r>
            <w:r>
              <w:rPr>
                <w:rFonts w:hint="default" w:ascii="Times New Roman" w:hAnsi="Times New Roman" w:eastAsia="宋体" w:cs="Times New Roman"/>
                <w:sz w:val="24"/>
                <w:szCs w:val="24"/>
                <w:vertAlign w:val="superscript"/>
                <w:lang w:val="en-US" w:eastAsia="zh-CN"/>
              </w:rPr>
              <w:t>4</w:t>
            </w:r>
            <w:r>
              <w:rPr>
                <w:rFonts w:hint="default" w:ascii="Times New Roman" w:hAnsi="Times New Roman" w:eastAsia="宋体" w:cs="Times New Roman"/>
                <w:sz w:val="24"/>
                <w:szCs w:val="24"/>
                <w:lang w:val="en-US" w:eastAsia="zh-CN"/>
              </w:rPr>
              <w:t>m³÷485.48×10</w:t>
            </w:r>
            <w:r>
              <w:rPr>
                <w:rFonts w:hint="default" w:ascii="Times New Roman" w:hAnsi="Times New Roman" w:eastAsia="宋体" w:cs="Times New Roman"/>
                <w:sz w:val="24"/>
                <w:szCs w:val="24"/>
                <w:vertAlign w:val="superscript"/>
                <w:lang w:val="en-US" w:eastAsia="zh-CN"/>
              </w:rPr>
              <w:t>4</w:t>
            </w:r>
            <w:r>
              <w:rPr>
                <w:rFonts w:hint="default" w:ascii="Times New Roman" w:hAnsi="Times New Roman" w:eastAsia="宋体" w:cs="Times New Roman"/>
                <w:sz w:val="24"/>
                <w:szCs w:val="24"/>
                <w:lang w:val="en-US" w:eastAsia="zh-CN"/>
              </w:rPr>
              <w:t>m³（采出矿石量）=0.84:1。</w:t>
            </w:r>
          </w:p>
          <w:p w14:paraId="1E094277">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矿区地质地形图见附图</w:t>
            </w:r>
            <w:r>
              <w:rPr>
                <w:rFonts w:hint="eastAsia" w:ascii="Times New Roman" w:hAnsi="Times New Roman"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、资源量估算图见附图</w:t>
            </w:r>
            <w:r>
              <w:rPr>
                <w:rFonts w:hint="eastAsia" w:ascii="Times New Roman" w:hAnsi="Times New Roman"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w:t>
            </w:r>
          </w:p>
          <w:p w14:paraId="01BABDF0">
            <w:pPr>
              <w:keepNext w:val="0"/>
              <w:keepLines w:val="0"/>
              <w:pageBreakBefore w:val="0"/>
              <w:widowControl/>
              <w:suppressLineNumbers w:val="0"/>
              <w:kinsoku/>
              <w:wordWrap/>
              <w:overflowPunct/>
              <w:topLinePunct w:val="0"/>
              <w:autoSpaceDE/>
              <w:autoSpaceDN/>
              <w:bidi w:val="0"/>
              <w:adjustRightInd/>
              <w:spacing w:line="360" w:lineRule="auto"/>
              <w:ind w:right="0"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sz w:val="24"/>
                <w:szCs w:val="24"/>
                <w:lang w:val="en-US" w:eastAsia="zh-CN"/>
              </w:rPr>
              <w:t xml:space="preserve">4.2.2 </w:t>
            </w:r>
            <w:r>
              <w:rPr>
                <w:rFonts w:hint="default" w:ascii="Times New Roman" w:hAnsi="Times New Roman" w:eastAsia="宋体" w:cs="Times New Roman"/>
                <w:b/>
                <w:bCs/>
                <w:color w:val="000000"/>
                <w:kern w:val="0"/>
                <w:sz w:val="24"/>
                <w:szCs w:val="24"/>
                <w:lang w:val="en-US" w:eastAsia="zh-CN" w:bidi="ar"/>
              </w:rPr>
              <w:t>矿床地质特征</w:t>
            </w:r>
          </w:p>
          <w:p w14:paraId="78FA8032">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4.2.2.1矿区地质特征</w:t>
            </w:r>
          </w:p>
          <w:p w14:paraId="4BE1EEC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（一）地层</w:t>
            </w:r>
          </w:p>
          <w:p w14:paraId="4ECEE80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矿区出露的地层主要为白垩系下统庙沟组上岩组（K</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mg</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）、第三系白杨河组（N</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b）及第四系（Q）。构造主要为断裂构造，构造线方向为南东东向。</w:t>
            </w:r>
          </w:p>
          <w:p w14:paraId="0C0D29BF">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1.白垩系下统庙沟群上岩组(K</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mg</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14:paraId="04031FF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下部：紫红色钙质粉砂岩及泥岩。</w:t>
            </w:r>
          </w:p>
          <w:p w14:paraId="1A69314E">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中部：紫红与灰绿色、灰白色等杂色泥岩互层夹有浅灰色泥灰岩，含有稀散元素铀。</w:t>
            </w:r>
          </w:p>
          <w:p w14:paraId="1AD79CB2">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上部：黄、黄褐色砾岩，含砾砂岩及砂岩。</w:t>
            </w:r>
          </w:p>
          <w:p w14:paraId="572B5F1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2.第三系中新统白杨河组（N</w:t>
            </w:r>
            <w:r>
              <w:rPr>
                <w:rFonts w:hint="default" w:ascii="Times New Roman" w:hAnsi="Times New Roman" w:eastAsia="宋体" w:cs="Times New Roman"/>
                <w:sz w:val="24"/>
                <w:szCs w:val="24"/>
                <w:vertAlign w:val="subscript"/>
                <w:lang w:val="en-US" w:eastAsia="zh-CN"/>
              </w:rPr>
              <w:t>1</w:t>
            </w:r>
            <w:r>
              <w:rPr>
                <w:rFonts w:hint="default" w:ascii="Times New Roman" w:hAnsi="Times New Roman" w:eastAsia="宋体" w:cs="Times New Roman"/>
                <w:sz w:val="24"/>
                <w:szCs w:val="24"/>
                <w:lang w:val="en-US" w:eastAsia="zh-CN"/>
              </w:rPr>
              <w:t>b）按照岩石组合及含矿性由下而上，划分为四个岩性段。</w:t>
            </w:r>
          </w:p>
          <w:p w14:paraId="552D23F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白杨河组第一岩性段（N</w:t>
            </w:r>
            <w:r>
              <w:rPr>
                <w:rFonts w:hint="default" w:ascii="Times New Roman" w:hAnsi="Times New Roman" w:eastAsia="宋体" w:cs="Times New Roman"/>
                <w:sz w:val="24"/>
                <w:szCs w:val="24"/>
                <w:vertAlign w:val="subscript"/>
                <w:lang w:val="en-US" w:eastAsia="zh-CN"/>
              </w:rPr>
              <w:t>l</w:t>
            </w:r>
            <w:r>
              <w:rPr>
                <w:rFonts w:hint="default" w:ascii="Times New Roman" w:hAnsi="Times New Roman" w:eastAsia="宋体" w:cs="Times New Roman"/>
                <w:sz w:val="24"/>
                <w:szCs w:val="24"/>
                <w:lang w:val="en-US" w:eastAsia="zh-CN"/>
              </w:rPr>
              <w:t>b</w:t>
            </w:r>
            <w:r>
              <w:rPr>
                <w:rFonts w:hint="default" w:ascii="Times New Roman" w:hAnsi="Times New Roman" w:eastAsia="宋体" w:cs="Times New Roman"/>
                <w:sz w:val="24"/>
                <w:szCs w:val="24"/>
                <w:vertAlign w:val="superscript"/>
                <w:lang w:val="en-US" w:eastAsia="zh-CN"/>
              </w:rPr>
              <w:t>1</w:t>
            </w:r>
            <w:r>
              <w:rPr>
                <w:rFonts w:hint="default" w:ascii="Times New Roman" w:hAnsi="Times New Roman" w:eastAsia="宋体" w:cs="Times New Roman"/>
                <w:sz w:val="24"/>
                <w:szCs w:val="24"/>
                <w:lang w:val="en-US" w:eastAsia="zh-CN"/>
              </w:rPr>
              <w:t>）</w:t>
            </w:r>
          </w:p>
          <w:p w14:paraId="247CFE55">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为砖红色砂砾岩，分布在东北角，为山麓洪积相产物。</w:t>
            </w:r>
          </w:p>
          <w:p w14:paraId="42095BC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lang w:val="en-US" w:eastAsia="zh-CN"/>
              </w:rPr>
              <w:t>白杨河组第二岩性段（N</w:t>
            </w:r>
            <w:r>
              <w:rPr>
                <w:rFonts w:hint="default" w:ascii="Times New Roman" w:hAnsi="Times New Roman" w:eastAsia="宋体" w:cs="Times New Roman"/>
                <w:sz w:val="24"/>
                <w:szCs w:val="24"/>
                <w:vertAlign w:val="subscript"/>
                <w:lang w:val="en-US" w:eastAsia="zh-CN"/>
              </w:rPr>
              <w:t>l</w:t>
            </w:r>
            <w:r>
              <w:rPr>
                <w:rFonts w:hint="default" w:ascii="Times New Roman" w:hAnsi="Times New Roman" w:eastAsia="宋体" w:cs="Times New Roman"/>
                <w:sz w:val="24"/>
                <w:szCs w:val="24"/>
                <w:lang w:val="en-US" w:eastAsia="zh-CN"/>
              </w:rPr>
              <w:t>b</w:t>
            </w:r>
            <w:r>
              <w:rPr>
                <w:rFonts w:hint="default" w:ascii="Times New Roman" w:hAnsi="Times New Roman" w:eastAsia="宋体" w:cs="Times New Roman"/>
                <w:sz w:val="24"/>
                <w:szCs w:val="24"/>
                <w:vertAlign w:val="superscript"/>
                <w:lang w:val="en-US" w:eastAsia="zh-CN"/>
              </w:rPr>
              <w:t>2+3</w:t>
            </w:r>
            <w:r>
              <w:rPr>
                <w:rFonts w:hint="default" w:ascii="Times New Roman" w:hAnsi="Times New Roman" w:eastAsia="宋体" w:cs="Times New Roman"/>
                <w:sz w:val="24"/>
                <w:szCs w:val="24"/>
                <w:lang w:val="en-US" w:eastAsia="zh-CN"/>
              </w:rPr>
              <w:t>)</w:t>
            </w:r>
          </w:p>
          <w:p w14:paraId="30894C02">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为矿层底板，分布在盆地中心，出露厚度不均一，由边部向中心逐渐增厚，岩性主要为灰色、砖红色、土黄色、灰白色的泥岩、含砂砾泥岩、粉砂岩、砂岩、含砾砂岩等。</w:t>
            </w:r>
          </w:p>
          <w:p w14:paraId="3BE7E35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lang w:val="en-US" w:eastAsia="zh-CN"/>
              </w:rPr>
              <w:t>白杨河组第三岩性段（N</w:t>
            </w:r>
            <w:r>
              <w:rPr>
                <w:rFonts w:hint="default" w:ascii="Times New Roman" w:hAnsi="Times New Roman" w:eastAsia="宋体" w:cs="Times New Roman"/>
                <w:sz w:val="24"/>
                <w:szCs w:val="24"/>
                <w:vertAlign w:val="subscript"/>
                <w:lang w:val="en-US" w:eastAsia="zh-CN"/>
              </w:rPr>
              <w:t>l</w:t>
            </w:r>
            <w:r>
              <w:rPr>
                <w:rFonts w:hint="default" w:ascii="Times New Roman" w:hAnsi="Times New Roman" w:eastAsia="宋体" w:cs="Times New Roman"/>
                <w:sz w:val="24"/>
                <w:szCs w:val="24"/>
                <w:lang w:val="en-US" w:eastAsia="zh-CN"/>
              </w:rPr>
              <w:t>b</w:t>
            </w:r>
            <w:r>
              <w:rPr>
                <w:rFonts w:hint="default" w:ascii="Times New Roman" w:hAnsi="Times New Roman" w:eastAsia="宋体" w:cs="Times New Roman"/>
                <w:sz w:val="24"/>
                <w:szCs w:val="24"/>
                <w:vertAlign w:val="superscript"/>
                <w:lang w:val="en-US" w:eastAsia="zh-CN"/>
              </w:rPr>
              <w:t>4</w:t>
            </w:r>
            <w:r>
              <w:rPr>
                <w:rFonts w:hint="default" w:ascii="Times New Roman" w:hAnsi="Times New Roman" w:eastAsia="宋体" w:cs="Times New Roman"/>
                <w:sz w:val="24"/>
                <w:szCs w:val="24"/>
                <w:lang w:val="en-US" w:eastAsia="zh-CN"/>
              </w:rPr>
              <w:t>）</w:t>
            </w:r>
          </w:p>
          <w:p w14:paraId="0670597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矿层，主要岩性为砖红色凹凸棒石粉砂质泥岩、砂质泥岩，灰绿色凹凸棒石粉砂质泥岩、砂质泥岩，灰白色凹凸棒石砂质泥岩，灰黑色凹凸棒石泥质粉砂岩等。砖红色和灰绿色两种矿石多呈互层，占矿层分布的90％以上；灰黑色矿石分布在矿层底部，质量较差，厚度不大，含有石膏团块。石膏两种赋存状态，一种为单层状与凹凸棒石粘土矿呈互层产出；另一种以团块状分布在凹凸棒石粘土矿中。</w:t>
            </w:r>
          </w:p>
          <w:p w14:paraId="0802D872">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val="en-US" w:eastAsia="zh-CN"/>
              </w:rPr>
              <w:t>白杨河组第四岩性段（N</w:t>
            </w:r>
            <w:r>
              <w:rPr>
                <w:rFonts w:hint="default" w:ascii="Times New Roman" w:hAnsi="Times New Roman" w:eastAsia="宋体" w:cs="Times New Roman"/>
                <w:sz w:val="24"/>
                <w:szCs w:val="24"/>
                <w:vertAlign w:val="subscript"/>
                <w:lang w:val="en-US" w:eastAsia="zh-CN"/>
              </w:rPr>
              <w:t>l</w:t>
            </w:r>
            <w:r>
              <w:rPr>
                <w:rFonts w:hint="default" w:ascii="Times New Roman" w:hAnsi="Times New Roman" w:eastAsia="宋体" w:cs="Times New Roman"/>
                <w:sz w:val="24"/>
                <w:szCs w:val="24"/>
                <w:lang w:val="en-US" w:eastAsia="zh-CN"/>
              </w:rPr>
              <w:t>b</w:t>
            </w:r>
            <w:r>
              <w:rPr>
                <w:rFonts w:hint="default" w:ascii="Times New Roman" w:hAnsi="Times New Roman" w:eastAsia="宋体" w:cs="Times New Roman"/>
                <w:sz w:val="24"/>
                <w:szCs w:val="24"/>
                <w:vertAlign w:val="superscript"/>
                <w:lang w:val="en-US" w:eastAsia="zh-CN"/>
              </w:rPr>
              <w:t>5</w:t>
            </w:r>
            <w:r>
              <w:rPr>
                <w:rFonts w:hint="default" w:ascii="Times New Roman" w:hAnsi="Times New Roman" w:eastAsia="宋体" w:cs="Times New Roman"/>
                <w:sz w:val="24"/>
                <w:szCs w:val="24"/>
                <w:lang w:val="en-US" w:eastAsia="zh-CN"/>
              </w:rPr>
              <w:t>)</w:t>
            </w:r>
          </w:p>
          <w:p w14:paraId="4881DE32">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矿层顶板，分布较为广泛。杨台洼滩盆地周围地形较高，由白杨河组第四岩性段的含砾砂岩、含砂砾泥岩组成。岩性主要为砖红色含砾泥岩、含泥砂砾岩，灰黑色泥质粉砂岩、含砂砾泥岩，土黄色含砂砾泥岩。见有少量的薄层石膏，厚度几厘米。砂、砾石成分主要为石英，粒径大小主要为2mm左右。</w:t>
            </w:r>
          </w:p>
          <w:p w14:paraId="3723FEC2">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3.第四系上更新统（Q）</w:t>
            </w:r>
          </w:p>
          <w:p w14:paraId="2692B887">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第四系上更新统大面积分布于整个矿区，岩性为冲积、洪积亚凹凸棒石粘土矿、亚砂土、砂、砾石。亚凹凸棒石粘土矿呈灰黄色、水平层理明显，砾石直径以1—5㎝居多。分布于全矿区，厚0.1—10.5m。</w:t>
            </w:r>
          </w:p>
          <w:p w14:paraId="534B3A80">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此外在采矿坑周围有少量的第四系人工堆积(Q)。</w:t>
            </w:r>
          </w:p>
          <w:p w14:paraId="13572F9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（二）构造</w:t>
            </w:r>
          </w:p>
          <w:p w14:paraId="7FEF23A5">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矿区比较简单，为一平缓的向斜及背斜构造。</w:t>
            </w:r>
          </w:p>
          <w:p w14:paraId="178C6B4F">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1.胶泥滩向斜</w:t>
            </w:r>
          </w:p>
          <w:p w14:paraId="7C9BCB81">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轴向约N40°W，两翼不对称，西翼倾角较陡，一般为29～65°；东翼除断层附近外，一般为8～15°，向斜轴部倾角变缓。两翼主要由凹凸棒粘土矿组成，中心出露碎屑岩。</w:t>
            </w:r>
          </w:p>
          <w:p w14:paraId="7BDF269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2.顾家井背斜</w:t>
            </w:r>
          </w:p>
          <w:p w14:paraId="0366074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轴向与向斜基本相同，两翼产状平缓；特别是东翼：仅6°左右。由于第四系分布广泛，含矿段出露极差。</w:t>
            </w:r>
          </w:p>
          <w:p w14:paraId="48E66D55">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3.断裂构造</w:t>
            </w:r>
          </w:p>
          <w:p w14:paraId="624D3450">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断裂构造十分发育，除正北山压性断裂规模较大。使白垩系超覆于第三系之上外，其余均为小型扭断裂，对矿层的持续性有一定的影响。</w:t>
            </w:r>
          </w:p>
          <w:p w14:paraId="30908BA5">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（三）岩浆岩</w:t>
            </w:r>
          </w:p>
          <w:p w14:paraId="3B75122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矿区范围岩浆岩不发育。</w:t>
            </w:r>
          </w:p>
          <w:p w14:paraId="4A3BC64E">
            <w:pPr>
              <w:keepNext w:val="0"/>
              <w:keepLines w:val="0"/>
              <w:pageBreakBefore w:val="0"/>
              <w:widowControl/>
              <w:suppressLineNumbers w:val="0"/>
              <w:kinsoku/>
              <w:wordWrap/>
              <w:overflowPunct/>
              <w:topLinePunct w:val="0"/>
              <w:autoSpaceDE/>
              <w:autoSpaceDN/>
              <w:bidi w:val="0"/>
              <w:adjustRightInd/>
              <w:spacing w:line="360" w:lineRule="auto"/>
              <w:ind w:right="0" w:firstLine="482" w:firstLineChars="200"/>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4.2.2.2 </w:t>
            </w:r>
            <w:r>
              <w:rPr>
                <w:rFonts w:hint="default" w:ascii="Times New Roman" w:hAnsi="Times New Roman" w:eastAsia="宋体" w:cs="Times New Roman"/>
                <w:b/>
                <w:bCs/>
                <w:color w:val="000000"/>
                <w:kern w:val="0"/>
                <w:sz w:val="24"/>
                <w:szCs w:val="24"/>
                <w:lang w:val="en-US" w:eastAsia="zh-CN" w:bidi="ar"/>
              </w:rPr>
              <w:t>矿体地质特征</w:t>
            </w:r>
          </w:p>
          <w:p w14:paraId="7D4E17F8">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1.矿体规模及产状</w:t>
            </w:r>
          </w:p>
          <w:p w14:paraId="1EFCDD6B">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矿区矿体全部被第三系、第四系覆盖。根据采坑资料可分出下含矿亚段和上含矿亚段。现述于下：</w:t>
            </w:r>
          </w:p>
          <w:p w14:paraId="6067AEE7">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1.下含矿亚段下部矿层</w:t>
            </w:r>
          </w:p>
          <w:p w14:paraId="7DC5F80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主要由灰—灰白色凹凸棒粘土及砖红色凹凸棒粘土组成。前者含凹凸棒石30～57%，单层厚0.86～1.5m；后者含凹土棒石40～53%，单层厚0.34～1.34m。其下部可见透明石膏层一层，厚1.5米，长度不清。底部有一层黑色凹凸棒粘土，含凹土棒石36%，含碘0.036%。下部矿层浅部遭破坏。</w:t>
            </w:r>
          </w:p>
          <w:p w14:paraId="4826511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2.下含矿亚段上部矿层</w:t>
            </w:r>
          </w:p>
          <w:p w14:paraId="176F2E58">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主要由黄灰及灰白色凹凸棒粘土和砖红色凹凸棒粘土组成，夹石膏透镜体，自下而上共分四层。</w:t>
            </w:r>
          </w:p>
          <w:p w14:paraId="20B2F39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A层</w:t>
            </w:r>
          </w:p>
          <w:p w14:paraId="17F6D1D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砖红色凹凸棒粘土矿，呈层状产出，已控制厚度0.3～0.67m，长750m，含凹凸棒石36～47%，未见底。</w:t>
            </w:r>
          </w:p>
          <w:p w14:paraId="7B45560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（2）</w:t>
            </w:r>
            <w:r>
              <w:rPr>
                <w:rFonts w:hint="default" w:ascii="Times New Roman" w:hAnsi="Times New Roman" w:eastAsia="宋体" w:cs="Times New Roman"/>
                <w:b w:val="0"/>
                <w:bCs w:val="0"/>
                <w:sz w:val="24"/>
                <w:szCs w:val="24"/>
                <w:lang w:val="en-US" w:eastAsia="zh-CN"/>
              </w:rPr>
              <w:t>B层</w:t>
            </w:r>
          </w:p>
          <w:p w14:paraId="6B8CE4E7">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为含石膏灰色凹凸棒粘土矿，呈层状、楔形层及透镜层产出。厚0.46～4.50m，控制长1150m。含凹凸棒石40～53%。所含石膏呈不规则状、团（晶）块状，量变很大，集中时组成含石膏凹凸棒粘土，再集中时组成含凹凸棒石石膏透镜体。有时则不含石膏，变为凹凸棒粘土。此类石膏显然不是原地蒸发作用生成，而是迁移层间卤水成矿，故形态不规划和量变很大。与A层为渐变接触。</w:t>
            </w:r>
          </w:p>
          <w:p w14:paraId="746E8E6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C层</w:t>
            </w:r>
          </w:p>
          <w:p w14:paraId="1B6BBC18">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砖红色凹凸棒粘土矿，呈层状产出，层位较稳定，总厚0.79～3.3m，控制长1150m，含凹凸棒石34～52%，有时夹石膏透镜体。与B层为过渡关系。</w:t>
            </w:r>
          </w:p>
          <w:p w14:paraId="635ADDCE">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D层</w:t>
            </w:r>
          </w:p>
          <w:p w14:paraId="1933BB5D">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为灰色凹凸棒粘土矿，呈层状产出，层位稳定，下部含石膏，量变大，可相变为含凹凸棒石石膏，中部夹石膏透镜体。总厚2.20～5.1m，控制长1050m，含凹凸棒石33～47%。与C层为过渡关系。</w:t>
            </w:r>
          </w:p>
          <w:p w14:paraId="1072427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3.上含矿亚段</w:t>
            </w:r>
          </w:p>
          <w:p w14:paraId="78CB782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位于下含矿亚段之上部，在大面积第四系覆盖层下，隐伏着近水平，厚达数十米的红色粘土。经浅井查证为深砖红色凹凸棒粘土矿，含透明石膏晶块或晶屑，已控制厚大于0.35～0.90m，含凹凸棒石54～65%，是矿区最富的矿层。</w:t>
            </w:r>
          </w:p>
          <w:p w14:paraId="16223310">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4.石膏层</w:t>
            </w:r>
          </w:p>
          <w:p w14:paraId="36970AEE">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主要产于下含矿亚段中的凹凸棒粘土矿中，有两种赋存状态，一是单独石膏层，二是与凹凸棒石混生。前者多呈透镜状产出，后者则为不规则状、（晶）块状、脉状、假角砾状等。一般厚0.01～0.25m，最厚0.63m；长度变化极大，短者0.01米，长者可达1.50米。石膏质纯，无色，透明—半透明，结晶很好，为板状晶体，集结为大小不等的晶块，其周围裹有一层凹凸棒石，降低了石膏的质量。总之，不论以哪种形式产出的石膏，分布很不均匀，集中时组成含凹凸棒石石膏，再集中时组成石膏透镜体。单层最厚约2.1m，一般仅数十厘米。累计最厚5.38m，最薄1.65m。石膏矿在凹凸棒粘土矿段中的含矿系数，经北矿带15个揭露点的统计，最高41.30%，最低5.36%，平均12.93%。由于石膏单层很薄，且分散在凹棒石粘土矿中，若不统一开采，是无多大价值的。故把与凹凸棒粘土矿相邻的石膏层均归并在凹凸棒石粘土矿层中。</w:t>
            </w:r>
          </w:p>
          <w:p w14:paraId="69E80A08">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4.2.3矿石质量</w:t>
            </w:r>
          </w:p>
          <w:p w14:paraId="7A4241A0">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1.矿石物质组成</w:t>
            </w:r>
          </w:p>
          <w:p w14:paraId="5ADC8D10">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矿石矿物成分种内较多，主要矿物成分及含量：凹凸棒石（5%—47%）、石膏（4%—18%）、石英（3%—64%）、长石（2%—19%）、伊利石（2%—11%）、白云石（4%—34%）、方解石（3%一24%）、绿泥石（2%一9%）等，微量重矿物有错石、电气石等。</w:t>
            </w:r>
          </w:p>
          <w:p w14:paraId="5A1C750E">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2.矿石化学成分</w:t>
            </w:r>
          </w:p>
          <w:p w14:paraId="10C3768D">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通过大量X射线衍射分析及部分差热和红外光谱检查，矿物的基本组成为：凹凸棒石（Pal）+伊利石（It）+蒙脱石（Mt）+绿泥石（Ch1）+石英（Qz）+长石（or+Ab）+白云石（Do）。此外尚含少量的石膏（Go）、菱猛铁矿（Sid）、滑石（Te）、针铁矿（Gy）、方解石（Ma）等。</w:t>
            </w:r>
          </w:p>
          <w:p w14:paraId="35A7B83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 w:val="0"/>
                <w:bCs w:val="0"/>
                <w:kern w:val="0"/>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按不同自然类型取样，其矿石微量元素分析结果见表2.3。</w:t>
            </w:r>
          </w:p>
          <w:p w14:paraId="7E540520">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22" w:firstLineChars="200"/>
              <w:jc w:val="center"/>
              <w:rPr>
                <w:rFonts w:hint="eastAsia" w:ascii="宋体" w:hAnsi="宋体" w:eastAsia="宋体" w:cs="宋体"/>
                <w:b/>
                <w:bCs/>
                <w:color w:val="000000"/>
                <w:kern w:val="0"/>
              </w:rPr>
            </w:pPr>
            <w:r>
              <w:rPr>
                <w:rFonts w:hint="eastAsia" w:ascii="Times New Roman" w:hAnsi="Times New Roman" w:eastAsia="宋体" w:cs="Times New Roman"/>
                <w:b/>
                <w:bCs/>
                <w:i w:val="0"/>
                <w:iCs w:val="0"/>
                <w:sz w:val="21"/>
                <w:szCs w:val="21"/>
                <w:lang w:val="en-US" w:eastAsia="zh-CN"/>
              </w:rPr>
              <w:t>表2</w:t>
            </w:r>
            <w:r>
              <w:rPr>
                <w:rFonts w:hint="default" w:ascii="Times New Roman" w:hAnsi="Times New Roman" w:eastAsia="宋体" w:cs="Times New Roman"/>
                <w:b/>
                <w:bCs/>
                <w:i w:val="0"/>
                <w:iCs w:val="0"/>
                <w:sz w:val="21"/>
                <w:szCs w:val="21"/>
                <w:lang w:val="en-US" w:eastAsia="zh-CN"/>
              </w:rPr>
              <w:t>-</w:t>
            </w:r>
            <w:r>
              <w:rPr>
                <w:rFonts w:hint="eastAsia" w:ascii="Times New Roman" w:hAnsi="Times New Roman" w:eastAsia="宋体" w:cs="Times New Roman"/>
                <w:b/>
                <w:bCs/>
                <w:i w:val="0"/>
                <w:iCs w:val="0"/>
                <w:sz w:val="21"/>
                <w:szCs w:val="21"/>
                <w:lang w:val="en-US" w:eastAsia="zh-CN"/>
              </w:rPr>
              <w:t>3   凹凸棒石粘土矿石组分分析表</w:t>
            </w:r>
          </w:p>
          <w:tbl>
            <w:tblPr>
              <w:tblStyle w:val="23"/>
              <w:tblW w:w="496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55"/>
              <w:gridCol w:w="467"/>
              <w:gridCol w:w="536"/>
              <w:gridCol w:w="704"/>
              <w:gridCol w:w="731"/>
              <w:gridCol w:w="731"/>
              <w:gridCol w:w="741"/>
              <w:gridCol w:w="731"/>
              <w:gridCol w:w="625"/>
              <w:gridCol w:w="625"/>
              <w:gridCol w:w="625"/>
              <w:gridCol w:w="581"/>
              <w:gridCol w:w="617"/>
            </w:tblGrid>
            <w:tr w14:paraId="11566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0" w:type="pct"/>
                  <w:vMerge w:val="restart"/>
                  <w:tcBorders>
                    <w:top w:val="single" w:color="000000" w:sz="12" w:space="0"/>
                    <w:left w:val="nil"/>
                    <w:tl2br w:val="nil"/>
                  </w:tcBorders>
                  <w:shd w:val="clear" w:color="auto" w:fill="auto"/>
                  <w:vAlign w:val="center"/>
                </w:tcPr>
                <w:p w14:paraId="78559E5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样</w:t>
                  </w:r>
                </w:p>
                <w:p w14:paraId="07A7C02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号</w:t>
                  </w:r>
                </w:p>
              </w:tc>
              <w:tc>
                <w:tcPr>
                  <w:tcW w:w="289" w:type="pct"/>
                  <w:vMerge w:val="restart"/>
                  <w:tcBorders>
                    <w:top w:val="single" w:color="000000" w:sz="12" w:space="0"/>
                  </w:tcBorders>
                  <w:shd w:val="clear" w:color="auto" w:fill="auto"/>
                  <w:vAlign w:val="center"/>
                </w:tcPr>
                <w:p w14:paraId="49845916">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矿层</w:t>
                  </w:r>
                </w:p>
                <w:p w14:paraId="755A798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号</w:t>
                  </w:r>
                </w:p>
              </w:tc>
              <w:tc>
                <w:tcPr>
                  <w:tcW w:w="332" w:type="pct"/>
                  <w:vMerge w:val="restart"/>
                  <w:tcBorders>
                    <w:top w:val="single" w:color="000000" w:sz="12" w:space="0"/>
                  </w:tcBorders>
                  <w:shd w:val="clear" w:color="auto" w:fill="auto"/>
                  <w:vAlign w:val="center"/>
                </w:tcPr>
                <w:p w14:paraId="2AF6314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矿石</w:t>
                  </w:r>
                </w:p>
                <w:p w14:paraId="41CC370C">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类型</w:t>
                  </w:r>
                </w:p>
              </w:tc>
              <w:tc>
                <w:tcPr>
                  <w:tcW w:w="4157" w:type="pct"/>
                  <w:gridSpan w:val="10"/>
                  <w:tcBorders>
                    <w:top w:val="single" w:color="000000" w:sz="12" w:space="0"/>
                    <w:right w:val="nil"/>
                  </w:tcBorders>
                  <w:shd w:val="clear" w:color="auto" w:fill="auto"/>
                  <w:vAlign w:val="center"/>
                </w:tcPr>
                <w:p w14:paraId="5268962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化学成分(％)</w:t>
                  </w:r>
                </w:p>
              </w:tc>
            </w:tr>
            <w:tr w14:paraId="559A3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220" w:type="pct"/>
                  <w:vMerge w:val="continue"/>
                  <w:tcBorders>
                    <w:left w:val="nil"/>
                  </w:tcBorders>
                  <w:shd w:val="clear" w:color="auto" w:fill="auto"/>
                  <w:vAlign w:val="center"/>
                </w:tcPr>
                <w:p w14:paraId="3A9BF6FD">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289" w:type="pct"/>
                  <w:vMerge w:val="continue"/>
                  <w:shd w:val="clear" w:color="auto" w:fill="auto"/>
                  <w:vAlign w:val="center"/>
                </w:tcPr>
                <w:p w14:paraId="0C5F2BCB">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32" w:type="pct"/>
                  <w:vMerge w:val="continue"/>
                  <w:shd w:val="clear" w:color="auto" w:fill="auto"/>
                  <w:vAlign w:val="center"/>
                </w:tcPr>
                <w:p w14:paraId="3A1FC31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436" w:type="pct"/>
                  <w:shd w:val="clear" w:color="auto" w:fill="auto"/>
                  <w:vAlign w:val="center"/>
                </w:tcPr>
                <w:p w14:paraId="6F8C39F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SiO</w:t>
                  </w:r>
                  <w:r>
                    <w:rPr>
                      <w:rFonts w:hint="default" w:ascii="Times New Roman" w:hAnsi="Times New Roman" w:eastAsia="宋体" w:cs="Times New Roman"/>
                      <w:b w:val="0"/>
                      <w:color w:val="000000"/>
                      <w:kern w:val="0"/>
                      <w:sz w:val="21"/>
                      <w:szCs w:val="21"/>
                      <w:vertAlign w:val="subscript"/>
                    </w:rPr>
                    <w:t>2</w:t>
                  </w:r>
                </w:p>
              </w:tc>
              <w:tc>
                <w:tcPr>
                  <w:tcW w:w="453" w:type="pct"/>
                  <w:shd w:val="clear" w:color="auto" w:fill="auto"/>
                  <w:vAlign w:val="center"/>
                </w:tcPr>
                <w:p w14:paraId="7198DF85">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A1</w:t>
                  </w:r>
                  <w:r>
                    <w:rPr>
                      <w:rFonts w:hint="default" w:ascii="Times New Roman" w:hAnsi="Times New Roman" w:eastAsia="宋体" w:cs="Times New Roman"/>
                      <w:b w:val="0"/>
                      <w:color w:val="000000"/>
                      <w:kern w:val="0"/>
                      <w:sz w:val="21"/>
                      <w:szCs w:val="21"/>
                      <w:vertAlign w:val="subscript"/>
                    </w:rPr>
                    <w:t>2</w:t>
                  </w:r>
                  <w:r>
                    <w:rPr>
                      <w:rFonts w:hint="default" w:ascii="Times New Roman" w:hAnsi="Times New Roman" w:eastAsia="宋体" w:cs="Times New Roman"/>
                      <w:b w:val="0"/>
                      <w:color w:val="000000"/>
                      <w:kern w:val="0"/>
                      <w:sz w:val="21"/>
                      <w:szCs w:val="21"/>
                    </w:rPr>
                    <w:t>O</w:t>
                  </w:r>
                  <w:r>
                    <w:rPr>
                      <w:rFonts w:hint="default" w:ascii="Times New Roman" w:hAnsi="Times New Roman" w:eastAsia="宋体" w:cs="Times New Roman"/>
                      <w:b w:val="0"/>
                      <w:color w:val="000000"/>
                      <w:kern w:val="0"/>
                      <w:sz w:val="21"/>
                      <w:szCs w:val="21"/>
                      <w:vertAlign w:val="subscript"/>
                    </w:rPr>
                    <w:t>3</w:t>
                  </w:r>
                </w:p>
              </w:tc>
              <w:tc>
                <w:tcPr>
                  <w:tcW w:w="453" w:type="pct"/>
                  <w:shd w:val="clear" w:color="auto" w:fill="auto"/>
                  <w:vAlign w:val="center"/>
                </w:tcPr>
                <w:p w14:paraId="10C3D80C">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Fe</w:t>
                  </w:r>
                  <w:r>
                    <w:rPr>
                      <w:rFonts w:hint="default" w:ascii="Times New Roman" w:hAnsi="Times New Roman" w:eastAsia="宋体" w:cs="Times New Roman"/>
                      <w:b w:val="0"/>
                      <w:color w:val="000000"/>
                      <w:kern w:val="0"/>
                      <w:sz w:val="21"/>
                      <w:szCs w:val="21"/>
                      <w:vertAlign w:val="subscript"/>
                    </w:rPr>
                    <w:t>2</w:t>
                  </w:r>
                  <w:r>
                    <w:rPr>
                      <w:rFonts w:hint="default" w:ascii="Times New Roman" w:hAnsi="Times New Roman" w:eastAsia="宋体" w:cs="Times New Roman"/>
                      <w:b w:val="0"/>
                      <w:color w:val="000000"/>
                      <w:kern w:val="0"/>
                      <w:sz w:val="21"/>
                      <w:szCs w:val="21"/>
                    </w:rPr>
                    <w:t>O</w:t>
                  </w:r>
                  <w:r>
                    <w:rPr>
                      <w:rFonts w:hint="default" w:ascii="Times New Roman" w:hAnsi="Times New Roman" w:eastAsia="宋体" w:cs="Times New Roman"/>
                      <w:b w:val="0"/>
                      <w:color w:val="000000"/>
                      <w:kern w:val="0"/>
                      <w:sz w:val="21"/>
                      <w:szCs w:val="21"/>
                      <w:vertAlign w:val="subscript"/>
                    </w:rPr>
                    <w:t>3</w:t>
                  </w:r>
                </w:p>
              </w:tc>
              <w:tc>
                <w:tcPr>
                  <w:tcW w:w="459" w:type="pct"/>
                  <w:shd w:val="clear" w:color="auto" w:fill="auto"/>
                  <w:vAlign w:val="center"/>
                </w:tcPr>
                <w:p w14:paraId="4443F909">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Na</w:t>
                  </w:r>
                  <w:r>
                    <w:rPr>
                      <w:rFonts w:hint="default" w:ascii="Times New Roman" w:hAnsi="Times New Roman" w:eastAsia="宋体" w:cs="Times New Roman"/>
                      <w:b w:val="0"/>
                      <w:color w:val="000000"/>
                      <w:kern w:val="0"/>
                      <w:sz w:val="21"/>
                      <w:szCs w:val="21"/>
                      <w:vertAlign w:val="subscript"/>
                    </w:rPr>
                    <w:t>2</w:t>
                  </w:r>
                  <w:r>
                    <w:rPr>
                      <w:rFonts w:hint="default" w:ascii="Times New Roman" w:hAnsi="Times New Roman" w:eastAsia="宋体" w:cs="Times New Roman"/>
                      <w:b w:val="0"/>
                      <w:color w:val="000000"/>
                      <w:kern w:val="0"/>
                      <w:sz w:val="21"/>
                      <w:szCs w:val="21"/>
                    </w:rPr>
                    <w:t>O</w:t>
                  </w:r>
                  <w:r>
                    <w:rPr>
                      <w:rFonts w:hint="default" w:ascii="Times New Roman" w:hAnsi="Times New Roman" w:eastAsia="宋体" w:cs="Times New Roman"/>
                      <w:b w:val="0"/>
                      <w:color w:val="000000"/>
                      <w:kern w:val="0"/>
                      <w:sz w:val="21"/>
                      <w:szCs w:val="21"/>
                      <w:vertAlign w:val="subscript"/>
                    </w:rPr>
                    <w:t>3</w:t>
                  </w:r>
                </w:p>
              </w:tc>
              <w:tc>
                <w:tcPr>
                  <w:tcW w:w="453" w:type="pct"/>
                  <w:shd w:val="clear" w:color="auto" w:fill="auto"/>
                  <w:vAlign w:val="center"/>
                </w:tcPr>
                <w:p w14:paraId="7EB59C57">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MgO</w:t>
                  </w:r>
                </w:p>
              </w:tc>
              <w:tc>
                <w:tcPr>
                  <w:tcW w:w="387" w:type="pct"/>
                  <w:shd w:val="clear" w:color="auto" w:fill="auto"/>
                  <w:vAlign w:val="center"/>
                </w:tcPr>
                <w:p w14:paraId="183BC027">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CaO</w:t>
                  </w:r>
                </w:p>
              </w:tc>
              <w:tc>
                <w:tcPr>
                  <w:tcW w:w="387" w:type="pct"/>
                  <w:shd w:val="clear" w:color="auto" w:fill="auto"/>
                  <w:vAlign w:val="center"/>
                </w:tcPr>
                <w:p w14:paraId="47474619">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K</w:t>
                  </w:r>
                  <w:r>
                    <w:rPr>
                      <w:rFonts w:hint="default" w:ascii="Times New Roman" w:hAnsi="Times New Roman" w:eastAsia="宋体" w:cs="Times New Roman"/>
                      <w:b w:val="0"/>
                      <w:color w:val="000000"/>
                      <w:kern w:val="0"/>
                      <w:sz w:val="21"/>
                      <w:szCs w:val="21"/>
                      <w:vertAlign w:val="subscript"/>
                    </w:rPr>
                    <w:t>2</w:t>
                  </w:r>
                  <w:r>
                    <w:rPr>
                      <w:rFonts w:hint="default" w:ascii="Times New Roman" w:hAnsi="Times New Roman" w:eastAsia="宋体" w:cs="Times New Roman"/>
                      <w:b w:val="0"/>
                      <w:color w:val="000000"/>
                      <w:kern w:val="0"/>
                      <w:sz w:val="21"/>
                      <w:szCs w:val="21"/>
                    </w:rPr>
                    <w:t>O</w:t>
                  </w:r>
                </w:p>
              </w:tc>
              <w:tc>
                <w:tcPr>
                  <w:tcW w:w="387" w:type="pct"/>
                  <w:shd w:val="clear" w:color="auto" w:fill="auto"/>
                  <w:vAlign w:val="center"/>
                </w:tcPr>
                <w:p w14:paraId="1459143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H</w:t>
                  </w:r>
                  <w:r>
                    <w:rPr>
                      <w:rFonts w:hint="default" w:ascii="Times New Roman" w:hAnsi="Times New Roman" w:eastAsia="宋体" w:cs="Times New Roman"/>
                      <w:b w:val="0"/>
                      <w:color w:val="000000"/>
                      <w:kern w:val="0"/>
                      <w:sz w:val="21"/>
                      <w:szCs w:val="21"/>
                      <w:vertAlign w:val="subscript"/>
                    </w:rPr>
                    <w:t>2</w:t>
                  </w:r>
                  <w:r>
                    <w:rPr>
                      <w:rFonts w:hint="default" w:ascii="Times New Roman" w:hAnsi="Times New Roman" w:eastAsia="宋体" w:cs="Times New Roman"/>
                      <w:b w:val="0"/>
                      <w:color w:val="000000"/>
                      <w:kern w:val="0"/>
                      <w:sz w:val="21"/>
                      <w:szCs w:val="21"/>
                    </w:rPr>
                    <w:t>0</w:t>
                  </w:r>
                  <w:r>
                    <w:rPr>
                      <w:rFonts w:hint="default" w:ascii="Times New Roman" w:hAnsi="Times New Roman" w:eastAsia="宋体" w:cs="Times New Roman"/>
                      <w:b w:val="0"/>
                      <w:color w:val="000000"/>
                      <w:kern w:val="0"/>
                      <w:sz w:val="21"/>
                      <w:szCs w:val="21"/>
                      <w:vertAlign w:val="superscript"/>
                    </w:rPr>
                    <w:t>-</w:t>
                  </w:r>
                </w:p>
              </w:tc>
              <w:tc>
                <w:tcPr>
                  <w:tcW w:w="360" w:type="pct"/>
                  <w:shd w:val="clear" w:color="auto" w:fill="auto"/>
                  <w:vAlign w:val="center"/>
                </w:tcPr>
                <w:p w14:paraId="38682684">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H</w:t>
                  </w:r>
                  <w:r>
                    <w:rPr>
                      <w:rFonts w:hint="default" w:ascii="Times New Roman" w:hAnsi="Times New Roman" w:eastAsia="宋体" w:cs="Times New Roman"/>
                      <w:b w:val="0"/>
                      <w:color w:val="000000"/>
                      <w:kern w:val="0"/>
                      <w:sz w:val="21"/>
                      <w:szCs w:val="21"/>
                      <w:vertAlign w:val="subscript"/>
                    </w:rPr>
                    <w:t>2</w:t>
                  </w:r>
                  <w:r>
                    <w:rPr>
                      <w:rFonts w:hint="default" w:ascii="Times New Roman" w:hAnsi="Times New Roman" w:eastAsia="宋体" w:cs="Times New Roman"/>
                      <w:b w:val="0"/>
                      <w:color w:val="000000"/>
                      <w:kern w:val="0"/>
                      <w:sz w:val="21"/>
                      <w:szCs w:val="21"/>
                    </w:rPr>
                    <w:t>0</w:t>
                  </w:r>
                  <w:r>
                    <w:rPr>
                      <w:rFonts w:hint="default" w:ascii="Times New Roman" w:hAnsi="Times New Roman" w:eastAsia="宋体" w:cs="Times New Roman"/>
                      <w:b w:val="0"/>
                      <w:color w:val="000000"/>
                      <w:kern w:val="0"/>
                      <w:sz w:val="21"/>
                      <w:szCs w:val="21"/>
                      <w:vertAlign w:val="superscript"/>
                    </w:rPr>
                    <w:t>+</w:t>
                  </w:r>
                </w:p>
              </w:tc>
              <w:tc>
                <w:tcPr>
                  <w:tcW w:w="377" w:type="pct"/>
                  <w:tcBorders>
                    <w:right w:val="nil"/>
                  </w:tcBorders>
                  <w:shd w:val="clear" w:color="auto" w:fill="auto"/>
                  <w:vAlign w:val="center"/>
                </w:tcPr>
                <w:p w14:paraId="0E9A6ED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H</w:t>
                  </w:r>
                  <w:r>
                    <w:rPr>
                      <w:rFonts w:hint="default" w:ascii="Times New Roman" w:hAnsi="Times New Roman" w:eastAsia="宋体" w:cs="Times New Roman"/>
                      <w:b w:val="0"/>
                      <w:color w:val="000000"/>
                      <w:kern w:val="0"/>
                      <w:sz w:val="21"/>
                      <w:szCs w:val="21"/>
                      <w:vertAlign w:val="subscript"/>
                    </w:rPr>
                    <w:t>2</w:t>
                  </w:r>
                  <w:r>
                    <w:rPr>
                      <w:rFonts w:hint="default" w:ascii="Times New Roman" w:hAnsi="Times New Roman" w:eastAsia="宋体" w:cs="Times New Roman"/>
                      <w:b w:val="0"/>
                      <w:color w:val="000000"/>
                      <w:kern w:val="0"/>
                      <w:sz w:val="21"/>
                      <w:szCs w:val="21"/>
                    </w:rPr>
                    <w:t>0</w:t>
                  </w:r>
                </w:p>
              </w:tc>
            </w:tr>
            <w:tr w14:paraId="2AF92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220" w:type="pct"/>
                  <w:vMerge w:val="restart"/>
                  <w:tcBorders>
                    <w:left w:val="nil"/>
                  </w:tcBorders>
                  <w:shd w:val="clear" w:color="auto" w:fill="auto"/>
                  <w:vAlign w:val="center"/>
                </w:tcPr>
                <w:p w14:paraId="1780D1A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w:t>
                  </w:r>
                </w:p>
              </w:tc>
              <w:tc>
                <w:tcPr>
                  <w:tcW w:w="289" w:type="pct"/>
                  <w:vMerge w:val="restart"/>
                  <w:shd w:val="clear" w:color="auto" w:fill="auto"/>
                  <w:vAlign w:val="center"/>
                </w:tcPr>
                <w:p w14:paraId="43F8EFE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A</w:t>
                  </w:r>
                </w:p>
              </w:tc>
              <w:tc>
                <w:tcPr>
                  <w:tcW w:w="332" w:type="pct"/>
                  <w:vMerge w:val="restart"/>
                  <w:shd w:val="clear" w:color="auto" w:fill="auto"/>
                  <w:vAlign w:val="center"/>
                </w:tcPr>
                <w:p w14:paraId="401950A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Ⅰ</w:t>
                  </w:r>
                </w:p>
              </w:tc>
              <w:tc>
                <w:tcPr>
                  <w:tcW w:w="436" w:type="pct"/>
                  <w:shd w:val="clear" w:color="auto" w:fill="auto"/>
                  <w:vAlign w:val="center"/>
                </w:tcPr>
                <w:p w14:paraId="2637222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65.34</w:t>
                  </w:r>
                </w:p>
              </w:tc>
              <w:tc>
                <w:tcPr>
                  <w:tcW w:w="453" w:type="pct"/>
                  <w:shd w:val="clear" w:color="auto" w:fill="auto"/>
                  <w:vAlign w:val="center"/>
                </w:tcPr>
                <w:p w14:paraId="2C26211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11.52</w:t>
                  </w:r>
                </w:p>
              </w:tc>
              <w:tc>
                <w:tcPr>
                  <w:tcW w:w="453" w:type="pct"/>
                  <w:shd w:val="clear" w:color="auto" w:fill="auto"/>
                  <w:vAlign w:val="center"/>
                </w:tcPr>
                <w:p w14:paraId="4DCF360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4.66</w:t>
                  </w:r>
                </w:p>
              </w:tc>
              <w:tc>
                <w:tcPr>
                  <w:tcW w:w="459" w:type="pct"/>
                  <w:shd w:val="clear" w:color="auto" w:fill="auto"/>
                  <w:vAlign w:val="center"/>
                </w:tcPr>
                <w:p w14:paraId="2159AFB9">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0.63</w:t>
                  </w:r>
                </w:p>
              </w:tc>
              <w:tc>
                <w:tcPr>
                  <w:tcW w:w="453" w:type="pct"/>
                  <w:shd w:val="clear" w:color="auto" w:fill="auto"/>
                  <w:vAlign w:val="center"/>
                </w:tcPr>
                <w:p w14:paraId="08B7109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5.23</w:t>
                  </w:r>
                </w:p>
              </w:tc>
              <w:tc>
                <w:tcPr>
                  <w:tcW w:w="387" w:type="pct"/>
                  <w:shd w:val="clear" w:color="auto" w:fill="auto"/>
                  <w:vAlign w:val="center"/>
                </w:tcPr>
                <w:p w14:paraId="72055104">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3.91</w:t>
                  </w:r>
                </w:p>
              </w:tc>
              <w:tc>
                <w:tcPr>
                  <w:tcW w:w="387" w:type="pct"/>
                  <w:shd w:val="clear" w:color="auto" w:fill="auto"/>
                  <w:vAlign w:val="center"/>
                </w:tcPr>
                <w:p w14:paraId="5101FB91">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2.85</w:t>
                  </w:r>
                </w:p>
              </w:tc>
              <w:tc>
                <w:tcPr>
                  <w:tcW w:w="387" w:type="pct"/>
                  <w:shd w:val="clear" w:color="auto" w:fill="auto"/>
                  <w:vAlign w:val="center"/>
                </w:tcPr>
                <w:p w14:paraId="541CBFEB">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2.10</w:t>
                  </w:r>
                </w:p>
              </w:tc>
              <w:tc>
                <w:tcPr>
                  <w:tcW w:w="360" w:type="pct"/>
                  <w:shd w:val="clear" w:color="auto" w:fill="auto"/>
                  <w:vAlign w:val="center"/>
                </w:tcPr>
                <w:p w14:paraId="6DFB76D5">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77" w:type="pct"/>
                  <w:tcBorders>
                    <w:right w:val="nil"/>
                  </w:tcBorders>
                  <w:shd w:val="clear" w:color="auto" w:fill="auto"/>
                  <w:vAlign w:val="center"/>
                </w:tcPr>
                <w:p w14:paraId="630AA8C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r>
            <w:tr w14:paraId="3BDB7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0" w:type="pct"/>
                  <w:vMerge w:val="continue"/>
                  <w:tcBorders>
                    <w:left w:val="nil"/>
                  </w:tcBorders>
                  <w:shd w:val="clear" w:color="auto" w:fill="auto"/>
                  <w:vAlign w:val="center"/>
                </w:tcPr>
                <w:p w14:paraId="32D487A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289" w:type="pct"/>
                  <w:vMerge w:val="continue"/>
                  <w:shd w:val="clear" w:color="auto" w:fill="auto"/>
                  <w:vAlign w:val="center"/>
                </w:tcPr>
                <w:p w14:paraId="1E63C497">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32" w:type="pct"/>
                  <w:vMerge w:val="continue"/>
                  <w:shd w:val="clear" w:color="auto" w:fill="auto"/>
                  <w:vAlign w:val="center"/>
                </w:tcPr>
                <w:p w14:paraId="7479A8EC">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436" w:type="pct"/>
                  <w:shd w:val="clear" w:color="auto" w:fill="auto"/>
                  <w:vAlign w:val="center"/>
                </w:tcPr>
                <w:p w14:paraId="7A525E4A">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66.33</w:t>
                  </w:r>
                </w:p>
              </w:tc>
              <w:tc>
                <w:tcPr>
                  <w:tcW w:w="453" w:type="pct"/>
                  <w:shd w:val="clear" w:color="auto" w:fill="auto"/>
                  <w:vAlign w:val="center"/>
                </w:tcPr>
                <w:p w14:paraId="44F8472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13.51</w:t>
                  </w:r>
                </w:p>
              </w:tc>
              <w:tc>
                <w:tcPr>
                  <w:tcW w:w="453" w:type="pct"/>
                  <w:shd w:val="clear" w:color="auto" w:fill="auto"/>
                  <w:vAlign w:val="center"/>
                </w:tcPr>
                <w:p w14:paraId="03CD756A">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4.67</w:t>
                  </w:r>
                </w:p>
              </w:tc>
              <w:tc>
                <w:tcPr>
                  <w:tcW w:w="459" w:type="pct"/>
                  <w:shd w:val="clear" w:color="auto" w:fill="auto"/>
                  <w:vAlign w:val="center"/>
                </w:tcPr>
                <w:p w14:paraId="7C1E0E5D">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0.6l</w:t>
                  </w:r>
                </w:p>
              </w:tc>
              <w:tc>
                <w:tcPr>
                  <w:tcW w:w="453" w:type="pct"/>
                  <w:shd w:val="clear" w:color="auto" w:fill="auto"/>
                  <w:vAlign w:val="center"/>
                </w:tcPr>
                <w:p w14:paraId="281A021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5.21</w:t>
                  </w:r>
                </w:p>
              </w:tc>
              <w:tc>
                <w:tcPr>
                  <w:tcW w:w="387" w:type="pct"/>
                  <w:shd w:val="clear" w:color="auto" w:fill="auto"/>
                  <w:vAlign w:val="center"/>
                </w:tcPr>
                <w:p w14:paraId="08CF136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3.92</w:t>
                  </w:r>
                </w:p>
              </w:tc>
              <w:tc>
                <w:tcPr>
                  <w:tcW w:w="387" w:type="pct"/>
                  <w:shd w:val="clear" w:color="auto" w:fill="auto"/>
                  <w:vAlign w:val="center"/>
                </w:tcPr>
                <w:p w14:paraId="0B276714">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2.6l</w:t>
                  </w:r>
                </w:p>
              </w:tc>
              <w:tc>
                <w:tcPr>
                  <w:tcW w:w="387" w:type="pct"/>
                  <w:shd w:val="clear" w:color="auto" w:fill="auto"/>
                  <w:vAlign w:val="center"/>
                </w:tcPr>
                <w:p w14:paraId="01AA20E4">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2.04</w:t>
                  </w:r>
                </w:p>
              </w:tc>
              <w:tc>
                <w:tcPr>
                  <w:tcW w:w="360" w:type="pct"/>
                  <w:shd w:val="clear" w:color="auto" w:fill="auto"/>
                  <w:vAlign w:val="center"/>
                </w:tcPr>
                <w:p w14:paraId="76BC8E4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77" w:type="pct"/>
                  <w:tcBorders>
                    <w:right w:val="nil"/>
                  </w:tcBorders>
                  <w:shd w:val="clear" w:color="auto" w:fill="auto"/>
                  <w:vAlign w:val="center"/>
                </w:tcPr>
                <w:p w14:paraId="3AAA8C77">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r>
            <w:tr w14:paraId="415B0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220" w:type="pct"/>
                  <w:vMerge w:val="restart"/>
                  <w:tcBorders>
                    <w:left w:val="nil"/>
                  </w:tcBorders>
                  <w:shd w:val="clear" w:color="auto" w:fill="auto"/>
                  <w:vAlign w:val="center"/>
                </w:tcPr>
                <w:p w14:paraId="6D0EEA44">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w:t>
                  </w:r>
                </w:p>
              </w:tc>
              <w:tc>
                <w:tcPr>
                  <w:tcW w:w="289" w:type="pct"/>
                  <w:vMerge w:val="restart"/>
                  <w:shd w:val="clear" w:color="auto" w:fill="auto"/>
                  <w:vAlign w:val="center"/>
                </w:tcPr>
                <w:p w14:paraId="703E1D06">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B</w:t>
                  </w:r>
                </w:p>
              </w:tc>
              <w:tc>
                <w:tcPr>
                  <w:tcW w:w="332" w:type="pct"/>
                  <w:vMerge w:val="restart"/>
                  <w:shd w:val="clear" w:color="auto" w:fill="auto"/>
                  <w:vAlign w:val="center"/>
                </w:tcPr>
                <w:p w14:paraId="19EC65CB">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Ⅱ</w:t>
                  </w:r>
                </w:p>
              </w:tc>
              <w:tc>
                <w:tcPr>
                  <w:tcW w:w="436" w:type="pct"/>
                  <w:shd w:val="clear" w:color="auto" w:fill="auto"/>
                  <w:vAlign w:val="center"/>
                </w:tcPr>
                <w:p w14:paraId="1D09E4E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56.86</w:t>
                  </w:r>
                </w:p>
              </w:tc>
              <w:tc>
                <w:tcPr>
                  <w:tcW w:w="453" w:type="pct"/>
                  <w:shd w:val="clear" w:color="auto" w:fill="auto"/>
                  <w:vAlign w:val="center"/>
                </w:tcPr>
                <w:p w14:paraId="1F9F48B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11.81</w:t>
                  </w:r>
                </w:p>
              </w:tc>
              <w:tc>
                <w:tcPr>
                  <w:tcW w:w="453" w:type="pct"/>
                  <w:shd w:val="clear" w:color="auto" w:fill="auto"/>
                  <w:vAlign w:val="center"/>
                </w:tcPr>
                <w:p w14:paraId="3CB44874">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5.10</w:t>
                  </w:r>
                </w:p>
              </w:tc>
              <w:tc>
                <w:tcPr>
                  <w:tcW w:w="459" w:type="pct"/>
                  <w:shd w:val="clear" w:color="auto" w:fill="auto"/>
                  <w:vAlign w:val="center"/>
                </w:tcPr>
                <w:p w14:paraId="6B4C4CAD">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0.6l</w:t>
                  </w:r>
                </w:p>
              </w:tc>
              <w:tc>
                <w:tcPr>
                  <w:tcW w:w="453" w:type="pct"/>
                  <w:shd w:val="clear" w:color="auto" w:fill="auto"/>
                  <w:vAlign w:val="center"/>
                </w:tcPr>
                <w:p w14:paraId="69266E1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8.35</w:t>
                  </w:r>
                </w:p>
              </w:tc>
              <w:tc>
                <w:tcPr>
                  <w:tcW w:w="387" w:type="pct"/>
                  <w:shd w:val="clear" w:color="auto" w:fill="auto"/>
                  <w:vAlign w:val="center"/>
                </w:tcPr>
                <w:p w14:paraId="0259B80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8.58</w:t>
                  </w:r>
                </w:p>
              </w:tc>
              <w:tc>
                <w:tcPr>
                  <w:tcW w:w="387" w:type="pct"/>
                  <w:shd w:val="clear" w:color="auto" w:fill="auto"/>
                  <w:vAlign w:val="center"/>
                </w:tcPr>
                <w:p w14:paraId="46F5B85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2.70</w:t>
                  </w:r>
                </w:p>
              </w:tc>
              <w:tc>
                <w:tcPr>
                  <w:tcW w:w="387" w:type="pct"/>
                  <w:shd w:val="clear" w:color="auto" w:fill="auto"/>
                  <w:vAlign w:val="center"/>
                </w:tcPr>
                <w:p w14:paraId="5BACB1C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1.75</w:t>
                  </w:r>
                </w:p>
              </w:tc>
              <w:tc>
                <w:tcPr>
                  <w:tcW w:w="360" w:type="pct"/>
                  <w:shd w:val="clear" w:color="auto" w:fill="auto"/>
                  <w:vAlign w:val="center"/>
                </w:tcPr>
                <w:p w14:paraId="0B2BF7A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3.88</w:t>
                  </w:r>
                </w:p>
              </w:tc>
              <w:tc>
                <w:tcPr>
                  <w:tcW w:w="377" w:type="pct"/>
                  <w:tcBorders>
                    <w:right w:val="nil"/>
                  </w:tcBorders>
                  <w:shd w:val="clear" w:color="auto" w:fill="auto"/>
                  <w:vAlign w:val="center"/>
                </w:tcPr>
                <w:p w14:paraId="30C99B6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r>
            <w:tr w14:paraId="48B6E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0" w:type="pct"/>
                  <w:vMerge w:val="continue"/>
                  <w:tcBorders>
                    <w:left w:val="nil"/>
                  </w:tcBorders>
                  <w:shd w:val="clear" w:color="auto" w:fill="auto"/>
                  <w:vAlign w:val="center"/>
                </w:tcPr>
                <w:p w14:paraId="5B72308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289" w:type="pct"/>
                  <w:vMerge w:val="continue"/>
                  <w:shd w:val="clear" w:color="auto" w:fill="auto"/>
                  <w:vAlign w:val="center"/>
                </w:tcPr>
                <w:p w14:paraId="46BDB996">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32" w:type="pct"/>
                  <w:vMerge w:val="continue"/>
                  <w:shd w:val="clear" w:color="auto" w:fill="auto"/>
                  <w:vAlign w:val="center"/>
                </w:tcPr>
                <w:p w14:paraId="77858EF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436" w:type="pct"/>
                  <w:shd w:val="clear" w:color="auto" w:fill="auto"/>
                  <w:vAlign w:val="center"/>
                </w:tcPr>
                <w:p w14:paraId="59C9E9DA">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56.87</w:t>
                  </w:r>
                </w:p>
              </w:tc>
              <w:tc>
                <w:tcPr>
                  <w:tcW w:w="453" w:type="pct"/>
                  <w:shd w:val="clear" w:color="auto" w:fill="auto"/>
                  <w:vAlign w:val="center"/>
                </w:tcPr>
                <w:p w14:paraId="321D277D">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13.82</w:t>
                  </w:r>
                </w:p>
              </w:tc>
              <w:tc>
                <w:tcPr>
                  <w:tcW w:w="453" w:type="pct"/>
                  <w:shd w:val="clear" w:color="auto" w:fill="auto"/>
                  <w:vAlign w:val="center"/>
                </w:tcPr>
                <w:p w14:paraId="2380B157">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w:t>
                  </w:r>
                  <w:r>
                    <w:rPr>
                      <w:rFonts w:hint="eastAsia" w:ascii="Times New Roman" w:hAnsi="Times New Roman" w:eastAsia="宋体" w:cs="Times New Roman"/>
                      <w:b w:val="0"/>
                      <w:color w:val="000000"/>
                      <w:kern w:val="0"/>
                      <w:sz w:val="21"/>
                      <w:szCs w:val="21"/>
                      <w:lang w:eastAsia="zh-CN"/>
                    </w:rPr>
                    <w:t>.</w:t>
                  </w:r>
                  <w:r>
                    <w:rPr>
                      <w:rFonts w:hint="eastAsia" w:ascii="Times New Roman" w:hAnsi="Times New Roman" w:eastAsia="宋体" w:cs="Times New Roman"/>
                      <w:b w:val="0"/>
                      <w:color w:val="000000"/>
                      <w:kern w:val="0"/>
                      <w:sz w:val="21"/>
                      <w:szCs w:val="21"/>
                      <w:lang w:val="en-US" w:eastAsia="zh-CN"/>
                    </w:rPr>
                    <w:t>01</w:t>
                  </w:r>
                </w:p>
              </w:tc>
              <w:tc>
                <w:tcPr>
                  <w:tcW w:w="459" w:type="pct"/>
                  <w:shd w:val="clear" w:color="auto" w:fill="auto"/>
                  <w:vAlign w:val="center"/>
                </w:tcPr>
                <w:p w14:paraId="1B2022A9">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0.63</w:t>
                  </w:r>
                </w:p>
              </w:tc>
              <w:tc>
                <w:tcPr>
                  <w:tcW w:w="453" w:type="pct"/>
                  <w:shd w:val="clear" w:color="auto" w:fill="auto"/>
                  <w:vAlign w:val="center"/>
                </w:tcPr>
                <w:p w14:paraId="3ADE6EE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8.33</w:t>
                  </w:r>
                </w:p>
              </w:tc>
              <w:tc>
                <w:tcPr>
                  <w:tcW w:w="387" w:type="pct"/>
                  <w:shd w:val="clear" w:color="auto" w:fill="auto"/>
                  <w:vAlign w:val="center"/>
                </w:tcPr>
                <w:p w14:paraId="0250A481">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8.55</w:t>
                  </w:r>
                </w:p>
              </w:tc>
              <w:tc>
                <w:tcPr>
                  <w:tcW w:w="387" w:type="pct"/>
                  <w:shd w:val="clear" w:color="auto" w:fill="auto"/>
                  <w:vAlign w:val="center"/>
                </w:tcPr>
                <w:p w14:paraId="6AC39884">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2.69</w:t>
                  </w:r>
                </w:p>
              </w:tc>
              <w:tc>
                <w:tcPr>
                  <w:tcW w:w="387" w:type="pct"/>
                  <w:shd w:val="clear" w:color="auto" w:fill="auto"/>
                  <w:vAlign w:val="center"/>
                </w:tcPr>
                <w:p w14:paraId="6CBEEDD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1.76</w:t>
                  </w:r>
                </w:p>
              </w:tc>
              <w:tc>
                <w:tcPr>
                  <w:tcW w:w="360" w:type="pct"/>
                  <w:shd w:val="clear" w:color="auto" w:fill="auto"/>
                  <w:vAlign w:val="center"/>
                </w:tcPr>
                <w:p w14:paraId="73B886C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77" w:type="pct"/>
                  <w:tcBorders>
                    <w:right w:val="nil"/>
                  </w:tcBorders>
                  <w:shd w:val="clear" w:color="auto" w:fill="auto"/>
                  <w:vAlign w:val="center"/>
                </w:tcPr>
                <w:p w14:paraId="0916BF55">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r>
            <w:tr w14:paraId="1FC48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220" w:type="pct"/>
                  <w:vMerge w:val="restart"/>
                  <w:tcBorders>
                    <w:left w:val="nil"/>
                  </w:tcBorders>
                  <w:shd w:val="clear" w:color="auto" w:fill="auto"/>
                  <w:vAlign w:val="center"/>
                </w:tcPr>
                <w:p w14:paraId="2BD3B955">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3</w:t>
                  </w:r>
                </w:p>
              </w:tc>
              <w:tc>
                <w:tcPr>
                  <w:tcW w:w="289" w:type="pct"/>
                  <w:vMerge w:val="restart"/>
                  <w:shd w:val="clear" w:color="auto" w:fill="auto"/>
                  <w:vAlign w:val="center"/>
                </w:tcPr>
                <w:p w14:paraId="7479B53D">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C</w:t>
                  </w:r>
                </w:p>
              </w:tc>
              <w:tc>
                <w:tcPr>
                  <w:tcW w:w="332" w:type="pct"/>
                  <w:vMerge w:val="restart"/>
                  <w:shd w:val="clear" w:color="auto" w:fill="auto"/>
                  <w:vAlign w:val="center"/>
                </w:tcPr>
                <w:p w14:paraId="7C2ACA4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Ⅲ</w:t>
                  </w:r>
                </w:p>
              </w:tc>
              <w:tc>
                <w:tcPr>
                  <w:tcW w:w="436" w:type="pct"/>
                  <w:shd w:val="clear" w:color="auto" w:fill="auto"/>
                  <w:vAlign w:val="center"/>
                </w:tcPr>
                <w:p w14:paraId="10A0414C">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65.33</w:t>
                  </w:r>
                </w:p>
              </w:tc>
              <w:tc>
                <w:tcPr>
                  <w:tcW w:w="453" w:type="pct"/>
                  <w:shd w:val="clear" w:color="auto" w:fill="auto"/>
                  <w:vAlign w:val="center"/>
                </w:tcPr>
                <w:p w14:paraId="6EF5B92D">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12.49</w:t>
                  </w:r>
                </w:p>
              </w:tc>
              <w:tc>
                <w:tcPr>
                  <w:tcW w:w="453" w:type="pct"/>
                  <w:shd w:val="clear" w:color="auto" w:fill="auto"/>
                  <w:vAlign w:val="center"/>
                </w:tcPr>
                <w:p w14:paraId="63CDF8D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4.68</w:t>
                  </w:r>
                </w:p>
              </w:tc>
              <w:tc>
                <w:tcPr>
                  <w:tcW w:w="459" w:type="pct"/>
                  <w:shd w:val="clear" w:color="auto" w:fill="auto"/>
                  <w:vAlign w:val="center"/>
                </w:tcPr>
                <w:p w14:paraId="6FD150DC">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0.64</w:t>
                  </w:r>
                </w:p>
              </w:tc>
              <w:tc>
                <w:tcPr>
                  <w:tcW w:w="453" w:type="pct"/>
                  <w:shd w:val="clear" w:color="auto" w:fill="auto"/>
                  <w:vAlign w:val="center"/>
                </w:tcPr>
                <w:p w14:paraId="4C17FD8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5.26</w:t>
                  </w:r>
                </w:p>
              </w:tc>
              <w:tc>
                <w:tcPr>
                  <w:tcW w:w="387" w:type="pct"/>
                  <w:shd w:val="clear" w:color="auto" w:fill="auto"/>
                  <w:vAlign w:val="center"/>
                </w:tcPr>
                <w:p w14:paraId="4F6737A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3.93</w:t>
                  </w:r>
                </w:p>
              </w:tc>
              <w:tc>
                <w:tcPr>
                  <w:tcW w:w="387" w:type="pct"/>
                  <w:shd w:val="clear" w:color="auto" w:fill="auto"/>
                  <w:vAlign w:val="center"/>
                </w:tcPr>
                <w:p w14:paraId="45CFFB2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2.90</w:t>
                  </w:r>
                </w:p>
              </w:tc>
              <w:tc>
                <w:tcPr>
                  <w:tcW w:w="387" w:type="pct"/>
                  <w:shd w:val="clear" w:color="auto" w:fill="auto"/>
                  <w:vAlign w:val="center"/>
                </w:tcPr>
                <w:p w14:paraId="56E30B6A">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2.04</w:t>
                  </w:r>
                </w:p>
              </w:tc>
              <w:tc>
                <w:tcPr>
                  <w:tcW w:w="360" w:type="pct"/>
                  <w:shd w:val="clear" w:color="auto" w:fill="auto"/>
                  <w:vAlign w:val="center"/>
                </w:tcPr>
                <w:p w14:paraId="5F39D23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3.70</w:t>
                  </w:r>
                </w:p>
              </w:tc>
              <w:tc>
                <w:tcPr>
                  <w:tcW w:w="377" w:type="pct"/>
                  <w:tcBorders>
                    <w:right w:val="nil"/>
                  </w:tcBorders>
                  <w:shd w:val="clear" w:color="auto" w:fill="auto"/>
                  <w:vAlign w:val="center"/>
                </w:tcPr>
                <w:p w14:paraId="4841CF8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r>
            <w:tr w14:paraId="34F6B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0" w:type="pct"/>
                  <w:vMerge w:val="continue"/>
                  <w:tcBorders>
                    <w:left w:val="nil"/>
                  </w:tcBorders>
                  <w:shd w:val="clear" w:color="auto" w:fill="auto"/>
                  <w:vAlign w:val="center"/>
                </w:tcPr>
                <w:p w14:paraId="50F1FA2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289" w:type="pct"/>
                  <w:vMerge w:val="continue"/>
                  <w:shd w:val="clear" w:color="auto" w:fill="auto"/>
                  <w:vAlign w:val="center"/>
                </w:tcPr>
                <w:p w14:paraId="6E17A8E6">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32" w:type="pct"/>
                  <w:vMerge w:val="continue"/>
                  <w:shd w:val="clear" w:color="auto" w:fill="auto"/>
                  <w:vAlign w:val="center"/>
                </w:tcPr>
                <w:p w14:paraId="1CB778D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436" w:type="pct"/>
                  <w:shd w:val="clear" w:color="auto" w:fill="auto"/>
                  <w:vAlign w:val="center"/>
                </w:tcPr>
                <w:p w14:paraId="45A4931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64.31</w:t>
                  </w:r>
                </w:p>
              </w:tc>
              <w:tc>
                <w:tcPr>
                  <w:tcW w:w="453" w:type="pct"/>
                  <w:shd w:val="clear" w:color="auto" w:fill="auto"/>
                  <w:vAlign w:val="center"/>
                </w:tcPr>
                <w:p w14:paraId="55ACE81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12.45</w:t>
                  </w:r>
                </w:p>
              </w:tc>
              <w:tc>
                <w:tcPr>
                  <w:tcW w:w="453" w:type="pct"/>
                  <w:shd w:val="clear" w:color="auto" w:fill="auto"/>
                  <w:vAlign w:val="center"/>
                </w:tcPr>
                <w:p w14:paraId="6551E1A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4.65</w:t>
                  </w:r>
                </w:p>
              </w:tc>
              <w:tc>
                <w:tcPr>
                  <w:tcW w:w="459" w:type="pct"/>
                  <w:shd w:val="clear" w:color="auto" w:fill="auto"/>
                  <w:vAlign w:val="center"/>
                </w:tcPr>
                <w:p w14:paraId="11499457">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0.60</w:t>
                  </w:r>
                </w:p>
              </w:tc>
              <w:tc>
                <w:tcPr>
                  <w:tcW w:w="453" w:type="pct"/>
                  <w:shd w:val="clear" w:color="auto" w:fill="auto"/>
                  <w:vAlign w:val="center"/>
                </w:tcPr>
                <w:p w14:paraId="4ECC7F95">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5.22</w:t>
                  </w:r>
                </w:p>
              </w:tc>
              <w:tc>
                <w:tcPr>
                  <w:tcW w:w="387" w:type="pct"/>
                  <w:shd w:val="clear" w:color="auto" w:fill="auto"/>
                  <w:vAlign w:val="center"/>
                </w:tcPr>
                <w:p w14:paraId="164756E4">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3.90</w:t>
                  </w:r>
                </w:p>
              </w:tc>
              <w:tc>
                <w:tcPr>
                  <w:tcW w:w="387" w:type="pct"/>
                  <w:shd w:val="clear" w:color="auto" w:fill="auto"/>
                  <w:vAlign w:val="center"/>
                </w:tcPr>
                <w:p w14:paraId="49DD218C">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2.82</w:t>
                  </w:r>
                </w:p>
              </w:tc>
              <w:tc>
                <w:tcPr>
                  <w:tcW w:w="387" w:type="pct"/>
                  <w:shd w:val="clear" w:color="auto" w:fill="auto"/>
                  <w:vAlign w:val="center"/>
                </w:tcPr>
                <w:p w14:paraId="435CE4F5">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2.00</w:t>
                  </w:r>
                </w:p>
              </w:tc>
              <w:tc>
                <w:tcPr>
                  <w:tcW w:w="360" w:type="pct"/>
                  <w:shd w:val="clear" w:color="auto" w:fill="auto"/>
                  <w:vAlign w:val="center"/>
                </w:tcPr>
                <w:p w14:paraId="5DC85076">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77" w:type="pct"/>
                  <w:tcBorders>
                    <w:right w:val="nil"/>
                  </w:tcBorders>
                  <w:shd w:val="clear" w:color="auto" w:fill="auto"/>
                  <w:vAlign w:val="center"/>
                </w:tcPr>
                <w:p w14:paraId="68C3A751">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r>
            <w:tr w14:paraId="41DA1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220" w:type="pct"/>
                  <w:vMerge w:val="restart"/>
                  <w:tcBorders>
                    <w:left w:val="nil"/>
                  </w:tcBorders>
                  <w:shd w:val="clear" w:color="auto" w:fill="auto"/>
                  <w:vAlign w:val="center"/>
                </w:tcPr>
                <w:p w14:paraId="76D2BCAA">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4</w:t>
                  </w:r>
                </w:p>
              </w:tc>
              <w:tc>
                <w:tcPr>
                  <w:tcW w:w="289" w:type="pct"/>
                  <w:vMerge w:val="restart"/>
                  <w:shd w:val="clear" w:color="auto" w:fill="auto"/>
                  <w:vAlign w:val="center"/>
                </w:tcPr>
                <w:p w14:paraId="0D9CB6A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D</w:t>
                  </w:r>
                </w:p>
              </w:tc>
              <w:tc>
                <w:tcPr>
                  <w:tcW w:w="332" w:type="pct"/>
                  <w:vMerge w:val="restart"/>
                  <w:shd w:val="clear" w:color="auto" w:fill="auto"/>
                  <w:vAlign w:val="center"/>
                </w:tcPr>
                <w:p w14:paraId="5018DA7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Ⅳ</w:t>
                  </w:r>
                </w:p>
              </w:tc>
              <w:tc>
                <w:tcPr>
                  <w:tcW w:w="436" w:type="pct"/>
                  <w:shd w:val="clear" w:color="auto" w:fill="auto"/>
                  <w:vAlign w:val="center"/>
                </w:tcPr>
                <w:p w14:paraId="6483173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57.86</w:t>
                  </w:r>
                </w:p>
              </w:tc>
              <w:tc>
                <w:tcPr>
                  <w:tcW w:w="453" w:type="pct"/>
                  <w:shd w:val="clear" w:color="auto" w:fill="auto"/>
                  <w:vAlign w:val="center"/>
                </w:tcPr>
                <w:p w14:paraId="141DC9E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12.83</w:t>
                  </w:r>
                </w:p>
              </w:tc>
              <w:tc>
                <w:tcPr>
                  <w:tcW w:w="453" w:type="pct"/>
                  <w:shd w:val="clear" w:color="auto" w:fill="auto"/>
                  <w:vAlign w:val="center"/>
                </w:tcPr>
                <w:p w14:paraId="55D89776">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5.02</w:t>
                  </w:r>
                </w:p>
              </w:tc>
              <w:tc>
                <w:tcPr>
                  <w:tcW w:w="459" w:type="pct"/>
                  <w:shd w:val="clear" w:color="auto" w:fill="auto"/>
                  <w:vAlign w:val="center"/>
                </w:tcPr>
                <w:p w14:paraId="7137683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0.69</w:t>
                  </w:r>
                </w:p>
              </w:tc>
              <w:tc>
                <w:tcPr>
                  <w:tcW w:w="453" w:type="pct"/>
                  <w:shd w:val="clear" w:color="auto" w:fill="auto"/>
                  <w:vAlign w:val="center"/>
                </w:tcPr>
                <w:p w14:paraId="75A560AA">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8.38</w:t>
                  </w:r>
                </w:p>
              </w:tc>
              <w:tc>
                <w:tcPr>
                  <w:tcW w:w="387" w:type="pct"/>
                  <w:shd w:val="clear" w:color="auto" w:fill="auto"/>
                  <w:vAlign w:val="center"/>
                </w:tcPr>
                <w:p w14:paraId="647A489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8.58</w:t>
                  </w:r>
                </w:p>
              </w:tc>
              <w:tc>
                <w:tcPr>
                  <w:tcW w:w="387" w:type="pct"/>
                  <w:shd w:val="clear" w:color="auto" w:fill="auto"/>
                  <w:vAlign w:val="center"/>
                </w:tcPr>
                <w:p w14:paraId="423F221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2.73</w:t>
                  </w:r>
                </w:p>
              </w:tc>
              <w:tc>
                <w:tcPr>
                  <w:tcW w:w="387" w:type="pct"/>
                  <w:shd w:val="clear" w:color="auto" w:fill="auto"/>
                  <w:vAlign w:val="center"/>
                </w:tcPr>
                <w:p w14:paraId="0B0CB643">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1.79</w:t>
                  </w:r>
                </w:p>
              </w:tc>
              <w:tc>
                <w:tcPr>
                  <w:tcW w:w="360" w:type="pct"/>
                  <w:shd w:val="clear" w:color="auto" w:fill="auto"/>
                  <w:vAlign w:val="center"/>
                </w:tcPr>
                <w:p w14:paraId="01B8E84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77" w:type="pct"/>
                  <w:tcBorders>
                    <w:right w:val="nil"/>
                  </w:tcBorders>
                  <w:shd w:val="clear" w:color="auto" w:fill="auto"/>
                  <w:vAlign w:val="center"/>
                </w:tcPr>
                <w:p w14:paraId="2DB2DD2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r>
            <w:tr w14:paraId="1B76C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220" w:type="pct"/>
                  <w:vMerge w:val="continue"/>
                  <w:tcBorders>
                    <w:left w:val="nil"/>
                    <w:bottom w:val="single" w:color="000000" w:sz="12" w:space="0"/>
                  </w:tcBorders>
                  <w:shd w:val="clear" w:color="auto" w:fill="auto"/>
                  <w:vAlign w:val="center"/>
                </w:tcPr>
                <w:p w14:paraId="6743E75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289" w:type="pct"/>
                  <w:vMerge w:val="continue"/>
                  <w:tcBorders>
                    <w:bottom w:val="single" w:color="000000" w:sz="12" w:space="0"/>
                  </w:tcBorders>
                  <w:shd w:val="clear" w:color="auto" w:fill="auto"/>
                  <w:vAlign w:val="center"/>
                </w:tcPr>
                <w:p w14:paraId="330EFAE1">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32" w:type="pct"/>
                  <w:vMerge w:val="continue"/>
                  <w:tcBorders>
                    <w:bottom w:val="single" w:color="000000" w:sz="12" w:space="0"/>
                  </w:tcBorders>
                  <w:shd w:val="clear" w:color="auto" w:fill="auto"/>
                  <w:vAlign w:val="center"/>
                </w:tcPr>
                <w:p w14:paraId="60BB5065">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436" w:type="pct"/>
                  <w:tcBorders>
                    <w:bottom w:val="single" w:color="000000" w:sz="12" w:space="0"/>
                  </w:tcBorders>
                  <w:shd w:val="clear" w:color="auto" w:fill="auto"/>
                  <w:vAlign w:val="center"/>
                </w:tcPr>
                <w:p w14:paraId="0D08178C">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55.89</w:t>
                  </w:r>
                </w:p>
              </w:tc>
              <w:tc>
                <w:tcPr>
                  <w:tcW w:w="453" w:type="pct"/>
                  <w:tcBorders>
                    <w:bottom w:val="single" w:color="000000" w:sz="12" w:space="0"/>
                  </w:tcBorders>
                  <w:shd w:val="clear" w:color="auto" w:fill="auto"/>
                  <w:vAlign w:val="center"/>
                </w:tcPr>
                <w:p w14:paraId="0A7C1C1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12.80</w:t>
                  </w:r>
                </w:p>
              </w:tc>
              <w:tc>
                <w:tcPr>
                  <w:tcW w:w="453" w:type="pct"/>
                  <w:tcBorders>
                    <w:bottom w:val="single" w:color="000000" w:sz="12" w:space="0"/>
                  </w:tcBorders>
                  <w:shd w:val="clear" w:color="auto" w:fill="auto"/>
                  <w:vAlign w:val="center"/>
                </w:tcPr>
                <w:p w14:paraId="564D9995">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5.00</w:t>
                  </w:r>
                </w:p>
              </w:tc>
              <w:tc>
                <w:tcPr>
                  <w:tcW w:w="459" w:type="pct"/>
                  <w:tcBorders>
                    <w:bottom w:val="single" w:color="000000" w:sz="12" w:space="0"/>
                  </w:tcBorders>
                  <w:shd w:val="clear" w:color="auto" w:fill="auto"/>
                  <w:vAlign w:val="center"/>
                </w:tcPr>
                <w:p w14:paraId="7A09C80F">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0.65</w:t>
                  </w:r>
                </w:p>
              </w:tc>
              <w:tc>
                <w:tcPr>
                  <w:tcW w:w="453" w:type="pct"/>
                  <w:tcBorders>
                    <w:bottom w:val="single" w:color="000000" w:sz="12" w:space="0"/>
                  </w:tcBorders>
                  <w:shd w:val="clear" w:color="auto" w:fill="auto"/>
                  <w:vAlign w:val="center"/>
                </w:tcPr>
                <w:p w14:paraId="644CECF8">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8.30</w:t>
                  </w:r>
                </w:p>
              </w:tc>
              <w:tc>
                <w:tcPr>
                  <w:tcW w:w="387" w:type="pct"/>
                  <w:tcBorders>
                    <w:bottom w:val="single" w:color="000000" w:sz="12" w:space="0"/>
                  </w:tcBorders>
                  <w:shd w:val="clear" w:color="auto" w:fill="auto"/>
                  <w:vAlign w:val="center"/>
                </w:tcPr>
                <w:p w14:paraId="762BDA4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8.50</w:t>
                  </w:r>
                </w:p>
              </w:tc>
              <w:tc>
                <w:tcPr>
                  <w:tcW w:w="387" w:type="pct"/>
                  <w:tcBorders>
                    <w:bottom w:val="single" w:color="000000" w:sz="12" w:space="0"/>
                  </w:tcBorders>
                  <w:shd w:val="clear" w:color="auto" w:fill="auto"/>
                  <w:vAlign w:val="center"/>
                </w:tcPr>
                <w:p w14:paraId="0B62D7FA">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2.66</w:t>
                  </w:r>
                </w:p>
              </w:tc>
              <w:tc>
                <w:tcPr>
                  <w:tcW w:w="387" w:type="pct"/>
                  <w:tcBorders>
                    <w:bottom w:val="single" w:color="000000" w:sz="12" w:space="0"/>
                  </w:tcBorders>
                  <w:shd w:val="clear" w:color="auto" w:fill="auto"/>
                  <w:vAlign w:val="center"/>
                </w:tcPr>
                <w:p w14:paraId="6A044C30">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r>
                    <w:rPr>
                      <w:rFonts w:hint="default" w:ascii="Times New Roman" w:hAnsi="Times New Roman" w:eastAsia="宋体" w:cs="Times New Roman"/>
                      <w:b w:val="0"/>
                      <w:color w:val="000000"/>
                      <w:kern w:val="0"/>
                      <w:sz w:val="21"/>
                      <w:szCs w:val="21"/>
                    </w:rPr>
                    <w:t>1.73</w:t>
                  </w:r>
                </w:p>
              </w:tc>
              <w:tc>
                <w:tcPr>
                  <w:tcW w:w="360" w:type="pct"/>
                  <w:tcBorders>
                    <w:bottom w:val="single" w:color="000000" w:sz="12" w:space="0"/>
                  </w:tcBorders>
                  <w:shd w:val="clear" w:color="auto" w:fill="auto"/>
                  <w:vAlign w:val="center"/>
                </w:tcPr>
                <w:p w14:paraId="41EBBA62">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c>
                <w:tcPr>
                  <w:tcW w:w="377" w:type="pct"/>
                  <w:tcBorders>
                    <w:bottom w:val="single" w:color="000000" w:sz="12" w:space="0"/>
                    <w:right w:val="nil"/>
                  </w:tcBorders>
                  <w:shd w:val="clear" w:color="auto" w:fill="auto"/>
                  <w:vAlign w:val="center"/>
                </w:tcPr>
                <w:p w14:paraId="0B5A1F7E">
                  <w:pPr>
                    <w:autoSpaceDE w:val="0"/>
                    <w:autoSpaceDN w:val="0"/>
                    <w:snapToGrid/>
                    <w:spacing w:line="240" w:lineRule="atLeast"/>
                    <w:ind w:firstLine="0" w:firstLineChars="0"/>
                    <w:jc w:val="center"/>
                    <w:rPr>
                      <w:rFonts w:hint="default" w:ascii="Times New Roman" w:hAnsi="Times New Roman" w:eastAsia="宋体" w:cs="Times New Roman"/>
                      <w:b w:val="0"/>
                      <w:color w:val="000000"/>
                      <w:kern w:val="0"/>
                      <w:sz w:val="21"/>
                      <w:szCs w:val="21"/>
                    </w:rPr>
                  </w:pPr>
                </w:p>
              </w:tc>
            </w:tr>
          </w:tbl>
          <w:p w14:paraId="36FFDBB1">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4.2.</w:t>
            </w:r>
            <w:r>
              <w:rPr>
                <w:rFonts w:hint="eastAsia" w:ascii="Times New Roman" w:hAnsi="Times New Roman" w:eastAsia="宋体" w:cs="Times New Roman"/>
                <w:b/>
                <w:bCs/>
                <w:sz w:val="24"/>
                <w:szCs w:val="24"/>
                <w:lang w:val="en-US" w:eastAsia="zh-CN"/>
              </w:rPr>
              <w:t>4矿石类型和品级</w:t>
            </w:r>
          </w:p>
          <w:p w14:paraId="638AECD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1.矿石的类型</w:t>
            </w:r>
          </w:p>
          <w:p w14:paraId="6B9080D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矿石自然类型：分为砖红色凹凸棒粘土矿和灰色凹凸棒粘土矿。</w:t>
            </w:r>
          </w:p>
          <w:p w14:paraId="45B5574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（1）</w:t>
            </w:r>
            <w:r>
              <w:rPr>
                <w:rFonts w:hint="default" w:ascii="Times New Roman" w:hAnsi="Times New Roman" w:eastAsia="宋体" w:cs="Times New Roman"/>
                <w:b w:val="0"/>
                <w:bCs w:val="0"/>
                <w:kern w:val="0"/>
                <w:sz w:val="24"/>
                <w:szCs w:val="24"/>
                <w:lang w:val="en-US" w:eastAsia="zh-CN" w:bidi="ar-SA"/>
              </w:rPr>
              <w:t>砖红色凹凸棒粘土矿</w:t>
            </w:r>
          </w:p>
          <w:p w14:paraId="0BCF4ADB">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主色调为砖红色或深砖红色，有时掺以灰和黄色斑块、斑点和细纹后变为彩色。块状构造，半硬质，迂水裂解，具可塑性、造浆性和强粘舌性。含凹凸棒石35～54%，石英15～30%，长石13～24%，白云石10～20%。伊利石加蒙脱石4～6%，绿泥石2～3%，尚含2～4%的菱猛铁矿、石膏和针铁矿。</w:t>
            </w:r>
          </w:p>
          <w:p w14:paraId="412AB17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（2）</w:t>
            </w:r>
            <w:r>
              <w:rPr>
                <w:rFonts w:hint="default" w:ascii="Times New Roman" w:hAnsi="Times New Roman" w:eastAsia="宋体" w:cs="Times New Roman"/>
                <w:b w:val="0"/>
                <w:bCs w:val="0"/>
                <w:kern w:val="0"/>
                <w:sz w:val="24"/>
                <w:szCs w:val="24"/>
                <w:lang w:val="en-US" w:eastAsia="zh-CN" w:bidi="ar-SA"/>
              </w:rPr>
              <w:t>灰色凹凸棒粘土矿</w:t>
            </w:r>
          </w:p>
          <w:p w14:paraId="33DFB90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主色调为灰色，常因含其他染色矿物而变为灰白、灰绿、灰黄和青灰等色。以块状构造为主，有时因含大小不等，含量不一的石膏晶块形成假角砾状构造。粉砂一一泥质结构，半硬质，迂水裂解，具可塑性、造浆性和强粘舌性。含凹凸棒石30～47%，石英22～28%，长石10～19%，白云石5～12%。伊利石2～7%，蒙脱石2～5%，绿泥石3～5%，尚含2～3%的菱猛矿和石膏等。</w:t>
            </w:r>
          </w:p>
          <w:p w14:paraId="3F6BF85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kern w:val="0"/>
                <w:sz w:val="24"/>
                <w:szCs w:val="24"/>
                <w:lang w:val="en-US" w:eastAsia="zh-CN" w:bidi="ar-SA"/>
              </w:rPr>
              <w:t>石膏矿分布于凹凸棒石粘土矿层的下部，二者呈串珠状和不规则状展布。石膏透镜体多为块状、板状，透明至不透明。层厚一般0.01～0.25m，长度变化极大，长0.01～1.50m。石膏在凹凸棒粘土层的含矿系数平均为12.93%。石膏主要为冰石膏（CaSO</w:t>
            </w:r>
            <w:r>
              <w:rPr>
                <w:rFonts w:hint="default" w:ascii="Times New Roman" w:hAnsi="Times New Roman" w:eastAsia="宋体" w:cs="Times New Roman"/>
                <w:b w:val="0"/>
                <w:bCs w:val="0"/>
                <w:kern w:val="0"/>
                <w:sz w:val="24"/>
                <w:szCs w:val="24"/>
                <w:vertAlign w:val="subscript"/>
                <w:lang w:val="en-US" w:eastAsia="zh-CN" w:bidi="ar-SA"/>
              </w:rPr>
              <w:t>4</w:t>
            </w:r>
            <w:r>
              <w:rPr>
                <w:rFonts w:hint="default" w:ascii="Times New Roman" w:hAnsi="Times New Roman" w:eastAsia="宋体" w:cs="Times New Roman"/>
                <w:b w:val="0"/>
                <w:bCs w:val="0"/>
                <w:kern w:val="0"/>
                <w:sz w:val="24"/>
                <w:szCs w:val="24"/>
                <w:lang w:val="en-US" w:eastAsia="zh-CN" w:bidi="ar-SA"/>
              </w:rPr>
              <w:t>·2H</w:t>
            </w:r>
            <w:r>
              <w:rPr>
                <w:rFonts w:hint="default" w:ascii="Times New Roman" w:hAnsi="Times New Roman" w:eastAsia="宋体" w:cs="Times New Roman"/>
                <w:b w:val="0"/>
                <w:bCs w:val="0"/>
                <w:kern w:val="0"/>
                <w:sz w:val="24"/>
                <w:szCs w:val="24"/>
                <w:vertAlign w:val="subscript"/>
                <w:lang w:val="en-US" w:eastAsia="zh-CN" w:bidi="ar-SA"/>
              </w:rPr>
              <w:t>2</w:t>
            </w:r>
            <w:r>
              <w:rPr>
                <w:rFonts w:hint="default" w:ascii="Times New Roman" w:hAnsi="Times New Roman" w:eastAsia="宋体" w:cs="Times New Roman"/>
                <w:b w:val="0"/>
                <w:bCs w:val="0"/>
                <w:kern w:val="0"/>
                <w:sz w:val="24"/>
                <w:szCs w:val="24"/>
                <w:lang w:val="en-US" w:eastAsia="zh-CN" w:bidi="ar-SA"/>
              </w:rPr>
              <w:t>O）。</w:t>
            </w:r>
          </w:p>
          <w:p w14:paraId="4F4E235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b w:val="0"/>
                <w:bCs w:val="0"/>
                <w:kern w:val="0"/>
                <w:sz w:val="24"/>
                <w:szCs w:val="24"/>
                <w:lang w:val="en-US" w:eastAsia="zh-CN" w:bidi="ar-SA"/>
              </w:rPr>
            </w:pPr>
            <w:r>
              <w:rPr>
                <w:rFonts w:hint="eastAsia" w:ascii="Times New Roman" w:hAnsi="Times New Roman" w:eastAsia="宋体" w:cs="Times New Roman"/>
                <w:b w:val="0"/>
                <w:bCs w:val="0"/>
                <w:kern w:val="0"/>
                <w:sz w:val="24"/>
                <w:szCs w:val="24"/>
                <w:lang w:val="en-US" w:eastAsia="zh-CN" w:bidi="ar-SA"/>
              </w:rPr>
              <w:t>2.矿石品级</w:t>
            </w:r>
          </w:p>
          <w:p w14:paraId="39E9E05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kern w:val="0"/>
                <w:sz w:val="24"/>
                <w:szCs w:val="24"/>
                <w:lang w:val="en-US" w:eastAsia="zh-CN" w:bidi="ar-SA"/>
              </w:rPr>
            </w:pPr>
            <w:r>
              <w:rPr>
                <w:rFonts w:hint="default" w:ascii="Times New Roman" w:hAnsi="Times New Roman" w:eastAsia="宋体" w:cs="Times New Roman"/>
                <w:b w:val="0"/>
                <w:bCs w:val="0"/>
                <w:sz w:val="24"/>
                <w:szCs w:val="24"/>
                <w:lang w:val="en-US" w:eastAsia="zh-CN"/>
              </w:rPr>
              <w:t>按照规范工业指标，根据矿石矿物化学成分成分划分如下矿石工业类型。凹凸棒石粘土矿物含量大于15％，称凹凸棒石粘土矿或凹凸棒石粘土矿；凹凸棒石粘土矿含量5-15％，称凹凸棒石粘土矿质泥岩（夹石）。石膏矿物含量大于55%，称石膏或石膏矿；石膏含量5-55%，称石膏质泥岩（夹石）。</w:t>
            </w:r>
          </w:p>
          <w:p w14:paraId="4B5F358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4.2.</w:t>
            </w:r>
            <w:r>
              <w:rPr>
                <w:rFonts w:hint="eastAsia" w:ascii="Times New Roman" w:hAnsi="Times New Roman" w:cs="Times New Roman"/>
                <w:b/>
                <w:bCs/>
                <w:sz w:val="24"/>
                <w:szCs w:val="24"/>
                <w:lang w:val="en-US" w:eastAsia="zh-CN"/>
              </w:rPr>
              <w:t>5</w:t>
            </w:r>
            <w:r>
              <w:rPr>
                <w:rFonts w:hint="default" w:ascii="Times New Roman" w:hAnsi="Times New Roman" w:eastAsia="宋体" w:cs="Times New Roman"/>
                <w:b/>
                <w:bCs/>
                <w:sz w:val="24"/>
                <w:szCs w:val="24"/>
                <w:lang w:val="en-US" w:eastAsia="zh-CN"/>
              </w:rPr>
              <w:t>矿石特征</w:t>
            </w:r>
          </w:p>
          <w:p w14:paraId="5A25F670">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凹凸棒石粘土：凹凸棒石粘土的颜色为灰绿和砖红色，结构细腻，质软爽滑，无异味，遇水即崩散，分散性好。矿石以泥状结构为主，次为土状泥质结构，条带状及层状构造。</w:t>
            </w:r>
          </w:p>
          <w:p w14:paraId="3FF8F50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eastAsia" w:ascii="Times New Roman" w:hAnsi="Times New Roman" w:cs="Times New Roman"/>
                <w:b w:val="0"/>
                <w:bCs w:val="0"/>
                <w:sz w:val="24"/>
                <w:szCs w:val="24"/>
                <w:lang w:val="en-US" w:eastAsia="zh-CN"/>
              </w:rPr>
              <w:t>（2）</w:t>
            </w:r>
            <w:r>
              <w:rPr>
                <w:rFonts w:hint="default" w:ascii="Times New Roman" w:hAnsi="Times New Roman" w:eastAsia="宋体" w:cs="Times New Roman"/>
                <w:b w:val="0"/>
                <w:bCs w:val="0"/>
                <w:sz w:val="24"/>
                <w:szCs w:val="24"/>
                <w:lang w:val="en-US" w:eastAsia="zh-CN"/>
              </w:rPr>
              <w:t>石膏：呈白色或无色，少数呈灰白色，透明—半透明，板状、块状、纤维状构造。</w:t>
            </w:r>
          </w:p>
          <w:p w14:paraId="10828B84">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bCs/>
                <w:sz w:val="24"/>
                <w:szCs w:val="24"/>
                <w:lang w:val="en-US" w:eastAsia="zh-CN"/>
              </w:rPr>
              <w:t>4.2.</w:t>
            </w:r>
            <w:r>
              <w:rPr>
                <w:rFonts w:hint="eastAsia" w:ascii="Times New Roman" w:hAnsi="Times New Roman" w:eastAsia="宋体" w:cs="Times New Roman"/>
                <w:b/>
                <w:bCs/>
                <w:sz w:val="24"/>
                <w:szCs w:val="24"/>
                <w:lang w:val="en-US" w:eastAsia="zh-CN"/>
              </w:rPr>
              <w:t>6矿体围岩</w:t>
            </w:r>
          </w:p>
          <w:p w14:paraId="662B94B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顶板围岩：主要为第四系砂土、砾石，第三系白杨河组上部地层。</w:t>
            </w:r>
          </w:p>
          <w:p w14:paraId="19599ECF">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第四系厚0.5—10.5m，平均8m。第三系围岩为Nlb5的灰绿色凹凸棒石粘土矿质泥岩，浅黄色砂岩等。</w:t>
            </w:r>
          </w:p>
          <w:p w14:paraId="3FD59BC1">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底板围岩：矿层底板围岩为Nlb2+3的灰黑色细砂岩、石膏质泥岩、凹凸棒石粘土矿质泥岩等。</w:t>
            </w:r>
          </w:p>
          <w:p w14:paraId="4251A88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夹石：矿层内夹石仅为凹凸棒石含量低于15％，厚度达到夹石剔除厚度2m的粘土。夹石矿物成分和矿体之间多为渐变关系，野外难以用肉眼区分，靠X—衍射定量分析圈定。</w:t>
            </w:r>
          </w:p>
          <w:p w14:paraId="42677442">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4.3 矿床开采条件</w:t>
            </w:r>
          </w:p>
          <w:p w14:paraId="72D9F43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4.3.1 水文地质条件</w:t>
            </w:r>
          </w:p>
          <w:p w14:paraId="15BAB32A">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1.地表水</w:t>
            </w:r>
          </w:p>
          <w:p w14:paraId="08B11916">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发源于祁连山的黑河及其支流梨园河是流经临泽县的主要河流，黑河多年平均入境水量10.23×10</w:t>
            </w:r>
            <w:r>
              <w:rPr>
                <w:rFonts w:hint="default" w:ascii="Times New Roman" w:hAnsi="Times New Roman" w:eastAsia="宋体" w:cs="Times New Roman"/>
                <w:b w:val="0"/>
                <w:bCs w:val="0"/>
                <w:color w:val="000000"/>
                <w:kern w:val="0"/>
                <w:sz w:val="24"/>
                <w:szCs w:val="24"/>
                <w:vertAlign w:val="superscript"/>
                <w:lang w:val="en-US" w:eastAsia="zh-CN" w:bidi="ar"/>
              </w:rPr>
              <w:t>8</w:t>
            </w:r>
            <w:r>
              <w:rPr>
                <w:rFonts w:hint="default" w:ascii="Times New Roman" w:hAnsi="Times New Roman" w:eastAsia="宋体" w:cs="Times New Roman"/>
                <w:b w:val="0"/>
                <w:bCs w:val="0"/>
                <w:color w:val="000000"/>
                <w:kern w:val="0"/>
                <w:sz w:val="24"/>
                <w:szCs w:val="24"/>
                <w:lang w:val="en-US" w:eastAsia="zh-CN" w:bidi="ar"/>
              </w:rPr>
              <w:t>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/a。据现场调查，矿区内及外围无河流经过。</w:t>
            </w:r>
          </w:p>
          <w:p w14:paraId="7AE01810">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2地下水类型及含、隔水层特征</w:t>
            </w:r>
          </w:p>
          <w:p w14:paraId="4B66F143">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矿区地下水类型属于碎屑岩类裂隙孔隙水，赋存于白垩及新近系砂岩、砾岩及泥质砂岩，单井涌水量10～50m</w:t>
            </w:r>
            <w:r>
              <w:rPr>
                <w:rFonts w:hint="default" w:ascii="Times New Roman" w:hAnsi="Times New Roman" w:eastAsia="宋体" w:cs="Times New Roman"/>
                <w:b w:val="0"/>
                <w:bCs w:val="0"/>
                <w:color w:val="000000"/>
                <w:kern w:val="0"/>
                <w:sz w:val="24"/>
                <w:szCs w:val="24"/>
                <w:vertAlign w:val="superscript"/>
                <w:lang w:val="en-US" w:eastAsia="zh-CN" w:bidi="ar"/>
              </w:rPr>
              <w:t>3</w:t>
            </w:r>
            <w:r>
              <w:rPr>
                <w:rFonts w:hint="default" w:ascii="Times New Roman" w:hAnsi="Times New Roman" w:eastAsia="宋体" w:cs="Times New Roman"/>
                <w:b w:val="0"/>
                <w:bCs w:val="0"/>
                <w:color w:val="000000"/>
                <w:kern w:val="0"/>
                <w:sz w:val="24"/>
                <w:szCs w:val="24"/>
                <w:lang w:val="en-US" w:eastAsia="zh-CN" w:bidi="ar"/>
              </w:rPr>
              <w:t>/d。受区域地下水的水平分带性和垂直分异规律的制约，矿区地下水含氟量与矿化度均高。属于地下水水质极差区，不宜饮用。</w:t>
            </w:r>
          </w:p>
          <w:p w14:paraId="3A043F18">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（1）</w:t>
            </w:r>
            <w:r>
              <w:rPr>
                <w:rFonts w:hint="default" w:ascii="Times New Roman" w:hAnsi="Times New Roman" w:eastAsia="宋体" w:cs="Times New Roman"/>
                <w:b w:val="0"/>
                <w:bCs w:val="0"/>
                <w:color w:val="000000"/>
                <w:kern w:val="0"/>
                <w:sz w:val="24"/>
                <w:szCs w:val="24"/>
                <w:lang w:val="en-US" w:eastAsia="zh-CN" w:bidi="ar"/>
              </w:rPr>
              <w:t>透水不含水层</w:t>
            </w:r>
          </w:p>
          <w:p w14:paraId="750F7930">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第四系上更新统透水不含水层：分布于全矿区，厚0.1m—10.5m。岩性为冲积、洪积亚凹凸棒石粘土矿、亚砂土、砂、砾石。亚凹凸棒石粘土矿呈灰黄色、水平层理明显，砾石直径以1—5cm居多。</w:t>
            </w:r>
          </w:p>
          <w:p w14:paraId="11153888">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（2）</w:t>
            </w:r>
            <w:r>
              <w:rPr>
                <w:rFonts w:hint="default" w:ascii="Times New Roman" w:hAnsi="Times New Roman" w:eastAsia="宋体" w:cs="Times New Roman"/>
                <w:b w:val="0"/>
                <w:bCs w:val="0"/>
                <w:color w:val="000000"/>
                <w:kern w:val="0"/>
                <w:sz w:val="24"/>
                <w:szCs w:val="24"/>
                <w:lang w:val="en-US" w:eastAsia="zh-CN" w:bidi="ar"/>
              </w:rPr>
              <w:t>含水层</w:t>
            </w:r>
          </w:p>
          <w:p w14:paraId="2209149A">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①新近系上部砂岩、砾岩孔隙承压水含水层（第一含水层）</w:t>
            </w:r>
          </w:p>
          <w:p w14:paraId="54A8F22C">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新近系砂砾石层孔隙承压水含水层为第一含水层，新近系上部白杨河组含砾泥岩和含泥砂砾岩，底部为砂砾岩和含砾砂岩，上部为良好的隔水层，下部为含水层。</w:t>
            </w:r>
          </w:p>
          <w:p w14:paraId="2C0C7A3F">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②白垩系上部砂岩、含砾砂岩孔隙承压水含水层（第二含水层）</w:t>
            </w:r>
          </w:p>
          <w:p w14:paraId="521ED6A0">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白垩系上部砾岩、含砾砂岩孔隙承压水含水层为第二含水层，该含水岩组广泛分布于本区。岩性主要为砾岩、砂岩、含砾砂岩。</w:t>
            </w:r>
          </w:p>
          <w:p w14:paraId="6FF88453">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③隔水层</w:t>
            </w:r>
          </w:p>
          <w:p w14:paraId="395C520C">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矿区隔水层为新近系上部，岩性主要为砖红色含砾泥岩、含泥砂砾岩，灰黑色泥质粉砂岩、含砂砾泥岩，土黄色含砂砾泥岩等组成的相对隔水层，全区分布，由于泥岩、粉砂岩等胶结程度较好，隔水层厚度相对较厚，隔水效果较好。</w:t>
            </w:r>
          </w:p>
          <w:p w14:paraId="6A2441C1">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④地下水的补给、径流、排泄条件</w:t>
            </w:r>
          </w:p>
          <w:p w14:paraId="556FA597">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矿区位于戈壁及沙丘地貌，区内海拔1420m～1500m左右，地势平坦。属大陆性干早沙漠气候，多风少雨，昼夜温差大，年蒸发量大于降水量，历年蒸发量平均2251.7mm，历年降水量平均195mm。</w:t>
            </w:r>
          </w:p>
          <w:p w14:paraId="5C71FEC3">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新近系上部砂砾石层孔隙潜水含水层主要接受大气降水渗入补给。地下水通过山前冲洪积倾斜平原的第四系地层向北径流。</w:t>
            </w:r>
          </w:p>
          <w:p w14:paraId="7D01CDB9">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白垩系上部砂岩、含砾砂岩承压水含水层的补给方式以上部新近系潜水越流补给和上游侧向径流补给为主，排泄方式主要为径流排泄。</w:t>
            </w:r>
          </w:p>
          <w:p w14:paraId="53AA3710">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b w:val="0"/>
                <w:bCs w:val="0"/>
                <w:sz w:val="24"/>
                <w:szCs w:val="24"/>
              </w:rPr>
            </w:pPr>
            <w:r>
              <w:rPr>
                <w:rFonts w:hint="eastAsia" w:ascii="Times New Roman" w:hAnsi="Times New Roman" w:eastAsia="宋体" w:cs="Times New Roman"/>
                <w:b w:val="0"/>
                <w:bCs w:val="0"/>
                <w:color w:val="000000"/>
                <w:kern w:val="0"/>
                <w:sz w:val="24"/>
                <w:szCs w:val="24"/>
                <w:lang w:val="en-US" w:eastAsia="zh-CN" w:bidi="ar"/>
              </w:rPr>
              <w:t>3.</w:t>
            </w:r>
            <w:r>
              <w:rPr>
                <w:rFonts w:hint="default" w:ascii="Times New Roman" w:hAnsi="Times New Roman" w:eastAsia="宋体" w:cs="Times New Roman"/>
                <w:b w:val="0"/>
                <w:bCs w:val="0"/>
                <w:color w:val="000000"/>
                <w:kern w:val="0"/>
                <w:sz w:val="24"/>
                <w:szCs w:val="24"/>
                <w:lang w:val="en-US" w:eastAsia="zh-CN" w:bidi="ar"/>
              </w:rPr>
              <w:t>断裂构造对地下水的控制作用</w:t>
            </w:r>
          </w:p>
          <w:p w14:paraId="51B2D181">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矿区内未发现褶皱、断裂构造。</w:t>
            </w:r>
          </w:p>
          <w:p w14:paraId="02153A93">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4.矿床充水因素分析</w:t>
            </w:r>
          </w:p>
          <w:p w14:paraId="71CC35C8">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矿区矿体后期开采采用露天开采方式，露天采坑充水主要为大气降水直接汇入，未来露采坑充水模型为开放式的集水池。</w:t>
            </w:r>
          </w:p>
          <w:p w14:paraId="5647C818">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5.水文与最低侵蚀基准面</w:t>
            </w:r>
          </w:p>
          <w:p w14:paraId="1E73A0A1">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矿山开采方式为露天开采，最低开采标高1422m，矿体的开采在矿区最低侵蚀基准面以上进行，位于稳定含水层以上，且矿区开采工艺简单，因此，含水层对矿山未来开采影响较轻。</w:t>
            </w:r>
          </w:p>
          <w:p w14:paraId="4D072365">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6.水文地质勘查类型</w:t>
            </w:r>
          </w:p>
          <w:p w14:paraId="5F9A2A7B">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依据《矿区水文地质工程地质勘查规范》(GB/T 12719-2021)的水文地质勘查类型划分条件按“就高不就低”的原则，确定矿区水文地质勘查类型应为“一类一型”，即矿床充水类型为孔隙充水为主，水文地质条件简单型矿床。</w:t>
            </w:r>
          </w:p>
          <w:p w14:paraId="25A64F68">
            <w:pPr>
              <w:keepNext w:val="0"/>
              <w:keepLines w:val="0"/>
              <w:pageBreakBefore w:val="0"/>
              <w:widowControl/>
              <w:suppressLineNumbers w:val="0"/>
              <w:kinsoku/>
              <w:wordWrap/>
              <w:overflowPunct/>
              <w:topLinePunct w:val="0"/>
              <w:autoSpaceDE/>
              <w:autoSpaceDN/>
              <w:bidi w:val="0"/>
              <w:adjustRightInd/>
              <w:spacing w:line="360" w:lineRule="auto"/>
              <w:ind w:right="0" w:firstLine="482"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 xml:space="preserve">4.3.2  </w:t>
            </w:r>
            <w:r>
              <w:rPr>
                <w:rFonts w:hint="default" w:ascii="Times New Roman" w:hAnsi="Times New Roman" w:eastAsia="宋体" w:cs="Times New Roman"/>
                <w:b/>
                <w:bCs/>
                <w:color w:val="000000"/>
                <w:kern w:val="0"/>
                <w:sz w:val="24"/>
                <w:szCs w:val="24"/>
                <w:lang w:val="en-US" w:eastAsia="zh-CN" w:bidi="ar"/>
              </w:rPr>
              <w:t>工程地质条件</w:t>
            </w:r>
          </w:p>
          <w:p w14:paraId="3DD81DFF">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依据《甘肃惠临实业发展有限公司临泽县凹凸棒石粘土矿水文地质、工程地质、环境地质详查报告》（甘肃煤田地质局一四五队.2025.07），具体内容如下：</w:t>
            </w:r>
          </w:p>
          <w:p w14:paraId="227A1439">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区工程地质条件简单，根据甘肃省工程地质图分区，矿区属河西走廊平原工程地质区，酒泉～张掖盆地较不稳定工程地质亚区。岩土体类型分为半坚硬岩组和第四系松散岩类土体两类，其工程地质特征分述如下：</w:t>
            </w:r>
          </w:p>
          <w:p w14:paraId="68C8524E">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1.半坚硬岩石类</w:t>
            </w:r>
          </w:p>
          <w:p w14:paraId="127A3496">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广泛分布于矿区及外围地带，岩性主要由白垩系、新近系砂岩、砾岩、泥岩、泥灰岩、泥质粉砂岩等组成，呈中～厚层状结构，岩石力学强度较高，岩石容重2.4～2.65g/cm³，比重2.6～2.75，孔隙度2.0～20.0%，吸水率1.0～9.0%，软化系数0.21～0.75，干极限抗压强度20～100Mpa，饱和极限抗压强度5.0～52.4Mpa。岩石表层风化较强烈。</w:t>
            </w:r>
          </w:p>
          <w:p w14:paraId="1F88A465">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2.松散土体</w:t>
            </w:r>
          </w:p>
          <w:p w14:paraId="2E60AA68">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第四系上更新统砂砾石：分布于矿区东北部及西南部外围地带，岩性为砂砾石，结构松散～稍密，地基承载力特征值fak=120～200KPa。</w:t>
            </w:r>
          </w:p>
          <w:p w14:paraId="4DBA29CF">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第四系全新统风积沙：分布于丘陵区迎风坡，岩性为细砂，结构疏松，地基承载力特征值fak=60KPa。</w:t>
            </w:r>
          </w:p>
          <w:p w14:paraId="1C404395">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3.矿体工程地质特征</w:t>
            </w:r>
          </w:p>
          <w:p w14:paraId="0B6B7551">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体顶板围岩主要为第四系砂砾石和新近系白杨河组灰绿色泥岩、浅黄色砂岩。矿体底板围岩为灰黑色细砂岩、石膏质泥岩、凹凸棒石粘土矿质泥岩等。矿层内夹石仅为凹凸棒石含量低于15％，厚度达到夹石剔除厚度2m的粘土。</w:t>
            </w:r>
          </w:p>
          <w:p w14:paraId="5B346FEC">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4.工程地质勘查类型</w:t>
            </w:r>
          </w:p>
          <w:p w14:paraId="0DC5E459">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依据《矿区水文地质工程地质勘查规范》（GB12719-2021），综合判定本矿床工程地质勘查类型应为“第一类松散软弱岩类”，属于以砂、砂石为主，工程勘查复杂程度为简单型的矿床。</w:t>
            </w:r>
          </w:p>
          <w:p w14:paraId="39A03FA8">
            <w:pPr>
              <w:pStyle w:val="22"/>
              <w:keepNext w:val="0"/>
              <w:keepLines w:val="0"/>
              <w:pageBreakBefore w:val="0"/>
              <w:widowControl/>
              <w:kinsoku/>
              <w:wordWrap/>
              <w:overflowPunct/>
              <w:topLinePunct w:val="0"/>
              <w:autoSpaceDE/>
              <w:autoSpaceDN/>
              <w:bidi w:val="0"/>
              <w:adjustRightInd/>
              <w:spacing w:before="0" w:after="0" w:line="360" w:lineRule="auto"/>
              <w:ind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5、矿床开采方案</w:t>
            </w:r>
          </w:p>
          <w:p w14:paraId="5F314151">
            <w:pPr>
              <w:pStyle w:val="22"/>
              <w:keepNext w:val="0"/>
              <w:keepLines w:val="0"/>
              <w:pageBreakBefore w:val="0"/>
              <w:widowControl/>
              <w:kinsoku/>
              <w:wordWrap/>
              <w:overflowPunct/>
              <w:topLinePunct w:val="0"/>
              <w:autoSpaceDE/>
              <w:autoSpaceDN/>
              <w:bidi w:val="0"/>
              <w:adjustRightInd/>
              <w:spacing w:before="0" w:after="0" w:line="360" w:lineRule="auto"/>
              <w:ind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5.1 露天开采境界</w:t>
            </w:r>
          </w:p>
          <w:p w14:paraId="1C22A03C">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val="0"/>
                <w:bCs w:val="0"/>
                <w:sz w:val="24"/>
                <w:szCs w:val="24"/>
                <w:lang w:val="en-US" w:eastAsia="zh-CN"/>
              </w:rPr>
              <w:t>根据《甘肃惠临实业发展有限公司临泽县凹凸棒石粘土矿2024年度储量“一表三图”》的采剥现状图及剖面图可知，矿山实际最高标高为1461m，A-A’剖面西侧地面标高为1461～1422m，该区域1422m以上无矿体赋存，不在对该区域进行开采。故本次设计的开采标高范围为1461～1422m，即设计的开采标高为：1461m～1422m。</w:t>
            </w:r>
          </w:p>
          <w:p w14:paraId="38F4F8B5">
            <w:pPr>
              <w:pStyle w:val="2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w:t>
            </w:r>
            <w:r>
              <w:rPr>
                <w:rFonts w:hint="eastAsia" w:ascii="Times New Roman" w:hAnsi="Times New Roman" w:cs="Times New Roman"/>
                <w:b w:val="0"/>
                <w:bCs w:val="0"/>
                <w:sz w:val="24"/>
                <w:szCs w:val="24"/>
                <w:lang w:val="en-US" w:eastAsia="zh-CN"/>
              </w:rPr>
              <w:t>矿山</w:t>
            </w:r>
            <w:r>
              <w:rPr>
                <w:rFonts w:hint="default" w:ascii="Times New Roman" w:hAnsi="Times New Roman" w:eastAsia="宋体" w:cs="Times New Roman"/>
                <w:b w:val="0"/>
                <w:bCs w:val="0"/>
                <w:sz w:val="24"/>
                <w:szCs w:val="24"/>
                <w:lang w:val="en-US" w:eastAsia="zh-CN"/>
              </w:rPr>
              <w:t>的露天开采对象为采矿权范围内的1461m-1422m标高范围内的凹凸棒粘土矿资源储量，根据采剥现状图及剖面图可知可知，矿区内矿体最高出露标高1461m，最低出露标高为1422，故本次设计最高开采标高1461m，最低开采标高为1422m；设计剥离覆盖层0.1～10.1m，平均4.2m，形成的最终边坡高度最大39m，最小开采深度0m。设计工作台阶坡面角45°（2#采区东侧下盘与矿体倾角一致为4°），最终边坡角27～45°。露天开采完毕，在矿区将形成不规则形采场，露天开采最终上部境界南北长约4200m，东西宽约253m，露天开采上部境界面积约为113.17ha。露天开采最终下部境界南北长约4150m，东西宽约25～216m，露天开采下部境界面积约为50.49ha。露天采场境界的主要参数见下表</w:t>
            </w:r>
            <w:r>
              <w:rPr>
                <w:rFonts w:hint="eastAsia" w:ascii="Times New Roman" w:hAnsi="Times New Roman" w:cs="Times New Roman"/>
                <w:b w:val="0"/>
                <w:bCs w:val="0"/>
                <w:sz w:val="24"/>
                <w:szCs w:val="24"/>
                <w:lang w:val="en-US" w:eastAsia="zh-CN"/>
              </w:rPr>
              <w:t>2-4</w:t>
            </w:r>
            <w:r>
              <w:rPr>
                <w:rFonts w:hint="default" w:ascii="Times New Roman" w:hAnsi="Times New Roman" w:eastAsia="宋体" w:cs="Times New Roman"/>
                <w:b w:val="0"/>
                <w:bCs w:val="0"/>
                <w:sz w:val="24"/>
                <w:szCs w:val="24"/>
                <w:lang w:val="en-US" w:eastAsia="zh-CN"/>
              </w:rPr>
              <w:t>。</w:t>
            </w:r>
          </w:p>
          <w:p w14:paraId="2D825AE5">
            <w:pPr>
              <w:keepNext w:val="0"/>
              <w:keepLines w:val="0"/>
              <w:pageBreakBefore w:val="0"/>
              <w:widowControl/>
              <w:suppressLineNumbers w:val="0"/>
              <w:shd w:val="clear" w:color="auto" w:fill="auto"/>
              <w:kinsoku/>
              <w:wordWrap/>
              <w:overflowPunct/>
              <w:topLinePunct w:val="0"/>
              <w:autoSpaceDE/>
              <w:autoSpaceDN/>
              <w:bidi w:val="0"/>
              <w:adjustRightInd/>
              <w:spacing w:line="360" w:lineRule="auto"/>
              <w:ind w:right="0"/>
              <w:jc w:val="center"/>
              <w:textAlignment w:val="auto"/>
              <w:rPr>
                <w:rFonts w:hint="default" w:ascii="Times New Roman" w:hAnsi="Times New Roman" w:eastAsia="宋体" w:cs="Times New Roman"/>
                <w:b/>
                <w:bCs/>
                <w:i w:val="0"/>
                <w:iCs w:val="0"/>
                <w:color w:val="000000"/>
                <w:kern w:val="0"/>
                <w:sz w:val="21"/>
                <w:szCs w:val="21"/>
                <w:lang w:val="en-US" w:eastAsia="zh-CN" w:bidi="ar"/>
              </w:rPr>
            </w:pPr>
            <w:r>
              <w:rPr>
                <w:rFonts w:hint="default" w:ascii="Times New Roman" w:hAnsi="Times New Roman" w:eastAsia="宋体" w:cs="Times New Roman"/>
                <w:b/>
                <w:bCs/>
                <w:i w:val="0"/>
                <w:iCs w:val="0"/>
                <w:color w:val="000000"/>
                <w:kern w:val="0"/>
                <w:sz w:val="21"/>
                <w:szCs w:val="21"/>
                <w:lang w:val="en-US" w:eastAsia="zh-CN" w:bidi="ar"/>
              </w:rPr>
              <w:t>表 2-</w:t>
            </w:r>
            <w:r>
              <w:rPr>
                <w:rFonts w:hint="eastAsia" w:cs="Times New Roman"/>
                <w:b/>
                <w:bCs/>
                <w:i w:val="0"/>
                <w:iCs w:val="0"/>
                <w:color w:val="000000"/>
                <w:kern w:val="0"/>
                <w:sz w:val="21"/>
                <w:szCs w:val="21"/>
                <w:lang w:val="en-US" w:eastAsia="zh-CN" w:bidi="ar"/>
              </w:rPr>
              <w:t>4</w:t>
            </w:r>
            <w:r>
              <w:rPr>
                <w:rFonts w:hint="default" w:ascii="Times New Roman" w:hAnsi="Times New Roman" w:eastAsia="宋体" w:cs="Times New Roman"/>
                <w:b/>
                <w:bCs/>
                <w:i w:val="0"/>
                <w:iCs w:val="0"/>
                <w:color w:val="000000"/>
                <w:kern w:val="0"/>
                <w:sz w:val="21"/>
                <w:szCs w:val="21"/>
                <w:lang w:val="en-US" w:eastAsia="zh-CN" w:bidi="ar"/>
              </w:rPr>
              <w:t xml:space="preserve"> 露天采场境界参数一览表</w:t>
            </w:r>
          </w:p>
          <w:tbl>
            <w:tblPr>
              <w:tblStyle w:val="23"/>
              <w:tblW w:w="82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2653"/>
              <w:gridCol w:w="872"/>
              <w:gridCol w:w="1261"/>
              <w:gridCol w:w="2720"/>
            </w:tblGrid>
            <w:tr w14:paraId="1DB99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8" w:hRule="atLeast"/>
                <w:tblHeader/>
                <w:jc w:val="center"/>
              </w:trPr>
              <w:tc>
                <w:tcPr>
                  <w:tcW w:w="791" w:type="dxa"/>
                  <w:tcBorders>
                    <w:top w:val="single" w:color="000000" w:sz="12" w:space="0"/>
                    <w:left w:val="nil"/>
                    <w:tl2br w:val="nil"/>
                  </w:tcBorders>
                  <w:shd w:val="clear" w:color="auto" w:fill="auto"/>
                  <w:vAlign w:val="center"/>
                </w:tcPr>
                <w:p w14:paraId="0AB15382">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序号</w:t>
                  </w:r>
                </w:p>
              </w:tc>
              <w:tc>
                <w:tcPr>
                  <w:tcW w:w="2653" w:type="dxa"/>
                  <w:tcBorders>
                    <w:top w:val="single" w:color="000000" w:sz="12" w:space="0"/>
                  </w:tcBorders>
                  <w:shd w:val="clear" w:color="auto" w:fill="auto"/>
                  <w:vAlign w:val="center"/>
                </w:tcPr>
                <w:p w14:paraId="4FDD46A4">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项     目</w:t>
                  </w:r>
                </w:p>
              </w:tc>
              <w:tc>
                <w:tcPr>
                  <w:tcW w:w="872" w:type="dxa"/>
                  <w:tcBorders>
                    <w:top w:val="single" w:color="000000" w:sz="12" w:space="0"/>
                  </w:tcBorders>
                  <w:shd w:val="clear" w:color="auto" w:fill="auto"/>
                  <w:vAlign w:val="center"/>
                </w:tcPr>
                <w:p w14:paraId="76EBE60E">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单位</w:t>
                  </w:r>
                </w:p>
              </w:tc>
              <w:tc>
                <w:tcPr>
                  <w:tcW w:w="1261" w:type="dxa"/>
                  <w:tcBorders>
                    <w:top w:val="single" w:color="000000" w:sz="12" w:space="0"/>
                  </w:tcBorders>
                  <w:shd w:val="clear" w:color="auto" w:fill="auto"/>
                  <w:vAlign w:val="center"/>
                </w:tcPr>
                <w:p w14:paraId="52E5972E">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参数</w:t>
                  </w:r>
                </w:p>
              </w:tc>
              <w:tc>
                <w:tcPr>
                  <w:tcW w:w="2720" w:type="dxa"/>
                  <w:tcBorders>
                    <w:top w:val="single" w:color="000000" w:sz="12" w:space="0"/>
                    <w:right w:val="nil"/>
                  </w:tcBorders>
                  <w:shd w:val="clear" w:color="auto" w:fill="auto"/>
                  <w:vAlign w:val="center"/>
                </w:tcPr>
                <w:p w14:paraId="4CE58F5C">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备注</w:t>
                  </w:r>
                </w:p>
              </w:tc>
            </w:tr>
            <w:tr w14:paraId="7E5A2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791" w:type="dxa"/>
                  <w:tcBorders>
                    <w:left w:val="nil"/>
                  </w:tcBorders>
                  <w:shd w:val="clear" w:color="auto" w:fill="auto"/>
                  <w:vAlign w:val="center"/>
                </w:tcPr>
                <w:p w14:paraId="7441F473">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w:t>
                  </w:r>
                </w:p>
              </w:tc>
              <w:tc>
                <w:tcPr>
                  <w:tcW w:w="2653" w:type="dxa"/>
                  <w:shd w:val="clear" w:color="auto" w:fill="auto"/>
                  <w:vAlign w:val="center"/>
                </w:tcPr>
                <w:p w14:paraId="214BC7C8">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开采最高标高</w:t>
                  </w:r>
                </w:p>
              </w:tc>
              <w:tc>
                <w:tcPr>
                  <w:tcW w:w="872" w:type="dxa"/>
                  <w:shd w:val="clear" w:color="auto" w:fill="auto"/>
                  <w:vAlign w:val="center"/>
                </w:tcPr>
                <w:p w14:paraId="733BFBA0">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261" w:type="dxa"/>
                  <w:shd w:val="clear" w:color="auto" w:fill="auto"/>
                  <w:vAlign w:val="center"/>
                </w:tcPr>
                <w:p w14:paraId="5F311D43">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1461</w:t>
                  </w:r>
                </w:p>
              </w:tc>
              <w:tc>
                <w:tcPr>
                  <w:tcW w:w="2720" w:type="dxa"/>
                  <w:tcBorders>
                    <w:right w:val="nil"/>
                  </w:tcBorders>
                  <w:shd w:val="clear" w:color="auto" w:fill="auto"/>
                  <w:vAlign w:val="center"/>
                </w:tcPr>
                <w:p w14:paraId="7A3C8228">
                  <w:pPr>
                    <w:pStyle w:val="57"/>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2C28D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791" w:type="dxa"/>
                  <w:tcBorders>
                    <w:left w:val="nil"/>
                  </w:tcBorders>
                  <w:shd w:val="clear" w:color="auto" w:fill="auto"/>
                  <w:vAlign w:val="center"/>
                </w:tcPr>
                <w:p w14:paraId="64370D86">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w:t>
                  </w:r>
                </w:p>
              </w:tc>
              <w:tc>
                <w:tcPr>
                  <w:tcW w:w="2653" w:type="dxa"/>
                  <w:shd w:val="clear" w:color="auto" w:fill="auto"/>
                  <w:vAlign w:val="center"/>
                </w:tcPr>
                <w:p w14:paraId="2F0EC617">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最低开采</w:t>
                  </w:r>
                  <w:r>
                    <w:rPr>
                      <w:rFonts w:hint="default" w:ascii="Times New Roman" w:hAnsi="Times New Roman" w:eastAsia="宋体" w:cs="Times New Roman"/>
                      <w:b w:val="0"/>
                      <w:color w:val="000000"/>
                      <w:sz w:val="21"/>
                      <w:szCs w:val="21"/>
                    </w:rPr>
                    <w:t>标高</w:t>
                  </w:r>
                </w:p>
              </w:tc>
              <w:tc>
                <w:tcPr>
                  <w:tcW w:w="872" w:type="dxa"/>
                  <w:shd w:val="clear" w:color="auto" w:fill="auto"/>
                  <w:vAlign w:val="center"/>
                </w:tcPr>
                <w:p w14:paraId="64D23639">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261" w:type="dxa"/>
                  <w:shd w:val="clear" w:color="auto" w:fill="auto"/>
                  <w:vAlign w:val="center"/>
                </w:tcPr>
                <w:p w14:paraId="6F7708B0">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1422</w:t>
                  </w:r>
                </w:p>
              </w:tc>
              <w:tc>
                <w:tcPr>
                  <w:tcW w:w="2720" w:type="dxa"/>
                  <w:tcBorders>
                    <w:right w:val="nil"/>
                  </w:tcBorders>
                  <w:shd w:val="clear" w:color="auto" w:fill="auto"/>
                  <w:vAlign w:val="center"/>
                </w:tcPr>
                <w:p w14:paraId="44953BED">
                  <w:pPr>
                    <w:pStyle w:val="57"/>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1679F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791" w:type="dxa"/>
                  <w:tcBorders>
                    <w:left w:val="nil"/>
                  </w:tcBorders>
                  <w:shd w:val="clear" w:color="auto" w:fill="auto"/>
                  <w:vAlign w:val="center"/>
                </w:tcPr>
                <w:p w14:paraId="355358F6">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w:t>
                  </w:r>
                </w:p>
              </w:tc>
              <w:tc>
                <w:tcPr>
                  <w:tcW w:w="2653" w:type="dxa"/>
                  <w:shd w:val="clear" w:color="auto" w:fill="auto"/>
                  <w:vAlign w:val="center"/>
                </w:tcPr>
                <w:p w14:paraId="5988B340">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最大开采深度</w:t>
                  </w:r>
                </w:p>
              </w:tc>
              <w:tc>
                <w:tcPr>
                  <w:tcW w:w="872" w:type="dxa"/>
                  <w:shd w:val="clear" w:color="auto" w:fill="auto"/>
                  <w:vAlign w:val="center"/>
                </w:tcPr>
                <w:p w14:paraId="6C518EF1">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261" w:type="dxa"/>
                  <w:shd w:val="clear" w:color="auto" w:fill="auto"/>
                  <w:vAlign w:val="center"/>
                </w:tcPr>
                <w:p w14:paraId="0FE59496">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39</w:t>
                  </w:r>
                </w:p>
              </w:tc>
              <w:tc>
                <w:tcPr>
                  <w:tcW w:w="2720" w:type="dxa"/>
                  <w:tcBorders>
                    <w:right w:val="nil"/>
                  </w:tcBorders>
                  <w:shd w:val="clear" w:color="auto" w:fill="auto"/>
                  <w:vAlign w:val="center"/>
                </w:tcPr>
                <w:p w14:paraId="7581FAA8">
                  <w:pPr>
                    <w:pStyle w:val="57"/>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5F2B6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791" w:type="dxa"/>
                  <w:tcBorders>
                    <w:left w:val="nil"/>
                  </w:tcBorders>
                  <w:shd w:val="clear" w:color="auto" w:fill="auto"/>
                  <w:vAlign w:val="center"/>
                </w:tcPr>
                <w:p w14:paraId="606F9C0F">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w:t>
                  </w:r>
                </w:p>
              </w:tc>
              <w:tc>
                <w:tcPr>
                  <w:tcW w:w="2653" w:type="dxa"/>
                  <w:shd w:val="clear" w:color="auto" w:fill="auto"/>
                  <w:vAlign w:val="center"/>
                </w:tcPr>
                <w:p w14:paraId="34C2CCB5">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最小开采深度</w:t>
                  </w:r>
                </w:p>
              </w:tc>
              <w:tc>
                <w:tcPr>
                  <w:tcW w:w="872" w:type="dxa"/>
                  <w:shd w:val="clear" w:color="auto" w:fill="auto"/>
                  <w:vAlign w:val="center"/>
                </w:tcPr>
                <w:p w14:paraId="30340CC1">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261" w:type="dxa"/>
                  <w:shd w:val="clear" w:color="auto" w:fill="auto"/>
                  <w:vAlign w:val="center"/>
                </w:tcPr>
                <w:p w14:paraId="57DA0926">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0</w:t>
                  </w:r>
                </w:p>
              </w:tc>
              <w:tc>
                <w:tcPr>
                  <w:tcW w:w="2720" w:type="dxa"/>
                  <w:tcBorders>
                    <w:right w:val="nil"/>
                  </w:tcBorders>
                  <w:shd w:val="clear" w:color="auto" w:fill="auto"/>
                  <w:vAlign w:val="center"/>
                </w:tcPr>
                <w:p w14:paraId="629DEA1E">
                  <w:pPr>
                    <w:pStyle w:val="57"/>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1496D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791" w:type="dxa"/>
                  <w:tcBorders>
                    <w:left w:val="nil"/>
                  </w:tcBorders>
                  <w:shd w:val="clear" w:color="auto" w:fill="auto"/>
                  <w:vAlign w:val="center"/>
                </w:tcPr>
                <w:p w14:paraId="2066D241">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5</w:t>
                  </w:r>
                </w:p>
              </w:tc>
              <w:tc>
                <w:tcPr>
                  <w:tcW w:w="2653" w:type="dxa"/>
                  <w:shd w:val="clear" w:color="auto" w:fill="auto"/>
                  <w:vAlign w:val="center"/>
                </w:tcPr>
                <w:p w14:paraId="239CBBC4">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台阶高度</w:t>
                  </w:r>
                </w:p>
              </w:tc>
              <w:tc>
                <w:tcPr>
                  <w:tcW w:w="872" w:type="dxa"/>
                  <w:shd w:val="clear" w:color="auto" w:fill="auto"/>
                  <w:vAlign w:val="center"/>
                </w:tcPr>
                <w:p w14:paraId="4EDC11DD">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261" w:type="dxa"/>
                  <w:shd w:val="clear" w:color="auto" w:fill="auto"/>
                  <w:vAlign w:val="center"/>
                </w:tcPr>
                <w:p w14:paraId="6BA625F2">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5</w:t>
                  </w:r>
                </w:p>
              </w:tc>
              <w:tc>
                <w:tcPr>
                  <w:tcW w:w="2720" w:type="dxa"/>
                  <w:tcBorders>
                    <w:right w:val="nil"/>
                  </w:tcBorders>
                  <w:shd w:val="clear" w:color="auto" w:fill="auto"/>
                  <w:vAlign w:val="center"/>
                </w:tcPr>
                <w:p w14:paraId="600AACDF">
                  <w:pPr>
                    <w:pStyle w:val="57"/>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235A0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91" w:type="dxa"/>
                  <w:tcBorders>
                    <w:left w:val="nil"/>
                  </w:tcBorders>
                  <w:shd w:val="clear" w:color="auto" w:fill="auto"/>
                  <w:vAlign w:val="center"/>
                </w:tcPr>
                <w:p w14:paraId="7B174753">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6</w:t>
                  </w:r>
                </w:p>
              </w:tc>
              <w:tc>
                <w:tcPr>
                  <w:tcW w:w="2653" w:type="dxa"/>
                  <w:shd w:val="clear" w:color="auto" w:fill="auto"/>
                  <w:vAlign w:val="center"/>
                </w:tcPr>
                <w:p w14:paraId="471828C6">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工作</w:t>
                  </w:r>
                  <w:r>
                    <w:rPr>
                      <w:rFonts w:hint="default" w:ascii="Times New Roman" w:hAnsi="Times New Roman" w:eastAsia="宋体" w:cs="Times New Roman"/>
                      <w:b w:val="0"/>
                      <w:color w:val="000000"/>
                      <w:sz w:val="21"/>
                      <w:szCs w:val="21"/>
                    </w:rPr>
                    <w:t>台阶坡面角</w:t>
                  </w:r>
                </w:p>
              </w:tc>
              <w:tc>
                <w:tcPr>
                  <w:tcW w:w="872" w:type="dxa"/>
                  <w:shd w:val="clear" w:color="auto" w:fill="auto"/>
                  <w:vAlign w:val="center"/>
                </w:tcPr>
                <w:p w14:paraId="04E103E2">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w:t>
                  </w:r>
                </w:p>
              </w:tc>
              <w:tc>
                <w:tcPr>
                  <w:tcW w:w="1261" w:type="dxa"/>
                  <w:shd w:val="clear" w:color="auto" w:fill="auto"/>
                  <w:vAlign w:val="center"/>
                </w:tcPr>
                <w:p w14:paraId="475EA14F">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45</w:t>
                  </w:r>
                </w:p>
              </w:tc>
              <w:tc>
                <w:tcPr>
                  <w:tcW w:w="2720" w:type="dxa"/>
                  <w:tcBorders>
                    <w:right w:val="nil"/>
                  </w:tcBorders>
                  <w:shd w:val="clear" w:color="auto" w:fill="auto"/>
                  <w:vAlign w:val="center"/>
                </w:tcPr>
                <w:p w14:paraId="145F33FC">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（2#采区东侧下盘与矿体倾角一致为4°）</w:t>
                  </w:r>
                </w:p>
              </w:tc>
            </w:tr>
            <w:tr w14:paraId="7B109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791" w:type="dxa"/>
                  <w:tcBorders>
                    <w:left w:val="nil"/>
                  </w:tcBorders>
                  <w:shd w:val="clear" w:color="auto" w:fill="auto"/>
                  <w:vAlign w:val="center"/>
                </w:tcPr>
                <w:p w14:paraId="50CBC2D2">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7</w:t>
                  </w:r>
                </w:p>
              </w:tc>
              <w:tc>
                <w:tcPr>
                  <w:tcW w:w="2653" w:type="dxa"/>
                  <w:shd w:val="clear" w:color="auto" w:fill="auto"/>
                  <w:vAlign w:val="center"/>
                </w:tcPr>
                <w:p w14:paraId="33FDE0BC">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最终边坡角</w:t>
                  </w:r>
                </w:p>
              </w:tc>
              <w:tc>
                <w:tcPr>
                  <w:tcW w:w="872" w:type="dxa"/>
                  <w:shd w:val="clear" w:color="auto" w:fill="auto"/>
                  <w:vAlign w:val="center"/>
                </w:tcPr>
                <w:p w14:paraId="2DA35C19">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w:t>
                  </w:r>
                </w:p>
              </w:tc>
              <w:tc>
                <w:tcPr>
                  <w:tcW w:w="1261" w:type="dxa"/>
                  <w:shd w:val="clear" w:color="auto" w:fill="auto"/>
                  <w:vAlign w:val="center"/>
                </w:tcPr>
                <w:p w14:paraId="6F10EFB7">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27～45</w:t>
                  </w:r>
                </w:p>
              </w:tc>
              <w:tc>
                <w:tcPr>
                  <w:tcW w:w="2720" w:type="dxa"/>
                  <w:tcBorders>
                    <w:right w:val="nil"/>
                  </w:tcBorders>
                  <w:shd w:val="clear" w:color="auto" w:fill="auto"/>
                  <w:vAlign w:val="center"/>
                </w:tcPr>
                <w:p w14:paraId="77C92801">
                  <w:pPr>
                    <w:pStyle w:val="57"/>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25E8A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1" w:hRule="atLeast"/>
                <w:jc w:val="center"/>
              </w:trPr>
              <w:tc>
                <w:tcPr>
                  <w:tcW w:w="791" w:type="dxa"/>
                  <w:tcBorders>
                    <w:left w:val="nil"/>
                    <w:bottom w:val="single" w:color="000000" w:sz="12" w:space="0"/>
                  </w:tcBorders>
                  <w:shd w:val="clear" w:color="auto" w:fill="auto"/>
                  <w:vAlign w:val="center"/>
                </w:tcPr>
                <w:p w14:paraId="4684EAC6">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8</w:t>
                  </w:r>
                </w:p>
              </w:tc>
              <w:tc>
                <w:tcPr>
                  <w:tcW w:w="2653" w:type="dxa"/>
                  <w:tcBorders>
                    <w:bottom w:val="single" w:color="000000" w:sz="12" w:space="0"/>
                  </w:tcBorders>
                  <w:shd w:val="clear" w:color="auto" w:fill="auto"/>
                  <w:vAlign w:val="center"/>
                </w:tcPr>
                <w:p w14:paraId="742F7BC7">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底部工作</w:t>
                  </w:r>
                  <w:r>
                    <w:rPr>
                      <w:rFonts w:hint="default" w:ascii="Times New Roman" w:hAnsi="Times New Roman" w:eastAsia="宋体" w:cs="Times New Roman"/>
                      <w:b w:val="0"/>
                      <w:color w:val="000000"/>
                      <w:sz w:val="21"/>
                      <w:szCs w:val="21"/>
                    </w:rPr>
                    <w:t>平台宽度</w:t>
                  </w:r>
                </w:p>
              </w:tc>
              <w:tc>
                <w:tcPr>
                  <w:tcW w:w="872" w:type="dxa"/>
                  <w:tcBorders>
                    <w:bottom w:val="single" w:color="000000" w:sz="12" w:space="0"/>
                  </w:tcBorders>
                  <w:shd w:val="clear" w:color="auto" w:fill="auto"/>
                  <w:vAlign w:val="center"/>
                </w:tcPr>
                <w:p w14:paraId="5CAC76EE">
                  <w:pPr>
                    <w:pStyle w:val="57"/>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m</w:t>
                  </w:r>
                </w:p>
              </w:tc>
              <w:tc>
                <w:tcPr>
                  <w:tcW w:w="1261" w:type="dxa"/>
                  <w:tcBorders>
                    <w:bottom w:val="single" w:color="000000" w:sz="12" w:space="0"/>
                  </w:tcBorders>
                  <w:shd w:val="clear" w:color="auto" w:fill="auto"/>
                  <w:vAlign w:val="center"/>
                </w:tcPr>
                <w:p w14:paraId="5F5B6931">
                  <w:pPr>
                    <w:pStyle w:val="57"/>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25</w:t>
                  </w:r>
                </w:p>
              </w:tc>
              <w:tc>
                <w:tcPr>
                  <w:tcW w:w="2720" w:type="dxa"/>
                  <w:tcBorders>
                    <w:bottom w:val="single" w:color="000000" w:sz="12" w:space="0"/>
                    <w:right w:val="nil"/>
                  </w:tcBorders>
                  <w:shd w:val="clear" w:color="auto" w:fill="auto"/>
                  <w:vAlign w:val="center"/>
                </w:tcPr>
                <w:p w14:paraId="50DF69BF">
                  <w:pPr>
                    <w:pStyle w:val="57"/>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bl>
          <w:p w14:paraId="682F411E">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5.2 矿床开拓</w:t>
            </w:r>
          </w:p>
          <w:p w14:paraId="7641850B">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（1）开采方式</w:t>
            </w:r>
          </w:p>
          <w:p w14:paraId="0679207A">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val="0"/>
                <w:bCs w:val="0"/>
                <w:sz w:val="24"/>
                <w:szCs w:val="24"/>
                <w:lang w:val="en-US" w:eastAsia="zh-CN"/>
              </w:rPr>
              <w:t>本项目采用自上而下、水平分台阶露天开采方式。遵循</w:t>
            </w:r>
            <w:r>
              <w:rPr>
                <w:rFonts w:hint="eastAsia" w:ascii="Times New Roman" w:hAnsi="Times New Roman"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采剥并举、剥离先行</w:t>
            </w:r>
            <w:r>
              <w:rPr>
                <w:rFonts w:hint="eastAsia" w:ascii="Times New Roman" w:hAnsi="Times New Roman"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的原则对矿体进行从上到下、分台阶开采。</w:t>
            </w:r>
          </w:p>
          <w:p w14:paraId="3AC54BF3">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（2）首次位置及开采顺序</w:t>
            </w:r>
          </w:p>
          <w:p w14:paraId="2AC68594">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矿山拟设露天采场1个，首采区位于矿山东北侧，设计开采标高为</w:t>
            </w:r>
            <w:r>
              <w:rPr>
                <w:rFonts w:hint="default" w:ascii="Times New Roman" w:hAnsi="Times New Roman" w:eastAsia="宋体" w:cs="Times New Roman"/>
                <w:b w:val="0"/>
                <w:bCs w:val="0"/>
                <w:sz w:val="24"/>
                <w:szCs w:val="24"/>
                <w:vertAlign w:val="baseline"/>
                <w:lang w:val="en-US" w:eastAsia="zh-CN"/>
              </w:rPr>
              <w:t>147</w:t>
            </w:r>
            <w:r>
              <w:rPr>
                <w:rFonts w:hint="eastAsia" w:ascii="Times New Roman" w:hAnsi="Times New Roman" w:cs="Times New Roman"/>
                <w:b w:val="0"/>
                <w:bCs w:val="0"/>
                <w:sz w:val="24"/>
                <w:szCs w:val="24"/>
                <w:vertAlign w:val="baseline"/>
                <w:lang w:val="en-US" w:eastAsia="zh-CN"/>
              </w:rPr>
              <w:t>2</w:t>
            </w:r>
            <w:r>
              <w:rPr>
                <w:rFonts w:hint="default" w:ascii="Times New Roman" w:hAnsi="Times New Roman" w:eastAsia="宋体" w:cs="Times New Roman"/>
                <w:b w:val="0"/>
                <w:bCs w:val="0"/>
                <w:sz w:val="24"/>
                <w:szCs w:val="24"/>
                <w:vertAlign w:val="baseline"/>
                <w:lang w:val="en-US" w:eastAsia="zh-CN"/>
              </w:rPr>
              <w:t>m</w:t>
            </w:r>
            <w:r>
              <w:rPr>
                <w:rFonts w:hint="default"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vertAlign w:val="baseline"/>
                <w:lang w:val="en-US" w:eastAsia="zh-CN"/>
              </w:rPr>
              <w:t>1422m。</w:t>
            </w:r>
          </w:p>
          <w:p w14:paraId="359996BB">
            <w:pPr>
              <w:pStyle w:val="22"/>
              <w:keepNext w:val="0"/>
              <w:keepLines w:val="0"/>
              <w:pageBreakBefore w:val="0"/>
              <w:widowControl/>
              <w:numPr>
                <w:ilvl w:val="0"/>
                <w:numId w:val="11"/>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开拓运输方案</w:t>
            </w:r>
          </w:p>
          <w:p w14:paraId="098367E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根据矿体赋存条件，同时考虑确定的露天开采方式，本次设计在矿山原有运输道路和总体布置的基础上，采用公路开拓、汽车运输方案。矿区内矿石运输道路布线方式为缓坡式布置，采坑道路布线方式也采用缓坡直进式布置。</w:t>
            </w:r>
          </w:p>
          <w:p w14:paraId="351AEEDA">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挖掘机、装载机通过矿区内运输道路直达首采区，直接挖掘开采，并最终形成工作面。</w:t>
            </w:r>
          </w:p>
          <w:p w14:paraId="2032AE3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矿山内部运输主要是采场开采的矿石的运输、材料的运输以及排废运输。外部运输主要是成品石料的外运和材料及生活物资的运入。矿山内部运输均由企业自备的自卸汽车承担运输。</w:t>
            </w:r>
          </w:p>
          <w:p w14:paraId="418399A3">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6、主要产品</w:t>
            </w:r>
          </w:p>
          <w:p w14:paraId="7808A9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根据本项目《矿产资源开采方案》及业主提供资料，产品为凹凸棒石粘土矿及</w:t>
            </w:r>
            <w:r>
              <w:rPr>
                <w:rFonts w:hint="eastAsia" w:ascii="Times New Roman" w:hAnsi="Times New Roman" w:cs="Times New Roman"/>
                <w:sz w:val="24"/>
                <w:szCs w:val="24"/>
                <w:lang w:val="en-US" w:eastAsia="zh-CN"/>
              </w:rPr>
              <w:t>伴生</w:t>
            </w:r>
            <w:r>
              <w:rPr>
                <w:rFonts w:hint="default" w:ascii="Times New Roman" w:hAnsi="Times New Roman" w:eastAsia="宋体" w:cs="Times New Roman"/>
                <w:sz w:val="24"/>
                <w:szCs w:val="24"/>
                <w:lang w:val="en-US" w:eastAsia="zh-CN"/>
              </w:rPr>
              <w:t>石膏矿，每年生产的凹凸棒石粘土主要</w:t>
            </w:r>
            <w:r>
              <w:rPr>
                <w:rFonts w:hint="eastAsia" w:ascii="宋体" w:hAnsi="宋体" w:eastAsia="宋体" w:cs="宋体"/>
                <w:color w:val="000000"/>
                <w:kern w:val="0"/>
                <w:sz w:val="24"/>
                <w:szCs w:val="24"/>
                <w:lang w:val="en-US" w:eastAsia="zh-CN" w:bidi="ar"/>
              </w:rPr>
              <w:t>以原矿形式对外销售</w:t>
            </w:r>
            <w:r>
              <w:rPr>
                <w:rFonts w:hint="default" w:ascii="Times New Roman" w:hAnsi="Times New Roman" w:eastAsia="宋体" w:cs="Times New Roman"/>
                <w:sz w:val="24"/>
                <w:szCs w:val="24"/>
                <w:lang w:val="en-US" w:eastAsia="zh-CN"/>
              </w:rPr>
              <w:t>至全国各地，石膏主要供应张掖市临泽县及周边部分县市市场，具体产品规格见下表2-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w:t>
            </w:r>
          </w:p>
          <w:p w14:paraId="51027096">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22" w:firstLineChars="20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表</w:t>
            </w:r>
            <w:r>
              <w:rPr>
                <w:rFonts w:hint="default" w:ascii="Times New Roman" w:hAnsi="Times New Roman" w:eastAsia="宋体" w:cs="Times New Roman"/>
                <w:b/>
                <w:bCs/>
                <w:sz w:val="21"/>
                <w:szCs w:val="21"/>
                <w:lang w:val="en-US" w:eastAsia="zh-CN"/>
              </w:rPr>
              <w:t>2-</w:t>
            </w:r>
            <w:r>
              <w:rPr>
                <w:rFonts w:hint="eastAsia" w:ascii="Times New Roman" w:hAnsi="Times New Roman"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本项目产品方案一览表</w:t>
            </w:r>
          </w:p>
          <w:tbl>
            <w:tblPr>
              <w:tblStyle w:val="24"/>
              <w:tblW w:w="83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081"/>
              <w:gridCol w:w="2081"/>
              <w:gridCol w:w="2081"/>
            </w:tblGrid>
            <w:tr w14:paraId="3950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081" w:type="dxa"/>
                  <w:tcBorders>
                    <w:top w:val="single" w:color="000000" w:sz="12" w:space="0"/>
                    <w:left w:val="nil"/>
                    <w:tl2br w:val="nil"/>
                  </w:tcBorders>
                  <w:noWrap w:val="0"/>
                  <w:vAlign w:val="center"/>
                </w:tcPr>
                <w:p w14:paraId="7D1C3BE6">
                  <w:pPr>
                    <w:jc w:val="center"/>
                    <w:rPr>
                      <w:rFonts w:hint="default"/>
                      <w:lang w:val="en-US" w:eastAsia="zh-CN"/>
                    </w:rPr>
                  </w:pPr>
                  <w:r>
                    <w:rPr>
                      <w:rFonts w:hint="default"/>
                      <w:lang w:val="en-US" w:eastAsia="zh-CN"/>
                    </w:rPr>
                    <w:t>名称</w:t>
                  </w:r>
                </w:p>
              </w:tc>
              <w:tc>
                <w:tcPr>
                  <w:tcW w:w="2081" w:type="dxa"/>
                  <w:tcBorders>
                    <w:top w:val="single" w:color="000000" w:sz="12" w:space="0"/>
                  </w:tcBorders>
                  <w:noWrap w:val="0"/>
                  <w:vAlign w:val="center"/>
                </w:tcPr>
                <w:p w14:paraId="6FFF0762">
                  <w:pPr>
                    <w:jc w:val="center"/>
                    <w:rPr>
                      <w:rFonts w:hint="default"/>
                      <w:lang w:val="en-US" w:eastAsia="zh-CN"/>
                    </w:rPr>
                  </w:pPr>
                  <w:r>
                    <w:rPr>
                      <w:rFonts w:hint="default"/>
                      <w:lang w:val="en-US" w:eastAsia="zh-CN"/>
                    </w:rPr>
                    <w:t>产品规格</w:t>
                  </w:r>
                </w:p>
              </w:tc>
              <w:tc>
                <w:tcPr>
                  <w:tcW w:w="2081" w:type="dxa"/>
                  <w:tcBorders>
                    <w:top w:val="single" w:color="000000" w:sz="12" w:space="0"/>
                    <w:right w:val="nil"/>
                  </w:tcBorders>
                  <w:noWrap w:val="0"/>
                  <w:vAlign w:val="center"/>
                </w:tcPr>
                <w:p w14:paraId="416FDC88">
                  <w:pPr>
                    <w:jc w:val="center"/>
                    <w:rPr>
                      <w:rFonts w:hint="default"/>
                      <w:lang w:val="en-US" w:eastAsia="zh-CN"/>
                    </w:rPr>
                  </w:pPr>
                  <w:r>
                    <w:rPr>
                      <w:rFonts w:hint="default"/>
                      <w:lang w:val="en-US" w:eastAsia="zh-CN"/>
                    </w:rPr>
                    <w:t>产量</w:t>
                  </w:r>
                </w:p>
              </w:tc>
              <w:tc>
                <w:tcPr>
                  <w:tcW w:w="2081" w:type="dxa"/>
                  <w:tcBorders>
                    <w:top w:val="single" w:color="000000" w:sz="12" w:space="0"/>
                    <w:right w:val="nil"/>
                  </w:tcBorders>
                  <w:noWrap w:val="0"/>
                  <w:vAlign w:val="center"/>
                </w:tcPr>
                <w:p w14:paraId="7991F22A">
                  <w:pPr>
                    <w:jc w:val="center"/>
                    <w:rPr>
                      <w:rFonts w:hint="default"/>
                      <w:lang w:val="en-US" w:eastAsia="zh-CN"/>
                    </w:rPr>
                  </w:pPr>
                  <w:r>
                    <w:rPr>
                      <w:rFonts w:hint="eastAsia"/>
                      <w:lang w:val="en-US" w:eastAsia="zh-CN"/>
                    </w:rPr>
                    <w:t>备注</w:t>
                  </w:r>
                </w:p>
              </w:tc>
            </w:tr>
            <w:tr w14:paraId="1E63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081" w:type="dxa"/>
                  <w:tcBorders>
                    <w:left w:val="nil"/>
                  </w:tcBorders>
                  <w:noWrap w:val="0"/>
                  <w:vAlign w:val="center"/>
                </w:tcPr>
                <w:p w14:paraId="29F2D11C">
                  <w:pPr>
                    <w:jc w:val="center"/>
                    <w:rPr>
                      <w:rFonts w:hint="default"/>
                      <w:lang w:val="en-US" w:eastAsia="zh-CN"/>
                    </w:rPr>
                  </w:pPr>
                  <w:r>
                    <w:rPr>
                      <w:rFonts w:hint="default"/>
                      <w:lang w:val="en-US" w:eastAsia="zh-CN"/>
                    </w:rPr>
                    <w:t>凹凸棒石粘土</w:t>
                  </w:r>
                </w:p>
              </w:tc>
              <w:tc>
                <w:tcPr>
                  <w:tcW w:w="2081" w:type="dxa"/>
                  <w:noWrap w:val="0"/>
                  <w:vAlign w:val="center"/>
                </w:tcPr>
                <w:p w14:paraId="5D83165D">
                  <w:pPr>
                    <w:jc w:val="center"/>
                    <w:rPr>
                      <w:rFonts w:hint="default"/>
                      <w:lang w:val="en-US" w:eastAsia="zh-CN"/>
                    </w:rPr>
                  </w:pPr>
                  <w:r>
                    <w:rPr>
                      <w:rFonts w:hint="default"/>
                      <w:lang w:val="en-US" w:eastAsia="zh-CN"/>
                    </w:rPr>
                    <w:t>/</w:t>
                  </w:r>
                </w:p>
              </w:tc>
              <w:tc>
                <w:tcPr>
                  <w:tcW w:w="2081" w:type="dxa"/>
                  <w:vMerge w:val="restart"/>
                  <w:tcBorders>
                    <w:right w:val="nil"/>
                  </w:tcBorders>
                  <w:noWrap w:val="0"/>
                  <w:vAlign w:val="center"/>
                </w:tcPr>
                <w:p w14:paraId="4B140CCF">
                  <w:pPr>
                    <w:jc w:val="center"/>
                    <w:rPr>
                      <w:rFonts w:hint="default"/>
                      <w:lang w:val="en-US" w:eastAsia="zh-CN"/>
                    </w:rPr>
                  </w:pPr>
                  <w:r>
                    <w:rPr>
                      <w:rFonts w:hint="eastAsia"/>
                      <w:lang w:val="en-US" w:eastAsia="zh-CN"/>
                    </w:rPr>
                    <w:t>5万t/a</w:t>
                  </w:r>
                </w:p>
              </w:tc>
              <w:tc>
                <w:tcPr>
                  <w:tcW w:w="2081" w:type="dxa"/>
                  <w:vMerge w:val="restart"/>
                  <w:tcBorders>
                    <w:right w:val="nil"/>
                  </w:tcBorders>
                  <w:noWrap w:val="0"/>
                  <w:vAlign w:val="center"/>
                </w:tcPr>
                <w:p w14:paraId="0C5CF4FF">
                  <w:pPr>
                    <w:jc w:val="center"/>
                    <w:rPr>
                      <w:rFonts w:hint="default"/>
                      <w:lang w:val="en-US" w:eastAsia="zh-CN"/>
                    </w:rPr>
                  </w:pPr>
                  <w:r>
                    <w:rPr>
                      <w:rFonts w:hint="eastAsia"/>
                      <w:lang w:val="en-US" w:eastAsia="zh-CN"/>
                    </w:rPr>
                    <w:t>外售</w:t>
                  </w:r>
                </w:p>
              </w:tc>
            </w:tr>
            <w:tr w14:paraId="2A8C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81" w:type="dxa"/>
                  <w:tcBorders>
                    <w:left w:val="nil"/>
                    <w:bottom w:val="single" w:color="000000" w:sz="12" w:space="0"/>
                  </w:tcBorders>
                  <w:noWrap w:val="0"/>
                  <w:vAlign w:val="center"/>
                </w:tcPr>
                <w:p w14:paraId="4ACD587B">
                  <w:pPr>
                    <w:jc w:val="center"/>
                    <w:rPr>
                      <w:rFonts w:hint="default"/>
                      <w:lang w:val="en-US" w:eastAsia="zh-CN"/>
                    </w:rPr>
                  </w:pPr>
                  <w:r>
                    <w:rPr>
                      <w:rFonts w:hint="default"/>
                      <w:lang w:val="en-US" w:eastAsia="zh-CN"/>
                    </w:rPr>
                    <w:t>石膏</w:t>
                  </w:r>
                </w:p>
              </w:tc>
              <w:tc>
                <w:tcPr>
                  <w:tcW w:w="2081" w:type="dxa"/>
                  <w:tcBorders>
                    <w:bottom w:val="single" w:color="000000" w:sz="12" w:space="0"/>
                  </w:tcBorders>
                  <w:noWrap w:val="0"/>
                  <w:vAlign w:val="center"/>
                </w:tcPr>
                <w:p w14:paraId="5A6EB43D">
                  <w:pPr>
                    <w:jc w:val="center"/>
                    <w:rPr>
                      <w:rFonts w:hint="default"/>
                      <w:lang w:val="en-US" w:eastAsia="zh-CN"/>
                    </w:rPr>
                  </w:pPr>
                  <w:r>
                    <w:rPr>
                      <w:rFonts w:hint="default"/>
                      <w:lang w:val="en-US" w:eastAsia="zh-CN"/>
                    </w:rPr>
                    <w:t>/</w:t>
                  </w:r>
                </w:p>
              </w:tc>
              <w:tc>
                <w:tcPr>
                  <w:tcW w:w="2081" w:type="dxa"/>
                  <w:vMerge w:val="continue"/>
                  <w:tcBorders>
                    <w:bottom w:val="single" w:color="000000" w:sz="12" w:space="0"/>
                    <w:right w:val="nil"/>
                  </w:tcBorders>
                  <w:noWrap w:val="0"/>
                  <w:vAlign w:val="center"/>
                </w:tcPr>
                <w:p w14:paraId="514762B7">
                  <w:pPr>
                    <w:jc w:val="center"/>
                    <w:rPr>
                      <w:rFonts w:hint="default"/>
                      <w:lang w:val="en-US" w:eastAsia="zh-CN"/>
                    </w:rPr>
                  </w:pPr>
                </w:p>
              </w:tc>
              <w:tc>
                <w:tcPr>
                  <w:tcW w:w="2081" w:type="dxa"/>
                  <w:vMerge w:val="continue"/>
                  <w:tcBorders>
                    <w:bottom w:val="single" w:color="000000" w:sz="12" w:space="0"/>
                    <w:right w:val="nil"/>
                  </w:tcBorders>
                  <w:noWrap w:val="0"/>
                  <w:vAlign w:val="center"/>
                </w:tcPr>
                <w:p w14:paraId="627B1A04">
                  <w:pPr>
                    <w:jc w:val="center"/>
                    <w:rPr>
                      <w:rFonts w:hint="default"/>
                      <w:lang w:val="en-US" w:eastAsia="zh-CN"/>
                    </w:rPr>
                  </w:pPr>
                </w:p>
              </w:tc>
            </w:tr>
          </w:tbl>
          <w:p w14:paraId="130B2C75">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eastAsia="宋体" w:cs="Times New Roman"/>
                <w:b/>
                <w:bCs/>
                <w:sz w:val="24"/>
                <w:szCs w:val="24"/>
                <w:lang w:val="en-US" w:eastAsia="zh-CN"/>
              </w:rPr>
              <w:t>、项目原辅料及能源消耗情况</w:t>
            </w:r>
          </w:p>
          <w:p w14:paraId="4FAC9BB4">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 2-</w:t>
            </w:r>
            <w:r>
              <w:rPr>
                <w:rFonts w:hint="eastAsia" w:ascii="Times New Roman" w:hAnsi="Times New Roman" w:cs="Times New Roman"/>
                <w:b/>
                <w:bCs/>
                <w:sz w:val="21"/>
                <w:szCs w:val="21"/>
                <w:lang w:val="en-US" w:eastAsia="zh-CN"/>
              </w:rPr>
              <w:t>6</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项目原辅材料及能源消耗情况</w:t>
            </w:r>
          </w:p>
          <w:tbl>
            <w:tblPr>
              <w:tblStyle w:val="23"/>
              <w:tblW w:w="8118" w:type="dxa"/>
              <w:jc w:val="center"/>
              <w:tblBorders>
                <w:top w:val="none" w:color="auto" w:sz="0" w:space="0"/>
                <w:left w:val="none" w:color="auto" w:sz="0" w:space="0"/>
                <w:bottom w:val="none" w:color="auto" w:sz="0"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97"/>
              <w:gridCol w:w="1145"/>
              <w:gridCol w:w="1655"/>
              <w:gridCol w:w="1573"/>
              <w:gridCol w:w="2848"/>
            </w:tblGrid>
            <w:tr w14:paraId="264D4B3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2" w:hRule="atLeast"/>
                <w:jc w:val="center"/>
              </w:trPr>
              <w:tc>
                <w:tcPr>
                  <w:tcW w:w="897" w:type="dxa"/>
                  <w:tcBorders>
                    <w:top w:val="single" w:color="000000" w:sz="8" w:space="0"/>
                    <w:left w:val="nil"/>
                  </w:tcBorders>
                  <w:noWrap w:val="0"/>
                  <w:vAlign w:val="center"/>
                </w:tcPr>
                <w:p w14:paraId="4C6CAA9B">
                  <w:pPr>
                    <w:jc w:val="center"/>
                    <w:rPr>
                      <w:rFonts w:hint="eastAsia"/>
                    </w:rPr>
                  </w:pPr>
                  <w:r>
                    <w:rPr>
                      <w:rFonts w:hint="eastAsia"/>
                      <w:lang w:val="en-US" w:eastAsia="zh-CN"/>
                    </w:rPr>
                    <w:t>序号</w:t>
                  </w:r>
                </w:p>
              </w:tc>
              <w:tc>
                <w:tcPr>
                  <w:tcW w:w="1145" w:type="dxa"/>
                  <w:tcBorders>
                    <w:top w:val="single" w:color="000000" w:sz="8" w:space="0"/>
                  </w:tcBorders>
                  <w:noWrap w:val="0"/>
                  <w:vAlign w:val="center"/>
                </w:tcPr>
                <w:p w14:paraId="19408270">
                  <w:pPr>
                    <w:jc w:val="center"/>
                    <w:rPr>
                      <w:rFonts w:hint="eastAsia"/>
                    </w:rPr>
                  </w:pPr>
                  <w:r>
                    <w:rPr>
                      <w:rFonts w:hint="eastAsia"/>
                      <w:lang w:val="en-US" w:eastAsia="zh-CN"/>
                    </w:rPr>
                    <w:t>名称</w:t>
                  </w:r>
                </w:p>
              </w:tc>
              <w:tc>
                <w:tcPr>
                  <w:tcW w:w="1655" w:type="dxa"/>
                  <w:tcBorders>
                    <w:top w:val="single" w:color="000000" w:sz="8" w:space="0"/>
                  </w:tcBorders>
                  <w:noWrap w:val="0"/>
                  <w:vAlign w:val="center"/>
                </w:tcPr>
                <w:p w14:paraId="6FBAC484">
                  <w:pPr>
                    <w:jc w:val="center"/>
                    <w:rPr>
                      <w:rFonts w:hint="eastAsia"/>
                    </w:rPr>
                  </w:pPr>
                  <w:r>
                    <w:rPr>
                      <w:rFonts w:hint="eastAsia"/>
                      <w:lang w:val="en-US" w:eastAsia="zh-CN"/>
                    </w:rPr>
                    <w:t>单位</w:t>
                  </w:r>
                </w:p>
              </w:tc>
              <w:tc>
                <w:tcPr>
                  <w:tcW w:w="1573" w:type="dxa"/>
                  <w:tcBorders>
                    <w:top w:val="single" w:color="000000" w:sz="8" w:space="0"/>
                  </w:tcBorders>
                  <w:noWrap w:val="0"/>
                  <w:vAlign w:val="center"/>
                </w:tcPr>
                <w:p w14:paraId="4B6D3DEE">
                  <w:pPr>
                    <w:jc w:val="center"/>
                    <w:rPr>
                      <w:rFonts w:hint="eastAsia"/>
                    </w:rPr>
                  </w:pPr>
                  <w:r>
                    <w:rPr>
                      <w:rFonts w:hint="eastAsia"/>
                      <w:lang w:val="en-US" w:eastAsia="zh-CN"/>
                    </w:rPr>
                    <w:t>年消耗量</w:t>
                  </w:r>
                </w:p>
              </w:tc>
              <w:tc>
                <w:tcPr>
                  <w:tcW w:w="2848" w:type="dxa"/>
                  <w:tcBorders>
                    <w:top w:val="single" w:color="000000" w:sz="8" w:space="0"/>
                    <w:right w:val="nil"/>
                  </w:tcBorders>
                  <w:noWrap w:val="0"/>
                  <w:vAlign w:val="center"/>
                </w:tcPr>
                <w:p w14:paraId="27F0DF71">
                  <w:pPr>
                    <w:jc w:val="center"/>
                    <w:rPr>
                      <w:rFonts w:hint="eastAsia"/>
                    </w:rPr>
                  </w:pPr>
                  <w:r>
                    <w:rPr>
                      <w:rFonts w:hint="eastAsia"/>
                      <w:lang w:val="en-US" w:eastAsia="zh-CN"/>
                    </w:rPr>
                    <w:t>来源</w:t>
                  </w:r>
                </w:p>
              </w:tc>
            </w:tr>
            <w:tr w14:paraId="29FCC3A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97" w:type="dxa"/>
                  <w:vMerge w:val="restart"/>
                  <w:tcBorders>
                    <w:left w:val="nil"/>
                  </w:tcBorders>
                  <w:noWrap w:val="0"/>
                  <w:vAlign w:val="center"/>
                </w:tcPr>
                <w:p w14:paraId="21B0F50B">
                  <w:pPr>
                    <w:jc w:val="center"/>
                    <w:rPr>
                      <w:rFonts w:hint="default"/>
                    </w:rPr>
                  </w:pPr>
                  <w:r>
                    <w:rPr>
                      <w:rFonts w:hint="default"/>
                      <w:lang w:val="en-US" w:eastAsia="zh-CN"/>
                    </w:rPr>
                    <w:t>1</w:t>
                  </w:r>
                </w:p>
              </w:tc>
              <w:tc>
                <w:tcPr>
                  <w:tcW w:w="1145" w:type="dxa"/>
                  <w:vMerge w:val="restart"/>
                  <w:noWrap w:val="0"/>
                  <w:vAlign w:val="center"/>
                </w:tcPr>
                <w:p w14:paraId="136F2B75">
                  <w:pPr>
                    <w:jc w:val="center"/>
                    <w:rPr>
                      <w:rFonts w:hint="eastAsia"/>
                    </w:rPr>
                  </w:pPr>
                  <w:r>
                    <w:rPr>
                      <w:rFonts w:hint="eastAsia"/>
                      <w:lang w:val="en-US" w:eastAsia="zh-CN"/>
                    </w:rPr>
                    <w:t>电</w:t>
                  </w:r>
                </w:p>
              </w:tc>
              <w:tc>
                <w:tcPr>
                  <w:tcW w:w="1655" w:type="dxa"/>
                  <w:vMerge w:val="restart"/>
                  <w:noWrap w:val="0"/>
                  <w:vAlign w:val="center"/>
                </w:tcPr>
                <w:p w14:paraId="1846F7B2">
                  <w:pPr>
                    <w:jc w:val="center"/>
                    <w:rPr>
                      <w:rFonts w:hint="default"/>
                    </w:rPr>
                  </w:pPr>
                  <w:r>
                    <w:rPr>
                      <w:rFonts w:hint="default"/>
                      <w:lang w:val="en-US" w:eastAsia="zh-CN"/>
                    </w:rPr>
                    <w:t>Kw·h/a</w:t>
                  </w:r>
                </w:p>
              </w:tc>
              <w:tc>
                <w:tcPr>
                  <w:tcW w:w="1573" w:type="dxa"/>
                  <w:vMerge w:val="restart"/>
                  <w:noWrap w:val="0"/>
                  <w:vAlign w:val="center"/>
                </w:tcPr>
                <w:p w14:paraId="5EEB99B7">
                  <w:pPr>
                    <w:jc w:val="center"/>
                    <w:rPr>
                      <w:rFonts w:hint="default"/>
                    </w:rPr>
                  </w:pPr>
                  <w:r>
                    <w:rPr>
                      <w:rFonts w:hint="default"/>
                      <w:lang w:val="en-US" w:eastAsia="zh-CN"/>
                    </w:rPr>
                    <w:t>40000</w:t>
                  </w:r>
                </w:p>
              </w:tc>
              <w:tc>
                <w:tcPr>
                  <w:tcW w:w="2848" w:type="dxa"/>
                  <w:vMerge w:val="restart"/>
                  <w:tcBorders>
                    <w:right w:val="nil"/>
                  </w:tcBorders>
                  <w:noWrap w:val="0"/>
                  <w:vAlign w:val="center"/>
                </w:tcPr>
                <w:p w14:paraId="364160BE">
                  <w:pPr>
                    <w:jc w:val="center"/>
                    <w:rPr>
                      <w:rFonts w:hint="eastAsia"/>
                    </w:rPr>
                  </w:pPr>
                  <w:r>
                    <w:rPr>
                      <w:rFonts w:hint="eastAsia"/>
                      <w:lang w:val="en-US" w:eastAsia="zh-CN"/>
                    </w:rPr>
                    <w:t>引自矿区附近板桥镇已有供电设施。</w:t>
                  </w:r>
                </w:p>
              </w:tc>
            </w:tr>
            <w:tr w14:paraId="5D5AEC1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97" w:type="dxa"/>
                  <w:vMerge w:val="continue"/>
                  <w:tcBorders>
                    <w:left w:val="nil"/>
                  </w:tcBorders>
                  <w:noWrap w:val="0"/>
                  <w:vAlign w:val="center"/>
                </w:tcPr>
                <w:p w14:paraId="1ED33391">
                  <w:pPr>
                    <w:jc w:val="center"/>
                    <w:rPr>
                      <w:rFonts w:hint="default"/>
                    </w:rPr>
                  </w:pPr>
                </w:p>
              </w:tc>
              <w:tc>
                <w:tcPr>
                  <w:tcW w:w="1145" w:type="dxa"/>
                  <w:vMerge w:val="continue"/>
                  <w:noWrap w:val="0"/>
                  <w:vAlign w:val="center"/>
                </w:tcPr>
                <w:p w14:paraId="77B4720A">
                  <w:pPr>
                    <w:jc w:val="center"/>
                    <w:rPr>
                      <w:rFonts w:hint="eastAsia"/>
                    </w:rPr>
                  </w:pPr>
                </w:p>
              </w:tc>
              <w:tc>
                <w:tcPr>
                  <w:tcW w:w="1655" w:type="dxa"/>
                  <w:vMerge w:val="continue"/>
                  <w:noWrap w:val="0"/>
                  <w:vAlign w:val="center"/>
                </w:tcPr>
                <w:p w14:paraId="6AB46FC2">
                  <w:pPr>
                    <w:jc w:val="center"/>
                    <w:rPr>
                      <w:rFonts w:hint="default"/>
                    </w:rPr>
                  </w:pPr>
                </w:p>
              </w:tc>
              <w:tc>
                <w:tcPr>
                  <w:tcW w:w="1573" w:type="dxa"/>
                  <w:vMerge w:val="continue"/>
                  <w:noWrap w:val="0"/>
                  <w:vAlign w:val="center"/>
                </w:tcPr>
                <w:p w14:paraId="30FEFD14">
                  <w:pPr>
                    <w:jc w:val="center"/>
                    <w:rPr>
                      <w:rFonts w:hint="default"/>
                    </w:rPr>
                  </w:pPr>
                </w:p>
              </w:tc>
              <w:tc>
                <w:tcPr>
                  <w:tcW w:w="2848" w:type="dxa"/>
                  <w:vMerge w:val="continue"/>
                  <w:tcBorders>
                    <w:right w:val="nil"/>
                  </w:tcBorders>
                  <w:noWrap w:val="0"/>
                  <w:vAlign w:val="center"/>
                </w:tcPr>
                <w:p w14:paraId="636E8744">
                  <w:pPr>
                    <w:jc w:val="center"/>
                    <w:rPr>
                      <w:rFonts w:hint="eastAsia"/>
                    </w:rPr>
                  </w:pPr>
                </w:p>
              </w:tc>
            </w:tr>
            <w:tr w14:paraId="197F5B9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PrEx>
              <w:trPr>
                <w:trHeight w:val="312" w:hRule="atLeast"/>
                <w:jc w:val="center"/>
              </w:trPr>
              <w:tc>
                <w:tcPr>
                  <w:tcW w:w="897" w:type="dxa"/>
                  <w:vMerge w:val="restart"/>
                  <w:tcBorders>
                    <w:left w:val="nil"/>
                  </w:tcBorders>
                  <w:noWrap w:val="0"/>
                  <w:vAlign w:val="center"/>
                </w:tcPr>
                <w:p w14:paraId="61C1DA42">
                  <w:pPr>
                    <w:jc w:val="center"/>
                    <w:rPr>
                      <w:rFonts w:hint="default"/>
                    </w:rPr>
                  </w:pPr>
                  <w:r>
                    <w:rPr>
                      <w:rFonts w:hint="default"/>
                      <w:lang w:val="en-US" w:eastAsia="zh-CN"/>
                    </w:rPr>
                    <w:t>2</w:t>
                  </w:r>
                </w:p>
              </w:tc>
              <w:tc>
                <w:tcPr>
                  <w:tcW w:w="1145" w:type="dxa"/>
                  <w:vMerge w:val="restart"/>
                  <w:noWrap w:val="0"/>
                  <w:vAlign w:val="center"/>
                </w:tcPr>
                <w:p w14:paraId="26A55655">
                  <w:pPr>
                    <w:jc w:val="center"/>
                    <w:rPr>
                      <w:rFonts w:hint="eastAsia"/>
                    </w:rPr>
                  </w:pPr>
                  <w:r>
                    <w:rPr>
                      <w:rFonts w:hint="eastAsia"/>
                      <w:lang w:val="en-US" w:eastAsia="zh-CN"/>
                    </w:rPr>
                    <w:t>水</w:t>
                  </w:r>
                </w:p>
              </w:tc>
              <w:tc>
                <w:tcPr>
                  <w:tcW w:w="1655" w:type="dxa"/>
                  <w:vMerge w:val="restart"/>
                  <w:noWrap w:val="0"/>
                  <w:vAlign w:val="center"/>
                </w:tcPr>
                <w:p w14:paraId="427E7B54">
                  <w:pPr>
                    <w:jc w:val="center"/>
                    <w:rPr>
                      <w:rFonts w:hint="default"/>
                    </w:rPr>
                  </w:pPr>
                  <w:r>
                    <w:rPr>
                      <w:rFonts w:hint="default"/>
                      <w:lang w:val="en-US" w:eastAsia="zh-CN"/>
                    </w:rPr>
                    <w:t>m³/a</w:t>
                  </w:r>
                </w:p>
              </w:tc>
              <w:tc>
                <w:tcPr>
                  <w:tcW w:w="1573" w:type="dxa"/>
                  <w:vMerge w:val="restart"/>
                  <w:noWrap w:val="0"/>
                  <w:vAlign w:val="center"/>
                </w:tcPr>
                <w:p w14:paraId="00C6AEC6">
                  <w:pPr>
                    <w:jc w:val="center"/>
                    <w:rPr>
                      <w:rFonts w:hint="default"/>
                      <w:lang w:val="en-US" w:eastAsia="zh-CN"/>
                    </w:rPr>
                  </w:pPr>
                  <w:r>
                    <w:rPr>
                      <w:rFonts w:hint="eastAsia"/>
                      <w:lang w:val="en-US" w:eastAsia="zh-CN"/>
                    </w:rPr>
                    <w:t>6612</w:t>
                  </w:r>
                </w:p>
              </w:tc>
              <w:tc>
                <w:tcPr>
                  <w:tcW w:w="2848" w:type="dxa"/>
                  <w:vMerge w:val="restart"/>
                  <w:tcBorders>
                    <w:right w:val="nil"/>
                  </w:tcBorders>
                  <w:noWrap w:val="0"/>
                  <w:vAlign w:val="center"/>
                </w:tcPr>
                <w:p w14:paraId="0AAF864C">
                  <w:pPr>
                    <w:jc w:val="center"/>
                    <w:rPr>
                      <w:rFonts w:hint="eastAsia"/>
                    </w:rPr>
                  </w:pPr>
                  <w:r>
                    <w:rPr>
                      <w:rFonts w:hint="eastAsia"/>
                      <w:lang w:val="en-US" w:eastAsia="zh-CN"/>
                    </w:rPr>
                    <w:t>用水从板桥镇拉运解决。</w:t>
                  </w:r>
                </w:p>
              </w:tc>
            </w:tr>
            <w:tr w14:paraId="261FEDF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97" w:type="dxa"/>
                  <w:vMerge w:val="continue"/>
                  <w:tcBorders>
                    <w:left w:val="nil"/>
                  </w:tcBorders>
                  <w:noWrap w:val="0"/>
                  <w:vAlign w:val="center"/>
                </w:tcPr>
                <w:p w14:paraId="1C5BF44B">
                  <w:pPr>
                    <w:jc w:val="center"/>
                    <w:rPr>
                      <w:rFonts w:hint="default"/>
                    </w:rPr>
                  </w:pPr>
                </w:p>
              </w:tc>
              <w:tc>
                <w:tcPr>
                  <w:tcW w:w="1145" w:type="dxa"/>
                  <w:vMerge w:val="continue"/>
                  <w:noWrap w:val="0"/>
                  <w:vAlign w:val="center"/>
                </w:tcPr>
                <w:p w14:paraId="3848B281">
                  <w:pPr>
                    <w:jc w:val="center"/>
                    <w:rPr>
                      <w:rFonts w:hint="eastAsia"/>
                    </w:rPr>
                  </w:pPr>
                </w:p>
              </w:tc>
              <w:tc>
                <w:tcPr>
                  <w:tcW w:w="1655" w:type="dxa"/>
                  <w:vMerge w:val="continue"/>
                  <w:noWrap w:val="0"/>
                  <w:vAlign w:val="center"/>
                </w:tcPr>
                <w:p w14:paraId="2898564B">
                  <w:pPr>
                    <w:jc w:val="center"/>
                    <w:rPr>
                      <w:rFonts w:hint="default"/>
                    </w:rPr>
                  </w:pPr>
                </w:p>
              </w:tc>
              <w:tc>
                <w:tcPr>
                  <w:tcW w:w="1573" w:type="dxa"/>
                  <w:vMerge w:val="continue"/>
                  <w:noWrap w:val="0"/>
                  <w:vAlign w:val="center"/>
                </w:tcPr>
                <w:p w14:paraId="307E3E14">
                  <w:pPr>
                    <w:jc w:val="center"/>
                    <w:rPr>
                      <w:rFonts w:hint="default"/>
                    </w:rPr>
                  </w:pPr>
                </w:p>
              </w:tc>
              <w:tc>
                <w:tcPr>
                  <w:tcW w:w="2848" w:type="dxa"/>
                  <w:vMerge w:val="continue"/>
                  <w:tcBorders>
                    <w:right w:val="nil"/>
                  </w:tcBorders>
                  <w:noWrap w:val="0"/>
                  <w:vAlign w:val="center"/>
                </w:tcPr>
                <w:p w14:paraId="587C4862">
                  <w:pPr>
                    <w:jc w:val="center"/>
                    <w:rPr>
                      <w:rFonts w:hint="eastAsia"/>
                    </w:rPr>
                  </w:pPr>
                </w:p>
              </w:tc>
            </w:tr>
            <w:tr w14:paraId="3F8BC83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97" w:type="dxa"/>
                  <w:vMerge w:val="restart"/>
                  <w:tcBorders>
                    <w:left w:val="nil"/>
                  </w:tcBorders>
                  <w:noWrap w:val="0"/>
                  <w:vAlign w:val="center"/>
                </w:tcPr>
                <w:p w14:paraId="1E8BC999">
                  <w:pPr>
                    <w:jc w:val="center"/>
                    <w:rPr>
                      <w:rFonts w:hint="default"/>
                    </w:rPr>
                  </w:pPr>
                  <w:r>
                    <w:rPr>
                      <w:rFonts w:hint="default"/>
                      <w:lang w:val="en-US" w:eastAsia="zh-CN"/>
                    </w:rPr>
                    <w:t>3</w:t>
                  </w:r>
                </w:p>
              </w:tc>
              <w:tc>
                <w:tcPr>
                  <w:tcW w:w="1145" w:type="dxa"/>
                  <w:vMerge w:val="restart"/>
                  <w:noWrap w:val="0"/>
                  <w:vAlign w:val="center"/>
                </w:tcPr>
                <w:p w14:paraId="676D3D50">
                  <w:pPr>
                    <w:jc w:val="center"/>
                    <w:rPr>
                      <w:rFonts w:hint="eastAsia"/>
                    </w:rPr>
                  </w:pPr>
                  <w:r>
                    <w:rPr>
                      <w:rFonts w:hint="eastAsia"/>
                      <w:lang w:val="en-US" w:eastAsia="zh-CN"/>
                    </w:rPr>
                    <w:t>柴油</w:t>
                  </w:r>
                </w:p>
              </w:tc>
              <w:tc>
                <w:tcPr>
                  <w:tcW w:w="1655" w:type="dxa"/>
                  <w:vMerge w:val="restart"/>
                  <w:noWrap w:val="0"/>
                  <w:vAlign w:val="center"/>
                </w:tcPr>
                <w:p w14:paraId="6F8B8662">
                  <w:pPr>
                    <w:jc w:val="center"/>
                    <w:rPr>
                      <w:rFonts w:hint="default"/>
                    </w:rPr>
                  </w:pPr>
                  <w:r>
                    <w:rPr>
                      <w:rFonts w:hint="default"/>
                      <w:lang w:val="en-US" w:eastAsia="zh-CN"/>
                    </w:rPr>
                    <w:t>t</w:t>
                  </w:r>
                </w:p>
              </w:tc>
              <w:tc>
                <w:tcPr>
                  <w:tcW w:w="1573" w:type="dxa"/>
                  <w:vMerge w:val="restart"/>
                  <w:noWrap w:val="0"/>
                  <w:vAlign w:val="center"/>
                </w:tcPr>
                <w:p w14:paraId="564E5097">
                  <w:pPr>
                    <w:jc w:val="center"/>
                    <w:rPr>
                      <w:rFonts w:hint="default"/>
                    </w:rPr>
                  </w:pPr>
                  <w:r>
                    <w:rPr>
                      <w:rFonts w:hint="eastAsia"/>
                      <w:lang w:val="en-US" w:eastAsia="zh-CN"/>
                    </w:rPr>
                    <w:t>30</w:t>
                  </w:r>
                  <w:r>
                    <w:rPr>
                      <w:rFonts w:hint="default"/>
                      <w:lang w:val="en-US" w:eastAsia="zh-CN"/>
                    </w:rPr>
                    <w:t>t</w:t>
                  </w:r>
                </w:p>
              </w:tc>
              <w:tc>
                <w:tcPr>
                  <w:tcW w:w="2848" w:type="dxa"/>
                  <w:vMerge w:val="restart"/>
                  <w:tcBorders>
                    <w:right w:val="nil"/>
                  </w:tcBorders>
                  <w:noWrap w:val="0"/>
                  <w:vAlign w:val="center"/>
                </w:tcPr>
                <w:p w14:paraId="41D7E257">
                  <w:pPr>
                    <w:jc w:val="center"/>
                    <w:rPr>
                      <w:rFonts w:hint="eastAsia"/>
                    </w:rPr>
                  </w:pPr>
                  <w:r>
                    <w:rPr>
                      <w:rFonts w:hint="eastAsia"/>
                      <w:lang w:val="en-US" w:eastAsia="zh-CN"/>
                    </w:rPr>
                    <w:t>外购，柴油现用现买，矿区不设置储油</w:t>
                  </w:r>
                </w:p>
              </w:tc>
            </w:tr>
            <w:tr w14:paraId="221F837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97" w:type="dxa"/>
                  <w:vMerge w:val="continue"/>
                  <w:tcBorders>
                    <w:left w:val="nil"/>
                  </w:tcBorders>
                  <w:noWrap w:val="0"/>
                  <w:vAlign w:val="center"/>
                </w:tcPr>
                <w:p w14:paraId="1CCD2935">
                  <w:pPr>
                    <w:jc w:val="center"/>
                    <w:rPr>
                      <w:rFonts w:hint="default"/>
                    </w:rPr>
                  </w:pPr>
                </w:p>
              </w:tc>
              <w:tc>
                <w:tcPr>
                  <w:tcW w:w="1145" w:type="dxa"/>
                  <w:vMerge w:val="continue"/>
                  <w:noWrap w:val="0"/>
                  <w:vAlign w:val="center"/>
                </w:tcPr>
                <w:p w14:paraId="15892958">
                  <w:pPr>
                    <w:jc w:val="center"/>
                    <w:rPr>
                      <w:rFonts w:hint="eastAsia"/>
                    </w:rPr>
                  </w:pPr>
                </w:p>
              </w:tc>
              <w:tc>
                <w:tcPr>
                  <w:tcW w:w="1655" w:type="dxa"/>
                  <w:vMerge w:val="continue"/>
                  <w:noWrap w:val="0"/>
                  <w:vAlign w:val="center"/>
                </w:tcPr>
                <w:p w14:paraId="04EA3816">
                  <w:pPr>
                    <w:jc w:val="center"/>
                    <w:rPr>
                      <w:rFonts w:hint="default"/>
                    </w:rPr>
                  </w:pPr>
                </w:p>
              </w:tc>
              <w:tc>
                <w:tcPr>
                  <w:tcW w:w="1573" w:type="dxa"/>
                  <w:vMerge w:val="continue"/>
                  <w:noWrap w:val="0"/>
                  <w:vAlign w:val="center"/>
                </w:tcPr>
                <w:p w14:paraId="259904D0">
                  <w:pPr>
                    <w:jc w:val="center"/>
                    <w:rPr>
                      <w:rFonts w:hint="default"/>
                    </w:rPr>
                  </w:pPr>
                </w:p>
              </w:tc>
              <w:tc>
                <w:tcPr>
                  <w:tcW w:w="2848" w:type="dxa"/>
                  <w:vMerge w:val="continue"/>
                  <w:tcBorders>
                    <w:right w:val="nil"/>
                  </w:tcBorders>
                  <w:noWrap w:val="0"/>
                  <w:vAlign w:val="center"/>
                </w:tcPr>
                <w:p w14:paraId="7D7C82E5">
                  <w:pPr>
                    <w:jc w:val="center"/>
                    <w:rPr>
                      <w:rFonts w:hint="eastAsia"/>
                    </w:rPr>
                  </w:pPr>
                </w:p>
              </w:tc>
            </w:tr>
            <w:tr w14:paraId="663CDA7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97" w:type="dxa"/>
                  <w:vMerge w:val="restart"/>
                  <w:tcBorders>
                    <w:left w:val="nil"/>
                  </w:tcBorders>
                  <w:noWrap w:val="0"/>
                  <w:vAlign w:val="center"/>
                </w:tcPr>
                <w:p w14:paraId="0E80A21B">
                  <w:pPr>
                    <w:jc w:val="center"/>
                    <w:rPr>
                      <w:rFonts w:hint="default"/>
                    </w:rPr>
                  </w:pPr>
                  <w:r>
                    <w:rPr>
                      <w:rFonts w:hint="default"/>
                      <w:lang w:val="en-US" w:eastAsia="zh-CN"/>
                    </w:rPr>
                    <w:t>4</w:t>
                  </w:r>
                </w:p>
              </w:tc>
              <w:tc>
                <w:tcPr>
                  <w:tcW w:w="1145" w:type="dxa"/>
                  <w:vMerge w:val="restart"/>
                  <w:noWrap w:val="0"/>
                  <w:vAlign w:val="center"/>
                </w:tcPr>
                <w:p w14:paraId="198F1CCA">
                  <w:pPr>
                    <w:jc w:val="center"/>
                    <w:rPr>
                      <w:rFonts w:hint="eastAsia"/>
                    </w:rPr>
                  </w:pPr>
                  <w:r>
                    <w:rPr>
                      <w:rFonts w:hint="eastAsia"/>
                      <w:lang w:val="en-US" w:eastAsia="zh-CN"/>
                    </w:rPr>
                    <w:t>机油</w:t>
                  </w:r>
                </w:p>
              </w:tc>
              <w:tc>
                <w:tcPr>
                  <w:tcW w:w="1655" w:type="dxa"/>
                  <w:vMerge w:val="restart"/>
                  <w:noWrap w:val="0"/>
                  <w:vAlign w:val="center"/>
                </w:tcPr>
                <w:p w14:paraId="261498EB">
                  <w:pPr>
                    <w:jc w:val="center"/>
                    <w:rPr>
                      <w:rFonts w:hint="default"/>
                    </w:rPr>
                  </w:pPr>
                  <w:r>
                    <w:rPr>
                      <w:rFonts w:hint="default"/>
                      <w:lang w:val="en-US" w:eastAsia="zh-CN"/>
                    </w:rPr>
                    <w:t>t</w:t>
                  </w:r>
                </w:p>
              </w:tc>
              <w:tc>
                <w:tcPr>
                  <w:tcW w:w="1573" w:type="dxa"/>
                  <w:vMerge w:val="restart"/>
                  <w:noWrap w:val="0"/>
                  <w:vAlign w:val="center"/>
                </w:tcPr>
                <w:p w14:paraId="09096B19">
                  <w:pPr>
                    <w:jc w:val="center"/>
                    <w:rPr>
                      <w:rFonts w:hint="default"/>
                    </w:rPr>
                  </w:pPr>
                  <w:r>
                    <w:rPr>
                      <w:rFonts w:hint="default"/>
                      <w:lang w:val="en-US" w:eastAsia="zh-CN"/>
                    </w:rPr>
                    <w:t>0.</w:t>
                  </w:r>
                  <w:r>
                    <w:rPr>
                      <w:rFonts w:hint="eastAsia"/>
                      <w:lang w:val="en-US" w:eastAsia="zh-CN"/>
                    </w:rPr>
                    <w:t>3</w:t>
                  </w:r>
                  <w:r>
                    <w:rPr>
                      <w:rFonts w:hint="default"/>
                      <w:lang w:val="en-US" w:eastAsia="zh-CN"/>
                    </w:rPr>
                    <w:t>t</w:t>
                  </w:r>
                </w:p>
              </w:tc>
              <w:tc>
                <w:tcPr>
                  <w:tcW w:w="2848" w:type="dxa"/>
                  <w:vMerge w:val="restart"/>
                  <w:tcBorders>
                    <w:right w:val="nil"/>
                  </w:tcBorders>
                  <w:noWrap w:val="0"/>
                  <w:vAlign w:val="center"/>
                </w:tcPr>
                <w:p w14:paraId="7A211C35">
                  <w:pPr>
                    <w:jc w:val="center"/>
                    <w:rPr>
                      <w:rFonts w:hint="eastAsia"/>
                    </w:rPr>
                  </w:pPr>
                  <w:r>
                    <w:rPr>
                      <w:rFonts w:hint="eastAsia"/>
                      <w:lang w:val="en-US" w:eastAsia="zh-CN"/>
                    </w:rPr>
                    <w:t>外购，现用现买</w:t>
                  </w:r>
                </w:p>
              </w:tc>
            </w:tr>
            <w:tr w14:paraId="3275A55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897" w:type="dxa"/>
                  <w:vMerge w:val="continue"/>
                  <w:tcBorders>
                    <w:left w:val="nil"/>
                    <w:bottom w:val="single" w:color="000000" w:sz="8" w:space="0"/>
                  </w:tcBorders>
                  <w:noWrap w:val="0"/>
                  <w:vAlign w:val="center"/>
                </w:tcPr>
                <w:p w14:paraId="51D6EFF5">
                  <w:pPr>
                    <w:jc w:val="center"/>
                    <w:rPr>
                      <w:rFonts w:hint="default"/>
                    </w:rPr>
                  </w:pPr>
                </w:p>
              </w:tc>
              <w:tc>
                <w:tcPr>
                  <w:tcW w:w="1145" w:type="dxa"/>
                  <w:vMerge w:val="continue"/>
                  <w:tcBorders>
                    <w:bottom w:val="single" w:color="000000" w:sz="8" w:space="0"/>
                  </w:tcBorders>
                  <w:noWrap w:val="0"/>
                  <w:vAlign w:val="center"/>
                </w:tcPr>
                <w:p w14:paraId="12BD7CAC">
                  <w:pPr>
                    <w:jc w:val="center"/>
                    <w:rPr>
                      <w:rFonts w:hint="eastAsia"/>
                    </w:rPr>
                  </w:pPr>
                </w:p>
              </w:tc>
              <w:tc>
                <w:tcPr>
                  <w:tcW w:w="1655" w:type="dxa"/>
                  <w:vMerge w:val="continue"/>
                  <w:tcBorders>
                    <w:bottom w:val="single" w:color="000000" w:sz="8" w:space="0"/>
                  </w:tcBorders>
                  <w:noWrap w:val="0"/>
                  <w:vAlign w:val="center"/>
                </w:tcPr>
                <w:p w14:paraId="66230874">
                  <w:pPr>
                    <w:jc w:val="center"/>
                    <w:rPr>
                      <w:rFonts w:hint="default"/>
                    </w:rPr>
                  </w:pPr>
                </w:p>
              </w:tc>
              <w:tc>
                <w:tcPr>
                  <w:tcW w:w="1573" w:type="dxa"/>
                  <w:vMerge w:val="continue"/>
                  <w:tcBorders>
                    <w:bottom w:val="single" w:color="000000" w:sz="8" w:space="0"/>
                  </w:tcBorders>
                  <w:noWrap w:val="0"/>
                  <w:vAlign w:val="center"/>
                </w:tcPr>
                <w:p w14:paraId="00B82952">
                  <w:pPr>
                    <w:jc w:val="center"/>
                    <w:rPr>
                      <w:rFonts w:hint="default"/>
                    </w:rPr>
                  </w:pPr>
                </w:p>
              </w:tc>
              <w:tc>
                <w:tcPr>
                  <w:tcW w:w="2848" w:type="dxa"/>
                  <w:vMerge w:val="continue"/>
                  <w:tcBorders>
                    <w:bottom w:val="single" w:color="000000" w:sz="8" w:space="0"/>
                    <w:right w:val="nil"/>
                  </w:tcBorders>
                  <w:noWrap w:val="0"/>
                  <w:vAlign w:val="center"/>
                </w:tcPr>
                <w:p w14:paraId="5F9D7DA5">
                  <w:pPr>
                    <w:jc w:val="center"/>
                    <w:rPr>
                      <w:rFonts w:hint="eastAsia"/>
                    </w:rPr>
                  </w:pPr>
                </w:p>
              </w:tc>
            </w:tr>
          </w:tbl>
          <w:p w14:paraId="4A1399E6">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柴油不储存可行性分析：</w:t>
            </w:r>
          </w:p>
          <w:p w14:paraId="18E337D1">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矿区距离中石油板桥加油站仅3公里，双方已达成供油协作约定。矿区采用零储油、现用现购的用油模式，日常作业按需取用柴油，若开采作业过程中出现用油缺口，由加油站安排人员及车辆及时配送，可完全满足矿区开采作业的用油需求。</w:t>
            </w:r>
          </w:p>
          <w:p w14:paraId="69007F63">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8、项目主要生产设备</w:t>
            </w:r>
          </w:p>
          <w:p w14:paraId="1E824221">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0" w:firstLineChars="200"/>
              <w:jc w:val="left"/>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val="0"/>
                <w:bCs w:val="0"/>
                <w:sz w:val="24"/>
                <w:szCs w:val="24"/>
                <w:lang w:val="en-US" w:eastAsia="zh-CN"/>
              </w:rPr>
              <w:t>项目主要生产设备及数量详见下表 2-</w:t>
            </w:r>
            <w:r>
              <w:rPr>
                <w:rFonts w:hint="eastAsia" w:ascii="Times New Roman" w:hAnsi="Times New Roman" w:cs="Times New Roman"/>
                <w:b w:val="0"/>
                <w:bCs w:val="0"/>
                <w:sz w:val="24"/>
                <w:szCs w:val="24"/>
                <w:lang w:val="en-US" w:eastAsia="zh-CN"/>
              </w:rPr>
              <w:t>7</w:t>
            </w:r>
            <w:r>
              <w:rPr>
                <w:rFonts w:hint="default" w:ascii="Times New Roman" w:hAnsi="Times New Roman" w:eastAsia="宋体" w:cs="Times New Roman"/>
                <w:b w:val="0"/>
                <w:bCs w:val="0"/>
                <w:sz w:val="24"/>
                <w:szCs w:val="24"/>
                <w:lang w:val="en-US" w:eastAsia="zh-CN"/>
              </w:rPr>
              <w:t>。</w:t>
            </w:r>
          </w:p>
          <w:p w14:paraId="31666555">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 2-</w:t>
            </w:r>
            <w:r>
              <w:rPr>
                <w:rFonts w:hint="eastAsia" w:ascii="Times New Roman" w:hAnsi="Times New Roman"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主要设备一览表</w:t>
            </w:r>
          </w:p>
          <w:tbl>
            <w:tblPr>
              <w:tblStyle w:val="24"/>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2282"/>
              <w:gridCol w:w="1640"/>
              <w:gridCol w:w="1640"/>
              <w:gridCol w:w="1640"/>
            </w:tblGrid>
            <w:tr w14:paraId="19FA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98" w:type="dxa"/>
                  <w:tcBorders>
                    <w:top w:val="single" w:color="000000" w:sz="12" w:space="0"/>
                    <w:left w:val="nil"/>
                    <w:tl2br w:val="nil"/>
                  </w:tcBorders>
                  <w:noWrap w:val="0"/>
                  <w:vAlign w:val="center"/>
                </w:tcPr>
                <w:p w14:paraId="4B555956">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序号</w:t>
                  </w:r>
                </w:p>
              </w:tc>
              <w:tc>
                <w:tcPr>
                  <w:tcW w:w="2282" w:type="dxa"/>
                  <w:tcBorders>
                    <w:top w:val="single" w:color="000000" w:sz="12" w:space="0"/>
                  </w:tcBorders>
                  <w:noWrap w:val="0"/>
                  <w:vAlign w:val="center"/>
                </w:tcPr>
                <w:p w14:paraId="60CACA8C">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名称</w:t>
                  </w:r>
                </w:p>
              </w:tc>
              <w:tc>
                <w:tcPr>
                  <w:tcW w:w="1640" w:type="dxa"/>
                  <w:tcBorders>
                    <w:top w:val="single" w:color="000000" w:sz="12" w:space="0"/>
                  </w:tcBorders>
                  <w:noWrap w:val="0"/>
                  <w:vAlign w:val="center"/>
                </w:tcPr>
                <w:p w14:paraId="5931E3F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设备规格</w:t>
                  </w:r>
                </w:p>
              </w:tc>
              <w:tc>
                <w:tcPr>
                  <w:tcW w:w="1640" w:type="dxa"/>
                  <w:tcBorders>
                    <w:top w:val="single" w:color="000000" w:sz="12" w:space="0"/>
                  </w:tcBorders>
                  <w:noWrap w:val="0"/>
                  <w:vAlign w:val="center"/>
                </w:tcPr>
                <w:p w14:paraId="59A393F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数量</w:t>
                  </w:r>
                </w:p>
              </w:tc>
              <w:tc>
                <w:tcPr>
                  <w:tcW w:w="1640" w:type="dxa"/>
                  <w:tcBorders>
                    <w:top w:val="single" w:color="000000" w:sz="12" w:space="0"/>
                    <w:right w:val="nil"/>
                  </w:tcBorders>
                  <w:noWrap w:val="0"/>
                  <w:vAlign w:val="center"/>
                </w:tcPr>
                <w:p w14:paraId="6797B0F5">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备注</w:t>
                  </w:r>
                </w:p>
              </w:tc>
            </w:tr>
            <w:tr w14:paraId="389B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998" w:type="dxa"/>
                  <w:tcBorders>
                    <w:left w:val="nil"/>
                  </w:tcBorders>
                  <w:noWrap w:val="0"/>
                  <w:vAlign w:val="center"/>
                </w:tcPr>
                <w:p w14:paraId="4874CE0C">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w:t>
                  </w:r>
                </w:p>
              </w:tc>
              <w:tc>
                <w:tcPr>
                  <w:tcW w:w="2282" w:type="dxa"/>
                  <w:noWrap w:val="0"/>
                  <w:vAlign w:val="center"/>
                </w:tcPr>
                <w:p w14:paraId="7A7D08B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挖掘机</w:t>
                  </w:r>
                </w:p>
              </w:tc>
              <w:tc>
                <w:tcPr>
                  <w:tcW w:w="1640" w:type="dxa"/>
                  <w:noWrap w:val="0"/>
                  <w:vAlign w:val="center"/>
                </w:tcPr>
                <w:p w14:paraId="4D2D2B7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山东临工E6400F型</w:t>
                  </w:r>
                </w:p>
              </w:tc>
              <w:tc>
                <w:tcPr>
                  <w:tcW w:w="1640" w:type="dxa"/>
                  <w:noWrap w:val="0"/>
                  <w:vAlign w:val="center"/>
                </w:tcPr>
                <w:p w14:paraId="3CA13920">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辆</w:t>
                  </w:r>
                </w:p>
              </w:tc>
              <w:tc>
                <w:tcPr>
                  <w:tcW w:w="1640" w:type="dxa"/>
                  <w:tcBorders>
                    <w:right w:val="nil"/>
                  </w:tcBorders>
                  <w:noWrap w:val="0"/>
                  <w:vAlign w:val="center"/>
                </w:tcPr>
                <w:p w14:paraId="65EA7F7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购置</w:t>
                  </w:r>
                </w:p>
              </w:tc>
            </w:tr>
            <w:tr w14:paraId="2FAD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98" w:type="dxa"/>
                  <w:tcBorders>
                    <w:left w:val="nil"/>
                  </w:tcBorders>
                  <w:noWrap w:val="0"/>
                  <w:vAlign w:val="center"/>
                </w:tcPr>
                <w:p w14:paraId="59EA443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w:t>
                  </w:r>
                </w:p>
              </w:tc>
              <w:tc>
                <w:tcPr>
                  <w:tcW w:w="2282" w:type="dxa"/>
                  <w:noWrap w:val="0"/>
                  <w:vAlign w:val="center"/>
                </w:tcPr>
                <w:p w14:paraId="446A6788">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装载机</w:t>
                  </w:r>
                </w:p>
              </w:tc>
              <w:tc>
                <w:tcPr>
                  <w:tcW w:w="1640" w:type="dxa"/>
                  <w:noWrap w:val="0"/>
                  <w:vAlign w:val="center"/>
                </w:tcPr>
                <w:p w14:paraId="5EC824B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山东临工50型</w:t>
                  </w:r>
                </w:p>
              </w:tc>
              <w:tc>
                <w:tcPr>
                  <w:tcW w:w="1640" w:type="dxa"/>
                  <w:noWrap w:val="0"/>
                  <w:vAlign w:val="center"/>
                </w:tcPr>
                <w:p w14:paraId="7E7A07C8">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1辆</w:t>
                  </w:r>
                </w:p>
              </w:tc>
              <w:tc>
                <w:tcPr>
                  <w:tcW w:w="1640" w:type="dxa"/>
                  <w:tcBorders>
                    <w:right w:val="nil"/>
                  </w:tcBorders>
                  <w:noWrap w:val="0"/>
                  <w:vAlign w:val="center"/>
                </w:tcPr>
                <w:p w14:paraId="23B779A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购置</w:t>
                  </w:r>
                </w:p>
              </w:tc>
            </w:tr>
            <w:tr w14:paraId="4777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98" w:type="dxa"/>
                  <w:tcBorders>
                    <w:left w:val="nil"/>
                  </w:tcBorders>
                  <w:noWrap w:val="0"/>
                  <w:vAlign w:val="center"/>
                </w:tcPr>
                <w:p w14:paraId="04C37EA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w:t>
                  </w:r>
                </w:p>
              </w:tc>
              <w:tc>
                <w:tcPr>
                  <w:tcW w:w="2282" w:type="dxa"/>
                  <w:noWrap w:val="0"/>
                  <w:vAlign w:val="center"/>
                </w:tcPr>
                <w:p w14:paraId="1268E834">
                  <w:pPr>
                    <w:jc w:val="center"/>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20t</w:t>
                  </w:r>
                  <w:r>
                    <w:rPr>
                      <w:rFonts w:hint="default" w:ascii="Times New Roman" w:hAnsi="Times New Roman" w:eastAsia="宋体" w:cs="Times New Roman"/>
                      <w:b w:val="0"/>
                      <w:color w:val="000000"/>
                      <w:sz w:val="21"/>
                      <w:szCs w:val="21"/>
                      <w:lang w:val="en-US" w:eastAsia="zh-CN"/>
                    </w:rPr>
                    <w:t>矿用自卸汽车</w:t>
                  </w:r>
                </w:p>
              </w:tc>
              <w:tc>
                <w:tcPr>
                  <w:tcW w:w="1640" w:type="dxa"/>
                  <w:noWrap w:val="0"/>
                  <w:vAlign w:val="center"/>
                </w:tcPr>
                <w:p w14:paraId="539698A3">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斗容20</w:t>
                  </w:r>
                  <w:r>
                    <w:rPr>
                      <w:rFonts w:hint="eastAsia" w:cs="Times New Roman"/>
                      <w:b w:val="0"/>
                      <w:color w:val="000000"/>
                      <w:sz w:val="21"/>
                      <w:szCs w:val="21"/>
                      <w:lang w:val="en-US" w:eastAsia="zh-CN"/>
                    </w:rPr>
                    <w:t>t</w:t>
                  </w:r>
                </w:p>
              </w:tc>
              <w:tc>
                <w:tcPr>
                  <w:tcW w:w="1640" w:type="dxa"/>
                  <w:noWrap w:val="0"/>
                  <w:vAlign w:val="center"/>
                </w:tcPr>
                <w:p w14:paraId="4DB2BA9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4台</w:t>
                  </w:r>
                </w:p>
              </w:tc>
              <w:tc>
                <w:tcPr>
                  <w:tcW w:w="1640" w:type="dxa"/>
                  <w:tcBorders>
                    <w:right w:val="nil"/>
                  </w:tcBorders>
                  <w:noWrap w:val="0"/>
                  <w:vAlign w:val="center"/>
                </w:tcPr>
                <w:p w14:paraId="7C07425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购置</w:t>
                  </w:r>
                </w:p>
              </w:tc>
            </w:tr>
            <w:tr w14:paraId="56F8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98" w:type="dxa"/>
                  <w:tcBorders>
                    <w:left w:val="nil"/>
                  </w:tcBorders>
                  <w:noWrap w:val="0"/>
                  <w:vAlign w:val="center"/>
                </w:tcPr>
                <w:p w14:paraId="0A394013">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w:t>
                  </w:r>
                </w:p>
              </w:tc>
              <w:tc>
                <w:tcPr>
                  <w:tcW w:w="2282" w:type="dxa"/>
                  <w:noWrap w:val="0"/>
                  <w:vAlign w:val="center"/>
                </w:tcPr>
                <w:p w14:paraId="52FBD64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洒水车</w:t>
                  </w:r>
                </w:p>
              </w:tc>
              <w:tc>
                <w:tcPr>
                  <w:tcW w:w="1640" w:type="dxa"/>
                  <w:noWrap w:val="0"/>
                  <w:vAlign w:val="center"/>
                </w:tcPr>
                <w:p w14:paraId="67205AF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5t</w:t>
                  </w:r>
                </w:p>
              </w:tc>
              <w:tc>
                <w:tcPr>
                  <w:tcW w:w="1640" w:type="dxa"/>
                  <w:noWrap w:val="0"/>
                  <w:vAlign w:val="center"/>
                </w:tcPr>
                <w:p w14:paraId="1FD8899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1台</w:t>
                  </w:r>
                </w:p>
              </w:tc>
              <w:tc>
                <w:tcPr>
                  <w:tcW w:w="1640" w:type="dxa"/>
                  <w:tcBorders>
                    <w:right w:val="nil"/>
                  </w:tcBorders>
                  <w:noWrap w:val="0"/>
                  <w:vAlign w:val="center"/>
                </w:tcPr>
                <w:p w14:paraId="54441776">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购置</w:t>
                  </w:r>
                </w:p>
              </w:tc>
            </w:tr>
          </w:tbl>
          <w:p w14:paraId="4DCBDFA0">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82"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9</w:t>
            </w:r>
            <w:r>
              <w:rPr>
                <w:rFonts w:hint="default" w:ascii="Times New Roman" w:hAnsi="Times New Roman" w:eastAsia="宋体" w:cs="Times New Roman"/>
                <w:b/>
                <w:bCs/>
                <w:sz w:val="24"/>
                <w:szCs w:val="24"/>
                <w:lang w:val="en-US" w:eastAsia="zh-CN"/>
              </w:rPr>
              <w:t>、项目工程占地情况</w:t>
            </w:r>
          </w:p>
          <w:p w14:paraId="0D56D5F9">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92" w:firstLineChars="200"/>
              <w:rPr>
                <w:rFonts w:hint="default" w:ascii="Times New Roman" w:hAnsi="Times New Roman" w:eastAsia="宋体" w:cs="Times New Roman"/>
                <w:spacing w:val="3"/>
                <w:kern w:val="2"/>
                <w:sz w:val="24"/>
                <w:szCs w:val="24"/>
                <w:lang w:val="en-US" w:eastAsia="zh-CN" w:bidi="ar-SA"/>
              </w:rPr>
            </w:pPr>
            <w:r>
              <w:rPr>
                <w:rFonts w:hint="default" w:ascii="Times New Roman" w:hAnsi="Times New Roman" w:eastAsia="宋体" w:cs="Times New Roman"/>
                <w:spacing w:val="3"/>
                <w:kern w:val="2"/>
                <w:sz w:val="24"/>
                <w:szCs w:val="24"/>
                <w:lang w:val="en-US" w:eastAsia="zh-CN" w:bidi="ar-SA"/>
              </w:rPr>
              <w:t>本项目矿区面积1.5653km</w:t>
            </w:r>
            <w:r>
              <w:rPr>
                <w:rFonts w:hint="default" w:ascii="Times New Roman" w:hAnsi="Times New Roman" w:eastAsia="宋体" w:cs="Times New Roman"/>
                <w:spacing w:val="3"/>
                <w:kern w:val="2"/>
                <w:sz w:val="24"/>
                <w:szCs w:val="24"/>
                <w:vertAlign w:val="superscript"/>
                <w:lang w:val="en-US" w:eastAsia="zh-CN" w:bidi="ar-SA"/>
              </w:rPr>
              <w:t>2</w:t>
            </w:r>
            <w:r>
              <w:rPr>
                <w:rFonts w:hint="default" w:ascii="Times New Roman" w:hAnsi="Times New Roman" w:eastAsia="宋体" w:cs="Times New Roman"/>
                <w:spacing w:val="3"/>
                <w:kern w:val="2"/>
                <w:sz w:val="24"/>
                <w:szCs w:val="24"/>
                <w:lang w:val="en-US" w:eastAsia="zh-CN" w:bidi="ar-SA"/>
              </w:rPr>
              <w:t>，</w:t>
            </w:r>
            <w:r>
              <w:rPr>
                <w:rFonts w:hint="eastAsia" w:ascii="Times New Roman" w:hAnsi="Times New Roman" w:eastAsia="宋体" w:cs="Times New Roman"/>
                <w:spacing w:val="3"/>
                <w:kern w:val="2"/>
                <w:sz w:val="24"/>
                <w:szCs w:val="24"/>
                <w:lang w:val="en-US" w:eastAsia="zh-CN" w:bidi="ar-SA"/>
              </w:rPr>
              <w:t>总占地面积1565300m</w:t>
            </w:r>
            <w:r>
              <w:rPr>
                <w:rFonts w:hint="eastAsia" w:ascii="Times New Roman" w:hAnsi="Times New Roman" w:eastAsia="宋体" w:cs="Times New Roman"/>
                <w:spacing w:val="3"/>
                <w:kern w:val="2"/>
                <w:sz w:val="24"/>
                <w:szCs w:val="24"/>
                <w:vertAlign w:val="superscript"/>
                <w:lang w:val="en-US" w:eastAsia="zh-CN" w:bidi="ar-SA"/>
              </w:rPr>
              <w:t>2</w:t>
            </w:r>
            <w:r>
              <w:rPr>
                <w:rFonts w:hint="default" w:ascii="Times New Roman" w:hAnsi="Times New Roman" w:eastAsia="宋体" w:cs="Times New Roman"/>
                <w:spacing w:val="3"/>
                <w:kern w:val="2"/>
                <w:sz w:val="24"/>
                <w:szCs w:val="24"/>
                <w:lang w:val="en-US" w:eastAsia="zh-CN" w:bidi="ar-SA"/>
              </w:rPr>
              <w:t>，占地情况见下表2-</w:t>
            </w:r>
            <w:r>
              <w:rPr>
                <w:rFonts w:hint="eastAsia" w:ascii="Times New Roman" w:hAnsi="Times New Roman" w:cs="Times New Roman"/>
                <w:spacing w:val="3"/>
                <w:kern w:val="2"/>
                <w:sz w:val="24"/>
                <w:szCs w:val="24"/>
                <w:lang w:val="en-US" w:eastAsia="zh-CN" w:bidi="ar-SA"/>
              </w:rPr>
              <w:t>8</w:t>
            </w:r>
            <w:r>
              <w:rPr>
                <w:rFonts w:hint="default" w:ascii="Times New Roman" w:hAnsi="Times New Roman" w:eastAsia="宋体" w:cs="Times New Roman"/>
                <w:spacing w:val="3"/>
                <w:kern w:val="2"/>
                <w:sz w:val="24"/>
                <w:szCs w:val="24"/>
                <w:lang w:val="en-US" w:eastAsia="zh-CN" w:bidi="ar-SA"/>
              </w:rPr>
              <w:t>。</w:t>
            </w:r>
          </w:p>
          <w:p w14:paraId="65692C9B">
            <w:pPr>
              <w:pStyle w:val="22"/>
              <w:keepNext w:val="0"/>
              <w:keepLines w:val="0"/>
              <w:pageBreakBefore w:val="0"/>
              <w:widowControl/>
              <w:numPr>
                <w:ilvl w:val="0"/>
                <w:numId w:val="0"/>
              </w:numPr>
              <w:kinsoku/>
              <w:wordWrap/>
              <w:overflowPunct/>
              <w:topLinePunct w:val="0"/>
              <w:autoSpaceDE/>
              <w:autoSpaceDN/>
              <w:bidi w:val="0"/>
              <w:adjustRightInd/>
              <w:spacing w:before="0" w:after="0" w:line="360" w:lineRule="auto"/>
              <w:ind w:right="0" w:rightChars="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表2-</w:t>
            </w:r>
            <w:r>
              <w:rPr>
                <w:rFonts w:hint="eastAsia" w:ascii="Times New Roman" w:hAnsi="Times New Roman"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工程占地情况一览表</w:t>
            </w:r>
          </w:p>
          <w:tbl>
            <w:tblPr>
              <w:tblStyle w:val="24"/>
              <w:tblW w:w="8164"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265"/>
              <w:gridCol w:w="2000"/>
              <w:gridCol w:w="1633"/>
              <w:gridCol w:w="1633"/>
              <w:gridCol w:w="1633"/>
            </w:tblGrid>
            <w:tr w14:paraId="427584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265" w:type="dxa"/>
                  <w:tcBorders>
                    <w:top w:val="single" w:color="000000" w:sz="12" w:space="0"/>
                    <w:left w:val="nil"/>
                    <w:tl2br w:val="nil"/>
                  </w:tcBorders>
                  <w:noWrap w:val="0"/>
                  <w:vAlign w:val="center"/>
                </w:tcPr>
                <w:p w14:paraId="7A7F0E76">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序号</w:t>
                  </w:r>
                </w:p>
              </w:tc>
              <w:tc>
                <w:tcPr>
                  <w:tcW w:w="2000" w:type="dxa"/>
                  <w:tcBorders>
                    <w:top w:val="single" w:color="000000" w:sz="12" w:space="0"/>
                  </w:tcBorders>
                  <w:noWrap w:val="0"/>
                  <w:vAlign w:val="center"/>
                </w:tcPr>
                <w:p w14:paraId="38211400">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分区</w:t>
                  </w:r>
                </w:p>
              </w:tc>
              <w:tc>
                <w:tcPr>
                  <w:tcW w:w="1633" w:type="dxa"/>
                  <w:tcBorders>
                    <w:top w:val="single" w:color="000000" w:sz="12" w:space="0"/>
                  </w:tcBorders>
                  <w:noWrap w:val="0"/>
                  <w:vAlign w:val="center"/>
                </w:tcPr>
                <w:p w14:paraId="00F27C9F">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占地面积（m</w:t>
                  </w:r>
                  <w:r>
                    <w:rPr>
                      <w:rFonts w:hint="default" w:ascii="Times New Roman" w:hAnsi="Times New Roman" w:eastAsia="宋体" w:cs="Times New Roman"/>
                      <w:b w:val="0"/>
                      <w:color w:val="000000"/>
                      <w:sz w:val="21"/>
                      <w:szCs w:val="21"/>
                      <w:vertAlign w:val="superscript"/>
                      <w:lang w:val="en-US" w:eastAsia="zh-CN"/>
                    </w:rPr>
                    <w:t>2</w:t>
                  </w:r>
                  <w:r>
                    <w:rPr>
                      <w:rFonts w:hint="default" w:ascii="Times New Roman" w:hAnsi="Times New Roman" w:eastAsia="宋体" w:cs="Times New Roman"/>
                      <w:b w:val="0"/>
                      <w:color w:val="000000"/>
                      <w:sz w:val="21"/>
                      <w:szCs w:val="21"/>
                      <w:vertAlign w:val="baseline"/>
                      <w:lang w:val="en-US" w:eastAsia="zh-CN"/>
                    </w:rPr>
                    <w:t>）</w:t>
                  </w:r>
                </w:p>
              </w:tc>
              <w:tc>
                <w:tcPr>
                  <w:tcW w:w="1633" w:type="dxa"/>
                  <w:tcBorders>
                    <w:top w:val="single" w:color="000000" w:sz="12" w:space="0"/>
                  </w:tcBorders>
                  <w:noWrap w:val="0"/>
                  <w:vAlign w:val="center"/>
                </w:tcPr>
                <w:p w14:paraId="71411829">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占地类型</w:t>
                  </w:r>
                </w:p>
              </w:tc>
              <w:tc>
                <w:tcPr>
                  <w:tcW w:w="1633" w:type="dxa"/>
                  <w:tcBorders>
                    <w:top w:val="single" w:color="000000" w:sz="12" w:space="0"/>
                    <w:right w:val="nil"/>
                  </w:tcBorders>
                  <w:noWrap w:val="0"/>
                  <w:vAlign w:val="center"/>
                </w:tcPr>
                <w:p w14:paraId="6F03733C">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备注</w:t>
                  </w:r>
                </w:p>
              </w:tc>
            </w:tr>
            <w:tr w14:paraId="46F939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265" w:type="dxa"/>
                  <w:tcBorders>
                    <w:left w:val="nil"/>
                  </w:tcBorders>
                  <w:noWrap w:val="0"/>
                  <w:vAlign w:val="center"/>
                </w:tcPr>
                <w:p w14:paraId="269E9413">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1</w:t>
                  </w:r>
                </w:p>
              </w:tc>
              <w:tc>
                <w:tcPr>
                  <w:tcW w:w="2000" w:type="dxa"/>
                  <w:noWrap w:val="0"/>
                  <w:vAlign w:val="center"/>
                </w:tcPr>
                <w:p w14:paraId="361C92FF">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露天采场</w:t>
                  </w:r>
                </w:p>
              </w:tc>
              <w:tc>
                <w:tcPr>
                  <w:tcW w:w="1633" w:type="dxa"/>
                  <w:noWrap w:val="0"/>
                  <w:vAlign w:val="center"/>
                </w:tcPr>
                <w:p w14:paraId="4F6F47CA">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1126000</w:t>
                  </w:r>
                </w:p>
              </w:tc>
              <w:tc>
                <w:tcPr>
                  <w:tcW w:w="1633" w:type="dxa"/>
                  <w:noWrap w:val="0"/>
                  <w:vAlign w:val="center"/>
                </w:tcPr>
                <w:p w14:paraId="0D5A096D">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裸土地</w:t>
                  </w:r>
                </w:p>
              </w:tc>
              <w:tc>
                <w:tcPr>
                  <w:tcW w:w="1633" w:type="dxa"/>
                  <w:tcBorders>
                    <w:right w:val="nil"/>
                  </w:tcBorders>
                  <w:noWrap w:val="0"/>
                  <w:vAlign w:val="center"/>
                </w:tcPr>
                <w:p w14:paraId="091EEED2">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w:t>
                  </w:r>
                </w:p>
              </w:tc>
            </w:tr>
            <w:tr w14:paraId="328C25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265" w:type="dxa"/>
                  <w:tcBorders>
                    <w:left w:val="nil"/>
                  </w:tcBorders>
                  <w:noWrap w:val="0"/>
                  <w:vAlign w:val="center"/>
                </w:tcPr>
                <w:p w14:paraId="172AE645">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2</w:t>
                  </w:r>
                </w:p>
              </w:tc>
              <w:tc>
                <w:tcPr>
                  <w:tcW w:w="2000" w:type="dxa"/>
                  <w:noWrap w:val="0"/>
                  <w:vAlign w:val="center"/>
                </w:tcPr>
                <w:p w14:paraId="608A4AEE">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矿区道路</w:t>
                  </w:r>
                </w:p>
              </w:tc>
              <w:tc>
                <w:tcPr>
                  <w:tcW w:w="1633" w:type="dxa"/>
                  <w:noWrap w:val="0"/>
                  <w:vAlign w:val="center"/>
                </w:tcPr>
                <w:p w14:paraId="5F467BD0">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12000</w:t>
                  </w:r>
                </w:p>
              </w:tc>
              <w:tc>
                <w:tcPr>
                  <w:tcW w:w="1633" w:type="dxa"/>
                  <w:noWrap w:val="0"/>
                  <w:vAlign w:val="center"/>
                </w:tcPr>
                <w:p w14:paraId="277D7211">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农村道路</w:t>
                  </w:r>
                </w:p>
              </w:tc>
              <w:tc>
                <w:tcPr>
                  <w:tcW w:w="1633" w:type="dxa"/>
                  <w:tcBorders>
                    <w:right w:val="nil"/>
                  </w:tcBorders>
                  <w:noWrap w:val="0"/>
                  <w:vAlign w:val="center"/>
                </w:tcPr>
                <w:p w14:paraId="4A86D5CC">
                  <w:pPr>
                    <w:pStyle w:val="22"/>
                    <w:numPr>
                      <w:ilvl w:val="0"/>
                      <w:numId w:val="0"/>
                    </w:numPr>
                    <w:ind w:left="0" w:leftChars="0" w:right="113" w:rightChars="0" w:firstLine="0" w:firstLine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w:t>
                  </w:r>
                </w:p>
              </w:tc>
            </w:tr>
            <w:tr w14:paraId="66701F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265" w:type="dxa"/>
                  <w:tcBorders>
                    <w:left w:val="nil"/>
                  </w:tcBorders>
                  <w:noWrap w:val="0"/>
                  <w:vAlign w:val="center"/>
                </w:tcPr>
                <w:p w14:paraId="287B0095">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3</w:t>
                  </w:r>
                </w:p>
              </w:tc>
              <w:tc>
                <w:tcPr>
                  <w:tcW w:w="2000" w:type="dxa"/>
                  <w:noWrap w:val="0"/>
                  <w:vAlign w:val="center"/>
                </w:tcPr>
                <w:p w14:paraId="6BD59412">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排土场</w:t>
                  </w:r>
                </w:p>
              </w:tc>
              <w:tc>
                <w:tcPr>
                  <w:tcW w:w="1633" w:type="dxa"/>
                  <w:noWrap w:val="0"/>
                  <w:vAlign w:val="center"/>
                </w:tcPr>
                <w:p w14:paraId="7F0BF907">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66675</w:t>
                  </w:r>
                </w:p>
              </w:tc>
              <w:tc>
                <w:tcPr>
                  <w:tcW w:w="1633" w:type="dxa"/>
                  <w:noWrap w:val="0"/>
                  <w:vAlign w:val="center"/>
                </w:tcPr>
                <w:p w14:paraId="56DEE68C">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裸土地</w:t>
                  </w:r>
                </w:p>
              </w:tc>
              <w:tc>
                <w:tcPr>
                  <w:tcW w:w="1633" w:type="dxa"/>
                  <w:tcBorders>
                    <w:right w:val="nil"/>
                  </w:tcBorders>
                  <w:noWrap w:val="0"/>
                  <w:vAlign w:val="center"/>
                </w:tcPr>
                <w:p w14:paraId="36BB39F7">
                  <w:pPr>
                    <w:pStyle w:val="22"/>
                    <w:numPr>
                      <w:ilvl w:val="0"/>
                      <w:numId w:val="0"/>
                    </w:numPr>
                    <w:ind w:left="0" w:leftChars="0" w:right="113" w:rightChars="0" w:firstLine="0" w:firstLine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w:t>
                  </w:r>
                </w:p>
              </w:tc>
            </w:tr>
            <w:tr w14:paraId="5F7D137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265" w:type="dxa"/>
                  <w:tcBorders>
                    <w:left w:val="nil"/>
                  </w:tcBorders>
                  <w:noWrap w:val="0"/>
                  <w:vAlign w:val="center"/>
                </w:tcPr>
                <w:p w14:paraId="7EAC77D9">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4</w:t>
                  </w:r>
                </w:p>
              </w:tc>
              <w:tc>
                <w:tcPr>
                  <w:tcW w:w="2000" w:type="dxa"/>
                  <w:noWrap w:val="0"/>
                  <w:vAlign w:val="center"/>
                </w:tcPr>
                <w:p w14:paraId="41239BB8">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堆矿场</w:t>
                  </w:r>
                </w:p>
              </w:tc>
              <w:tc>
                <w:tcPr>
                  <w:tcW w:w="1633" w:type="dxa"/>
                  <w:noWrap w:val="0"/>
                  <w:vAlign w:val="center"/>
                </w:tcPr>
                <w:p w14:paraId="33341ECA">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1000</w:t>
                  </w:r>
                </w:p>
              </w:tc>
              <w:tc>
                <w:tcPr>
                  <w:tcW w:w="1633" w:type="dxa"/>
                  <w:noWrap w:val="0"/>
                  <w:vAlign w:val="center"/>
                </w:tcPr>
                <w:p w14:paraId="5114C52C">
                  <w:pPr>
                    <w:pStyle w:val="22"/>
                    <w:numPr>
                      <w:ilvl w:val="0"/>
                      <w:numId w:val="0"/>
                    </w:numPr>
                    <w:ind w:right="113" w:righ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其它草地</w:t>
                  </w:r>
                </w:p>
              </w:tc>
              <w:tc>
                <w:tcPr>
                  <w:tcW w:w="1633" w:type="dxa"/>
                  <w:vMerge w:val="restart"/>
                  <w:tcBorders>
                    <w:right w:val="nil"/>
                  </w:tcBorders>
                  <w:noWrap w:val="0"/>
                  <w:vAlign w:val="center"/>
                </w:tcPr>
                <w:p w14:paraId="51D6ED53">
                  <w:pPr>
                    <w:pStyle w:val="22"/>
                    <w:numPr>
                      <w:ilvl w:val="0"/>
                      <w:numId w:val="0"/>
                    </w:numPr>
                    <w:ind w:right="113" w:rightChars="0"/>
                    <w:jc w:val="center"/>
                    <w:rPr>
                      <w:rFonts w:hint="default" w:ascii="Times New Roman" w:hAnsi="Times New Roman" w:eastAsia="宋体" w:cs="Times New Roman"/>
                      <w:b w:val="0"/>
                      <w:color w:val="000000"/>
                      <w:kern w:val="0"/>
                      <w:sz w:val="21"/>
                      <w:szCs w:val="21"/>
                      <w:vertAlign w:val="baseline"/>
                      <w:lang w:val="en-US" w:eastAsia="zh-CN" w:bidi="ar-SA"/>
                    </w:rPr>
                  </w:pPr>
                  <w:r>
                    <w:rPr>
                      <w:rFonts w:hint="eastAsia" w:ascii="Times New Roman" w:hAnsi="Times New Roman" w:eastAsia="宋体" w:cs="Times New Roman"/>
                      <w:b w:val="0"/>
                      <w:color w:val="000000"/>
                      <w:sz w:val="21"/>
                      <w:szCs w:val="21"/>
                      <w:vertAlign w:val="baseline"/>
                      <w:lang w:val="en-US" w:eastAsia="zh-CN"/>
                    </w:rPr>
                    <w:t>位于矿区范围内</w:t>
                  </w:r>
                </w:p>
              </w:tc>
            </w:tr>
            <w:tr w14:paraId="654569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jc w:val="center"/>
              </w:trPr>
              <w:tc>
                <w:tcPr>
                  <w:tcW w:w="1265" w:type="dxa"/>
                  <w:tcBorders>
                    <w:left w:val="nil"/>
                  </w:tcBorders>
                  <w:shd w:val="clear" w:color="auto" w:fill="auto"/>
                  <w:noWrap w:val="0"/>
                  <w:vAlign w:val="center"/>
                </w:tcPr>
                <w:p w14:paraId="3D577AFC">
                  <w:pPr>
                    <w:pStyle w:val="22"/>
                    <w:numPr>
                      <w:ilvl w:val="0"/>
                      <w:numId w:val="0"/>
                    </w:numPr>
                    <w:ind w:left="0" w:leftChars="0" w:right="113" w:rightChars="0" w:firstLine="0" w:firstLineChars="0"/>
                    <w:jc w:val="center"/>
                    <w:rPr>
                      <w:rFonts w:hint="default" w:ascii="Times New Roman" w:hAnsi="Times New Roman" w:eastAsia="宋体" w:cs="Times New Roman"/>
                      <w:b w:val="0"/>
                      <w:color w:val="000000"/>
                      <w:kern w:val="0"/>
                      <w:sz w:val="21"/>
                      <w:szCs w:val="21"/>
                      <w:vertAlign w:val="baseline"/>
                      <w:lang w:val="en-US" w:eastAsia="zh-CN" w:bidi="ar-SA"/>
                    </w:rPr>
                  </w:pPr>
                  <w:r>
                    <w:rPr>
                      <w:rFonts w:hint="eastAsia" w:ascii="Times New Roman" w:hAnsi="Times New Roman" w:eastAsia="宋体" w:cs="Times New Roman"/>
                      <w:b w:val="0"/>
                      <w:color w:val="000000"/>
                      <w:kern w:val="0"/>
                      <w:sz w:val="21"/>
                      <w:szCs w:val="21"/>
                      <w:vertAlign w:val="baseline"/>
                      <w:lang w:val="en-US" w:eastAsia="zh-CN" w:bidi="ar-SA"/>
                    </w:rPr>
                    <w:t>5</w:t>
                  </w:r>
                </w:p>
              </w:tc>
              <w:tc>
                <w:tcPr>
                  <w:tcW w:w="2000" w:type="dxa"/>
                  <w:shd w:val="clear" w:color="auto" w:fill="auto"/>
                  <w:noWrap w:val="0"/>
                  <w:vAlign w:val="center"/>
                </w:tcPr>
                <w:p w14:paraId="64D659D1">
                  <w:pPr>
                    <w:pStyle w:val="22"/>
                    <w:numPr>
                      <w:ilvl w:val="0"/>
                      <w:numId w:val="0"/>
                    </w:numPr>
                    <w:ind w:left="0" w:leftChars="0" w:right="113" w:rightChars="0" w:firstLine="0" w:firstLineChars="0"/>
                    <w:jc w:val="center"/>
                    <w:rPr>
                      <w:rFonts w:hint="default" w:ascii="Times New Roman" w:hAnsi="Times New Roman" w:eastAsia="宋体" w:cs="Times New Roman"/>
                      <w:b w:val="0"/>
                      <w:color w:val="000000"/>
                      <w:kern w:val="0"/>
                      <w:sz w:val="21"/>
                      <w:szCs w:val="21"/>
                      <w:vertAlign w:val="baseline"/>
                      <w:lang w:val="en-US" w:eastAsia="zh-CN" w:bidi="ar-SA"/>
                    </w:rPr>
                  </w:pPr>
                  <w:r>
                    <w:rPr>
                      <w:rFonts w:hint="default" w:ascii="Times New Roman" w:hAnsi="Times New Roman" w:eastAsia="宋体" w:cs="Times New Roman"/>
                      <w:b w:val="0"/>
                      <w:color w:val="000000"/>
                      <w:sz w:val="21"/>
                      <w:szCs w:val="21"/>
                      <w:vertAlign w:val="baseline"/>
                      <w:lang w:val="en-US" w:eastAsia="zh-CN"/>
                    </w:rPr>
                    <w:t>办公生活区</w:t>
                  </w:r>
                </w:p>
              </w:tc>
              <w:tc>
                <w:tcPr>
                  <w:tcW w:w="1633" w:type="dxa"/>
                  <w:shd w:val="clear" w:color="auto" w:fill="auto"/>
                  <w:noWrap w:val="0"/>
                  <w:vAlign w:val="center"/>
                </w:tcPr>
                <w:p w14:paraId="3C0D3115">
                  <w:pPr>
                    <w:pStyle w:val="22"/>
                    <w:numPr>
                      <w:ilvl w:val="0"/>
                      <w:numId w:val="0"/>
                    </w:numPr>
                    <w:ind w:left="0" w:leftChars="0" w:right="113" w:rightChars="0" w:firstLine="0" w:firstLineChars="0"/>
                    <w:jc w:val="center"/>
                    <w:rPr>
                      <w:rFonts w:hint="eastAsia" w:ascii="Times New Roman" w:hAnsi="Times New Roman" w:eastAsia="宋体" w:cs="Times New Roman"/>
                      <w:b w:val="0"/>
                      <w:color w:val="000000"/>
                      <w:kern w:val="0"/>
                      <w:sz w:val="21"/>
                      <w:szCs w:val="21"/>
                      <w:vertAlign w:val="baseline"/>
                      <w:lang w:val="en-US" w:eastAsia="zh-CN" w:bidi="ar-SA"/>
                    </w:rPr>
                  </w:pPr>
                  <w:r>
                    <w:rPr>
                      <w:rFonts w:hint="eastAsia" w:ascii="Times New Roman" w:hAnsi="Times New Roman" w:cs="Times New Roman"/>
                      <w:b w:val="0"/>
                      <w:color w:val="000000"/>
                      <w:sz w:val="21"/>
                      <w:szCs w:val="21"/>
                      <w:vertAlign w:val="baseline"/>
                      <w:lang w:val="en-US" w:eastAsia="zh-CN"/>
                    </w:rPr>
                    <w:t>160</w:t>
                  </w:r>
                </w:p>
              </w:tc>
              <w:tc>
                <w:tcPr>
                  <w:tcW w:w="1633" w:type="dxa"/>
                  <w:shd w:val="clear" w:color="auto" w:fill="auto"/>
                  <w:noWrap w:val="0"/>
                  <w:vAlign w:val="center"/>
                </w:tcPr>
                <w:p w14:paraId="2AF8AFE5">
                  <w:pPr>
                    <w:pStyle w:val="22"/>
                    <w:numPr>
                      <w:ilvl w:val="0"/>
                      <w:numId w:val="0"/>
                    </w:numPr>
                    <w:ind w:left="0" w:leftChars="0" w:right="113" w:rightChars="0" w:firstLine="0" w:firstLineChars="0"/>
                    <w:jc w:val="center"/>
                    <w:rPr>
                      <w:rFonts w:hint="default" w:ascii="Times New Roman" w:hAnsi="Times New Roman" w:eastAsia="宋体" w:cs="Times New Roman"/>
                      <w:b w:val="0"/>
                      <w:color w:val="000000"/>
                      <w:kern w:val="0"/>
                      <w:sz w:val="21"/>
                      <w:szCs w:val="21"/>
                      <w:vertAlign w:val="baseline"/>
                      <w:lang w:val="en-US" w:eastAsia="zh-CN" w:bidi="ar-SA"/>
                    </w:rPr>
                  </w:pPr>
                  <w:r>
                    <w:rPr>
                      <w:rFonts w:hint="default" w:ascii="Times New Roman" w:hAnsi="Times New Roman" w:eastAsia="宋体" w:cs="Times New Roman"/>
                      <w:b w:val="0"/>
                      <w:color w:val="000000"/>
                      <w:sz w:val="21"/>
                      <w:szCs w:val="21"/>
                      <w:vertAlign w:val="baseline"/>
                      <w:lang w:val="en-US" w:eastAsia="zh-CN"/>
                    </w:rPr>
                    <w:t>其它草地</w:t>
                  </w:r>
                </w:p>
              </w:tc>
              <w:tc>
                <w:tcPr>
                  <w:tcW w:w="1633" w:type="dxa"/>
                  <w:vMerge w:val="continue"/>
                  <w:tcBorders>
                    <w:right w:val="nil"/>
                  </w:tcBorders>
                  <w:shd w:val="clear" w:color="auto" w:fill="auto"/>
                  <w:noWrap w:val="0"/>
                  <w:vAlign w:val="center"/>
                </w:tcPr>
                <w:p w14:paraId="71238580">
                  <w:pPr>
                    <w:pStyle w:val="22"/>
                    <w:numPr>
                      <w:ilvl w:val="0"/>
                      <w:numId w:val="0"/>
                    </w:numPr>
                    <w:ind w:left="0" w:leftChars="0" w:right="113" w:rightChars="0" w:firstLine="0" w:firstLineChars="0"/>
                    <w:jc w:val="center"/>
                    <w:rPr>
                      <w:rFonts w:hint="default" w:ascii="Times New Roman" w:hAnsi="Times New Roman" w:eastAsia="宋体" w:cs="Times New Roman"/>
                      <w:b w:val="0"/>
                      <w:color w:val="000000"/>
                      <w:kern w:val="0"/>
                      <w:sz w:val="21"/>
                      <w:szCs w:val="21"/>
                      <w:vertAlign w:val="baseline"/>
                      <w:lang w:val="en-US" w:eastAsia="zh-CN" w:bidi="ar-SA"/>
                    </w:rPr>
                  </w:pPr>
                </w:p>
              </w:tc>
            </w:tr>
          </w:tbl>
          <w:p w14:paraId="321B082F">
            <w:pPr>
              <w:pStyle w:val="22"/>
              <w:numPr>
                <w:ilvl w:val="0"/>
                <w:numId w:val="0"/>
              </w:numPr>
              <w:ind w:right="113" w:rightChars="0" w:firstLine="241" w:firstLineChars="10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10、</w:t>
            </w:r>
            <w:r>
              <w:rPr>
                <w:rFonts w:hint="default" w:ascii="Times New Roman" w:hAnsi="Times New Roman" w:eastAsia="宋体" w:cs="Times New Roman"/>
                <w:b/>
                <w:bCs/>
                <w:sz w:val="24"/>
                <w:szCs w:val="24"/>
                <w:lang w:val="en-US" w:eastAsia="zh-CN"/>
              </w:rPr>
              <w:t>公用工程</w:t>
            </w:r>
          </w:p>
          <w:p w14:paraId="39422C84">
            <w:pPr>
              <w:pStyle w:val="22"/>
              <w:numPr>
                <w:ilvl w:val="0"/>
                <w:numId w:val="0"/>
              </w:numPr>
              <w:ind w:right="113" w:rightChars="0" w:firstLine="241" w:firstLineChars="100"/>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10.1</w:t>
            </w:r>
            <w:r>
              <w:rPr>
                <w:rFonts w:hint="default" w:ascii="Times New Roman" w:hAnsi="Times New Roman" w:eastAsia="宋体" w:cs="Times New Roman"/>
                <w:b/>
                <w:bCs/>
                <w:sz w:val="24"/>
                <w:szCs w:val="24"/>
                <w:lang w:val="en-US" w:eastAsia="zh-CN"/>
              </w:rPr>
              <w:t>给排水</w:t>
            </w:r>
          </w:p>
          <w:p w14:paraId="38CB4D63">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（1）水源</w:t>
            </w:r>
          </w:p>
          <w:p w14:paraId="5E087B13">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矿山生产、生活供水水源主要是在板桥镇拉运解决，水源能满足生产、生活用水。</w:t>
            </w:r>
          </w:p>
          <w:p w14:paraId="58C5E3FE">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（2）给水</w:t>
            </w:r>
          </w:p>
          <w:p w14:paraId="4BCDE67C">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矿区用水主要为生产用水和生活用水。生产用水主要为采剥工作面、道路、排土场、</w:t>
            </w:r>
            <w:r>
              <w:rPr>
                <w:rFonts w:hint="eastAsia" w:ascii="Times New Roman" w:hAnsi="Times New Roman" w:cs="Times New Roman"/>
                <w:sz w:val="24"/>
                <w:szCs w:val="24"/>
                <w:lang w:val="en-US" w:eastAsia="zh-CN"/>
              </w:rPr>
              <w:t>堆矿场</w:t>
            </w:r>
            <w:r>
              <w:rPr>
                <w:rFonts w:hint="default" w:ascii="Times New Roman" w:hAnsi="Times New Roman" w:eastAsia="宋体" w:cs="Times New Roman"/>
                <w:sz w:val="24"/>
                <w:szCs w:val="24"/>
                <w:lang w:val="en-US" w:eastAsia="zh-CN"/>
              </w:rPr>
              <w:t>等降尘用水。</w:t>
            </w:r>
          </w:p>
          <w:p w14:paraId="0A396A5F">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①生产用水</w:t>
            </w:r>
          </w:p>
          <w:p w14:paraId="010CE813">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1）采矿用水</w:t>
            </w:r>
          </w:p>
          <w:p w14:paraId="074C8461">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项目采矿用水主要是采场铲装用水。开采作业用水按15L/min，每天工作</w:t>
            </w: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h，则采矿用水为</w:t>
            </w:r>
            <w:r>
              <w:rPr>
                <w:rFonts w:hint="eastAsia" w:ascii="Times New Roman" w:hAnsi="Times New Roman" w:cs="Times New Roman"/>
                <w:sz w:val="24"/>
                <w:szCs w:val="24"/>
                <w:lang w:val="en-US" w:eastAsia="zh-CN"/>
              </w:rPr>
              <w:t>7.2</w:t>
            </w:r>
            <w:r>
              <w:rPr>
                <w:rFonts w:hint="default" w:ascii="Times New Roman" w:hAnsi="Times New Roman" w:eastAsia="宋体" w:cs="Times New Roman"/>
                <w:sz w:val="24"/>
                <w:szCs w:val="24"/>
                <w:lang w:val="en-US" w:eastAsia="zh-CN"/>
              </w:rPr>
              <w:t>m</w:t>
            </w:r>
            <w:r>
              <w:rPr>
                <w:rFonts w:hint="eastAsia" w:ascii="Times New Roman" w:hAnsi="Times New Roman"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cs="Times New Roman"/>
                <w:sz w:val="24"/>
                <w:szCs w:val="24"/>
                <w:lang w:val="en-US" w:eastAsia="zh-CN"/>
              </w:rPr>
              <w:t>（1440</w:t>
            </w:r>
            <w:r>
              <w:rPr>
                <w:rFonts w:hint="default" w:ascii="Times New Roman" w:hAnsi="Times New Roman" w:eastAsia="宋体" w:cs="Times New Roman"/>
                <w:sz w:val="24"/>
                <w:szCs w:val="24"/>
                <w:lang w:val="en-US" w:eastAsia="zh-CN"/>
              </w:rPr>
              <w:t>m</w:t>
            </w:r>
            <w:r>
              <w:rPr>
                <w:rFonts w:hint="eastAsia" w:ascii="Times New Roman" w:hAnsi="Times New Roman"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，此部分水不形成径流，全部蒸发损耗。</w:t>
            </w:r>
          </w:p>
          <w:p w14:paraId="0CD09A6C">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2）运输道路降尘用水</w:t>
            </w:r>
          </w:p>
          <w:p w14:paraId="7784C299">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矿区道路洒水按照1.5L/m</w:t>
            </w:r>
            <w:r>
              <w:rPr>
                <w:rFonts w:hint="default" w:ascii="Times New Roman" w:hAnsi="Times New Roman" w:eastAsia="宋体" w:cs="Times New Roman"/>
                <w:sz w:val="24"/>
                <w:szCs w:val="24"/>
                <w:vertAlign w:val="superscript"/>
                <w:lang w:val="en-US" w:eastAsia="zh-CN"/>
              </w:rPr>
              <w:t>2</w:t>
            </w:r>
            <w:r>
              <w:rPr>
                <w:rFonts w:ascii="MS Gothic" w:hAnsi="MS Gothic" w:eastAsia="MS Gothic" w:cs="MS Gothic"/>
                <w:spacing w:val="3"/>
              </w:rPr>
              <w:t>·</w:t>
            </w:r>
            <w:r>
              <w:rPr>
                <w:rFonts w:hint="default" w:ascii="Times New Roman" w:hAnsi="Times New Roman" w:eastAsia="宋体" w:cs="Times New Roman"/>
                <w:sz w:val="24"/>
                <w:szCs w:val="24"/>
                <w:lang w:val="en-US" w:eastAsia="zh-CN"/>
              </w:rPr>
              <w:t>d</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矿山道路面积</w:t>
            </w:r>
            <w:r>
              <w:rPr>
                <w:rFonts w:hint="eastAsia" w:ascii="Times New Roman" w:hAnsi="Times New Roman" w:cs="Times New Roman"/>
                <w:sz w:val="24"/>
                <w:szCs w:val="24"/>
                <w:lang w:val="en-US" w:eastAsia="zh-CN"/>
              </w:rPr>
              <w:t>12000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每天1次</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下雨天气不</w:t>
            </w:r>
            <w:r>
              <w:rPr>
                <w:rFonts w:hint="eastAsia" w:ascii="Times New Roman" w:hAnsi="Times New Roman" w:eastAsia="宋体" w:cs="Times New Roman"/>
                <w:sz w:val="24"/>
                <w:szCs w:val="24"/>
                <w:lang w:val="en-US" w:eastAsia="zh-CN"/>
              </w:rPr>
              <w:t>洒</w:t>
            </w:r>
            <w:r>
              <w:rPr>
                <w:rFonts w:hint="default" w:ascii="Times New Roman" w:hAnsi="Times New Roman" w:eastAsia="宋体" w:cs="Times New Roman"/>
                <w:sz w:val="24"/>
                <w:szCs w:val="24"/>
                <w:lang w:val="en-US" w:eastAsia="zh-CN"/>
              </w:rPr>
              <w:t>水，按</w:t>
            </w:r>
            <w:r>
              <w:rPr>
                <w:rFonts w:hint="eastAsia" w:ascii="Times New Roman" w:hAnsi="Times New Roman" w:eastAsia="宋体" w:cs="Times New Roman"/>
                <w:sz w:val="24"/>
                <w:szCs w:val="24"/>
                <w:lang w:val="en-US" w:eastAsia="zh-CN"/>
              </w:rPr>
              <w:t>150</w:t>
            </w:r>
            <w:r>
              <w:rPr>
                <w:rFonts w:hint="default" w:ascii="Times New Roman" w:hAnsi="Times New Roman" w:eastAsia="宋体" w:cs="Times New Roman"/>
                <w:sz w:val="24"/>
                <w:szCs w:val="24"/>
                <w:lang w:val="en-US" w:eastAsia="zh-CN"/>
              </w:rPr>
              <w:t>d考虑</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，则道路降尘用水为</w:t>
            </w:r>
            <w:r>
              <w:rPr>
                <w:rFonts w:hint="eastAsia" w:ascii="Times New Roman" w:hAnsi="Times New Roman" w:cs="Times New Roman"/>
                <w:sz w:val="24"/>
                <w:szCs w:val="24"/>
                <w:lang w:val="en-US" w:eastAsia="zh-CN"/>
              </w:rPr>
              <w:t>18</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/d</w:t>
            </w:r>
            <w:r>
              <w:rPr>
                <w:rFonts w:hint="eastAsia" w:ascii="Times New Roman" w:hAnsi="Times New Roman" w:cs="Times New Roman"/>
                <w:sz w:val="24"/>
                <w:szCs w:val="24"/>
                <w:lang w:val="en-US" w:eastAsia="zh-CN"/>
              </w:rPr>
              <w:t>（2700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。此部分水全部蒸发损耗。</w:t>
            </w:r>
          </w:p>
          <w:p w14:paraId="3AC6F311">
            <w:pPr>
              <w:pStyle w:val="45"/>
              <w:keepNext w:val="0"/>
              <w:keepLines w:val="0"/>
              <w:pageBreakBefore w:val="0"/>
              <w:kinsoku/>
              <w:wordWrap/>
              <w:overflowPunct/>
              <w:topLinePunct w:val="0"/>
              <w:autoSpaceDE/>
              <w:autoSpaceDN/>
              <w:bidi w:val="0"/>
              <w:adjustRightInd/>
              <w:spacing w:line="360" w:lineRule="auto"/>
              <w:ind w:left="0" w:right="0" w:firstLine="48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3）排土场及堆场洒水降尘</w:t>
            </w:r>
          </w:p>
          <w:p w14:paraId="607D180F">
            <w:pPr>
              <w:pStyle w:val="45"/>
              <w:keepNext w:val="0"/>
              <w:keepLines w:val="0"/>
              <w:pageBreakBefore w:val="0"/>
              <w:kinsoku/>
              <w:wordWrap/>
              <w:overflowPunct/>
              <w:topLinePunct w:val="0"/>
              <w:autoSpaceDE/>
              <w:autoSpaceDN/>
              <w:bidi w:val="0"/>
              <w:adjustRightInd/>
              <w:spacing w:line="360" w:lineRule="auto"/>
              <w:ind w:left="0" w:right="0" w:firstLine="49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排土场及堆场抑尘用水，用水量约为1.5L/m</w:t>
            </w:r>
            <w:r>
              <w:rPr>
                <w:rFonts w:hint="eastAsia" w:ascii="Times New Roman" w:hAnsi="Times New Roman" w:eastAsia="宋体" w:cs="Times New Roman"/>
                <w:spacing w:val="3"/>
                <w:sz w:val="24"/>
                <w:szCs w:val="24"/>
                <w:vertAlign w:val="superscript"/>
                <w:lang w:val="en-US" w:eastAsia="zh-CN"/>
              </w:rPr>
              <w:t>2</w:t>
            </w:r>
            <w:r>
              <w:rPr>
                <w:rFonts w:ascii="MS Gothic" w:hAnsi="MS Gothic" w:eastAsia="MS Gothic" w:cs="MS Gothic"/>
                <w:spacing w:val="3"/>
              </w:rPr>
              <w:t>·</w:t>
            </w:r>
            <w:r>
              <w:rPr>
                <w:rFonts w:hint="default" w:ascii="Times New Roman" w:hAnsi="Times New Roman" w:eastAsia="宋体" w:cs="Times New Roman"/>
                <w:spacing w:val="3"/>
                <w:sz w:val="24"/>
                <w:szCs w:val="24"/>
              </w:rPr>
              <w:t>d，项目排土场及堆场</w:t>
            </w:r>
            <w:r>
              <w:rPr>
                <w:rFonts w:hint="default" w:ascii="Times New Roman" w:hAnsi="Times New Roman" w:eastAsia="宋体" w:cs="Times New Roman"/>
                <w:spacing w:val="13"/>
                <w:sz w:val="24"/>
                <w:szCs w:val="24"/>
              </w:rPr>
              <w:t>占地面积</w:t>
            </w:r>
            <w:r>
              <w:rPr>
                <w:rFonts w:hint="default" w:ascii="Times New Roman" w:hAnsi="Times New Roman" w:eastAsia="宋体" w:cs="Times New Roman"/>
                <w:spacing w:val="3"/>
                <w:sz w:val="24"/>
                <w:szCs w:val="24"/>
              </w:rPr>
              <w:t>约</w:t>
            </w:r>
            <w:r>
              <w:rPr>
                <w:rFonts w:hint="eastAsia" w:ascii="Times New Roman" w:hAnsi="Times New Roman" w:eastAsia="宋体" w:cs="Times New Roman"/>
                <w:spacing w:val="3"/>
                <w:sz w:val="24"/>
                <w:szCs w:val="24"/>
                <w:lang w:val="en-US" w:eastAsia="zh-CN"/>
              </w:rPr>
              <w:t>67675</w:t>
            </w:r>
            <w:r>
              <w:rPr>
                <w:rFonts w:hint="default" w:ascii="Times New Roman" w:hAnsi="Times New Roman" w:eastAsia="宋体" w:cs="Times New Roman"/>
                <w:spacing w:val="3"/>
                <w:sz w:val="24"/>
                <w:szCs w:val="24"/>
              </w:rPr>
              <w:t>m</w:t>
            </w:r>
            <w:r>
              <w:rPr>
                <w:rFonts w:hint="eastAsia" w:ascii="Times New Roman" w:hAnsi="Times New Roman" w:eastAsia="宋体" w:cs="Times New Roman"/>
                <w:spacing w:val="3"/>
                <w:sz w:val="24"/>
                <w:szCs w:val="24"/>
                <w:vertAlign w:val="superscript"/>
                <w:lang w:val="en-US" w:eastAsia="zh-CN"/>
              </w:rPr>
              <w:t>2</w:t>
            </w:r>
            <w:r>
              <w:rPr>
                <w:rFonts w:hint="default" w:ascii="Times New Roman" w:hAnsi="Times New Roman" w:eastAsia="宋体" w:cs="Times New Roman"/>
                <w:spacing w:val="3"/>
                <w:sz w:val="24"/>
                <w:szCs w:val="24"/>
              </w:rPr>
              <w:t>，取作业</w:t>
            </w:r>
            <w:r>
              <w:rPr>
                <w:rFonts w:hint="default" w:ascii="Times New Roman" w:hAnsi="Times New Roman" w:eastAsia="宋体" w:cs="Times New Roman"/>
                <w:spacing w:val="13"/>
                <w:sz w:val="24"/>
                <w:szCs w:val="24"/>
              </w:rPr>
              <w:t>面积为5000m</w:t>
            </w:r>
            <w:r>
              <w:rPr>
                <w:rFonts w:hint="eastAsia" w:ascii="Times New Roman" w:hAnsi="Times New Roman" w:eastAsia="宋体" w:cs="Times New Roman"/>
                <w:spacing w:val="13"/>
                <w:sz w:val="24"/>
                <w:szCs w:val="24"/>
                <w:vertAlign w:val="superscript"/>
                <w:lang w:val="en-US" w:eastAsia="zh-CN"/>
              </w:rPr>
              <w:t>2</w:t>
            </w:r>
            <w:r>
              <w:rPr>
                <w:rFonts w:hint="default" w:ascii="Times New Roman" w:hAnsi="Times New Roman" w:eastAsia="宋体" w:cs="Times New Roman"/>
                <w:spacing w:val="13"/>
                <w:sz w:val="24"/>
                <w:szCs w:val="24"/>
              </w:rPr>
              <w:t>，每天1</w:t>
            </w:r>
            <w:r>
              <w:rPr>
                <w:rFonts w:hint="default" w:ascii="Times New Roman" w:hAnsi="Times New Roman" w:eastAsia="宋体" w:cs="Times New Roman"/>
                <w:spacing w:val="-51"/>
                <w:sz w:val="24"/>
                <w:szCs w:val="24"/>
              </w:rPr>
              <w:t xml:space="preserve"> </w:t>
            </w:r>
            <w:r>
              <w:rPr>
                <w:rFonts w:hint="default" w:ascii="Times New Roman" w:hAnsi="Times New Roman" w:eastAsia="宋体" w:cs="Times New Roman"/>
                <w:spacing w:val="13"/>
                <w:sz w:val="24"/>
                <w:szCs w:val="24"/>
              </w:rPr>
              <w:t>次（下雨天气不</w:t>
            </w:r>
            <w:r>
              <w:rPr>
                <w:rFonts w:hint="default" w:ascii="Times New Roman" w:hAnsi="Times New Roman" w:eastAsia="宋体" w:cs="Times New Roman"/>
                <w:spacing w:val="7"/>
                <w:sz w:val="24"/>
                <w:szCs w:val="24"/>
              </w:rPr>
              <w:t>洒水，按</w:t>
            </w:r>
            <w:r>
              <w:rPr>
                <w:rFonts w:hint="eastAsia" w:ascii="Times New Roman" w:hAnsi="Times New Roman" w:eastAsia="宋体" w:cs="Times New Roman"/>
                <w:spacing w:val="7"/>
                <w:sz w:val="24"/>
                <w:szCs w:val="24"/>
                <w:lang w:val="en-US" w:eastAsia="zh-CN"/>
              </w:rPr>
              <w:t>1</w:t>
            </w:r>
            <w:r>
              <w:rPr>
                <w:rFonts w:hint="default" w:ascii="Times New Roman" w:hAnsi="Times New Roman" w:eastAsia="宋体" w:cs="Times New Roman"/>
                <w:spacing w:val="7"/>
                <w:sz w:val="24"/>
                <w:szCs w:val="24"/>
              </w:rPr>
              <w:t>50d</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spacing w:val="7"/>
                <w:sz w:val="24"/>
                <w:szCs w:val="24"/>
              </w:rPr>
              <w:t>考虑），共计7.5m³/d（</w:t>
            </w:r>
            <w:r>
              <w:rPr>
                <w:rFonts w:hint="eastAsia" w:ascii="Times New Roman" w:hAnsi="Times New Roman" w:eastAsia="宋体" w:cs="Times New Roman"/>
                <w:spacing w:val="7"/>
                <w:sz w:val="24"/>
                <w:szCs w:val="24"/>
                <w:lang w:val="en-US" w:eastAsia="zh-CN"/>
              </w:rPr>
              <w:t>1125</w:t>
            </w:r>
            <w:r>
              <w:rPr>
                <w:rFonts w:hint="default" w:ascii="Times New Roman" w:hAnsi="Times New Roman" w:eastAsia="宋体" w:cs="Times New Roman"/>
                <w:spacing w:val="7"/>
                <w:sz w:val="24"/>
                <w:szCs w:val="24"/>
              </w:rPr>
              <w:t>m³/a</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6"/>
                <w:sz w:val="24"/>
                <w:szCs w:val="24"/>
              </w:rPr>
              <w:t>。此部分水全部蒸</w:t>
            </w:r>
            <w:r>
              <w:rPr>
                <w:rFonts w:hint="default" w:ascii="Times New Roman" w:hAnsi="Times New Roman" w:eastAsia="宋体" w:cs="Times New Roman"/>
                <w:spacing w:val="-1"/>
                <w:sz w:val="24"/>
                <w:szCs w:val="24"/>
              </w:rPr>
              <w:t>发或渗透于物料中。</w:t>
            </w:r>
          </w:p>
          <w:p w14:paraId="1EEFC23A">
            <w:pPr>
              <w:pStyle w:val="2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0" w:right="0" w:righ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②生活用水</w:t>
            </w:r>
          </w:p>
          <w:p w14:paraId="5DB2025B">
            <w:pPr>
              <w:pStyle w:val="45"/>
              <w:keepNext w:val="0"/>
              <w:keepLines w:val="0"/>
              <w:pageBreakBefore w:val="0"/>
              <w:kinsoku/>
              <w:wordWrap/>
              <w:overflowPunct/>
              <w:topLinePunct w:val="0"/>
              <w:autoSpaceDE/>
              <w:autoSpaceDN/>
              <w:bidi w:val="0"/>
              <w:adjustRightIn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根据《甘肃省行业用水定额》，项目用水定额取60L/（</w:t>
            </w:r>
            <w:r>
              <w:rPr>
                <w:rFonts w:hint="default" w:ascii="Times New Roman" w:hAnsi="Times New Roman" w:eastAsia="宋体" w:cs="Times New Roman"/>
                <w:spacing w:val="3"/>
                <w:sz w:val="24"/>
                <w:szCs w:val="24"/>
              </w:rPr>
              <w:t>人</w:t>
            </w:r>
            <w:r>
              <w:rPr>
                <w:rFonts w:ascii="MS Gothic" w:hAnsi="MS Gothic" w:eastAsia="MS Gothic" w:cs="MS Gothic"/>
                <w:spacing w:val="3"/>
              </w:rPr>
              <w:t>·</w:t>
            </w:r>
            <w:r>
              <w:rPr>
                <w:rFonts w:hint="default" w:ascii="Times New Roman" w:hAnsi="Times New Roman" w:eastAsia="宋体" w:cs="Times New Roman"/>
                <w:spacing w:val="3"/>
                <w:sz w:val="24"/>
                <w:szCs w:val="24"/>
              </w:rPr>
              <w:t>d</w:t>
            </w: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00天（每班8h</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，则生活用水量为</w:t>
            </w:r>
            <w:r>
              <w:rPr>
                <w:rFonts w:hint="default" w:ascii="Times New Roman" w:hAnsi="Times New Roman" w:eastAsia="宋体" w:cs="Times New Roman"/>
                <w:spacing w:val="8"/>
                <w:sz w:val="24"/>
                <w:szCs w:val="24"/>
              </w:rPr>
              <w:t>0.36</w:t>
            </w:r>
            <w:r>
              <w:rPr>
                <w:rFonts w:hint="default" w:ascii="Times New Roman" w:hAnsi="Times New Roman" w:eastAsia="宋体" w:cs="Times New Roman"/>
                <w:sz w:val="24"/>
                <w:szCs w:val="24"/>
              </w:rPr>
              <w:t>m³/d（</w:t>
            </w:r>
            <w:r>
              <w:rPr>
                <w:rFonts w:hint="eastAsia" w:ascii="Times New Roman" w:hAnsi="Times New Roman" w:eastAsia="宋体" w:cs="Times New Roman"/>
                <w:spacing w:val="8"/>
                <w:sz w:val="24"/>
                <w:szCs w:val="24"/>
                <w:lang w:val="en-US" w:eastAsia="zh-CN"/>
              </w:rPr>
              <w:t>72</w:t>
            </w:r>
            <w:r>
              <w:rPr>
                <w:rFonts w:hint="default" w:ascii="Times New Roman" w:hAnsi="Times New Roman" w:eastAsia="宋体" w:cs="Times New Roman"/>
                <w:sz w:val="24"/>
                <w:szCs w:val="24"/>
              </w:rPr>
              <w:t>m³/a）。</w:t>
            </w:r>
          </w:p>
          <w:p w14:paraId="277AAFAE">
            <w:pPr>
              <w:pStyle w:val="45"/>
              <w:keepNext w:val="0"/>
              <w:keepLines w:val="0"/>
              <w:pageBreakBefore w:val="0"/>
              <w:kinsoku/>
              <w:wordWrap/>
              <w:overflowPunct/>
              <w:topLinePunct w:val="0"/>
              <w:autoSpaceDE/>
              <w:autoSpaceDN/>
              <w:bidi w:val="0"/>
              <w:adjustRightInd/>
              <w:spacing w:line="360" w:lineRule="auto"/>
              <w:ind w:left="0" w:right="0" w:firstLine="50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（3）排水</w:t>
            </w:r>
          </w:p>
          <w:p w14:paraId="64DE9DBB">
            <w:pPr>
              <w:pStyle w:val="45"/>
              <w:keepNext w:val="0"/>
              <w:keepLines w:val="0"/>
              <w:pageBreakBefore w:val="0"/>
              <w:kinsoku/>
              <w:wordWrap/>
              <w:overflowPunct/>
              <w:topLinePunct w:val="0"/>
              <w:autoSpaceDE/>
              <w:autoSpaceDN/>
              <w:bidi w:val="0"/>
              <w:adjustRightInd/>
              <w:spacing w:line="360" w:lineRule="auto"/>
              <w:ind w:left="0" w:right="0" w:firstLine="476"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
                <w:sz w:val="24"/>
                <w:szCs w:val="24"/>
                <w:highlight w:val="none"/>
              </w:rPr>
              <w:t>本项目生活废水主要为职工洗漱废水，水质较为</w:t>
            </w:r>
            <w:r>
              <w:rPr>
                <w:rFonts w:hint="default" w:ascii="Times New Roman" w:hAnsi="Times New Roman" w:eastAsia="宋体" w:cs="Times New Roman"/>
                <w:spacing w:val="-2"/>
                <w:sz w:val="24"/>
                <w:szCs w:val="24"/>
                <w:highlight w:val="none"/>
              </w:rPr>
              <w:t>简单，可泼洒降尘。</w:t>
            </w:r>
            <w:r>
              <w:rPr>
                <w:rFonts w:hint="default" w:ascii="Times New Roman" w:hAnsi="Times New Roman" w:eastAsia="宋体" w:cs="Times New Roman"/>
                <w:spacing w:val="10"/>
                <w:sz w:val="24"/>
                <w:szCs w:val="24"/>
                <w:highlight w:val="none"/>
              </w:rPr>
              <w:t>生活用水量为</w:t>
            </w:r>
            <w:r>
              <w:rPr>
                <w:rFonts w:hint="default" w:ascii="Times New Roman" w:hAnsi="Times New Roman" w:eastAsia="宋体" w:cs="Times New Roman"/>
                <w:spacing w:val="8"/>
                <w:sz w:val="24"/>
                <w:szCs w:val="24"/>
                <w:highlight w:val="none"/>
              </w:rPr>
              <w:t>0.36</w:t>
            </w:r>
            <w:r>
              <w:rPr>
                <w:rFonts w:hint="default" w:ascii="Times New Roman" w:hAnsi="Times New Roman" w:eastAsia="宋体" w:cs="Times New Roman"/>
                <w:sz w:val="24"/>
                <w:szCs w:val="24"/>
                <w:highlight w:val="none"/>
              </w:rPr>
              <w:t>m³/d（</w:t>
            </w:r>
            <w:r>
              <w:rPr>
                <w:rFonts w:hint="eastAsia" w:ascii="Times New Roman" w:hAnsi="Times New Roman" w:eastAsia="宋体" w:cs="Times New Roman"/>
                <w:spacing w:val="8"/>
                <w:sz w:val="24"/>
                <w:szCs w:val="24"/>
                <w:highlight w:val="none"/>
                <w:lang w:val="en-US" w:eastAsia="zh-CN"/>
              </w:rPr>
              <w:t>72</w:t>
            </w:r>
            <w:r>
              <w:rPr>
                <w:rFonts w:hint="default" w:ascii="Times New Roman" w:hAnsi="Times New Roman" w:eastAsia="宋体" w:cs="Times New Roman"/>
                <w:sz w:val="24"/>
                <w:szCs w:val="24"/>
                <w:highlight w:val="none"/>
              </w:rPr>
              <w:t>m³/a）</w:t>
            </w:r>
            <w:r>
              <w:rPr>
                <w:rFonts w:hint="default" w:ascii="Times New Roman" w:hAnsi="Times New Roman" w:eastAsia="宋体" w:cs="Times New Roman"/>
                <w:spacing w:val="-20"/>
                <w:sz w:val="24"/>
                <w:szCs w:val="24"/>
                <w:highlight w:val="none"/>
              </w:rPr>
              <w:t>，</w:t>
            </w:r>
            <w:r>
              <w:rPr>
                <w:rFonts w:hint="default" w:ascii="Times New Roman" w:hAnsi="Times New Roman" w:eastAsia="宋体" w:cs="Times New Roman"/>
                <w:spacing w:val="10"/>
                <w:sz w:val="24"/>
                <w:szCs w:val="24"/>
                <w:highlight w:val="none"/>
              </w:rPr>
              <w:t>排放系数按80%计，则排放生活</w:t>
            </w:r>
            <w:r>
              <w:rPr>
                <w:rFonts w:hint="default" w:ascii="Times New Roman" w:hAnsi="Times New Roman" w:eastAsia="宋体" w:cs="Times New Roman"/>
                <w:spacing w:val="8"/>
                <w:sz w:val="24"/>
                <w:szCs w:val="24"/>
                <w:highlight w:val="none"/>
              </w:rPr>
              <w:t>污水为</w:t>
            </w:r>
            <w:r>
              <w:rPr>
                <w:rFonts w:hint="default" w:ascii="Times New Roman" w:hAnsi="Times New Roman" w:eastAsia="宋体" w:cs="Times New Roman"/>
                <w:spacing w:val="9"/>
                <w:sz w:val="24"/>
                <w:szCs w:val="24"/>
                <w:highlight w:val="none"/>
              </w:rPr>
              <w:t>0.288m</w:t>
            </w:r>
            <w:r>
              <w:rPr>
                <w:rFonts w:hint="eastAsia" w:ascii="Times New Roman" w:hAnsi="Times New Roman" w:eastAsia="宋体" w:cs="Times New Roman"/>
                <w:spacing w:val="9"/>
                <w:sz w:val="24"/>
                <w:szCs w:val="24"/>
                <w:highlight w:val="none"/>
                <w:vertAlign w:val="superscript"/>
                <w:lang w:val="en-US" w:eastAsia="zh-CN"/>
              </w:rPr>
              <w:t>3</w:t>
            </w:r>
            <w:r>
              <w:rPr>
                <w:rFonts w:hint="default" w:ascii="Times New Roman" w:hAnsi="Times New Roman" w:eastAsia="宋体" w:cs="Times New Roman"/>
                <w:spacing w:val="9"/>
                <w:sz w:val="24"/>
                <w:szCs w:val="24"/>
                <w:highlight w:val="none"/>
              </w:rPr>
              <w:t>/d（57.6m</w:t>
            </w:r>
            <w:r>
              <w:rPr>
                <w:rFonts w:hint="eastAsia" w:ascii="Times New Roman" w:hAnsi="Times New Roman" w:eastAsia="宋体" w:cs="Times New Roman"/>
                <w:spacing w:val="9"/>
                <w:sz w:val="24"/>
                <w:szCs w:val="24"/>
                <w:highlight w:val="none"/>
                <w:vertAlign w:val="superscript"/>
                <w:lang w:val="en-US" w:eastAsia="zh-CN"/>
              </w:rPr>
              <w:t>3</w:t>
            </w:r>
            <w:r>
              <w:rPr>
                <w:rFonts w:hint="default" w:ascii="Times New Roman" w:hAnsi="Times New Roman" w:eastAsia="宋体" w:cs="Times New Roman"/>
                <w:spacing w:val="9"/>
                <w:sz w:val="24"/>
                <w:szCs w:val="24"/>
                <w:highlight w:val="none"/>
              </w:rPr>
              <w:t>/a</w:t>
            </w:r>
            <w:r>
              <w:rPr>
                <w:rFonts w:hint="default" w:ascii="Times New Roman" w:hAnsi="Times New Roman" w:eastAsia="宋体" w:cs="Times New Roman"/>
                <w:spacing w:val="-1"/>
                <w:sz w:val="24"/>
                <w:szCs w:val="24"/>
                <w:highlight w:val="none"/>
              </w:rPr>
              <w:t>）</w:t>
            </w:r>
            <w:r>
              <w:rPr>
                <w:rFonts w:hint="default" w:ascii="Times New Roman" w:hAnsi="Times New Roman" w:eastAsia="宋体" w:cs="Times New Roman"/>
                <w:spacing w:val="-30"/>
                <w:sz w:val="24"/>
                <w:szCs w:val="24"/>
                <w:highlight w:val="none"/>
              </w:rPr>
              <w:t>；</w:t>
            </w:r>
            <w:r>
              <w:rPr>
                <w:rFonts w:hint="default" w:ascii="Times New Roman" w:hAnsi="Times New Roman" w:eastAsia="宋体" w:cs="Times New Roman"/>
                <w:sz w:val="24"/>
                <w:szCs w:val="24"/>
                <w:highlight w:val="none"/>
              </w:rPr>
              <w:t>生产废水全部蒸发损耗，无外排生产</w:t>
            </w:r>
            <w:r>
              <w:rPr>
                <w:rFonts w:hint="default" w:ascii="Times New Roman" w:hAnsi="Times New Roman" w:eastAsia="宋体" w:cs="Times New Roman"/>
                <w:spacing w:val="-1"/>
                <w:sz w:val="24"/>
                <w:szCs w:val="24"/>
                <w:highlight w:val="none"/>
              </w:rPr>
              <w:t>废水。</w:t>
            </w:r>
          </w:p>
          <w:p w14:paraId="6D34F441">
            <w:pPr>
              <w:pStyle w:val="45"/>
              <w:keepNext w:val="0"/>
              <w:keepLines w:val="0"/>
              <w:pageBreakBefore w:val="0"/>
              <w:kinsoku/>
              <w:wordWrap/>
              <w:overflowPunct/>
              <w:topLinePunct w:val="0"/>
              <w:autoSpaceDE/>
              <w:autoSpaceDN/>
              <w:bidi w:val="0"/>
              <w:adjustRightInd/>
              <w:spacing w:line="360" w:lineRule="auto"/>
              <w:ind w:left="0" w:right="0" w:firstLine="492"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本项目水平衡情况见表2-</w:t>
            </w:r>
            <w:r>
              <w:rPr>
                <w:rFonts w:hint="eastAsia" w:ascii="Times New Roman" w:hAnsi="Times New Roman" w:eastAsia="宋体" w:cs="Times New Roman"/>
                <w:spacing w:val="3"/>
                <w:sz w:val="24"/>
                <w:szCs w:val="24"/>
                <w:lang w:val="en-US" w:eastAsia="zh-CN"/>
              </w:rPr>
              <w:t>9</w:t>
            </w:r>
            <w:r>
              <w:rPr>
                <w:rFonts w:hint="default" w:ascii="Times New Roman" w:hAnsi="Times New Roman" w:eastAsia="宋体" w:cs="Times New Roman"/>
                <w:spacing w:val="3"/>
                <w:sz w:val="24"/>
                <w:szCs w:val="24"/>
              </w:rPr>
              <w:t>、图 2-1。</w:t>
            </w:r>
          </w:p>
          <w:p w14:paraId="5194FC99">
            <w:pPr>
              <w:pStyle w:val="45"/>
              <w:keepNext w:val="0"/>
              <w:keepLines w:val="0"/>
              <w:pageBreakBefore w:val="0"/>
              <w:kinsoku/>
              <w:wordWrap/>
              <w:overflowPunct/>
              <w:topLinePunct w:val="0"/>
              <w:autoSpaceDE/>
              <w:autoSpaceDN/>
              <w:bidi w:val="0"/>
              <w:adjustRightInd/>
              <w:spacing w:line="360" w:lineRule="auto"/>
              <w:ind w:left="0" w:right="0" w:firstLine="442" w:firstLineChars="20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b/>
                <w:bCs/>
                <w:spacing w:val="5"/>
                <w:sz w:val="21"/>
                <w:szCs w:val="21"/>
              </w:rPr>
              <w:t>表 2-</w:t>
            </w:r>
            <w:r>
              <w:rPr>
                <w:rFonts w:hint="eastAsia" w:ascii="Times New Roman" w:hAnsi="Times New Roman" w:eastAsia="宋体" w:cs="Times New Roman"/>
                <w:b/>
                <w:bCs/>
                <w:spacing w:val="5"/>
                <w:sz w:val="21"/>
                <w:szCs w:val="21"/>
                <w:lang w:val="en-US" w:eastAsia="zh-CN"/>
              </w:rPr>
              <w:t>9</w:t>
            </w:r>
            <w:r>
              <w:rPr>
                <w:rFonts w:hint="default" w:ascii="Times New Roman" w:hAnsi="Times New Roman" w:eastAsia="宋体" w:cs="Times New Roman"/>
                <w:b/>
                <w:bCs/>
                <w:spacing w:val="18"/>
                <w:sz w:val="21"/>
                <w:szCs w:val="21"/>
              </w:rPr>
              <w:t xml:space="preserve">   </w:t>
            </w:r>
            <w:r>
              <w:rPr>
                <w:rFonts w:hint="default" w:ascii="Times New Roman" w:hAnsi="Times New Roman" w:eastAsia="宋体" w:cs="Times New Roman"/>
                <w:b/>
                <w:bCs/>
                <w:spacing w:val="5"/>
                <w:sz w:val="21"/>
                <w:szCs w:val="21"/>
              </w:rPr>
              <w:t>项目水平衡情况一览表</w:t>
            </w:r>
            <w:r>
              <w:rPr>
                <w:rFonts w:hint="default" w:ascii="Times New Roman" w:hAnsi="Times New Roman" w:eastAsia="宋体" w:cs="Times New Roman"/>
                <w:b/>
                <w:bCs/>
                <w:spacing w:val="11"/>
                <w:sz w:val="21"/>
                <w:szCs w:val="21"/>
              </w:rPr>
              <w:t xml:space="preserve">      </w:t>
            </w:r>
            <w:r>
              <w:rPr>
                <w:rFonts w:hint="default" w:ascii="Times New Roman" w:hAnsi="Times New Roman" w:eastAsia="宋体" w:cs="Times New Roman"/>
                <w:b/>
                <w:bCs/>
                <w:spacing w:val="5"/>
                <w:sz w:val="21"/>
                <w:szCs w:val="21"/>
              </w:rPr>
              <w:t>m</w:t>
            </w:r>
            <w:r>
              <w:rPr>
                <w:rFonts w:hint="default" w:ascii="Times New Roman" w:hAnsi="Times New Roman" w:eastAsia="宋体" w:cs="Times New Roman"/>
                <w:b/>
                <w:bCs/>
                <w:spacing w:val="5"/>
                <w:sz w:val="21"/>
                <w:szCs w:val="21"/>
                <w:vertAlign w:val="superscript"/>
              </w:rPr>
              <w:t>3</w:t>
            </w:r>
            <w:r>
              <w:rPr>
                <w:rFonts w:hint="default" w:ascii="Times New Roman" w:hAnsi="Times New Roman" w:eastAsia="宋体" w:cs="Times New Roman"/>
                <w:b/>
                <w:bCs/>
                <w:spacing w:val="5"/>
                <w:sz w:val="21"/>
                <w:szCs w:val="21"/>
              </w:rPr>
              <w:t>/d</w:t>
            </w:r>
          </w:p>
          <w:tbl>
            <w:tblPr>
              <w:tblStyle w:val="24"/>
              <w:tblW w:w="807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665"/>
              <w:gridCol w:w="1272"/>
              <w:gridCol w:w="1467"/>
              <w:gridCol w:w="1502"/>
              <w:gridCol w:w="1275"/>
            </w:tblGrid>
            <w:tr w14:paraId="3E60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97" w:type="dxa"/>
                  <w:tcBorders>
                    <w:top w:val="single" w:color="000000" w:sz="12" w:space="0"/>
                    <w:left w:val="nil"/>
                    <w:tl2br w:val="nil"/>
                  </w:tcBorders>
                  <w:noWrap w:val="0"/>
                  <w:vAlign w:val="center"/>
                </w:tcPr>
                <w:p w14:paraId="6392AC74">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bCs/>
                      <w:color w:val="000000"/>
                      <w:spacing w:val="7"/>
                      <w:sz w:val="21"/>
                      <w:szCs w:val="21"/>
                    </w:rPr>
                    <w:t>序号</w:t>
                  </w:r>
                </w:p>
              </w:tc>
              <w:tc>
                <w:tcPr>
                  <w:tcW w:w="1665" w:type="dxa"/>
                  <w:tcBorders>
                    <w:top w:val="single" w:color="000000" w:sz="12" w:space="0"/>
                  </w:tcBorders>
                  <w:noWrap w:val="0"/>
                  <w:vAlign w:val="center"/>
                </w:tcPr>
                <w:p w14:paraId="13B4B817">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bCs/>
                      <w:color w:val="000000"/>
                      <w:spacing w:val="7"/>
                      <w:sz w:val="21"/>
                      <w:szCs w:val="21"/>
                    </w:rPr>
                    <w:t>名称</w:t>
                  </w:r>
                </w:p>
              </w:tc>
              <w:tc>
                <w:tcPr>
                  <w:tcW w:w="1272" w:type="dxa"/>
                  <w:tcBorders>
                    <w:top w:val="single" w:color="000000" w:sz="12" w:space="0"/>
                  </w:tcBorders>
                  <w:noWrap w:val="0"/>
                  <w:vAlign w:val="center"/>
                </w:tcPr>
                <w:p w14:paraId="5FEF17E9">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bCs/>
                      <w:color w:val="000000"/>
                      <w:spacing w:val="10"/>
                      <w:sz w:val="21"/>
                      <w:szCs w:val="21"/>
                    </w:rPr>
                    <w:t>新鲜水量</w:t>
                  </w:r>
                </w:p>
              </w:tc>
              <w:tc>
                <w:tcPr>
                  <w:tcW w:w="1467" w:type="dxa"/>
                  <w:tcBorders>
                    <w:top w:val="single" w:color="000000" w:sz="12" w:space="0"/>
                  </w:tcBorders>
                  <w:noWrap w:val="0"/>
                  <w:vAlign w:val="center"/>
                </w:tcPr>
                <w:p w14:paraId="24955B30">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bCs/>
                      <w:color w:val="000000"/>
                      <w:spacing w:val="10"/>
                      <w:sz w:val="21"/>
                      <w:szCs w:val="21"/>
                    </w:rPr>
                  </w:pPr>
                  <w:r>
                    <w:rPr>
                      <w:rFonts w:hint="default" w:ascii="Times New Roman" w:hAnsi="Times New Roman" w:eastAsia="宋体" w:cs="Times New Roman"/>
                      <w:b w:val="0"/>
                      <w:bCs/>
                      <w:color w:val="000000"/>
                      <w:spacing w:val="9"/>
                      <w:sz w:val="21"/>
                      <w:szCs w:val="21"/>
                    </w:rPr>
                    <w:t>损耗水量</w:t>
                  </w:r>
                </w:p>
              </w:tc>
              <w:tc>
                <w:tcPr>
                  <w:tcW w:w="1502" w:type="dxa"/>
                  <w:tcBorders>
                    <w:top w:val="single" w:color="000000" w:sz="12" w:space="0"/>
                  </w:tcBorders>
                  <w:noWrap w:val="0"/>
                  <w:vAlign w:val="center"/>
                </w:tcPr>
                <w:p w14:paraId="66865BC6">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bCs/>
                      <w:color w:val="000000"/>
                      <w:spacing w:val="10"/>
                      <w:sz w:val="21"/>
                      <w:szCs w:val="21"/>
                    </w:rPr>
                  </w:pPr>
                  <w:r>
                    <w:rPr>
                      <w:rFonts w:hint="eastAsia" w:ascii="Times New Roman" w:hAnsi="Times New Roman" w:eastAsia="宋体" w:cs="Times New Roman"/>
                      <w:b w:val="0"/>
                      <w:bCs/>
                      <w:color w:val="000000"/>
                      <w:spacing w:val="9"/>
                      <w:sz w:val="21"/>
                      <w:szCs w:val="21"/>
                      <w:lang w:val="en-US" w:eastAsia="zh-CN"/>
                    </w:rPr>
                    <w:t>废水产生</w:t>
                  </w:r>
                  <w:r>
                    <w:rPr>
                      <w:rFonts w:hint="default" w:ascii="Times New Roman" w:hAnsi="Times New Roman" w:eastAsia="宋体" w:cs="Times New Roman"/>
                      <w:b w:val="0"/>
                      <w:bCs/>
                      <w:color w:val="000000"/>
                      <w:spacing w:val="9"/>
                      <w:sz w:val="21"/>
                      <w:szCs w:val="21"/>
                    </w:rPr>
                    <w:t>量</w:t>
                  </w:r>
                </w:p>
              </w:tc>
              <w:tc>
                <w:tcPr>
                  <w:tcW w:w="1275" w:type="dxa"/>
                  <w:tcBorders>
                    <w:top w:val="single" w:color="000000" w:sz="12" w:space="0"/>
                    <w:right w:val="nil"/>
                  </w:tcBorders>
                  <w:noWrap w:val="0"/>
                  <w:vAlign w:val="center"/>
                </w:tcPr>
                <w:p w14:paraId="0C03C5F5">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bCs/>
                      <w:color w:val="000000"/>
                      <w:spacing w:val="9"/>
                      <w:sz w:val="21"/>
                      <w:szCs w:val="21"/>
                      <w:lang w:val="en-US" w:eastAsia="zh-CN"/>
                    </w:rPr>
                  </w:pPr>
                  <w:r>
                    <w:rPr>
                      <w:rFonts w:hint="default" w:ascii="Times New Roman" w:hAnsi="Times New Roman" w:eastAsia="宋体" w:cs="Times New Roman"/>
                      <w:b w:val="0"/>
                      <w:bCs/>
                      <w:color w:val="000000"/>
                      <w:spacing w:val="9"/>
                      <w:sz w:val="21"/>
                      <w:szCs w:val="21"/>
                      <w:lang w:val="en-US" w:eastAsia="zh-CN"/>
                    </w:rPr>
                    <w:t>废水去向</w:t>
                  </w:r>
                </w:p>
              </w:tc>
            </w:tr>
            <w:tr w14:paraId="337D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97" w:type="dxa"/>
                  <w:tcBorders>
                    <w:left w:val="nil"/>
                  </w:tcBorders>
                  <w:noWrap w:val="0"/>
                  <w:vAlign w:val="center"/>
                </w:tcPr>
                <w:p w14:paraId="7B5C8FD2">
                  <w:pPr>
                    <w:pStyle w:val="45"/>
                    <w:keepNext w:val="0"/>
                    <w:keepLines w:val="0"/>
                    <w:pageBreakBefore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b w:val="0"/>
                      <w:color w:val="000000"/>
                      <w:spacing w:val="15"/>
                      <w:sz w:val="21"/>
                      <w:szCs w:val="21"/>
                      <w:vertAlign w:val="baseline"/>
                      <w:lang w:val="en-US" w:eastAsia="zh-CN"/>
                    </w:rPr>
                  </w:pPr>
                  <w:r>
                    <w:rPr>
                      <w:rFonts w:hint="eastAsia" w:ascii="Times New Roman" w:hAnsi="Times New Roman" w:eastAsia="宋体" w:cs="Times New Roman"/>
                      <w:b w:val="0"/>
                      <w:color w:val="000000"/>
                      <w:spacing w:val="15"/>
                      <w:sz w:val="21"/>
                      <w:szCs w:val="21"/>
                      <w:vertAlign w:val="baseline"/>
                      <w:lang w:val="en-US" w:eastAsia="zh-CN"/>
                    </w:rPr>
                    <w:t>1</w:t>
                  </w:r>
                </w:p>
              </w:tc>
              <w:tc>
                <w:tcPr>
                  <w:tcW w:w="1665" w:type="dxa"/>
                  <w:noWrap w:val="0"/>
                  <w:vAlign w:val="center"/>
                </w:tcPr>
                <w:p w14:paraId="27810E61">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15"/>
                      <w:sz w:val="21"/>
                      <w:szCs w:val="21"/>
                      <w:vertAlign w:val="baseline"/>
                      <w:lang w:val="en-US" w:eastAsia="zh-CN"/>
                    </w:rPr>
                    <w:t>采矿用水</w:t>
                  </w:r>
                  <w:r>
                    <w:rPr>
                      <w:rFonts w:hint="eastAsia" w:ascii="Times New Roman" w:hAnsi="Times New Roman" w:eastAsia="宋体" w:cs="Times New Roman"/>
                      <w:b w:val="0"/>
                      <w:color w:val="000000"/>
                      <w:spacing w:val="15"/>
                      <w:sz w:val="21"/>
                      <w:szCs w:val="21"/>
                      <w:vertAlign w:val="baseline"/>
                      <w:lang w:val="en-US" w:eastAsia="zh-CN"/>
                    </w:rPr>
                    <w:t>（</w:t>
                  </w:r>
                  <w:r>
                    <w:rPr>
                      <w:rFonts w:hint="default" w:ascii="Times New Roman" w:hAnsi="Times New Roman" w:eastAsia="宋体" w:cs="Times New Roman"/>
                      <w:b w:val="0"/>
                      <w:color w:val="000000"/>
                      <w:spacing w:val="6"/>
                      <w:sz w:val="21"/>
                      <w:szCs w:val="21"/>
                    </w:rPr>
                    <w:t>铲装</w:t>
                  </w:r>
                  <w:r>
                    <w:rPr>
                      <w:rFonts w:hint="eastAsia" w:ascii="Times New Roman" w:hAnsi="Times New Roman" w:eastAsia="宋体" w:cs="Times New Roman"/>
                      <w:b w:val="0"/>
                      <w:color w:val="000000"/>
                      <w:spacing w:val="15"/>
                      <w:sz w:val="21"/>
                      <w:szCs w:val="21"/>
                      <w:vertAlign w:val="baseline"/>
                      <w:lang w:val="en-US" w:eastAsia="zh-CN"/>
                    </w:rPr>
                    <w:t>）</w:t>
                  </w:r>
                </w:p>
              </w:tc>
              <w:tc>
                <w:tcPr>
                  <w:tcW w:w="1272" w:type="dxa"/>
                  <w:noWrap w:val="0"/>
                  <w:vAlign w:val="center"/>
                </w:tcPr>
                <w:p w14:paraId="2597EB66">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z w:val="21"/>
                      <w:szCs w:val="21"/>
                      <w:lang w:val="en-US" w:eastAsia="zh-CN"/>
                    </w:rPr>
                    <w:t>7.2</w:t>
                  </w:r>
                </w:p>
              </w:tc>
              <w:tc>
                <w:tcPr>
                  <w:tcW w:w="1467" w:type="dxa"/>
                  <w:noWrap w:val="0"/>
                  <w:vAlign w:val="center"/>
                </w:tcPr>
                <w:p w14:paraId="28C6F2F1">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z w:val="21"/>
                      <w:szCs w:val="21"/>
                      <w:lang w:val="en-US" w:eastAsia="zh-CN"/>
                    </w:rPr>
                    <w:t>7.2</w:t>
                  </w:r>
                </w:p>
              </w:tc>
              <w:tc>
                <w:tcPr>
                  <w:tcW w:w="1502" w:type="dxa"/>
                  <w:noWrap w:val="0"/>
                  <w:vAlign w:val="center"/>
                </w:tcPr>
                <w:p w14:paraId="50EE1162">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lang w:val="en-US" w:eastAsia="zh-CN"/>
                    </w:rPr>
                  </w:pPr>
                  <w:r>
                    <w:rPr>
                      <w:rFonts w:hint="default" w:ascii="Times New Roman" w:hAnsi="Times New Roman" w:eastAsia="宋体" w:cs="Times New Roman"/>
                      <w:b w:val="0"/>
                      <w:color w:val="000000"/>
                      <w:spacing w:val="15"/>
                      <w:sz w:val="21"/>
                      <w:szCs w:val="21"/>
                      <w:vertAlign w:val="baseline"/>
                      <w:lang w:val="en-US" w:eastAsia="zh-CN"/>
                    </w:rPr>
                    <w:t>0</w:t>
                  </w:r>
                </w:p>
              </w:tc>
              <w:tc>
                <w:tcPr>
                  <w:tcW w:w="1275" w:type="dxa"/>
                  <w:vMerge w:val="restart"/>
                  <w:tcBorders>
                    <w:right w:val="nil"/>
                  </w:tcBorders>
                  <w:noWrap w:val="0"/>
                  <w:vAlign w:val="center"/>
                </w:tcPr>
                <w:p w14:paraId="111781AA">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lang w:val="en-US" w:eastAsia="zh-CN"/>
                    </w:rPr>
                  </w:pPr>
                  <w:r>
                    <w:rPr>
                      <w:rFonts w:hint="default" w:ascii="Times New Roman" w:hAnsi="Times New Roman" w:eastAsia="宋体" w:cs="Times New Roman"/>
                      <w:b w:val="0"/>
                      <w:color w:val="000000"/>
                      <w:spacing w:val="15"/>
                      <w:sz w:val="21"/>
                      <w:szCs w:val="21"/>
                      <w:vertAlign w:val="baseline"/>
                      <w:lang w:val="en-US" w:eastAsia="zh-CN"/>
                    </w:rPr>
                    <w:t>蒸发损耗</w:t>
                  </w:r>
                </w:p>
              </w:tc>
            </w:tr>
            <w:tr w14:paraId="2DB8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97" w:type="dxa"/>
                  <w:tcBorders>
                    <w:left w:val="nil"/>
                  </w:tcBorders>
                  <w:noWrap w:val="0"/>
                  <w:vAlign w:val="center"/>
                </w:tcPr>
                <w:p w14:paraId="0315AADF">
                  <w:pPr>
                    <w:pStyle w:val="45"/>
                    <w:keepNext w:val="0"/>
                    <w:keepLines w:val="0"/>
                    <w:pageBreakBefore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b w:val="0"/>
                      <w:color w:val="000000"/>
                      <w:spacing w:val="15"/>
                      <w:sz w:val="21"/>
                      <w:szCs w:val="21"/>
                      <w:vertAlign w:val="baseline"/>
                      <w:lang w:val="en-US" w:eastAsia="zh-CN"/>
                    </w:rPr>
                  </w:pPr>
                  <w:r>
                    <w:rPr>
                      <w:rFonts w:hint="eastAsia" w:ascii="Times New Roman" w:hAnsi="Times New Roman" w:eastAsia="宋体" w:cs="Times New Roman"/>
                      <w:b w:val="0"/>
                      <w:color w:val="000000"/>
                      <w:spacing w:val="15"/>
                      <w:sz w:val="21"/>
                      <w:szCs w:val="21"/>
                      <w:vertAlign w:val="baseline"/>
                      <w:lang w:val="en-US" w:eastAsia="zh-CN"/>
                    </w:rPr>
                    <w:t>2</w:t>
                  </w:r>
                </w:p>
              </w:tc>
              <w:tc>
                <w:tcPr>
                  <w:tcW w:w="1665" w:type="dxa"/>
                  <w:noWrap w:val="0"/>
                  <w:vAlign w:val="center"/>
                </w:tcPr>
                <w:p w14:paraId="1724BFF6">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8"/>
                      <w:sz w:val="21"/>
                      <w:szCs w:val="21"/>
                    </w:rPr>
                    <w:t>道路降尘用水</w:t>
                  </w:r>
                </w:p>
              </w:tc>
              <w:tc>
                <w:tcPr>
                  <w:tcW w:w="1272" w:type="dxa"/>
                  <w:noWrap w:val="0"/>
                  <w:vAlign w:val="center"/>
                </w:tcPr>
                <w:p w14:paraId="589785CF">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lang w:val="en-US" w:eastAsia="zh-CN"/>
                    </w:rPr>
                  </w:pPr>
                  <w:r>
                    <w:rPr>
                      <w:rFonts w:hint="eastAsia" w:ascii="Times New Roman" w:hAnsi="Times New Roman" w:eastAsia="宋体" w:cs="Times New Roman"/>
                      <w:b w:val="0"/>
                      <w:color w:val="000000"/>
                      <w:spacing w:val="15"/>
                      <w:sz w:val="21"/>
                      <w:szCs w:val="21"/>
                      <w:vertAlign w:val="baseline"/>
                      <w:lang w:val="en-US" w:eastAsia="zh-CN"/>
                    </w:rPr>
                    <w:t>18</w:t>
                  </w:r>
                </w:p>
              </w:tc>
              <w:tc>
                <w:tcPr>
                  <w:tcW w:w="1467" w:type="dxa"/>
                  <w:noWrap w:val="0"/>
                  <w:vAlign w:val="center"/>
                </w:tcPr>
                <w:p w14:paraId="21AB8C8B">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15"/>
                      <w:sz w:val="21"/>
                      <w:szCs w:val="21"/>
                      <w:vertAlign w:val="baseline"/>
                      <w:lang w:val="en-US" w:eastAsia="zh-CN"/>
                    </w:rPr>
                    <w:t>18</w:t>
                  </w:r>
                </w:p>
              </w:tc>
              <w:tc>
                <w:tcPr>
                  <w:tcW w:w="1502" w:type="dxa"/>
                  <w:noWrap w:val="0"/>
                  <w:vAlign w:val="center"/>
                </w:tcPr>
                <w:p w14:paraId="5EC951F9">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lang w:val="en-US" w:eastAsia="zh-CN"/>
                    </w:rPr>
                  </w:pPr>
                  <w:r>
                    <w:rPr>
                      <w:rFonts w:hint="default" w:ascii="Times New Roman" w:hAnsi="Times New Roman" w:eastAsia="宋体" w:cs="Times New Roman"/>
                      <w:b w:val="0"/>
                      <w:color w:val="000000"/>
                      <w:spacing w:val="15"/>
                      <w:sz w:val="21"/>
                      <w:szCs w:val="21"/>
                      <w:vertAlign w:val="baseline"/>
                      <w:lang w:val="en-US" w:eastAsia="zh-CN"/>
                    </w:rPr>
                    <w:t>0</w:t>
                  </w:r>
                </w:p>
              </w:tc>
              <w:tc>
                <w:tcPr>
                  <w:tcW w:w="1275" w:type="dxa"/>
                  <w:vMerge w:val="continue"/>
                  <w:tcBorders>
                    <w:right w:val="nil"/>
                  </w:tcBorders>
                  <w:noWrap w:val="0"/>
                  <w:vAlign w:val="center"/>
                </w:tcPr>
                <w:p w14:paraId="1779283B">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lang w:val="en-US" w:eastAsia="zh-CN"/>
                    </w:rPr>
                  </w:pPr>
                </w:p>
              </w:tc>
            </w:tr>
            <w:tr w14:paraId="7FCD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97" w:type="dxa"/>
                  <w:tcBorders>
                    <w:left w:val="nil"/>
                  </w:tcBorders>
                  <w:noWrap w:val="0"/>
                  <w:vAlign w:val="center"/>
                </w:tcPr>
                <w:p w14:paraId="753935B9">
                  <w:pPr>
                    <w:pStyle w:val="45"/>
                    <w:keepNext w:val="0"/>
                    <w:keepLines w:val="0"/>
                    <w:pageBreakBefore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b w:val="0"/>
                      <w:color w:val="000000"/>
                      <w:spacing w:val="15"/>
                      <w:sz w:val="21"/>
                      <w:szCs w:val="21"/>
                      <w:vertAlign w:val="baseline"/>
                      <w:lang w:val="en-US" w:eastAsia="zh-CN"/>
                    </w:rPr>
                  </w:pPr>
                  <w:r>
                    <w:rPr>
                      <w:rFonts w:hint="eastAsia" w:ascii="Times New Roman" w:hAnsi="Times New Roman" w:eastAsia="宋体" w:cs="Times New Roman"/>
                      <w:b w:val="0"/>
                      <w:color w:val="000000"/>
                      <w:spacing w:val="15"/>
                      <w:sz w:val="21"/>
                      <w:szCs w:val="21"/>
                      <w:vertAlign w:val="baseline"/>
                      <w:lang w:val="en-US" w:eastAsia="zh-CN"/>
                    </w:rPr>
                    <w:t>3</w:t>
                  </w:r>
                </w:p>
              </w:tc>
              <w:tc>
                <w:tcPr>
                  <w:tcW w:w="1665" w:type="dxa"/>
                  <w:noWrap w:val="0"/>
                  <w:vAlign w:val="center"/>
                </w:tcPr>
                <w:p w14:paraId="5872A046">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9"/>
                      <w:sz w:val="21"/>
                      <w:szCs w:val="21"/>
                    </w:rPr>
                    <w:t>排土场及堆</w:t>
                  </w:r>
                  <w:r>
                    <w:rPr>
                      <w:rFonts w:hint="default" w:ascii="Times New Roman" w:hAnsi="Times New Roman" w:eastAsia="宋体" w:cs="Times New Roman"/>
                      <w:b w:val="0"/>
                      <w:color w:val="000000"/>
                      <w:spacing w:val="9"/>
                      <w:sz w:val="21"/>
                      <w:szCs w:val="21"/>
                      <w:lang w:val="en-US" w:eastAsia="zh-CN"/>
                    </w:rPr>
                    <w:t>矿</w:t>
                  </w:r>
                  <w:r>
                    <w:rPr>
                      <w:rFonts w:hint="default" w:ascii="Times New Roman" w:hAnsi="Times New Roman" w:eastAsia="宋体" w:cs="Times New Roman"/>
                      <w:b w:val="0"/>
                      <w:color w:val="000000"/>
                      <w:spacing w:val="9"/>
                      <w:sz w:val="21"/>
                      <w:szCs w:val="21"/>
                    </w:rPr>
                    <w:t>场降尘用水</w:t>
                  </w:r>
                </w:p>
              </w:tc>
              <w:tc>
                <w:tcPr>
                  <w:tcW w:w="1272" w:type="dxa"/>
                  <w:noWrap w:val="0"/>
                  <w:vAlign w:val="center"/>
                </w:tcPr>
                <w:p w14:paraId="724620F4">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7"/>
                      <w:sz w:val="21"/>
                      <w:szCs w:val="21"/>
                    </w:rPr>
                    <w:t>7.5</w:t>
                  </w:r>
                </w:p>
              </w:tc>
              <w:tc>
                <w:tcPr>
                  <w:tcW w:w="1467" w:type="dxa"/>
                  <w:noWrap w:val="0"/>
                  <w:vAlign w:val="center"/>
                </w:tcPr>
                <w:p w14:paraId="490D8353">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7"/>
                      <w:sz w:val="21"/>
                      <w:szCs w:val="21"/>
                    </w:rPr>
                    <w:t>7.5</w:t>
                  </w:r>
                </w:p>
              </w:tc>
              <w:tc>
                <w:tcPr>
                  <w:tcW w:w="1502" w:type="dxa"/>
                  <w:noWrap w:val="0"/>
                  <w:vAlign w:val="center"/>
                </w:tcPr>
                <w:p w14:paraId="040D502C">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lang w:val="en-US" w:eastAsia="zh-CN"/>
                    </w:rPr>
                  </w:pPr>
                  <w:r>
                    <w:rPr>
                      <w:rFonts w:hint="default" w:ascii="Times New Roman" w:hAnsi="Times New Roman" w:eastAsia="宋体" w:cs="Times New Roman"/>
                      <w:b w:val="0"/>
                      <w:color w:val="000000"/>
                      <w:spacing w:val="15"/>
                      <w:sz w:val="21"/>
                      <w:szCs w:val="21"/>
                      <w:vertAlign w:val="baseline"/>
                      <w:lang w:val="en-US" w:eastAsia="zh-CN"/>
                    </w:rPr>
                    <w:t>0</w:t>
                  </w:r>
                </w:p>
              </w:tc>
              <w:tc>
                <w:tcPr>
                  <w:tcW w:w="1275" w:type="dxa"/>
                  <w:vMerge w:val="continue"/>
                  <w:tcBorders>
                    <w:right w:val="nil"/>
                  </w:tcBorders>
                  <w:noWrap w:val="0"/>
                  <w:vAlign w:val="center"/>
                </w:tcPr>
                <w:p w14:paraId="28D9CC8E">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lang w:val="en-US" w:eastAsia="zh-CN"/>
                    </w:rPr>
                  </w:pPr>
                </w:p>
              </w:tc>
            </w:tr>
            <w:tr w14:paraId="4975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97" w:type="dxa"/>
                  <w:tcBorders>
                    <w:left w:val="nil"/>
                  </w:tcBorders>
                  <w:noWrap w:val="0"/>
                  <w:vAlign w:val="center"/>
                </w:tcPr>
                <w:p w14:paraId="2E216E76">
                  <w:pPr>
                    <w:pStyle w:val="45"/>
                    <w:keepNext w:val="0"/>
                    <w:keepLines w:val="0"/>
                    <w:pageBreakBefore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b w:val="0"/>
                      <w:color w:val="000000"/>
                      <w:spacing w:val="15"/>
                      <w:sz w:val="21"/>
                      <w:szCs w:val="21"/>
                      <w:vertAlign w:val="baseline"/>
                      <w:lang w:val="en-US" w:eastAsia="zh-CN"/>
                    </w:rPr>
                  </w:pPr>
                  <w:r>
                    <w:rPr>
                      <w:rFonts w:hint="eastAsia" w:ascii="Times New Roman" w:hAnsi="Times New Roman" w:eastAsia="宋体" w:cs="Times New Roman"/>
                      <w:b w:val="0"/>
                      <w:color w:val="000000"/>
                      <w:spacing w:val="15"/>
                      <w:sz w:val="21"/>
                      <w:szCs w:val="21"/>
                      <w:vertAlign w:val="baseline"/>
                      <w:lang w:val="en-US" w:eastAsia="zh-CN"/>
                    </w:rPr>
                    <w:t>4</w:t>
                  </w:r>
                </w:p>
              </w:tc>
              <w:tc>
                <w:tcPr>
                  <w:tcW w:w="1665" w:type="dxa"/>
                  <w:noWrap w:val="0"/>
                  <w:vAlign w:val="center"/>
                </w:tcPr>
                <w:p w14:paraId="260B6FDB">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7"/>
                      <w:sz w:val="21"/>
                      <w:szCs w:val="21"/>
                    </w:rPr>
                    <w:t>生活用水</w:t>
                  </w:r>
                </w:p>
              </w:tc>
              <w:tc>
                <w:tcPr>
                  <w:tcW w:w="1272" w:type="dxa"/>
                  <w:noWrap w:val="0"/>
                  <w:vAlign w:val="center"/>
                </w:tcPr>
                <w:p w14:paraId="25173AAB">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8"/>
                      <w:sz w:val="21"/>
                      <w:szCs w:val="21"/>
                    </w:rPr>
                    <w:t>0.36</w:t>
                  </w:r>
                </w:p>
              </w:tc>
              <w:tc>
                <w:tcPr>
                  <w:tcW w:w="1467" w:type="dxa"/>
                  <w:noWrap w:val="0"/>
                  <w:vAlign w:val="center"/>
                </w:tcPr>
                <w:p w14:paraId="3B619E5A">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lang w:val="en-US" w:eastAsia="zh-CN"/>
                    </w:rPr>
                  </w:pPr>
                  <w:r>
                    <w:rPr>
                      <w:rFonts w:hint="default" w:ascii="Times New Roman" w:hAnsi="Times New Roman" w:eastAsia="宋体" w:cs="Times New Roman"/>
                      <w:b w:val="0"/>
                      <w:color w:val="000000"/>
                      <w:spacing w:val="15"/>
                      <w:sz w:val="21"/>
                      <w:szCs w:val="21"/>
                      <w:vertAlign w:val="baseline"/>
                      <w:lang w:val="en-US" w:eastAsia="zh-CN"/>
                    </w:rPr>
                    <w:t>0.072</w:t>
                  </w:r>
                </w:p>
              </w:tc>
              <w:tc>
                <w:tcPr>
                  <w:tcW w:w="1502" w:type="dxa"/>
                  <w:noWrap w:val="0"/>
                  <w:vAlign w:val="center"/>
                </w:tcPr>
                <w:p w14:paraId="4C436A60">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9"/>
                      <w:sz w:val="21"/>
                      <w:szCs w:val="21"/>
                    </w:rPr>
                    <w:t>0.288</w:t>
                  </w:r>
                </w:p>
              </w:tc>
              <w:tc>
                <w:tcPr>
                  <w:tcW w:w="1275" w:type="dxa"/>
                  <w:tcBorders>
                    <w:right w:val="nil"/>
                  </w:tcBorders>
                  <w:noWrap w:val="0"/>
                  <w:vAlign w:val="center"/>
                </w:tcPr>
                <w:p w14:paraId="46BBB76E">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pacing w:val="15"/>
                      <w:sz w:val="21"/>
                      <w:szCs w:val="21"/>
                      <w:vertAlign w:val="baseline"/>
                    </w:rPr>
                  </w:pPr>
                  <w:r>
                    <w:rPr>
                      <w:rFonts w:hint="default" w:ascii="Times New Roman" w:hAnsi="Times New Roman" w:eastAsia="宋体" w:cs="Times New Roman"/>
                      <w:b w:val="0"/>
                      <w:color w:val="000000"/>
                      <w:spacing w:val="-2"/>
                      <w:sz w:val="21"/>
                      <w:szCs w:val="21"/>
                    </w:rPr>
                    <w:t>泼洒降尘</w:t>
                  </w:r>
                </w:p>
              </w:tc>
            </w:tr>
            <w:tr w14:paraId="0A64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562" w:type="dxa"/>
                  <w:gridSpan w:val="2"/>
                  <w:tcBorders>
                    <w:left w:val="nil"/>
                    <w:bottom w:val="single" w:color="000000" w:sz="12" w:space="0"/>
                  </w:tcBorders>
                  <w:noWrap w:val="0"/>
                  <w:vAlign w:val="center"/>
                </w:tcPr>
                <w:p w14:paraId="36718A1D">
                  <w:pPr>
                    <w:pStyle w:val="45"/>
                    <w:keepNext w:val="0"/>
                    <w:keepLines w:val="0"/>
                    <w:pageBreakBefore w:val="0"/>
                    <w:kinsoku/>
                    <w:wordWrap/>
                    <w:overflowPunct/>
                    <w:topLinePunct w:val="0"/>
                    <w:autoSpaceDE/>
                    <w:autoSpaceDN/>
                    <w:bidi w:val="0"/>
                    <w:adjustRightInd/>
                    <w:snapToGrid/>
                    <w:spacing w:line="240" w:lineRule="auto"/>
                    <w:ind w:right="0"/>
                    <w:jc w:val="center"/>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总计</w:t>
                  </w:r>
                </w:p>
              </w:tc>
              <w:tc>
                <w:tcPr>
                  <w:tcW w:w="1272" w:type="dxa"/>
                  <w:tcBorders>
                    <w:bottom w:val="single" w:color="000000" w:sz="12" w:space="0"/>
                  </w:tcBorders>
                  <w:noWrap w:val="0"/>
                  <w:vAlign w:val="center"/>
                </w:tcPr>
                <w:p w14:paraId="561DD72F">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33.06</w:t>
                  </w:r>
                </w:p>
              </w:tc>
              <w:tc>
                <w:tcPr>
                  <w:tcW w:w="1467" w:type="dxa"/>
                  <w:tcBorders>
                    <w:bottom w:val="single" w:color="000000" w:sz="12" w:space="0"/>
                  </w:tcBorders>
                  <w:noWrap w:val="0"/>
                  <w:vAlign w:val="center"/>
                </w:tcPr>
                <w:p w14:paraId="76728FC1">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32.772</w:t>
                  </w:r>
                </w:p>
              </w:tc>
              <w:tc>
                <w:tcPr>
                  <w:tcW w:w="1502" w:type="dxa"/>
                  <w:tcBorders>
                    <w:bottom w:val="single" w:color="000000" w:sz="12" w:space="0"/>
                  </w:tcBorders>
                  <w:noWrap w:val="0"/>
                  <w:vAlign w:val="center"/>
                </w:tcPr>
                <w:p w14:paraId="6CC10FE0">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0.288</w:t>
                  </w:r>
                </w:p>
              </w:tc>
              <w:tc>
                <w:tcPr>
                  <w:tcW w:w="1275" w:type="dxa"/>
                  <w:tcBorders>
                    <w:bottom w:val="single" w:color="000000" w:sz="12" w:space="0"/>
                    <w:right w:val="nil"/>
                  </w:tcBorders>
                  <w:noWrap w:val="0"/>
                  <w:vAlign w:val="center"/>
                </w:tcPr>
                <w:p w14:paraId="5EBE9644">
                  <w:pPr>
                    <w:pStyle w:val="45"/>
                    <w:keepNext w:val="0"/>
                    <w:keepLines w:val="0"/>
                    <w:pageBreakBefore w:val="0"/>
                    <w:kinsoku/>
                    <w:wordWrap/>
                    <w:overflowPunct/>
                    <w:topLinePunct w:val="0"/>
                    <w:autoSpaceDE/>
                    <w:autoSpaceDN/>
                    <w:bidi w:val="0"/>
                    <w:adjustRightInd/>
                    <w:snapToGrid/>
                    <w:spacing w:line="240" w:lineRule="auto"/>
                    <w:ind w:right="0"/>
                    <w:jc w:val="center"/>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w:t>
                  </w:r>
                </w:p>
              </w:tc>
            </w:tr>
          </w:tbl>
          <w:p w14:paraId="7217110E">
            <w:pPr>
              <w:pStyle w:val="45"/>
              <w:spacing w:before="338" w:line="196" w:lineRule="auto"/>
              <w:jc w:val="center"/>
              <w:rPr>
                <w:rFonts w:hint="default" w:ascii="Times New Roman" w:hAnsi="Times New Roman" w:eastAsia="宋体" w:cs="Times New Roman"/>
                <w:b/>
                <w:bCs/>
                <w:spacing w:val="3"/>
                <w:sz w:val="24"/>
                <w:szCs w:val="24"/>
              </w:rPr>
            </w:pPr>
            <w:r>
              <w:rPr>
                <w:rFonts w:hint="default" w:cs="Times New Roman"/>
                <w:sz w:val="24"/>
                <w:szCs w:val="24"/>
                <w:lang w:val="en-US" w:eastAsia="zh-CN"/>
              </w:rPr>
              <w:object>
                <v:shape id="_x0000_i1025" o:spt="75" type="#_x0000_t75" style="height:210.35pt;width:309.55pt;" o:ole="t" filled="f" o:preferrelative="t" stroked="f" coordsize="21600,21600">
                  <v:path/>
                  <v:fill on="f" focussize="0,0"/>
                  <v:stroke on="f"/>
                  <v:imagedata r:id="rId8" o:title=""/>
                  <o:lock v:ext="edit" aspectratio="f"/>
                  <w10:wrap type="none"/>
                  <w10:anchorlock/>
                </v:shape>
                <o:OLEObject Type="Embed" ProgID="Visio.Drawing.15" ShapeID="_x0000_i1025" DrawAspect="Content" ObjectID="_1468075725" r:id="rId7">
                  <o:LockedField>false</o:LockedField>
                </o:OLEObject>
              </w:object>
            </w:r>
          </w:p>
          <w:p w14:paraId="391D895A">
            <w:pPr>
              <w:pStyle w:val="45"/>
              <w:spacing w:before="338" w:line="196" w:lineRule="auto"/>
              <w:jc w:val="center"/>
              <w:rPr>
                <w:rFonts w:hint="default" w:ascii="Times New Roman" w:hAnsi="Times New Roman" w:eastAsia="宋体" w:cs="Times New Roman"/>
                <w:sz w:val="21"/>
                <w:szCs w:val="21"/>
              </w:rPr>
            </w:pPr>
            <w:r>
              <w:rPr>
                <w:rFonts w:hint="default" w:ascii="Times New Roman" w:hAnsi="Times New Roman" w:eastAsia="宋体" w:cs="Times New Roman"/>
                <w:b/>
                <w:bCs/>
                <w:spacing w:val="3"/>
                <w:sz w:val="21"/>
                <w:szCs w:val="21"/>
              </w:rPr>
              <w:t>图 2-1</w:t>
            </w:r>
            <w:r>
              <w:rPr>
                <w:rFonts w:hint="default" w:ascii="Times New Roman" w:hAnsi="Times New Roman" w:eastAsia="宋体" w:cs="Times New Roman"/>
                <w:b/>
                <w:bCs/>
                <w:spacing w:val="15"/>
                <w:sz w:val="21"/>
                <w:szCs w:val="21"/>
              </w:rPr>
              <w:t xml:space="preserve">   </w:t>
            </w:r>
            <w:r>
              <w:rPr>
                <w:rFonts w:hint="default" w:ascii="Times New Roman" w:hAnsi="Times New Roman" w:eastAsia="宋体" w:cs="Times New Roman"/>
                <w:b/>
                <w:bCs/>
                <w:spacing w:val="3"/>
                <w:sz w:val="21"/>
                <w:szCs w:val="21"/>
              </w:rPr>
              <w:t>项目水平衡图          单位（m</w:t>
            </w:r>
            <w:r>
              <w:rPr>
                <w:rFonts w:hint="default" w:ascii="Times New Roman" w:hAnsi="Times New Roman" w:eastAsia="宋体" w:cs="Times New Roman"/>
                <w:b/>
                <w:bCs/>
                <w:spacing w:val="3"/>
                <w:sz w:val="21"/>
                <w:szCs w:val="21"/>
                <w:vertAlign w:val="superscript"/>
              </w:rPr>
              <w:t>3</w:t>
            </w:r>
            <w:r>
              <w:rPr>
                <w:rFonts w:hint="default" w:ascii="Times New Roman" w:hAnsi="Times New Roman" w:eastAsia="宋体" w:cs="Times New Roman"/>
                <w:b/>
                <w:bCs/>
                <w:spacing w:val="3"/>
                <w:sz w:val="21"/>
                <w:szCs w:val="21"/>
              </w:rPr>
              <w:t>/</w:t>
            </w:r>
            <w:r>
              <w:rPr>
                <w:rFonts w:hint="default" w:ascii="Times New Roman" w:hAnsi="Times New Roman" w:eastAsia="宋体" w:cs="Times New Roman"/>
                <w:b/>
                <w:bCs/>
                <w:spacing w:val="2"/>
                <w:sz w:val="21"/>
                <w:szCs w:val="21"/>
              </w:rPr>
              <w:t>d）</w:t>
            </w:r>
          </w:p>
          <w:p w14:paraId="38C284B2">
            <w:pPr>
              <w:pStyle w:val="45"/>
              <w:keepNext w:val="0"/>
              <w:keepLines w:val="0"/>
              <w:pageBreakBefore w:val="0"/>
              <w:kinsoku/>
              <w:wordWrap/>
              <w:overflowPunct/>
              <w:topLinePunct w:val="0"/>
              <w:autoSpaceDE/>
              <w:autoSpaceDN/>
              <w:bidi w:val="0"/>
              <w:adjustRightInd/>
              <w:spacing w:line="360" w:lineRule="auto"/>
              <w:ind w:left="0" w:right="0" w:firstLine="53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14"/>
                <w:sz w:val="24"/>
                <w:szCs w:val="24"/>
                <w:lang w:val="en-US" w:eastAsia="zh-CN"/>
              </w:rPr>
              <w:t>10</w:t>
            </w:r>
            <w:r>
              <w:rPr>
                <w:rFonts w:hint="default" w:ascii="Times New Roman" w:hAnsi="Times New Roman" w:eastAsia="宋体" w:cs="Times New Roman"/>
                <w:b/>
                <w:bCs/>
                <w:spacing w:val="14"/>
                <w:sz w:val="24"/>
                <w:szCs w:val="24"/>
              </w:rPr>
              <w:t>.2供电</w:t>
            </w:r>
          </w:p>
          <w:p w14:paraId="4E2C8E22">
            <w:pPr>
              <w:pStyle w:val="45"/>
              <w:keepNext w:val="0"/>
              <w:keepLines w:val="0"/>
              <w:pageBreakBefore w:val="0"/>
              <w:tabs>
                <w:tab w:val="left" w:pos="5473"/>
              </w:tabs>
              <w:kinsoku/>
              <w:wordWrap/>
              <w:overflowPunct/>
              <w:topLinePunct w:val="0"/>
              <w:autoSpaceDE/>
              <w:autoSpaceDN/>
              <w:bidi w:val="0"/>
              <w:adjustRightInd/>
              <w:spacing w:line="360" w:lineRule="auto"/>
              <w:ind w:left="0" w:right="0" w:firstLine="476"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pacing w:val="-1"/>
                <w:sz w:val="24"/>
                <w:szCs w:val="24"/>
              </w:rPr>
              <w:t>引自矿区附近</w:t>
            </w:r>
            <w:r>
              <w:rPr>
                <w:rFonts w:hint="eastAsia" w:ascii="Times New Roman" w:hAnsi="Times New Roman" w:eastAsia="宋体" w:cs="Times New Roman"/>
                <w:spacing w:val="-1"/>
                <w:sz w:val="24"/>
                <w:szCs w:val="24"/>
                <w:lang w:val="en-US" w:eastAsia="zh-CN"/>
              </w:rPr>
              <w:t>板桥镇</w:t>
            </w:r>
            <w:r>
              <w:rPr>
                <w:rFonts w:hint="default" w:ascii="Times New Roman" w:hAnsi="Times New Roman" w:eastAsia="宋体" w:cs="Times New Roman"/>
                <w:spacing w:val="-1"/>
                <w:sz w:val="24"/>
                <w:szCs w:val="24"/>
              </w:rPr>
              <w:t>已有供电设施。</w:t>
            </w:r>
            <w:r>
              <w:rPr>
                <w:rFonts w:hint="eastAsia" w:ascii="Times New Roman" w:hAnsi="Times New Roman" w:eastAsia="宋体" w:cs="Times New Roman"/>
                <w:spacing w:val="-1"/>
                <w:sz w:val="24"/>
                <w:szCs w:val="24"/>
                <w:lang w:eastAsia="zh-CN"/>
              </w:rPr>
              <w:tab/>
            </w:r>
          </w:p>
          <w:p w14:paraId="4D159C44">
            <w:pPr>
              <w:pStyle w:val="45"/>
              <w:keepNext w:val="0"/>
              <w:keepLines w:val="0"/>
              <w:pageBreakBefore w:val="0"/>
              <w:kinsoku/>
              <w:wordWrap/>
              <w:overflowPunct/>
              <w:topLinePunct w:val="0"/>
              <w:autoSpaceDE/>
              <w:autoSpaceDN/>
              <w:bidi w:val="0"/>
              <w:adjustRightInd/>
              <w:spacing w:line="360" w:lineRule="auto"/>
              <w:ind w:left="0" w:right="0" w:firstLine="53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14"/>
                <w:sz w:val="24"/>
                <w:szCs w:val="24"/>
                <w:lang w:val="en-US" w:eastAsia="zh-CN"/>
              </w:rPr>
              <w:t>10.3</w:t>
            </w:r>
            <w:r>
              <w:rPr>
                <w:rFonts w:hint="default" w:ascii="Times New Roman" w:hAnsi="Times New Roman" w:eastAsia="宋体" w:cs="Times New Roman"/>
                <w:b/>
                <w:bCs/>
                <w:spacing w:val="14"/>
                <w:sz w:val="24"/>
                <w:szCs w:val="24"/>
              </w:rPr>
              <w:t>供暖</w:t>
            </w:r>
          </w:p>
          <w:p w14:paraId="75D34330">
            <w:pPr>
              <w:pStyle w:val="45"/>
              <w:keepNext w:val="0"/>
              <w:keepLines w:val="0"/>
              <w:pageBreakBefore w:val="0"/>
              <w:kinsoku/>
              <w:wordWrap/>
              <w:overflowPunct/>
              <w:topLinePunct w:val="0"/>
              <w:autoSpaceDE/>
              <w:autoSpaceDN/>
              <w:bidi w:val="0"/>
              <w:adjustRightInd/>
              <w:spacing w:line="360" w:lineRule="auto"/>
              <w:ind w:left="0" w:right="0" w:firstLine="476"/>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项目冬季不生产，办公生活区采用电暖。</w:t>
            </w:r>
          </w:p>
          <w:p w14:paraId="062237D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sz w:val="24"/>
                <w:szCs w:val="24"/>
                <w:lang w:val="en-US" w:eastAsia="zh-CN"/>
              </w:rPr>
            </w:pPr>
            <w:r>
              <w:rPr>
                <w:rFonts w:hint="eastAsia"/>
                <w:b/>
                <w:bCs/>
                <w:sz w:val="24"/>
                <w:szCs w:val="24"/>
                <w:lang w:val="en-US" w:eastAsia="zh-CN"/>
              </w:rPr>
              <w:t>10.4土石方平衡</w:t>
            </w:r>
          </w:p>
          <w:p w14:paraId="2A2072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eastAsia"/>
                <w:b w:val="0"/>
                <w:bCs w:val="0"/>
                <w:sz w:val="24"/>
                <w:szCs w:val="24"/>
                <w:lang w:val="en-US" w:eastAsia="zh-CN"/>
              </w:rPr>
              <w:t>土</w:t>
            </w:r>
            <w:r>
              <w:rPr>
                <w:rFonts w:hint="default" w:ascii="Times New Roman" w:hAnsi="Times New Roman" w:eastAsia="宋体" w:cs="Times New Roman"/>
                <w:b w:val="0"/>
                <w:bCs w:val="0"/>
                <w:sz w:val="24"/>
                <w:szCs w:val="24"/>
                <w:lang w:val="en-US" w:eastAsia="zh-CN"/>
              </w:rPr>
              <w:t>石方工程主要包括采剥作业、排水沟开挖、</w:t>
            </w:r>
            <w:r>
              <w:rPr>
                <w:rFonts w:hint="eastAsia" w:cs="Times New Roman"/>
                <w:b w:val="0"/>
                <w:bCs w:val="0"/>
                <w:sz w:val="24"/>
                <w:szCs w:val="24"/>
                <w:lang w:val="en-US" w:eastAsia="zh-CN"/>
              </w:rPr>
              <w:t>矿</w:t>
            </w:r>
            <w:r>
              <w:rPr>
                <w:rFonts w:hint="default" w:ascii="Times New Roman" w:hAnsi="Times New Roman" w:eastAsia="宋体" w:cs="Times New Roman"/>
                <w:b w:val="0"/>
                <w:bCs w:val="0"/>
                <w:sz w:val="24"/>
                <w:szCs w:val="24"/>
                <w:lang w:val="en-US" w:eastAsia="zh-CN"/>
              </w:rPr>
              <w:t>区道路扩宽，根据项目</w:t>
            </w:r>
            <w:r>
              <w:rPr>
                <w:rFonts w:hint="eastAsia" w:cs="Times New Roman"/>
                <w:b w:val="0"/>
                <w:bCs w:val="0"/>
                <w:sz w:val="24"/>
                <w:szCs w:val="24"/>
                <w:lang w:val="en-US" w:eastAsia="zh-CN"/>
              </w:rPr>
              <w:t>资源</w:t>
            </w:r>
            <w:r>
              <w:rPr>
                <w:rFonts w:hint="default" w:ascii="Times New Roman" w:hAnsi="Times New Roman" w:eastAsia="宋体" w:cs="Times New Roman"/>
                <w:b w:val="0"/>
                <w:bCs w:val="0"/>
                <w:sz w:val="24"/>
                <w:szCs w:val="24"/>
                <w:lang w:val="en-US" w:eastAsia="zh-CN"/>
              </w:rPr>
              <w:t>开发利用方案</w:t>
            </w:r>
            <w:r>
              <w:rPr>
                <w:rFonts w:hint="eastAsia" w:cs="Times New Roman"/>
                <w:b w:val="0"/>
                <w:bCs w:val="0"/>
                <w:sz w:val="24"/>
                <w:szCs w:val="24"/>
                <w:lang w:val="en-US" w:eastAsia="zh-CN"/>
              </w:rPr>
              <w:t>，1#采区开采结束后会形成总降深约50m的露天采坑，2#采区开采时可作为内部排土场使用，内部排土场可容纳159万</w:t>
            </w:r>
            <w:r>
              <w:rPr>
                <w:rFonts w:hint="default" w:ascii="Times New Roman" w:hAnsi="Times New Roman" w:eastAsia="宋体" w:cs="Times New Roman"/>
                <w:b w:val="0"/>
                <w:bCs w:val="0"/>
                <w:sz w:val="24"/>
                <w:szCs w:val="24"/>
                <w:lang w:val="en-US" w:eastAsia="zh-CN"/>
              </w:rPr>
              <w:t>m³，</w:t>
            </w:r>
            <w:r>
              <w:rPr>
                <w:rFonts w:hint="eastAsia" w:ascii="Times New Roman" w:hAnsi="Times New Roman" w:eastAsia="宋体" w:cs="Times New Roman"/>
                <w:b w:val="0"/>
                <w:bCs w:val="0"/>
                <w:sz w:val="24"/>
                <w:szCs w:val="24"/>
                <w:lang w:val="en-US" w:eastAsia="zh-CN"/>
              </w:rPr>
              <w:t>露天采场总剥离物</w:t>
            </w:r>
            <w:r>
              <w:rPr>
                <w:rFonts w:hint="default" w:ascii="Times New Roman" w:hAnsi="Times New Roman" w:eastAsia="宋体" w:cs="Times New Roman"/>
                <w:spacing w:val="0"/>
                <w:position w:val="0"/>
                <w:sz w:val="24"/>
                <w:szCs w:val="24"/>
                <w:lang w:val="en-US" w:eastAsia="zh-CN"/>
              </w:rPr>
              <w:t>405.97万m³</w:t>
            </w:r>
            <w:r>
              <w:rPr>
                <w:rFonts w:hint="eastAsia" w:ascii="Times New Roman" w:hAnsi="Times New Roman" w:eastAsia="宋体" w:cs="Times New Roman"/>
                <w:spacing w:val="0"/>
                <w:position w:val="0"/>
                <w:sz w:val="24"/>
                <w:szCs w:val="24"/>
                <w:lang w:val="en-US" w:eastAsia="zh-CN"/>
              </w:rPr>
              <w:t>，其中</w:t>
            </w:r>
            <w:r>
              <w:rPr>
                <w:rFonts w:hint="default" w:ascii="Times New Roman" w:hAnsi="Times New Roman" w:eastAsia="宋体" w:cs="Times New Roman"/>
                <w:spacing w:val="0"/>
                <w:position w:val="0"/>
                <w:sz w:val="24"/>
                <w:szCs w:val="24"/>
                <w:lang w:val="en-US" w:eastAsia="zh-CN"/>
              </w:rPr>
              <w:t>1#采区剥离量92.53万m³、</w:t>
            </w:r>
            <w:r>
              <w:rPr>
                <w:rFonts w:hint="eastAsia" w:ascii="Times New Roman" w:hAnsi="Times New Roman" w:eastAsia="宋体" w:cs="Times New Roman"/>
                <w:spacing w:val="0"/>
                <w:position w:val="0"/>
                <w:sz w:val="24"/>
                <w:szCs w:val="24"/>
                <w:lang w:val="en-US" w:eastAsia="zh-CN"/>
              </w:rPr>
              <w:t>全部暂存至排土场；</w:t>
            </w:r>
            <w:r>
              <w:rPr>
                <w:rFonts w:hint="default" w:ascii="Times New Roman" w:hAnsi="Times New Roman" w:eastAsia="宋体" w:cs="Times New Roman"/>
                <w:spacing w:val="0"/>
                <w:position w:val="0"/>
                <w:sz w:val="24"/>
                <w:szCs w:val="24"/>
                <w:lang w:val="en-US" w:eastAsia="zh-CN"/>
              </w:rPr>
              <w:t>2#采区剥离量313.44万m³</w:t>
            </w:r>
            <w:r>
              <w:rPr>
                <w:rFonts w:hint="eastAsia" w:ascii="Times New Roman" w:hAnsi="Times New Roman" w:eastAsia="宋体" w:cs="Times New Roman"/>
                <w:spacing w:val="0"/>
                <w:position w:val="0"/>
                <w:sz w:val="24"/>
                <w:szCs w:val="24"/>
                <w:lang w:val="en-US" w:eastAsia="zh-CN"/>
              </w:rPr>
              <w:t>，部分用于</w:t>
            </w:r>
            <w:r>
              <w:rPr>
                <w:rFonts w:hint="default" w:ascii="Times New Roman" w:hAnsi="Times New Roman" w:eastAsia="宋体" w:cs="Times New Roman"/>
                <w:spacing w:val="0"/>
                <w:position w:val="0"/>
                <w:sz w:val="24"/>
                <w:szCs w:val="24"/>
                <w:lang w:val="en-US" w:eastAsia="zh-CN"/>
              </w:rPr>
              <w:t>1#采区</w:t>
            </w:r>
            <w:r>
              <w:rPr>
                <w:rFonts w:hint="eastAsia" w:ascii="Times New Roman" w:hAnsi="Times New Roman" w:eastAsia="宋体" w:cs="Times New Roman"/>
                <w:spacing w:val="0"/>
                <w:position w:val="0"/>
                <w:sz w:val="24"/>
                <w:szCs w:val="24"/>
                <w:lang w:val="en-US" w:eastAsia="zh-CN"/>
              </w:rPr>
              <w:t>采坑回填，部分用于本采场内部回填，还有部分用于以前零星开采得</w:t>
            </w:r>
            <w:r>
              <w:rPr>
                <w:rFonts w:hint="default" w:ascii="Times New Roman" w:hAnsi="Times New Roman" w:eastAsia="宋体" w:cs="Times New Roman"/>
                <w:kern w:val="0"/>
                <w:sz w:val="24"/>
                <w:szCs w:val="24"/>
                <w:lang w:val="en-US" w:eastAsia="zh-CN"/>
              </w:rPr>
              <w:t>1#、2#</w:t>
            </w:r>
            <w:r>
              <w:rPr>
                <w:rFonts w:hint="eastAsia" w:ascii="Times New Roman" w:hAnsi="Times New Roman" w:eastAsia="宋体" w:cs="Times New Roman"/>
                <w:spacing w:val="0"/>
                <w:position w:val="0"/>
                <w:sz w:val="24"/>
                <w:szCs w:val="24"/>
                <w:lang w:val="en-US" w:eastAsia="zh-CN"/>
              </w:rPr>
              <w:t>采坑</w:t>
            </w:r>
            <w:r>
              <w:rPr>
                <w:rFonts w:hint="eastAsia" w:ascii="Times New Roman" w:hAnsi="Times New Roman" w:eastAsia="宋体" w:cs="Times New Roman"/>
                <w:kern w:val="0"/>
                <w:sz w:val="24"/>
                <w:szCs w:val="24"/>
                <w:lang w:val="en-US" w:eastAsia="zh-CN"/>
              </w:rPr>
              <w:t>局部回填。</w:t>
            </w:r>
          </w:p>
          <w:p w14:paraId="69FE7D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本次设计首采工作线长度300m，应完成的采准工程量为前期工程的剥离量1.5万m³，矿区内运输道路修整工程量为1000m³，合计土石方工程量1.6万m³。本项目土石方平衡见下表。</w:t>
            </w:r>
          </w:p>
          <w:p w14:paraId="2294BEAD">
            <w:pPr>
              <w:pStyle w:val="8"/>
              <w:rPr>
                <w:rFonts w:hint="eastAsia" w:eastAsia="宋体"/>
                <w:sz w:val="21"/>
                <w:szCs w:val="21"/>
                <w:lang w:eastAsia="zh-CN"/>
              </w:rPr>
            </w:pPr>
            <w:r>
              <w:rPr>
                <w:sz w:val="21"/>
                <w:szCs w:val="21"/>
              </w:rPr>
              <w:t xml:space="preserve">表2- </w:t>
            </w:r>
            <w:r>
              <w:rPr>
                <w:sz w:val="21"/>
                <w:szCs w:val="21"/>
              </w:rPr>
              <w:fldChar w:fldCharType="begin"/>
            </w:r>
            <w:r>
              <w:rPr>
                <w:sz w:val="21"/>
                <w:szCs w:val="21"/>
              </w:rPr>
              <w:instrText xml:space="preserve"> SEQ 表2- \* ARABIC </w:instrText>
            </w:r>
            <w:r>
              <w:rPr>
                <w:sz w:val="21"/>
                <w:szCs w:val="21"/>
              </w:rPr>
              <w:fldChar w:fldCharType="separate"/>
            </w:r>
            <w:r>
              <w:rPr>
                <w:sz w:val="21"/>
                <w:szCs w:val="21"/>
              </w:rPr>
              <w:t>10</w:t>
            </w:r>
            <w:r>
              <w:rPr>
                <w:sz w:val="21"/>
                <w:szCs w:val="21"/>
              </w:rPr>
              <w:fldChar w:fldCharType="end"/>
            </w:r>
            <w:r>
              <w:rPr>
                <w:rFonts w:hint="eastAsia"/>
                <w:sz w:val="21"/>
                <w:szCs w:val="21"/>
                <w:lang w:eastAsia="zh-CN"/>
              </w:rPr>
              <w:t xml:space="preserve"> 土石方平衡表</w:t>
            </w:r>
          </w:p>
          <w:tbl>
            <w:tblPr>
              <w:tblStyle w:val="24"/>
              <w:tblW w:w="803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26"/>
              <w:gridCol w:w="487"/>
              <w:gridCol w:w="675"/>
              <w:gridCol w:w="876"/>
              <w:gridCol w:w="791"/>
              <w:gridCol w:w="695"/>
              <w:gridCol w:w="608"/>
              <w:gridCol w:w="1048"/>
              <w:gridCol w:w="1101"/>
              <w:gridCol w:w="1229"/>
            </w:tblGrid>
            <w:tr w14:paraId="605AD7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1" w:hRule="atLeast"/>
              </w:trPr>
              <w:tc>
                <w:tcPr>
                  <w:tcW w:w="526" w:type="dxa"/>
                  <w:vMerge w:val="restart"/>
                  <w:tcBorders>
                    <w:top w:val="single" w:color="000000" w:sz="12" w:space="0"/>
                    <w:tl2br w:val="nil"/>
                  </w:tcBorders>
                  <w:shd w:val="clear" w:color="auto" w:fill="FFFFFF"/>
                  <w:vAlign w:val="center"/>
                </w:tcPr>
                <w:p w14:paraId="4AA03F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区域</w:t>
                  </w:r>
                </w:p>
              </w:tc>
              <w:tc>
                <w:tcPr>
                  <w:tcW w:w="1162" w:type="dxa"/>
                  <w:gridSpan w:val="2"/>
                  <w:vMerge w:val="restart"/>
                  <w:tcBorders>
                    <w:top w:val="single" w:color="000000" w:sz="12" w:space="0"/>
                  </w:tcBorders>
                  <w:shd w:val="clear" w:color="auto" w:fill="FFFFFF"/>
                  <w:vAlign w:val="center"/>
                </w:tcPr>
                <w:p w14:paraId="12DBB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工程项目</w:t>
                  </w:r>
                </w:p>
              </w:tc>
              <w:tc>
                <w:tcPr>
                  <w:tcW w:w="876" w:type="dxa"/>
                  <w:vMerge w:val="restart"/>
                  <w:tcBorders>
                    <w:top w:val="single" w:color="000000" w:sz="12" w:space="0"/>
                  </w:tcBorders>
                  <w:shd w:val="clear" w:color="auto" w:fill="FFFFFF"/>
                  <w:vAlign w:val="center"/>
                </w:tcPr>
                <w:p w14:paraId="11073A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挖方</w:t>
                  </w:r>
                </w:p>
              </w:tc>
              <w:tc>
                <w:tcPr>
                  <w:tcW w:w="791" w:type="dxa"/>
                  <w:vMerge w:val="restart"/>
                  <w:tcBorders>
                    <w:top w:val="single" w:color="000000" w:sz="12" w:space="0"/>
                  </w:tcBorders>
                  <w:shd w:val="clear" w:color="auto" w:fill="FFFFFF"/>
                  <w:vAlign w:val="center"/>
                </w:tcPr>
                <w:p w14:paraId="4B25C1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填方</w:t>
                  </w:r>
                </w:p>
              </w:tc>
              <w:tc>
                <w:tcPr>
                  <w:tcW w:w="1303" w:type="dxa"/>
                  <w:gridSpan w:val="2"/>
                  <w:tcBorders>
                    <w:top w:val="single" w:color="000000" w:sz="12" w:space="0"/>
                  </w:tcBorders>
                  <w:shd w:val="clear" w:color="auto" w:fill="FFFFFF"/>
                  <w:vAlign w:val="center"/>
                </w:tcPr>
                <w:p w14:paraId="26C19A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调入</w:t>
                  </w:r>
                </w:p>
              </w:tc>
              <w:tc>
                <w:tcPr>
                  <w:tcW w:w="2149" w:type="dxa"/>
                  <w:gridSpan w:val="2"/>
                  <w:tcBorders>
                    <w:top w:val="single" w:color="000000" w:sz="12" w:space="0"/>
                  </w:tcBorders>
                  <w:shd w:val="clear" w:color="auto" w:fill="FFFFFF"/>
                  <w:vAlign w:val="center"/>
                </w:tcPr>
                <w:p w14:paraId="28569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调出</w:t>
                  </w:r>
                </w:p>
              </w:tc>
              <w:tc>
                <w:tcPr>
                  <w:tcW w:w="1229" w:type="dxa"/>
                  <w:vMerge w:val="restart"/>
                  <w:tcBorders>
                    <w:top w:val="single" w:color="000000" w:sz="12" w:space="0"/>
                  </w:tcBorders>
                  <w:shd w:val="clear" w:color="auto" w:fill="FFFFFF"/>
                  <w:vAlign w:val="center"/>
                </w:tcPr>
                <w:p w14:paraId="24038B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备注</w:t>
                  </w:r>
                </w:p>
              </w:tc>
            </w:tr>
            <w:tr w14:paraId="7B03CA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2" w:hRule="atLeast"/>
              </w:trPr>
              <w:tc>
                <w:tcPr>
                  <w:tcW w:w="526" w:type="dxa"/>
                  <w:vMerge w:val="continue"/>
                  <w:tcBorders>
                    <w:tl2br w:val="nil"/>
                  </w:tcBorders>
                  <w:shd w:val="clear" w:color="auto" w:fill="FFFFFF"/>
                  <w:vAlign w:val="center"/>
                </w:tcPr>
                <w:p w14:paraId="458DC9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1162" w:type="dxa"/>
                  <w:gridSpan w:val="2"/>
                  <w:vMerge w:val="continue"/>
                  <w:shd w:val="clear" w:color="auto" w:fill="FFFFFF"/>
                  <w:vAlign w:val="center"/>
                </w:tcPr>
                <w:p w14:paraId="7499B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876" w:type="dxa"/>
                  <w:vMerge w:val="continue"/>
                  <w:shd w:val="clear" w:color="auto" w:fill="FFFFFF"/>
                  <w:vAlign w:val="center"/>
                </w:tcPr>
                <w:p w14:paraId="28392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791" w:type="dxa"/>
                  <w:vMerge w:val="continue"/>
                  <w:shd w:val="clear" w:color="auto" w:fill="FFFFFF"/>
                  <w:vAlign w:val="center"/>
                </w:tcPr>
                <w:p w14:paraId="11C767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695" w:type="dxa"/>
                  <w:shd w:val="clear" w:color="auto" w:fill="FFFFFF"/>
                  <w:vAlign w:val="center"/>
                </w:tcPr>
                <w:p w14:paraId="042225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r>
                    <w:rPr>
                      <w:rFonts w:hint="default" w:ascii="Times New Roman" w:hAnsi="Times New Roman" w:eastAsia="宋体" w:cs="Times New Roman"/>
                      <w:b w:val="0"/>
                      <w:bCs w:val="0"/>
                      <w:color w:val="000000"/>
                      <w:sz w:val="21"/>
                      <w:szCs w:val="21"/>
                      <w:vertAlign w:val="superscript"/>
                      <w:lang w:val="en-US" w:eastAsia="zh-CN"/>
                    </w:rPr>
                    <w:t>3</w:t>
                  </w:r>
                </w:p>
              </w:tc>
              <w:tc>
                <w:tcPr>
                  <w:tcW w:w="608" w:type="dxa"/>
                  <w:shd w:val="clear" w:color="auto" w:fill="FFFFFF"/>
                  <w:vAlign w:val="center"/>
                </w:tcPr>
                <w:p w14:paraId="7C840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来源</w:t>
                  </w:r>
                </w:p>
              </w:tc>
              <w:tc>
                <w:tcPr>
                  <w:tcW w:w="1048" w:type="dxa"/>
                  <w:shd w:val="clear" w:color="auto" w:fill="FFFFFF"/>
                  <w:vAlign w:val="center"/>
                </w:tcPr>
                <w:p w14:paraId="56AA47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m</w:t>
                  </w:r>
                  <w:r>
                    <w:rPr>
                      <w:rFonts w:hint="default" w:ascii="Times New Roman" w:hAnsi="Times New Roman" w:eastAsia="宋体" w:cs="Times New Roman"/>
                      <w:b w:val="0"/>
                      <w:bCs w:val="0"/>
                      <w:color w:val="000000"/>
                      <w:sz w:val="21"/>
                      <w:szCs w:val="21"/>
                      <w:vertAlign w:val="superscript"/>
                      <w:lang w:val="en-US" w:eastAsia="zh-CN"/>
                    </w:rPr>
                    <w:t>3</w:t>
                  </w:r>
                </w:p>
              </w:tc>
              <w:tc>
                <w:tcPr>
                  <w:tcW w:w="1101" w:type="dxa"/>
                  <w:shd w:val="clear" w:color="auto" w:fill="FFFFFF"/>
                  <w:vAlign w:val="center"/>
                </w:tcPr>
                <w:p w14:paraId="2E539C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去向</w:t>
                  </w:r>
                </w:p>
              </w:tc>
              <w:tc>
                <w:tcPr>
                  <w:tcW w:w="1229" w:type="dxa"/>
                  <w:vMerge w:val="continue"/>
                  <w:shd w:val="clear" w:color="auto" w:fill="FFFFFF"/>
                  <w:vAlign w:val="center"/>
                </w:tcPr>
                <w:p w14:paraId="0AAC1A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p>
              </w:tc>
            </w:tr>
            <w:tr w14:paraId="578537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trPr>
              <w:tc>
                <w:tcPr>
                  <w:tcW w:w="526" w:type="dxa"/>
                  <w:vMerge w:val="restart"/>
                  <w:shd w:val="clear" w:color="auto" w:fill="FFFFFF"/>
                  <w:vAlign w:val="center"/>
                </w:tcPr>
                <w:p w14:paraId="6EC84D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1</w:t>
                  </w:r>
                </w:p>
              </w:tc>
              <w:tc>
                <w:tcPr>
                  <w:tcW w:w="487" w:type="dxa"/>
                  <w:vMerge w:val="restart"/>
                  <w:shd w:val="clear" w:color="auto" w:fill="FFFFFF"/>
                  <w:vAlign w:val="center"/>
                </w:tcPr>
                <w:p w14:paraId="26DC21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露天采场</w:t>
                  </w:r>
                </w:p>
              </w:tc>
              <w:tc>
                <w:tcPr>
                  <w:tcW w:w="675" w:type="dxa"/>
                  <w:shd w:val="clear" w:color="auto" w:fill="FFFFFF"/>
                  <w:vAlign w:val="center"/>
                </w:tcPr>
                <w:p w14:paraId="4CD3EC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1#采区</w:t>
                  </w:r>
                </w:p>
              </w:tc>
              <w:tc>
                <w:tcPr>
                  <w:tcW w:w="876" w:type="dxa"/>
                  <w:shd w:val="clear" w:color="auto" w:fill="FFFFFF"/>
                  <w:vAlign w:val="center"/>
                </w:tcPr>
                <w:p w14:paraId="74D491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92.53万</w:t>
                  </w:r>
                </w:p>
              </w:tc>
              <w:tc>
                <w:tcPr>
                  <w:tcW w:w="791" w:type="dxa"/>
                  <w:shd w:val="clear" w:color="auto" w:fill="FFFFFF"/>
                  <w:vAlign w:val="center"/>
                </w:tcPr>
                <w:p w14:paraId="0F8721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pacing w:val="0"/>
                      <w:position w:val="0"/>
                      <w:sz w:val="21"/>
                      <w:szCs w:val="21"/>
                      <w:lang w:val="en-US" w:eastAsia="zh-CN"/>
                    </w:rPr>
                  </w:pPr>
                  <w:r>
                    <w:rPr>
                      <w:rFonts w:hint="default" w:ascii="Times New Roman" w:hAnsi="Times New Roman" w:eastAsia="宋体" w:cs="Times New Roman"/>
                      <w:b w:val="0"/>
                      <w:color w:val="000000"/>
                      <w:spacing w:val="0"/>
                      <w:position w:val="0"/>
                      <w:sz w:val="21"/>
                      <w:szCs w:val="21"/>
                      <w:lang w:val="en-US" w:eastAsia="zh-CN"/>
                    </w:rPr>
                    <w:t>0</w:t>
                  </w:r>
                </w:p>
              </w:tc>
              <w:tc>
                <w:tcPr>
                  <w:tcW w:w="695" w:type="dxa"/>
                  <w:shd w:val="clear" w:color="auto" w:fill="FFFFFF"/>
                  <w:vAlign w:val="center"/>
                </w:tcPr>
                <w:p w14:paraId="0BB8D2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pacing w:val="0"/>
                      <w:position w:val="0"/>
                      <w:sz w:val="21"/>
                      <w:szCs w:val="21"/>
                      <w:lang w:val="en-US" w:eastAsia="zh-CN"/>
                    </w:rPr>
                  </w:pPr>
                  <w:r>
                    <w:rPr>
                      <w:rFonts w:hint="default" w:ascii="Times New Roman" w:hAnsi="Times New Roman" w:eastAsia="宋体" w:cs="Times New Roman"/>
                      <w:b w:val="0"/>
                      <w:color w:val="000000"/>
                      <w:spacing w:val="0"/>
                      <w:position w:val="0"/>
                      <w:sz w:val="21"/>
                      <w:szCs w:val="21"/>
                      <w:lang w:val="en-US" w:eastAsia="zh-CN"/>
                    </w:rPr>
                    <w:t>0</w:t>
                  </w:r>
                </w:p>
              </w:tc>
              <w:tc>
                <w:tcPr>
                  <w:tcW w:w="608" w:type="dxa"/>
                  <w:shd w:val="clear" w:color="auto" w:fill="FFFFFF"/>
                  <w:vAlign w:val="center"/>
                </w:tcPr>
                <w:p w14:paraId="2F1837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pacing w:val="0"/>
                      <w:position w:val="0"/>
                      <w:sz w:val="21"/>
                      <w:szCs w:val="21"/>
                      <w:lang w:val="en-US" w:eastAsia="zh-CN"/>
                    </w:rPr>
                  </w:pPr>
                  <w:r>
                    <w:rPr>
                      <w:rFonts w:hint="default" w:ascii="Times New Roman" w:hAnsi="Times New Roman" w:eastAsia="宋体" w:cs="Times New Roman"/>
                      <w:b w:val="0"/>
                      <w:color w:val="000000"/>
                      <w:spacing w:val="0"/>
                      <w:position w:val="0"/>
                      <w:sz w:val="21"/>
                      <w:szCs w:val="21"/>
                      <w:lang w:val="en-US" w:eastAsia="zh-CN"/>
                    </w:rPr>
                    <w:t>/</w:t>
                  </w:r>
                </w:p>
              </w:tc>
              <w:tc>
                <w:tcPr>
                  <w:tcW w:w="1048" w:type="dxa"/>
                  <w:shd w:val="clear" w:color="auto" w:fill="FFFFFF"/>
                  <w:vAlign w:val="center"/>
                </w:tcPr>
                <w:p w14:paraId="41B0EB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92.53万</w:t>
                  </w:r>
                </w:p>
              </w:tc>
              <w:tc>
                <w:tcPr>
                  <w:tcW w:w="1101" w:type="dxa"/>
                  <w:shd w:val="clear" w:color="auto" w:fill="FFFFFF"/>
                  <w:vAlign w:val="center"/>
                </w:tcPr>
                <w:p w14:paraId="60A7F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排土场</w:t>
                  </w:r>
                </w:p>
              </w:tc>
              <w:tc>
                <w:tcPr>
                  <w:tcW w:w="1229" w:type="dxa"/>
                  <w:shd w:val="clear" w:color="auto" w:fill="FFFFFF"/>
                  <w:vAlign w:val="center"/>
                </w:tcPr>
                <w:p w14:paraId="1349C9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w:t>
                  </w:r>
                </w:p>
              </w:tc>
            </w:tr>
            <w:tr w14:paraId="5A02EB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4" w:hRule="atLeast"/>
              </w:trPr>
              <w:tc>
                <w:tcPr>
                  <w:tcW w:w="526" w:type="dxa"/>
                  <w:vMerge w:val="continue"/>
                  <w:shd w:val="clear" w:color="auto" w:fill="FFFFFF"/>
                  <w:vAlign w:val="center"/>
                </w:tcPr>
                <w:p w14:paraId="2570BF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487" w:type="dxa"/>
                  <w:vMerge w:val="continue"/>
                  <w:shd w:val="clear" w:color="auto" w:fill="FFFFFF"/>
                  <w:vAlign w:val="center"/>
                </w:tcPr>
                <w:p w14:paraId="530CC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675" w:type="dxa"/>
                  <w:shd w:val="clear" w:color="auto" w:fill="FFFFFF"/>
                  <w:vAlign w:val="center"/>
                </w:tcPr>
                <w:p w14:paraId="3C981C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2#采区</w:t>
                  </w:r>
                </w:p>
              </w:tc>
              <w:tc>
                <w:tcPr>
                  <w:tcW w:w="876" w:type="dxa"/>
                  <w:shd w:val="clear" w:color="auto" w:fill="FFFFFF"/>
                  <w:vAlign w:val="center"/>
                </w:tcPr>
                <w:p w14:paraId="555A52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313.44万</w:t>
                  </w:r>
                </w:p>
              </w:tc>
              <w:tc>
                <w:tcPr>
                  <w:tcW w:w="791" w:type="dxa"/>
                  <w:shd w:val="clear" w:color="auto" w:fill="FFFFFF"/>
                  <w:vAlign w:val="center"/>
                </w:tcPr>
                <w:p w14:paraId="73B427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pacing w:val="0"/>
                      <w:position w:val="0"/>
                      <w:sz w:val="21"/>
                      <w:szCs w:val="21"/>
                      <w:lang w:val="en-US" w:eastAsia="zh-CN"/>
                    </w:rPr>
                  </w:pPr>
                  <w:r>
                    <w:rPr>
                      <w:rFonts w:hint="default" w:ascii="Times New Roman" w:hAnsi="Times New Roman" w:eastAsia="宋体" w:cs="Times New Roman"/>
                      <w:b w:val="0"/>
                      <w:bCs w:val="0"/>
                      <w:color w:val="000000"/>
                      <w:sz w:val="21"/>
                      <w:szCs w:val="21"/>
                      <w:lang w:val="en-US" w:eastAsia="zh-CN"/>
                    </w:rPr>
                    <w:t>132万</w:t>
                  </w:r>
                </w:p>
              </w:tc>
              <w:tc>
                <w:tcPr>
                  <w:tcW w:w="695" w:type="dxa"/>
                  <w:shd w:val="clear" w:color="auto" w:fill="FFFFFF"/>
                  <w:vAlign w:val="center"/>
                </w:tcPr>
                <w:p w14:paraId="62A637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pacing w:val="0"/>
                      <w:position w:val="0"/>
                      <w:sz w:val="21"/>
                      <w:szCs w:val="21"/>
                      <w:lang w:val="en-US" w:eastAsia="zh-CN"/>
                    </w:rPr>
                  </w:pPr>
                  <w:r>
                    <w:rPr>
                      <w:rFonts w:hint="default" w:ascii="Times New Roman" w:hAnsi="Times New Roman" w:eastAsia="宋体" w:cs="Times New Roman"/>
                      <w:b w:val="0"/>
                      <w:color w:val="000000"/>
                      <w:spacing w:val="0"/>
                      <w:position w:val="0"/>
                      <w:sz w:val="21"/>
                      <w:szCs w:val="21"/>
                      <w:lang w:val="en-US" w:eastAsia="zh-CN"/>
                    </w:rPr>
                    <w:t>0</w:t>
                  </w:r>
                </w:p>
              </w:tc>
              <w:tc>
                <w:tcPr>
                  <w:tcW w:w="608" w:type="dxa"/>
                  <w:shd w:val="clear" w:color="auto" w:fill="FFFFFF"/>
                  <w:vAlign w:val="center"/>
                </w:tcPr>
                <w:p w14:paraId="65F586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pacing w:val="0"/>
                      <w:position w:val="0"/>
                      <w:sz w:val="21"/>
                      <w:szCs w:val="21"/>
                      <w:lang w:val="en-US" w:eastAsia="zh-CN"/>
                    </w:rPr>
                  </w:pPr>
                  <w:r>
                    <w:rPr>
                      <w:rFonts w:hint="default" w:ascii="Times New Roman" w:hAnsi="Times New Roman" w:eastAsia="宋体" w:cs="Times New Roman"/>
                      <w:b w:val="0"/>
                      <w:color w:val="000000"/>
                      <w:spacing w:val="0"/>
                      <w:position w:val="0"/>
                      <w:sz w:val="21"/>
                      <w:szCs w:val="21"/>
                      <w:lang w:val="en-US" w:eastAsia="zh-CN"/>
                    </w:rPr>
                    <w:t>/</w:t>
                  </w:r>
                </w:p>
              </w:tc>
              <w:tc>
                <w:tcPr>
                  <w:tcW w:w="1048" w:type="dxa"/>
                  <w:shd w:val="clear" w:color="auto" w:fill="FFFFFF"/>
                  <w:vAlign w:val="center"/>
                </w:tcPr>
                <w:p w14:paraId="4B7876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181.44</w:t>
                  </w:r>
                </w:p>
              </w:tc>
              <w:tc>
                <w:tcPr>
                  <w:tcW w:w="1101" w:type="dxa"/>
                  <w:shd w:val="clear" w:color="auto" w:fill="FFFFFF"/>
                  <w:vAlign w:val="center"/>
                </w:tcPr>
                <w:p w14:paraId="2D80F9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用于</w:t>
                  </w:r>
                  <w:r>
                    <w:rPr>
                      <w:rFonts w:hint="default" w:ascii="Times New Roman" w:hAnsi="Times New Roman" w:eastAsia="宋体" w:cs="Times New Roman"/>
                      <w:b w:val="0"/>
                      <w:bCs w:val="0"/>
                      <w:color w:val="000000"/>
                      <w:sz w:val="21"/>
                      <w:szCs w:val="21"/>
                      <w:lang w:val="en-US" w:eastAsia="zh-CN"/>
                    </w:rPr>
                    <w:t>1#采区回填</w:t>
                  </w:r>
                </w:p>
              </w:tc>
              <w:tc>
                <w:tcPr>
                  <w:tcW w:w="1229" w:type="dxa"/>
                  <w:shd w:val="clear" w:color="auto" w:fill="FFFFFF"/>
                  <w:vAlign w:val="center"/>
                </w:tcPr>
                <w:p w14:paraId="71E3617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调出的部分用于以前开采的1#、2#采坑局部回填。</w:t>
                  </w:r>
                </w:p>
              </w:tc>
            </w:tr>
            <w:tr w14:paraId="630E88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 w:hRule="atLeast"/>
              </w:trPr>
              <w:tc>
                <w:tcPr>
                  <w:tcW w:w="526" w:type="dxa"/>
                  <w:shd w:val="clear" w:color="auto" w:fill="FFFFFF"/>
                  <w:vAlign w:val="center"/>
                </w:tcPr>
                <w:p w14:paraId="3E93FC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2</w:t>
                  </w:r>
                </w:p>
              </w:tc>
              <w:tc>
                <w:tcPr>
                  <w:tcW w:w="1162" w:type="dxa"/>
                  <w:gridSpan w:val="2"/>
                  <w:shd w:val="clear" w:color="auto" w:fill="FFFFFF"/>
                  <w:vAlign w:val="center"/>
                </w:tcPr>
                <w:p w14:paraId="69DDD63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lang w:val="en-US" w:eastAsia="zh-CN"/>
                    </w:rPr>
                    <w:t>矿区道路</w:t>
                  </w:r>
                </w:p>
              </w:tc>
              <w:tc>
                <w:tcPr>
                  <w:tcW w:w="876" w:type="dxa"/>
                  <w:shd w:val="clear" w:color="auto" w:fill="FFFFFF"/>
                  <w:vAlign w:val="center"/>
                </w:tcPr>
                <w:p w14:paraId="63A851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1000</w:t>
                  </w:r>
                </w:p>
              </w:tc>
              <w:tc>
                <w:tcPr>
                  <w:tcW w:w="791" w:type="dxa"/>
                  <w:shd w:val="clear" w:color="auto" w:fill="FFFFFF"/>
                  <w:vAlign w:val="center"/>
                </w:tcPr>
                <w:p w14:paraId="23D000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1300</w:t>
                  </w:r>
                </w:p>
              </w:tc>
              <w:tc>
                <w:tcPr>
                  <w:tcW w:w="695" w:type="dxa"/>
                  <w:shd w:val="clear" w:color="auto" w:fill="FFFFFF"/>
                  <w:vAlign w:val="center"/>
                </w:tcPr>
                <w:p w14:paraId="5EF949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300</w:t>
                  </w:r>
                </w:p>
              </w:tc>
              <w:tc>
                <w:tcPr>
                  <w:tcW w:w="608" w:type="dxa"/>
                  <w:shd w:val="clear" w:color="auto" w:fill="FFFFFF"/>
                  <w:vAlign w:val="center"/>
                </w:tcPr>
                <w:p w14:paraId="10F54B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lang w:val="en-US" w:eastAsia="zh-CN"/>
                    </w:rPr>
                    <w:t>排水沟</w:t>
                  </w:r>
                </w:p>
              </w:tc>
              <w:tc>
                <w:tcPr>
                  <w:tcW w:w="1048" w:type="dxa"/>
                  <w:shd w:val="clear" w:color="auto" w:fill="FFFFFF"/>
                  <w:vAlign w:val="center"/>
                </w:tcPr>
                <w:p w14:paraId="29C28F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w:t>
                  </w:r>
                </w:p>
              </w:tc>
              <w:tc>
                <w:tcPr>
                  <w:tcW w:w="1101" w:type="dxa"/>
                  <w:shd w:val="clear" w:color="auto" w:fill="FFFFFF"/>
                  <w:vAlign w:val="center"/>
                </w:tcPr>
                <w:p w14:paraId="360B2F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1229" w:type="dxa"/>
                  <w:shd w:val="clear" w:color="auto" w:fill="FFFFFF"/>
                  <w:vAlign w:val="center"/>
                </w:tcPr>
                <w:p w14:paraId="5ACD7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r>
            <w:tr w14:paraId="79D906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9" w:hRule="atLeast"/>
              </w:trPr>
              <w:tc>
                <w:tcPr>
                  <w:tcW w:w="526" w:type="dxa"/>
                  <w:shd w:val="clear" w:color="auto" w:fill="FFFFFF"/>
                  <w:vAlign w:val="center"/>
                </w:tcPr>
                <w:p w14:paraId="69367C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kern w:val="2"/>
                      <w:sz w:val="21"/>
                      <w:szCs w:val="21"/>
                      <w:vertAlign w:val="baseline"/>
                      <w:lang w:val="en-US" w:eastAsia="zh-CN" w:bidi="ar-SA"/>
                    </w:rPr>
                    <w:t>3</w:t>
                  </w:r>
                </w:p>
              </w:tc>
              <w:tc>
                <w:tcPr>
                  <w:tcW w:w="1162" w:type="dxa"/>
                  <w:gridSpan w:val="2"/>
                  <w:shd w:val="clear" w:color="auto" w:fill="FFFFFF"/>
                  <w:vAlign w:val="center"/>
                </w:tcPr>
                <w:p w14:paraId="7A7E7C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lang w:val="en-US" w:eastAsia="zh-CN"/>
                    </w:rPr>
                    <w:t>排水沟</w:t>
                  </w:r>
                </w:p>
              </w:tc>
              <w:tc>
                <w:tcPr>
                  <w:tcW w:w="876" w:type="dxa"/>
                  <w:shd w:val="clear" w:color="auto" w:fill="FFFFFF"/>
                  <w:vAlign w:val="center"/>
                </w:tcPr>
                <w:p w14:paraId="2ABE2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300</w:t>
                  </w:r>
                </w:p>
              </w:tc>
              <w:tc>
                <w:tcPr>
                  <w:tcW w:w="791" w:type="dxa"/>
                  <w:shd w:val="clear" w:color="auto" w:fill="FFFFFF"/>
                  <w:vAlign w:val="center"/>
                </w:tcPr>
                <w:p w14:paraId="33038D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w:t>
                  </w:r>
                </w:p>
              </w:tc>
              <w:tc>
                <w:tcPr>
                  <w:tcW w:w="695" w:type="dxa"/>
                  <w:shd w:val="clear" w:color="auto" w:fill="FFFFFF"/>
                  <w:vAlign w:val="center"/>
                </w:tcPr>
                <w:p w14:paraId="38C70A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w:t>
                  </w:r>
                </w:p>
              </w:tc>
              <w:tc>
                <w:tcPr>
                  <w:tcW w:w="608" w:type="dxa"/>
                  <w:shd w:val="clear" w:color="auto" w:fill="FFFFFF"/>
                  <w:vAlign w:val="center"/>
                </w:tcPr>
                <w:p w14:paraId="57463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w:t>
                  </w:r>
                </w:p>
              </w:tc>
              <w:tc>
                <w:tcPr>
                  <w:tcW w:w="1048" w:type="dxa"/>
                  <w:shd w:val="clear" w:color="auto" w:fill="FFFFFF"/>
                  <w:vAlign w:val="center"/>
                </w:tcPr>
                <w:p w14:paraId="23A670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kern w:val="2"/>
                      <w:sz w:val="21"/>
                      <w:szCs w:val="21"/>
                      <w:vertAlign w:val="baseline"/>
                      <w:lang w:val="en-US" w:eastAsia="zh-CN" w:bidi="ar-SA"/>
                    </w:rPr>
                    <w:t>1300</w:t>
                  </w:r>
                </w:p>
              </w:tc>
              <w:tc>
                <w:tcPr>
                  <w:tcW w:w="1101" w:type="dxa"/>
                  <w:shd w:val="clear" w:color="auto" w:fill="FFFFFF"/>
                  <w:vAlign w:val="center"/>
                </w:tcPr>
                <w:p w14:paraId="13B402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lang w:val="en-US" w:eastAsia="zh-CN"/>
                    </w:rPr>
                    <w:t>矿区道路</w:t>
                  </w:r>
                </w:p>
              </w:tc>
              <w:tc>
                <w:tcPr>
                  <w:tcW w:w="1229" w:type="dxa"/>
                  <w:shd w:val="clear" w:color="auto" w:fill="FFFFFF"/>
                  <w:vAlign w:val="center"/>
                </w:tcPr>
                <w:p w14:paraId="6802573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sz w:val="21"/>
                      <w:szCs w:val="21"/>
                      <w:lang w:val="en-US" w:eastAsia="zh-CN"/>
                    </w:rPr>
                    <w:t>矿区道路修整</w:t>
                  </w:r>
                </w:p>
              </w:tc>
            </w:tr>
            <w:tr w14:paraId="111626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trPr>
              <w:tc>
                <w:tcPr>
                  <w:tcW w:w="526" w:type="dxa"/>
                  <w:shd w:val="clear" w:color="auto" w:fill="FFFFFF"/>
                  <w:vAlign w:val="center"/>
                </w:tcPr>
                <w:p w14:paraId="4A5EAE8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4</w:t>
                  </w:r>
                </w:p>
              </w:tc>
              <w:tc>
                <w:tcPr>
                  <w:tcW w:w="1162" w:type="dxa"/>
                  <w:gridSpan w:val="2"/>
                  <w:shd w:val="clear" w:color="auto" w:fill="FFFFFF"/>
                  <w:vAlign w:val="center"/>
                </w:tcPr>
                <w:p w14:paraId="35119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排土场</w:t>
                  </w:r>
                </w:p>
              </w:tc>
              <w:tc>
                <w:tcPr>
                  <w:tcW w:w="876" w:type="dxa"/>
                  <w:shd w:val="clear" w:color="auto" w:fill="FFFFFF"/>
                  <w:vAlign w:val="center"/>
                </w:tcPr>
                <w:p w14:paraId="64556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w:t>
                  </w:r>
                </w:p>
              </w:tc>
              <w:tc>
                <w:tcPr>
                  <w:tcW w:w="791" w:type="dxa"/>
                  <w:shd w:val="clear" w:color="auto" w:fill="FFFFFF"/>
                  <w:vAlign w:val="center"/>
                </w:tcPr>
                <w:p w14:paraId="0430C8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w:t>
                  </w:r>
                </w:p>
              </w:tc>
              <w:tc>
                <w:tcPr>
                  <w:tcW w:w="695" w:type="dxa"/>
                  <w:shd w:val="clear" w:color="auto" w:fill="FFFFFF"/>
                  <w:vAlign w:val="center"/>
                </w:tcPr>
                <w:p w14:paraId="300253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92.53万</w:t>
                  </w:r>
                </w:p>
              </w:tc>
              <w:tc>
                <w:tcPr>
                  <w:tcW w:w="608" w:type="dxa"/>
                  <w:shd w:val="clear" w:color="auto" w:fill="FFFFFF"/>
                  <w:vAlign w:val="center"/>
                </w:tcPr>
                <w:p w14:paraId="08C93B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color w:val="000000"/>
                      <w:spacing w:val="0"/>
                      <w:position w:val="0"/>
                      <w:sz w:val="21"/>
                      <w:szCs w:val="21"/>
                      <w:lang w:val="en-US" w:eastAsia="zh-CN"/>
                    </w:rPr>
                    <w:t>1#采区</w:t>
                  </w:r>
                </w:p>
              </w:tc>
              <w:tc>
                <w:tcPr>
                  <w:tcW w:w="1048" w:type="dxa"/>
                  <w:shd w:val="clear" w:color="auto" w:fill="FFFFFF"/>
                  <w:vAlign w:val="center"/>
                </w:tcPr>
                <w:p w14:paraId="5E9389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0</w:t>
                  </w:r>
                </w:p>
              </w:tc>
              <w:tc>
                <w:tcPr>
                  <w:tcW w:w="1101" w:type="dxa"/>
                  <w:shd w:val="clear" w:color="auto" w:fill="FFFFFF"/>
                  <w:vAlign w:val="center"/>
                </w:tcPr>
                <w:p w14:paraId="0D7013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c>
                <w:tcPr>
                  <w:tcW w:w="1229" w:type="dxa"/>
                  <w:shd w:val="clear" w:color="auto" w:fill="FFFFFF"/>
                  <w:vAlign w:val="center"/>
                </w:tcPr>
                <w:p w14:paraId="77A3AD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w:t>
                  </w:r>
                </w:p>
              </w:tc>
            </w:tr>
            <w:tr w14:paraId="1D6194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6" w:hRule="atLeast"/>
              </w:trPr>
              <w:tc>
                <w:tcPr>
                  <w:tcW w:w="1688" w:type="dxa"/>
                  <w:gridSpan w:val="3"/>
                  <w:tcBorders>
                    <w:bottom w:val="single" w:color="000000" w:sz="12" w:space="0"/>
                  </w:tcBorders>
                  <w:shd w:val="clear" w:color="auto" w:fill="FFFFFF"/>
                  <w:vAlign w:val="center"/>
                </w:tcPr>
                <w:p w14:paraId="3C63D3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合计</w:t>
                  </w:r>
                </w:p>
              </w:tc>
              <w:tc>
                <w:tcPr>
                  <w:tcW w:w="876" w:type="dxa"/>
                  <w:tcBorders>
                    <w:bottom w:val="single" w:color="000000" w:sz="12" w:space="0"/>
                  </w:tcBorders>
                  <w:shd w:val="clear" w:color="auto" w:fill="FFFFFF"/>
                  <w:vAlign w:val="center"/>
                </w:tcPr>
                <w:p w14:paraId="5D3158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406.1万</w:t>
                  </w:r>
                </w:p>
              </w:tc>
              <w:tc>
                <w:tcPr>
                  <w:tcW w:w="791" w:type="dxa"/>
                  <w:tcBorders>
                    <w:bottom w:val="single" w:color="000000" w:sz="12" w:space="0"/>
                  </w:tcBorders>
                  <w:shd w:val="clear" w:color="auto" w:fill="FFFFFF"/>
                  <w:vAlign w:val="center"/>
                </w:tcPr>
                <w:p w14:paraId="2A9A1A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132.13</w:t>
                  </w:r>
                  <w:r>
                    <w:rPr>
                      <w:rFonts w:hint="eastAsia" w:ascii="Times New Roman" w:hAnsi="Times New Roman" w:eastAsia="宋体" w:cs="Times New Roman"/>
                      <w:i w:val="0"/>
                      <w:iCs w:val="0"/>
                      <w:color w:val="000000"/>
                      <w:kern w:val="0"/>
                      <w:sz w:val="21"/>
                      <w:szCs w:val="21"/>
                      <w:u w:val="none"/>
                      <w:lang w:val="en-US" w:eastAsia="zh-CN" w:bidi="ar"/>
                    </w:rPr>
                    <w:t>万</w:t>
                  </w:r>
                </w:p>
              </w:tc>
              <w:tc>
                <w:tcPr>
                  <w:tcW w:w="695" w:type="dxa"/>
                  <w:tcBorders>
                    <w:bottom w:val="single" w:color="000000" w:sz="12" w:space="0"/>
                  </w:tcBorders>
                  <w:shd w:val="clear" w:color="auto" w:fill="FFFFFF"/>
                  <w:vAlign w:val="center"/>
                </w:tcPr>
                <w:p w14:paraId="2C024A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92.56</w:t>
                  </w:r>
                  <w:r>
                    <w:rPr>
                      <w:rFonts w:hint="eastAsia" w:ascii="Times New Roman" w:hAnsi="Times New Roman" w:eastAsia="宋体" w:cs="Times New Roman"/>
                      <w:i w:val="0"/>
                      <w:iCs w:val="0"/>
                      <w:color w:val="000000"/>
                      <w:kern w:val="0"/>
                      <w:sz w:val="21"/>
                      <w:szCs w:val="21"/>
                      <w:u w:val="none"/>
                      <w:lang w:val="en-US" w:eastAsia="zh-CN" w:bidi="ar"/>
                    </w:rPr>
                    <w:t>万</w:t>
                  </w:r>
                </w:p>
              </w:tc>
              <w:tc>
                <w:tcPr>
                  <w:tcW w:w="608" w:type="dxa"/>
                  <w:tcBorders>
                    <w:bottom w:val="single" w:color="000000" w:sz="12" w:space="0"/>
                  </w:tcBorders>
                  <w:shd w:val="clear" w:color="auto" w:fill="FFFFFF"/>
                  <w:vAlign w:val="center"/>
                </w:tcPr>
                <w:p w14:paraId="270D9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c>
                <w:tcPr>
                  <w:tcW w:w="1048" w:type="dxa"/>
                  <w:tcBorders>
                    <w:bottom w:val="single" w:color="000000" w:sz="12" w:space="0"/>
                  </w:tcBorders>
                  <w:shd w:val="clear" w:color="auto" w:fill="auto"/>
                  <w:vAlign w:val="center"/>
                </w:tcPr>
                <w:p w14:paraId="064D26A5">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default" w:ascii="Times New Roman" w:hAnsi="Times New Roman" w:eastAsia="宋体" w:cs="Times New Roman"/>
                      <w:b w:val="0"/>
                      <w:bCs w:val="0"/>
                      <w:color w:val="000000"/>
                      <w:sz w:val="21"/>
                      <w:szCs w:val="21"/>
                      <w:vertAlign w:val="baseline"/>
                      <w:lang w:val="en-US" w:eastAsia="zh-CN"/>
                    </w:rPr>
                    <w:t>181.44</w:t>
                  </w:r>
                  <w:r>
                    <w:rPr>
                      <w:rFonts w:hint="eastAsia" w:ascii="Times New Roman" w:hAnsi="Times New Roman" w:eastAsia="宋体" w:cs="Times New Roman"/>
                      <w:b w:val="0"/>
                      <w:bCs w:val="0"/>
                      <w:color w:val="000000"/>
                      <w:sz w:val="21"/>
                      <w:szCs w:val="21"/>
                      <w:vertAlign w:val="baseline"/>
                      <w:lang w:val="en-US" w:eastAsia="zh-CN"/>
                    </w:rPr>
                    <w:t>万</w:t>
                  </w:r>
                </w:p>
              </w:tc>
              <w:tc>
                <w:tcPr>
                  <w:tcW w:w="1101" w:type="dxa"/>
                  <w:tcBorders>
                    <w:bottom w:val="single" w:color="000000" w:sz="12" w:space="0"/>
                  </w:tcBorders>
                  <w:shd w:val="clear" w:color="auto" w:fill="FFFFFF"/>
                  <w:vAlign w:val="center"/>
                </w:tcPr>
                <w:p w14:paraId="21C76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c>
                <w:tcPr>
                  <w:tcW w:w="1229" w:type="dxa"/>
                  <w:tcBorders>
                    <w:bottom w:val="single" w:color="000000" w:sz="12" w:space="0"/>
                  </w:tcBorders>
                  <w:shd w:val="clear" w:color="auto" w:fill="FFFFFF"/>
                  <w:vAlign w:val="center"/>
                </w:tcPr>
                <w:p w14:paraId="78E489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w:t>
                  </w:r>
                </w:p>
              </w:tc>
            </w:tr>
          </w:tbl>
          <w:p w14:paraId="5E4E28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b w:val="0"/>
                <w:bCs w:val="0"/>
                <w:sz w:val="24"/>
                <w:szCs w:val="24"/>
                <w:lang w:val="en-US" w:eastAsia="zh-CN"/>
              </w:rPr>
            </w:pPr>
          </w:p>
          <w:p w14:paraId="1325638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4092575" cy="3251835"/>
                  <wp:effectExtent l="0" t="0" r="3175" b="5715"/>
                  <wp:docPr id="21" name="F360BE8B-6686-4F3D-AEAF-501FE73E4058-1" descr="C:/Users/csklk/AppData/Local/Temp/绘图1(15).png绘图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60BE8B-6686-4F3D-AEAF-501FE73E4058-1" descr="C:/Users/csklk/AppData/Local/Temp/绘图1(15).png绘图1(15)"/>
                          <pic:cNvPicPr>
                            <a:picLocks noChangeAspect="1"/>
                          </pic:cNvPicPr>
                        </pic:nvPicPr>
                        <pic:blipFill>
                          <a:blip r:embed="rId9"/>
                          <a:stretch>
                            <a:fillRect/>
                          </a:stretch>
                        </pic:blipFill>
                        <pic:spPr>
                          <a:xfrm>
                            <a:off x="0" y="0"/>
                            <a:ext cx="4092575" cy="3251835"/>
                          </a:xfrm>
                          <a:prstGeom prst="rect">
                            <a:avLst/>
                          </a:prstGeom>
                        </pic:spPr>
                      </pic:pic>
                    </a:graphicData>
                  </a:graphic>
                </wp:inline>
              </w:drawing>
            </w:r>
          </w:p>
          <w:p w14:paraId="7FD29C9A">
            <w:pPr>
              <w:pStyle w:val="45"/>
              <w:keepNext w:val="0"/>
              <w:keepLines w:val="0"/>
              <w:pageBreakBefore w:val="0"/>
              <w:kinsoku/>
              <w:wordWrap/>
              <w:overflowPunct/>
              <w:topLinePunct w:val="0"/>
              <w:autoSpaceDE/>
              <w:autoSpaceDN/>
              <w:bidi w:val="0"/>
              <w:adjustRightInd/>
              <w:spacing w:line="360" w:lineRule="auto"/>
              <w:ind w:left="0" w:right="0" w:firstLine="476"/>
              <w:jc w:val="center"/>
              <w:textAlignment w:val="auto"/>
              <w:rPr>
                <w:rFonts w:hint="default" w:ascii="Times New Roman" w:hAnsi="Times New Roman" w:eastAsia="宋体" w:cs="Times New Roman"/>
                <w:b/>
                <w:bCs/>
                <w:spacing w:val="-3"/>
                <w:sz w:val="21"/>
                <w:szCs w:val="21"/>
              </w:rPr>
            </w:pPr>
            <w:r>
              <w:rPr>
                <w:rFonts w:hint="default" w:ascii="Times New Roman" w:hAnsi="Times New Roman" w:eastAsia="宋体" w:cs="Times New Roman"/>
                <w:b/>
                <w:bCs/>
                <w:sz w:val="21"/>
                <w:szCs w:val="21"/>
              </w:rPr>
              <w:t xml:space="preserve">图2- </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eastAsia="zh-CN"/>
              </w:rPr>
              <w:t xml:space="preserve"> 土石方平衡图  单位：m</w:t>
            </w:r>
            <w:r>
              <w:rPr>
                <w:rFonts w:hint="default" w:ascii="Times New Roman" w:hAnsi="Times New Roman" w:eastAsia="宋体" w:cs="Times New Roman"/>
                <w:b/>
                <w:bCs/>
                <w:sz w:val="21"/>
                <w:szCs w:val="21"/>
                <w:vertAlign w:val="superscript"/>
                <w:lang w:eastAsia="zh-CN"/>
              </w:rPr>
              <w:t>3</w:t>
            </w:r>
          </w:p>
          <w:p w14:paraId="2D00FA00">
            <w:pPr>
              <w:pStyle w:val="45"/>
              <w:keepNext w:val="0"/>
              <w:keepLines w:val="0"/>
              <w:pageBreakBefore w:val="0"/>
              <w:kinsoku/>
              <w:wordWrap/>
              <w:overflowPunct/>
              <w:topLinePunct w:val="0"/>
              <w:autoSpaceDE/>
              <w:autoSpaceDN/>
              <w:bidi w:val="0"/>
              <w:adjustRightInd/>
              <w:spacing w:line="360" w:lineRule="auto"/>
              <w:ind w:left="0" w:right="0" w:firstLine="538" w:firstLineChars="200"/>
              <w:textAlignment w:val="auto"/>
              <w:rPr>
                <w:rFonts w:hint="eastAsia" w:ascii="Times New Roman" w:hAnsi="Times New Roman" w:eastAsia="宋体" w:cs="Times New Roman"/>
                <w:b/>
                <w:bCs/>
                <w:spacing w:val="14"/>
                <w:sz w:val="24"/>
                <w:szCs w:val="24"/>
                <w:lang w:eastAsia="zh-CN"/>
              </w:rPr>
            </w:pPr>
            <w:r>
              <w:rPr>
                <w:rFonts w:hint="eastAsia" w:ascii="Times New Roman" w:hAnsi="Times New Roman" w:eastAsia="宋体" w:cs="Times New Roman"/>
                <w:b/>
                <w:bCs/>
                <w:spacing w:val="14"/>
                <w:sz w:val="24"/>
                <w:szCs w:val="24"/>
                <w:lang w:val="en-US" w:eastAsia="zh-CN"/>
              </w:rPr>
              <w:t>10.5防洪工程</w:t>
            </w:r>
          </w:p>
          <w:p w14:paraId="014DED12">
            <w:pPr>
              <w:pStyle w:val="45"/>
              <w:keepNext w:val="0"/>
              <w:keepLines w:val="0"/>
              <w:pageBreakBefore w:val="0"/>
              <w:kinsoku/>
              <w:wordWrap/>
              <w:overflowPunct/>
              <w:topLinePunct w:val="0"/>
              <w:autoSpaceDE/>
              <w:autoSpaceDN/>
              <w:bidi w:val="0"/>
              <w:adjustRightInd/>
              <w:spacing w:line="360" w:lineRule="auto"/>
              <w:ind w:left="0" w:right="0" w:firstLine="480" w:firstLineChars="200"/>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（1）平台排水</w:t>
            </w:r>
          </w:p>
          <w:p w14:paraId="01DD42B0">
            <w:pPr>
              <w:pStyle w:val="45"/>
              <w:keepNext w:val="0"/>
              <w:keepLines w:val="0"/>
              <w:pageBreakBefore w:val="0"/>
              <w:kinsoku/>
              <w:wordWrap/>
              <w:overflowPunct/>
              <w:topLinePunct w:val="0"/>
              <w:autoSpaceDE/>
              <w:autoSpaceDN/>
              <w:bidi w:val="0"/>
              <w:adjustRightInd/>
              <w:spacing w:line="360" w:lineRule="auto"/>
              <w:ind w:left="0" w:right="0" w:firstLine="480" w:firstLineChars="200"/>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排土场安全平台内侧修建矩形排水沟，宽0.4m，深0.4m。排水沟开挖明沟后，采用机械压实。排土平台由外向里应形成2%～5%的反坡，保持适当流水坡，将汇水通过平台排水沟导入侧向或端部的端部沟外排，端部沟开挖明沟后，采用机械压实即可。</w:t>
            </w:r>
          </w:p>
          <w:p w14:paraId="70AC7657">
            <w:pPr>
              <w:pStyle w:val="45"/>
              <w:keepNext w:val="0"/>
              <w:keepLines w:val="0"/>
              <w:pageBreakBefore w:val="0"/>
              <w:kinsoku/>
              <w:wordWrap/>
              <w:overflowPunct/>
              <w:topLinePunct w:val="0"/>
              <w:autoSpaceDE/>
              <w:autoSpaceDN/>
              <w:bidi w:val="0"/>
              <w:adjustRightInd/>
              <w:spacing w:line="360" w:lineRule="auto"/>
              <w:ind w:left="0" w:right="0" w:firstLine="480" w:firstLineChars="200"/>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（2）场外排水</w:t>
            </w:r>
          </w:p>
          <w:p w14:paraId="49ED32FC">
            <w:pPr>
              <w:pStyle w:val="45"/>
              <w:keepNext w:val="0"/>
              <w:keepLines w:val="0"/>
              <w:pageBreakBefore w:val="0"/>
              <w:kinsoku/>
              <w:wordWrap/>
              <w:overflowPunct/>
              <w:topLinePunct w:val="0"/>
              <w:autoSpaceDE/>
              <w:autoSpaceDN/>
              <w:bidi w:val="0"/>
              <w:adjustRightInd/>
              <w:spacing w:line="360" w:lineRule="auto"/>
              <w:ind w:left="0" w:right="0" w:firstLine="480" w:firstLineChars="200"/>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排土场上游北侧为临泽县奋君矿业有限公司正北山石膏矿的采场，东侧为本矿采场，采场均设置有完善的截排水系统。另外，排土场下方四周修建有拦石坝，采用废石堆筑碾压而成，坝高2m，顶部宽度1m，底部宽度3m，坡比1:1，故排土场不受洪水威胁。</w:t>
            </w:r>
          </w:p>
          <w:p w14:paraId="5667BD5D">
            <w:pPr>
              <w:pStyle w:val="45"/>
              <w:keepNext w:val="0"/>
              <w:keepLines w:val="0"/>
              <w:pageBreakBefore w:val="0"/>
              <w:kinsoku/>
              <w:wordWrap/>
              <w:overflowPunct/>
              <w:topLinePunct w:val="0"/>
              <w:autoSpaceDE/>
              <w:autoSpaceDN/>
              <w:bidi w:val="0"/>
              <w:adjustRightInd/>
              <w:spacing w:line="360" w:lineRule="auto"/>
              <w:ind w:left="0" w:right="0" w:firstLine="538" w:firstLineChars="200"/>
              <w:textAlignment w:val="auto"/>
              <w:rPr>
                <w:rFonts w:hint="default" w:ascii="Times New Roman" w:hAnsi="Times New Roman" w:eastAsia="宋体" w:cs="Times New Roman"/>
                <w:b/>
                <w:bCs/>
                <w:spacing w:val="14"/>
                <w:sz w:val="24"/>
                <w:szCs w:val="24"/>
              </w:rPr>
            </w:pPr>
            <w:r>
              <w:rPr>
                <w:rFonts w:hint="default" w:ascii="Times New Roman" w:hAnsi="Times New Roman" w:eastAsia="宋体" w:cs="Times New Roman"/>
                <w:b/>
                <w:bCs/>
                <w:spacing w:val="14"/>
                <w:sz w:val="24"/>
                <w:szCs w:val="24"/>
              </w:rPr>
              <w:t>1</w:t>
            </w:r>
            <w:r>
              <w:rPr>
                <w:rFonts w:hint="eastAsia" w:ascii="Times New Roman" w:hAnsi="Times New Roman" w:eastAsia="宋体" w:cs="Times New Roman"/>
                <w:b/>
                <w:bCs/>
                <w:spacing w:val="14"/>
                <w:sz w:val="24"/>
                <w:szCs w:val="24"/>
                <w:lang w:val="en-US" w:eastAsia="zh-CN"/>
              </w:rPr>
              <w:t>0.6</w:t>
            </w:r>
            <w:r>
              <w:rPr>
                <w:rFonts w:hint="default" w:ascii="Times New Roman" w:hAnsi="Times New Roman" w:eastAsia="宋体" w:cs="Times New Roman"/>
                <w:b/>
                <w:bCs/>
                <w:spacing w:val="14"/>
                <w:sz w:val="24"/>
                <w:szCs w:val="24"/>
              </w:rPr>
              <w:t>劳动定员及工作制度</w:t>
            </w:r>
          </w:p>
          <w:p w14:paraId="428D2EFE">
            <w:pPr>
              <w:keepNext w:val="0"/>
              <w:keepLines w:val="0"/>
              <w:pageBreakBefore w:val="0"/>
              <w:kinsoku/>
              <w:wordWrap/>
              <w:overflowPunct/>
              <w:topLinePunct w:val="0"/>
              <w:autoSpaceDE/>
              <w:autoSpaceDN/>
              <w:bidi w:val="0"/>
              <w:adjustRightIn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本项目建成后，矿山劳动定员</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人，矿山工作制度为年工作</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00天，每班工作8小时。</w:t>
            </w:r>
          </w:p>
          <w:p w14:paraId="0A611090">
            <w:pPr>
              <w:pStyle w:val="45"/>
              <w:keepNext w:val="0"/>
              <w:keepLines w:val="0"/>
              <w:pageBreakBefore w:val="0"/>
              <w:kinsoku/>
              <w:wordWrap/>
              <w:overflowPunct/>
              <w:topLinePunct w:val="0"/>
              <w:autoSpaceDE/>
              <w:autoSpaceDN/>
              <w:bidi w:val="0"/>
              <w:adjustRightInd/>
              <w:spacing w:line="360" w:lineRule="auto"/>
              <w:ind w:left="0" w:right="0" w:firstLine="538" w:firstLineChars="200"/>
              <w:textAlignment w:val="auto"/>
              <w:rPr>
                <w:rFonts w:hint="default" w:ascii="Times New Roman" w:hAnsi="Times New Roman" w:eastAsia="宋体" w:cs="Times New Roman"/>
                <w:b/>
                <w:bCs/>
                <w:spacing w:val="14"/>
                <w:sz w:val="24"/>
                <w:szCs w:val="24"/>
              </w:rPr>
            </w:pPr>
            <w:r>
              <w:rPr>
                <w:rFonts w:hint="eastAsia" w:ascii="Times New Roman" w:hAnsi="Times New Roman" w:eastAsia="宋体" w:cs="Times New Roman"/>
                <w:b/>
                <w:bCs/>
                <w:spacing w:val="14"/>
                <w:sz w:val="24"/>
                <w:szCs w:val="24"/>
                <w:lang w:val="en-US" w:eastAsia="zh-CN"/>
              </w:rPr>
              <w:t>11、</w:t>
            </w:r>
            <w:r>
              <w:rPr>
                <w:rFonts w:hint="default" w:ascii="Times New Roman" w:hAnsi="Times New Roman" w:eastAsia="宋体" w:cs="Times New Roman"/>
                <w:b/>
                <w:bCs/>
                <w:spacing w:val="14"/>
                <w:sz w:val="24"/>
                <w:szCs w:val="24"/>
              </w:rPr>
              <w:t>工程总投资</w:t>
            </w:r>
          </w:p>
          <w:p w14:paraId="1CCB3E21">
            <w:pPr>
              <w:pStyle w:val="45"/>
              <w:keepNext w:val="0"/>
              <w:keepLines w:val="0"/>
              <w:pageBreakBefore w:val="0"/>
              <w:shd w:val="clear"/>
              <w:kinsoku/>
              <w:wordWrap/>
              <w:overflowPunct/>
              <w:topLinePunct w:val="0"/>
              <w:autoSpaceDE/>
              <w:autoSpaceDN/>
              <w:bidi w:val="0"/>
              <w:adjustRightInd/>
              <w:spacing w:line="360" w:lineRule="auto"/>
              <w:ind w:left="0" w:right="0" w:firstLine="480" w:firstLineChars="200"/>
              <w:textAlignment w:val="auto"/>
              <w:rPr>
                <w:rFonts w:hint="eastAsia" w:ascii="Times New Roman" w:hAnsi="Times New Roman" w:eastAsia="宋体" w:cs="Times New Roman"/>
                <w:position w:val="-87"/>
                <w:sz w:val="24"/>
                <w:szCs w:val="24"/>
                <w:lang w:val="en-US" w:eastAsia="zh-CN"/>
              </w:rPr>
            </w:pPr>
            <w:r>
              <w:rPr>
                <w:rFonts w:hint="default" w:ascii="Times New Roman" w:hAnsi="Times New Roman" w:eastAsia="宋体" w:cs="Times New Roman"/>
                <w:color w:val="auto"/>
                <w:sz w:val="24"/>
                <w:szCs w:val="24"/>
                <w:highlight w:val="none"/>
              </w:rPr>
              <w:t>该项目总投资</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20万元，其中环保投资共</w:t>
            </w:r>
            <w:r>
              <w:rPr>
                <w:rFonts w:hint="eastAsia" w:ascii="Times New Roman" w:hAnsi="Times New Roman" w:eastAsia="宋体" w:cs="Times New Roman"/>
                <w:color w:val="auto"/>
                <w:sz w:val="24"/>
                <w:szCs w:val="24"/>
                <w:highlight w:val="none"/>
                <w:lang w:val="en-US" w:eastAsia="zh-CN"/>
              </w:rPr>
              <w:t>41.5</w:t>
            </w:r>
            <w:r>
              <w:rPr>
                <w:rFonts w:hint="default" w:ascii="Times New Roman" w:hAnsi="Times New Roman" w:eastAsia="宋体" w:cs="Times New Roman"/>
                <w:color w:val="auto"/>
                <w:sz w:val="24"/>
                <w:szCs w:val="24"/>
                <w:highlight w:val="none"/>
              </w:rPr>
              <w:t>万元</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占项目总投资的</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%，资金来源为企业自筹解决</w:t>
            </w:r>
            <w:r>
              <w:rPr>
                <w:rFonts w:hint="eastAsia" w:ascii="Times New Roman" w:hAnsi="Times New Roman" w:eastAsia="宋体" w:cs="Times New Roman"/>
                <w:color w:val="auto"/>
                <w:sz w:val="24"/>
                <w:szCs w:val="24"/>
                <w:highlight w:val="none"/>
                <w:lang w:eastAsia="zh-CN"/>
              </w:rPr>
              <w:t>。</w:t>
            </w:r>
          </w:p>
        </w:tc>
      </w:tr>
      <w:tr w14:paraId="36161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noWrap w:val="0"/>
            <w:vAlign w:val="center"/>
          </w:tcPr>
          <w:p w14:paraId="7B53BC5F">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总平面及现场布置</w:t>
            </w:r>
          </w:p>
        </w:tc>
        <w:tc>
          <w:tcPr>
            <w:tcW w:w="8380" w:type="dxa"/>
            <w:noWrap w:val="0"/>
            <w:vAlign w:val="center"/>
          </w:tcPr>
          <w:p w14:paraId="6EBF0D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施工平面布置应根据施工场区的地形及临时施工设施布置的要求，解决施工场地的分期分区规划，对施工期间的交通运输设施、辅助生产设施及其他施工设施进行平面布置，从场地布置上为整个工程顺利施工创造条件，用最少的人力、物力在预定的时间内完成整个工程的建设任务。本工程按有利于施工、方便管理使各施工单位施工程序尽量简单为原则，施工进场时，合理规划和使用施工场地，使各工序之间不相互干扰，场区的划分和布置有利于建设生产、方便管理临时施工设施的布置满足工程的施工要求，适应各施工时期的特点。</w:t>
            </w:r>
          </w:p>
          <w:p w14:paraId="429FC9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lang w:val="en-US" w:eastAsia="zh-CN"/>
              </w:rPr>
              <w:t>本项目为露天矿山，拟建工程主要包括露天采场1个，</w:t>
            </w:r>
            <w:r>
              <w:rPr>
                <w:rFonts w:hint="eastAsia" w:ascii="Times New Roman" w:hAnsi="Times New Roman" w:eastAsia="宋体" w:cs="Times New Roman"/>
                <w:kern w:val="0"/>
                <w:sz w:val="24"/>
                <w:szCs w:val="24"/>
                <w:lang w:val="en-US" w:eastAsia="zh-CN"/>
              </w:rPr>
              <w:t>临时</w:t>
            </w:r>
            <w:r>
              <w:rPr>
                <w:rFonts w:hint="eastAsia" w:cs="Times New Roman"/>
                <w:kern w:val="0"/>
                <w:sz w:val="24"/>
                <w:szCs w:val="24"/>
                <w:lang w:val="en-US" w:eastAsia="zh-CN"/>
              </w:rPr>
              <w:t>值班室</w:t>
            </w:r>
            <w:r>
              <w:rPr>
                <w:rFonts w:hint="default" w:ascii="Times New Roman" w:hAnsi="Times New Roman" w:eastAsia="宋体" w:cs="Times New Roman"/>
                <w:kern w:val="0"/>
                <w:sz w:val="24"/>
                <w:szCs w:val="24"/>
                <w:lang w:val="en-US" w:eastAsia="zh-CN"/>
              </w:rPr>
              <w:t>1处，堆</w:t>
            </w:r>
            <w:r>
              <w:rPr>
                <w:rFonts w:hint="eastAsia" w:ascii="Times New Roman" w:hAnsi="Times New Roman" w:eastAsia="宋体" w:cs="Times New Roman"/>
                <w:kern w:val="0"/>
                <w:sz w:val="24"/>
                <w:szCs w:val="24"/>
                <w:lang w:val="en-US" w:eastAsia="zh-CN"/>
              </w:rPr>
              <w:t>矿</w:t>
            </w:r>
            <w:r>
              <w:rPr>
                <w:rFonts w:hint="default" w:ascii="Times New Roman" w:hAnsi="Times New Roman" w:eastAsia="宋体" w:cs="Times New Roman"/>
                <w:kern w:val="0"/>
                <w:sz w:val="24"/>
                <w:szCs w:val="24"/>
                <w:lang w:val="en-US" w:eastAsia="zh-CN"/>
              </w:rPr>
              <w:t>场及排土场各1处以及矿区道路等。露天采场位于矿权范围内，首采工作面位于矿区东北侧</w:t>
            </w:r>
            <w:r>
              <w:rPr>
                <w:rFonts w:hint="eastAsia" w:cs="Times New Roman"/>
                <w:kern w:val="0"/>
                <w:sz w:val="24"/>
                <w:szCs w:val="24"/>
                <w:lang w:val="en-US" w:eastAsia="zh-CN"/>
              </w:rPr>
              <w:t>，该矿矿体沿倾向延伸较长，约为5.7km。加之矿山生产规模仅为5万t/a，为便于现场管理，本次设计本次设计采用分区开采，以B-B’剖面为界，分为1#采区和2#采区，总体开采顺序为先开采1#采区，再开采2#采区。</w:t>
            </w:r>
            <w:r>
              <w:rPr>
                <w:rFonts w:hint="default" w:ascii="Times New Roman" w:hAnsi="Times New Roman" w:eastAsia="宋体" w:cs="Times New Roman"/>
                <w:kern w:val="0"/>
                <w:sz w:val="24"/>
                <w:szCs w:val="24"/>
                <w:lang w:val="en-US" w:eastAsia="zh-CN"/>
              </w:rPr>
              <w:t>根据矿山地形条件以及生产需要，</w:t>
            </w:r>
            <w:r>
              <w:rPr>
                <w:rFonts w:hint="eastAsia" w:ascii="Times New Roman" w:hAnsi="Times New Roman" w:eastAsia="宋体" w:cs="Times New Roman"/>
                <w:kern w:val="0"/>
                <w:sz w:val="24"/>
                <w:szCs w:val="24"/>
                <w:lang w:val="en-US" w:eastAsia="zh-CN"/>
              </w:rPr>
              <w:t>临时值班室</w:t>
            </w:r>
            <w:r>
              <w:rPr>
                <w:rFonts w:hint="default" w:ascii="Times New Roman" w:hAnsi="Times New Roman" w:eastAsia="宋体" w:cs="Times New Roman"/>
                <w:kern w:val="0"/>
                <w:sz w:val="24"/>
                <w:szCs w:val="24"/>
                <w:lang w:val="en-US" w:eastAsia="zh-CN"/>
              </w:rPr>
              <w:t>以及排土场均布置在地势较平缓位置，且均位于矿区范围</w:t>
            </w:r>
            <w:r>
              <w:rPr>
                <w:rFonts w:hint="eastAsia" w:ascii="Times New Roman" w:hAnsi="Times New Roman" w:eastAsia="宋体" w:cs="Times New Roman"/>
                <w:kern w:val="0"/>
                <w:sz w:val="24"/>
                <w:szCs w:val="24"/>
                <w:lang w:val="en-US" w:eastAsia="zh-CN"/>
              </w:rPr>
              <w:t>内</w:t>
            </w:r>
            <w:r>
              <w:rPr>
                <w:rFonts w:hint="default" w:ascii="Times New Roman" w:hAnsi="Times New Roman" w:eastAsia="宋体" w:cs="Times New Roman"/>
                <w:kern w:val="0"/>
                <w:sz w:val="24"/>
                <w:szCs w:val="24"/>
                <w:lang w:val="en-US" w:eastAsia="zh-CN"/>
              </w:rPr>
              <w:t>，其中</w:t>
            </w:r>
            <w:r>
              <w:rPr>
                <w:rFonts w:hint="eastAsia" w:ascii="Times New Roman" w:hAnsi="Times New Roman" w:eastAsia="宋体" w:cs="Times New Roman"/>
                <w:kern w:val="0"/>
                <w:sz w:val="24"/>
                <w:szCs w:val="24"/>
                <w:lang w:val="en-US" w:eastAsia="zh-CN"/>
              </w:rPr>
              <w:t>临时值班室</w:t>
            </w:r>
            <w:r>
              <w:rPr>
                <w:rFonts w:hint="default" w:ascii="Times New Roman" w:hAnsi="Times New Roman" w:eastAsia="宋体" w:cs="Times New Roman"/>
                <w:kern w:val="0"/>
                <w:sz w:val="24"/>
                <w:szCs w:val="24"/>
                <w:lang w:val="en-US" w:eastAsia="zh-CN"/>
              </w:rPr>
              <w:t>位于</w:t>
            </w:r>
            <w:r>
              <w:rPr>
                <w:rFonts w:hint="eastAsia" w:ascii="Times New Roman" w:hAnsi="Times New Roman" w:eastAsia="宋体" w:cs="Times New Roman"/>
                <w:kern w:val="0"/>
                <w:sz w:val="24"/>
                <w:szCs w:val="24"/>
                <w:lang w:val="en-US" w:eastAsia="zh-CN"/>
              </w:rPr>
              <w:t>首采工作面西侧</w:t>
            </w:r>
            <w:r>
              <w:rPr>
                <w:rFonts w:hint="default" w:ascii="Times New Roman" w:hAnsi="Times New Roman" w:eastAsia="宋体" w:cs="Times New Roman"/>
                <w:kern w:val="0"/>
                <w:sz w:val="24"/>
                <w:szCs w:val="24"/>
                <w:lang w:val="en-US" w:eastAsia="zh-CN"/>
              </w:rPr>
              <w:t>，占地面积为</w:t>
            </w:r>
            <w:r>
              <w:rPr>
                <w:rFonts w:hint="eastAsia" w:ascii="Times New Roman" w:hAnsi="Times New Roman" w:eastAsia="宋体" w:cs="Times New Roman"/>
                <w:kern w:val="0"/>
                <w:sz w:val="24"/>
                <w:szCs w:val="24"/>
                <w:lang w:val="en-US" w:eastAsia="zh-CN"/>
              </w:rPr>
              <w:t>160</w:t>
            </w:r>
            <w:r>
              <w:rPr>
                <w:rFonts w:hint="eastAsia" w:cs="Times New Roman"/>
                <w:kern w:val="0"/>
                <w:sz w:val="24"/>
                <w:szCs w:val="24"/>
                <w:vertAlign w:val="superscript"/>
                <w:lang w:val="en-US" w:eastAsia="zh-CN"/>
              </w:rPr>
              <w:t>2</w:t>
            </w:r>
            <w:r>
              <w:rPr>
                <w:rFonts w:hint="default" w:ascii="Times New Roman" w:hAnsi="Times New Roman" w:eastAsia="宋体" w:cs="Times New Roman"/>
                <w:kern w:val="0"/>
                <w:sz w:val="24"/>
                <w:szCs w:val="24"/>
                <w:lang w:val="en-US" w:eastAsia="zh-CN"/>
              </w:rPr>
              <w:t>，原料堆</w:t>
            </w:r>
            <w:r>
              <w:rPr>
                <w:rFonts w:hint="eastAsia" w:ascii="Times New Roman" w:hAnsi="Times New Roman" w:eastAsia="宋体" w:cs="Times New Roman"/>
                <w:kern w:val="0"/>
                <w:sz w:val="24"/>
                <w:szCs w:val="24"/>
                <w:lang w:val="en-US" w:eastAsia="zh-CN"/>
              </w:rPr>
              <w:t>矿</w:t>
            </w:r>
            <w:r>
              <w:rPr>
                <w:rFonts w:hint="default" w:ascii="Times New Roman" w:hAnsi="Times New Roman" w:eastAsia="宋体" w:cs="Times New Roman"/>
                <w:kern w:val="0"/>
                <w:sz w:val="24"/>
                <w:szCs w:val="24"/>
                <w:lang w:val="en-US" w:eastAsia="zh-CN"/>
              </w:rPr>
              <w:t>场位于办公生活区西北侧</w:t>
            </w:r>
            <w:r>
              <w:rPr>
                <w:rFonts w:hint="eastAsia" w:ascii="Times New Roman" w:hAnsi="Times New Roman" w:eastAsia="宋体" w:cs="Times New Roman"/>
                <w:kern w:val="0"/>
                <w:sz w:val="24"/>
                <w:szCs w:val="24"/>
                <w:highlight w:val="none"/>
                <w:lang w:val="en-US" w:eastAsia="zh-CN"/>
              </w:rPr>
              <w:t>，占地面积约</w:t>
            </w:r>
            <w:r>
              <w:rPr>
                <w:rFonts w:hint="eastAsia" w:cs="Times New Roman"/>
                <w:kern w:val="0"/>
                <w:sz w:val="24"/>
                <w:szCs w:val="24"/>
                <w:highlight w:val="none"/>
                <w:lang w:val="en-US" w:eastAsia="zh-CN"/>
              </w:rPr>
              <w:t>1</w:t>
            </w:r>
            <w:r>
              <w:rPr>
                <w:rFonts w:hint="eastAsia" w:ascii="Times New Roman" w:hAnsi="Times New Roman" w:eastAsia="宋体" w:cs="Times New Roman"/>
                <w:kern w:val="0"/>
                <w:sz w:val="24"/>
                <w:szCs w:val="24"/>
                <w:highlight w:val="none"/>
                <w:lang w:val="en-US" w:eastAsia="zh-CN"/>
              </w:rPr>
              <w:t>000m</w:t>
            </w:r>
            <w:r>
              <w:rPr>
                <w:rFonts w:hint="eastAsia" w:ascii="Times New Roman" w:hAnsi="Times New Roman" w:eastAsia="宋体" w:cs="Times New Roman"/>
                <w:kern w:val="0"/>
                <w:sz w:val="24"/>
                <w:szCs w:val="24"/>
                <w:highlight w:val="none"/>
                <w:vertAlign w:val="superscript"/>
                <w:lang w:val="en-US" w:eastAsia="zh-CN"/>
              </w:rPr>
              <w:t>2</w:t>
            </w:r>
            <w:r>
              <w:rPr>
                <w:rFonts w:hint="default" w:ascii="Times New Roman" w:hAnsi="Times New Roman" w:eastAsia="宋体" w:cs="Times New Roman"/>
                <w:kern w:val="0"/>
                <w:sz w:val="24"/>
                <w:szCs w:val="24"/>
                <w:highlight w:val="none"/>
                <w:lang w:val="en-US" w:eastAsia="zh-CN"/>
              </w:rPr>
              <w:t>，拟建</w:t>
            </w:r>
            <w:r>
              <w:rPr>
                <w:rFonts w:hint="default" w:ascii="Times New Roman" w:hAnsi="Times New Roman" w:eastAsia="宋体" w:cs="Times New Roman"/>
                <w:kern w:val="0"/>
                <w:sz w:val="24"/>
                <w:szCs w:val="24"/>
                <w:lang w:val="en-US" w:eastAsia="zh-CN"/>
              </w:rPr>
              <w:t>排土场1处，位于矿区的西北角，占地面积</w:t>
            </w:r>
            <w:r>
              <w:rPr>
                <w:rFonts w:hint="eastAsia" w:ascii="Times New Roman" w:hAnsi="Times New Roman" w:eastAsia="宋体" w:cs="Times New Roman"/>
                <w:kern w:val="0"/>
                <w:sz w:val="24"/>
                <w:szCs w:val="24"/>
                <w:lang w:val="en-US" w:eastAsia="zh-CN"/>
              </w:rPr>
              <w:t>为66675</w:t>
            </w:r>
            <w:r>
              <w:rPr>
                <w:rFonts w:hint="default" w:ascii="Times New Roman" w:hAnsi="Times New Roman" w:eastAsia="宋体" w:cs="Times New Roman"/>
                <w:kern w:val="0"/>
                <w:sz w:val="24"/>
                <w:szCs w:val="24"/>
                <w:lang w:val="en-US" w:eastAsia="zh-CN"/>
              </w:rPr>
              <w:t>m</w:t>
            </w:r>
            <w:r>
              <w:rPr>
                <w:rFonts w:hint="default" w:ascii="Times New Roman" w:hAnsi="Times New Roman" w:eastAsia="宋体" w:cs="Times New Roman"/>
                <w:kern w:val="0"/>
                <w:sz w:val="24"/>
                <w:szCs w:val="24"/>
                <w:vertAlign w:val="superscript"/>
                <w:lang w:val="en-US" w:eastAsia="zh-CN"/>
              </w:rPr>
              <w:t>2</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color w:val="auto"/>
                <w:kern w:val="0"/>
                <w:sz w:val="24"/>
                <w:szCs w:val="24"/>
                <w:lang w:val="en-US" w:eastAsia="zh-CN"/>
              </w:rPr>
              <w:t>矿山道路</w:t>
            </w:r>
            <w:r>
              <w:rPr>
                <w:rFonts w:hint="default" w:ascii="Times New Roman" w:hAnsi="Times New Roman" w:eastAsia="宋体" w:cs="Times New Roman"/>
                <w:color w:val="auto"/>
                <w:kern w:val="0"/>
                <w:sz w:val="24"/>
                <w:szCs w:val="24"/>
                <w:lang w:val="en-US" w:eastAsia="zh-CN"/>
              </w:rPr>
              <w:t>运输利用道路为已有便道，合计占地面积</w:t>
            </w:r>
            <w:r>
              <w:rPr>
                <w:rFonts w:hint="eastAsia" w:cs="Times New Roman"/>
                <w:color w:val="auto"/>
                <w:kern w:val="0"/>
                <w:sz w:val="24"/>
                <w:szCs w:val="24"/>
                <w:lang w:val="en-US" w:eastAsia="zh-CN"/>
              </w:rPr>
              <w:t>2000</w:t>
            </w:r>
            <w:r>
              <w:rPr>
                <w:rFonts w:hint="default" w:ascii="Times New Roman" w:hAnsi="Times New Roman" w:eastAsia="宋体" w:cs="Times New Roman"/>
                <w:color w:val="auto"/>
                <w:kern w:val="0"/>
                <w:sz w:val="24"/>
                <w:szCs w:val="24"/>
                <w:lang w:val="en-US" w:eastAsia="zh-CN"/>
              </w:rPr>
              <w:t>m</w:t>
            </w:r>
            <w:r>
              <w:rPr>
                <w:rFonts w:hint="default" w:ascii="Times New Roman" w:hAnsi="Times New Roman" w:eastAsia="宋体" w:cs="Times New Roman"/>
                <w:color w:val="auto"/>
                <w:kern w:val="0"/>
                <w:sz w:val="24"/>
                <w:szCs w:val="24"/>
                <w:vertAlign w:val="superscript"/>
                <w:lang w:val="en-US" w:eastAsia="zh-CN"/>
              </w:rPr>
              <w:t>2</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kern w:val="0"/>
                <w:sz w:val="24"/>
                <w:szCs w:val="24"/>
                <w:lang w:val="en-US" w:eastAsia="zh-CN"/>
              </w:rPr>
              <w:t>露天开采</w:t>
            </w:r>
            <w:r>
              <w:rPr>
                <w:rFonts w:hint="default" w:ascii="Times New Roman" w:hAnsi="Times New Roman" w:eastAsia="宋体" w:cs="Times New Roman"/>
                <w:kern w:val="0"/>
                <w:sz w:val="24"/>
                <w:szCs w:val="24"/>
                <w:highlight w:val="none"/>
                <w:lang w:val="en-US" w:eastAsia="zh-CN"/>
              </w:rPr>
              <w:t>总平面布置图见附图2，露天开采终了境界图及剖面图见附图</w:t>
            </w:r>
            <w:r>
              <w:rPr>
                <w:rFonts w:hint="eastAsia" w:cs="Times New Roman"/>
                <w:kern w:val="0"/>
                <w:sz w:val="24"/>
                <w:szCs w:val="24"/>
                <w:highlight w:val="none"/>
                <w:lang w:val="en-US" w:eastAsia="zh-CN"/>
              </w:rPr>
              <w:t>13</w:t>
            </w:r>
            <w:r>
              <w:rPr>
                <w:rFonts w:hint="default" w:ascii="Times New Roman" w:hAnsi="Times New Roman" w:eastAsia="宋体" w:cs="Times New Roman"/>
                <w:kern w:val="0"/>
                <w:sz w:val="24"/>
                <w:szCs w:val="24"/>
                <w:highlight w:val="none"/>
                <w:lang w:val="en-US" w:eastAsia="zh-CN"/>
              </w:rPr>
              <w:t>至图</w:t>
            </w:r>
            <w:r>
              <w:rPr>
                <w:rFonts w:hint="eastAsia" w:cs="Times New Roman"/>
                <w:kern w:val="0"/>
                <w:sz w:val="24"/>
                <w:szCs w:val="24"/>
                <w:highlight w:val="none"/>
                <w:lang w:val="en-US" w:eastAsia="zh-CN"/>
              </w:rPr>
              <w:t>14</w:t>
            </w:r>
            <w:r>
              <w:rPr>
                <w:rFonts w:hint="default" w:ascii="Times New Roman" w:hAnsi="Times New Roman" w:eastAsia="宋体" w:cs="Times New Roman"/>
                <w:kern w:val="0"/>
                <w:sz w:val="24"/>
                <w:szCs w:val="24"/>
                <w:highlight w:val="none"/>
                <w:lang w:val="en-US" w:eastAsia="zh-CN"/>
              </w:rPr>
              <w:t>。</w:t>
            </w:r>
          </w:p>
          <w:p w14:paraId="248D3E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p>
          <w:p w14:paraId="414307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p>
          <w:p w14:paraId="4799B4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p>
          <w:p w14:paraId="6CDA86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p>
          <w:p w14:paraId="3460FAB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p w14:paraId="4129117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p w14:paraId="1171142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p w14:paraId="70249CD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p w14:paraId="531C24B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p w14:paraId="2F30409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p w14:paraId="7C1285D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p w14:paraId="6B8E3E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p>
          <w:p w14:paraId="14CC83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p>
          <w:p w14:paraId="680A0D3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p w14:paraId="57BF1C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p>
          <w:p w14:paraId="4E35D2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lang w:val="en-US" w:eastAsia="zh-CN"/>
              </w:rPr>
            </w:pPr>
          </w:p>
          <w:p w14:paraId="5187CC3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p>
        </w:tc>
      </w:tr>
      <w:tr w14:paraId="6A60D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29" w:hRule="atLeast"/>
          <w:jc w:val="center"/>
        </w:trPr>
        <w:tc>
          <w:tcPr>
            <w:tcW w:w="710" w:type="dxa"/>
            <w:noWrap w:val="0"/>
            <w:vAlign w:val="center"/>
          </w:tcPr>
          <w:p w14:paraId="01C29E1C">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施工方案</w:t>
            </w:r>
          </w:p>
        </w:tc>
        <w:tc>
          <w:tcPr>
            <w:tcW w:w="8380" w:type="dxa"/>
            <w:noWrap w:val="0"/>
            <w:vAlign w:val="center"/>
          </w:tcPr>
          <w:p w14:paraId="57F46D7F">
            <w:pPr>
              <w:numPr>
                <w:ilvl w:val="0"/>
                <w:numId w:val="0"/>
              </w:numPr>
              <w:adjustRightInd w:val="0"/>
              <w:snapToGrid w:val="0"/>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1、施工工艺</w:t>
            </w:r>
          </w:p>
          <w:p w14:paraId="7B09508B">
            <w:pPr>
              <w:pStyle w:val="22"/>
              <w:numPr>
                <w:ilvl w:val="0"/>
                <w:numId w:val="0"/>
              </w:numPr>
              <w:ind w:right="113" w:righ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项目施工期工艺流程详见图2-3。</w:t>
            </w:r>
          </w:p>
          <w:p w14:paraId="5F2799D4">
            <w:pPr>
              <w:pStyle w:val="22"/>
              <w:numPr>
                <w:ilvl w:val="0"/>
                <w:numId w:val="0"/>
              </w:numPr>
              <w:ind w:right="113" w:rightChars="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5182870" cy="458470"/>
                  <wp:effectExtent l="0" t="0" r="17780" b="17780"/>
                  <wp:docPr id="2" name="F360BE8B-6686-4F3D-AEAF-501FE73E4058-2" descr="绘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60BE8B-6686-4F3D-AEAF-501FE73E4058-2" descr="绘图1(3)"/>
                          <pic:cNvPicPr>
                            <a:picLocks noChangeAspect="1"/>
                          </pic:cNvPicPr>
                        </pic:nvPicPr>
                        <pic:blipFill>
                          <a:blip r:embed="rId10"/>
                          <a:stretch>
                            <a:fillRect/>
                          </a:stretch>
                        </pic:blipFill>
                        <pic:spPr>
                          <a:xfrm>
                            <a:off x="0" y="0"/>
                            <a:ext cx="5182870" cy="458470"/>
                          </a:xfrm>
                          <a:prstGeom prst="rect">
                            <a:avLst/>
                          </a:prstGeom>
                          <a:noFill/>
                          <a:ln>
                            <a:noFill/>
                          </a:ln>
                        </pic:spPr>
                      </pic:pic>
                    </a:graphicData>
                  </a:graphic>
                </wp:inline>
              </w:drawing>
            </w:r>
          </w:p>
          <w:p w14:paraId="79F595DB">
            <w:pPr>
              <w:adjustRightInd w:val="0"/>
              <w:snapToGrid w:val="0"/>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1"/>
                <w:szCs w:val="21"/>
                <w:lang w:val="en-US" w:eastAsia="zh-CN"/>
              </w:rPr>
              <w:t>图 2-</w:t>
            </w:r>
            <w:r>
              <w:rPr>
                <w:rFonts w:hint="eastAsia" w:cs="Times New Roman"/>
                <w:b/>
                <w:bCs/>
                <w:kern w:val="0"/>
                <w:sz w:val="21"/>
                <w:szCs w:val="21"/>
                <w:lang w:val="en-US" w:eastAsia="zh-CN"/>
              </w:rPr>
              <w:t>3</w:t>
            </w:r>
            <w:r>
              <w:rPr>
                <w:rFonts w:hint="default" w:ascii="Times New Roman" w:hAnsi="Times New Roman" w:eastAsia="宋体" w:cs="Times New Roman"/>
                <w:b/>
                <w:bCs/>
                <w:kern w:val="0"/>
                <w:sz w:val="21"/>
                <w:szCs w:val="21"/>
                <w:lang w:val="en-US" w:eastAsia="zh-CN"/>
              </w:rPr>
              <w:t xml:space="preserve"> </w:t>
            </w:r>
            <w:r>
              <w:rPr>
                <w:rFonts w:hint="eastAsia" w:ascii="Times New Roman" w:hAnsi="Times New Roman" w:eastAsia="宋体" w:cs="Times New Roman"/>
                <w:b/>
                <w:bCs/>
                <w:kern w:val="0"/>
                <w:sz w:val="21"/>
                <w:szCs w:val="21"/>
                <w:lang w:val="en-US" w:eastAsia="zh-CN"/>
              </w:rPr>
              <w:t xml:space="preserve">  </w:t>
            </w:r>
            <w:r>
              <w:rPr>
                <w:rFonts w:hint="default" w:ascii="Times New Roman" w:hAnsi="Times New Roman" w:eastAsia="宋体" w:cs="Times New Roman"/>
                <w:b/>
                <w:bCs/>
                <w:kern w:val="0"/>
                <w:sz w:val="21"/>
                <w:szCs w:val="21"/>
                <w:lang w:val="en-US" w:eastAsia="zh-CN"/>
              </w:rPr>
              <w:t>项目施工期工艺流程图</w:t>
            </w:r>
          </w:p>
          <w:p w14:paraId="5D0160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（1）工艺简述</w:t>
            </w:r>
          </w:p>
          <w:p w14:paraId="6D9789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项目施工期建设内容、施工工序较简单，采用机械设备为主，人力为辅的施工方案。施工人员进场后首先进行场地平整，优先进行矿山</w:t>
            </w:r>
            <w:r>
              <w:rPr>
                <w:rFonts w:hint="eastAsia" w:ascii="Times New Roman" w:hAnsi="Times New Roman" w:eastAsia="宋体" w:cs="Times New Roman"/>
                <w:kern w:val="0"/>
                <w:sz w:val="24"/>
                <w:szCs w:val="24"/>
                <w:lang w:val="en-US" w:eastAsia="zh-CN"/>
              </w:rPr>
              <w:t>临时值班室</w:t>
            </w:r>
            <w:r>
              <w:rPr>
                <w:rFonts w:hint="default" w:ascii="Times New Roman" w:hAnsi="Times New Roman" w:eastAsia="宋体" w:cs="Times New Roman"/>
                <w:kern w:val="0"/>
                <w:sz w:val="24"/>
                <w:szCs w:val="24"/>
                <w:lang w:val="en-US" w:eastAsia="zh-CN"/>
              </w:rPr>
              <w:t>的建设，其次进行生产区的基础设施建设，最后通过设备安装、调试和验收后即可交付使用。</w:t>
            </w:r>
          </w:p>
          <w:p w14:paraId="532ADE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（2）施工材料</w:t>
            </w:r>
          </w:p>
          <w:p w14:paraId="4766EC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0"/>
                <w:sz w:val="32"/>
                <w:szCs w:val="32"/>
                <w:lang w:val="en-US" w:eastAsia="zh-CN"/>
              </w:rPr>
            </w:pPr>
            <w:r>
              <w:rPr>
                <w:rFonts w:hint="eastAsia" w:ascii="Times New Roman" w:hAnsi="Times New Roman" w:eastAsia="宋体" w:cs="Times New Roman"/>
                <w:kern w:val="0"/>
                <w:sz w:val="24"/>
                <w:szCs w:val="24"/>
                <w:lang w:val="en-US" w:eastAsia="zh-CN"/>
              </w:rPr>
              <w:t>矿区临时办公室位于</w:t>
            </w:r>
            <w:r>
              <w:rPr>
                <w:rFonts w:hint="eastAsia" w:ascii="宋体" w:hAnsi="宋体" w:cs="宋体"/>
                <w:sz w:val="24"/>
                <w:szCs w:val="32"/>
              </w:rPr>
              <w:t>首采工作面西侧</w:t>
            </w:r>
            <w:r>
              <w:rPr>
                <w:rFonts w:hint="eastAsia" w:ascii="宋体" w:hAnsi="宋体" w:cs="宋体"/>
                <w:sz w:val="24"/>
                <w:szCs w:val="32"/>
                <w:lang w:eastAsia="zh-CN"/>
              </w:rPr>
              <w:t>，采用岩棉板结构，为防止降雨对建筑物造成影响，临时值班室设计基础高度不低于周边地形1.0m，并对地基进行碾压夯实后采用砼浇筑。</w:t>
            </w:r>
          </w:p>
          <w:p w14:paraId="16E6049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（3）主要设备配置</w:t>
            </w:r>
          </w:p>
          <w:p w14:paraId="74D8B0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项目施工期主要设备配置见表 2-</w:t>
            </w:r>
            <w:r>
              <w:rPr>
                <w:rFonts w:hint="eastAsia" w:cs="Times New Roman"/>
                <w:kern w:val="0"/>
                <w:sz w:val="24"/>
                <w:szCs w:val="24"/>
                <w:lang w:val="en-US" w:eastAsia="zh-CN"/>
              </w:rPr>
              <w:t>11</w:t>
            </w:r>
            <w:r>
              <w:rPr>
                <w:rFonts w:hint="default" w:ascii="Times New Roman" w:hAnsi="Times New Roman" w:eastAsia="宋体" w:cs="Times New Roman"/>
                <w:kern w:val="0"/>
                <w:sz w:val="24"/>
                <w:szCs w:val="24"/>
                <w:lang w:val="en-US" w:eastAsia="zh-CN"/>
              </w:rPr>
              <w:t>。</w:t>
            </w:r>
          </w:p>
          <w:p w14:paraId="222AAB72">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lang w:val="en-US" w:eastAsia="zh-CN"/>
              </w:rPr>
              <w:t>表 2-</w:t>
            </w:r>
            <w:r>
              <w:rPr>
                <w:rFonts w:hint="eastAsia" w:cs="Times New Roman"/>
                <w:b/>
                <w:bCs/>
                <w:kern w:val="0"/>
                <w:sz w:val="21"/>
                <w:szCs w:val="21"/>
                <w:lang w:val="en-US" w:eastAsia="zh-CN"/>
              </w:rPr>
              <w:t>11</w:t>
            </w:r>
            <w:r>
              <w:rPr>
                <w:rFonts w:hint="default" w:ascii="Times New Roman" w:hAnsi="Times New Roman" w:eastAsia="宋体" w:cs="Times New Roman"/>
                <w:b/>
                <w:bCs/>
                <w:kern w:val="0"/>
                <w:sz w:val="21"/>
                <w:szCs w:val="21"/>
                <w:lang w:val="en-US" w:eastAsia="zh-CN"/>
              </w:rPr>
              <w:t xml:space="preserve"> 主要施工设备配置表</w:t>
            </w:r>
          </w:p>
          <w:tbl>
            <w:tblPr>
              <w:tblStyle w:val="24"/>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963"/>
              <w:gridCol w:w="1756"/>
              <w:gridCol w:w="1916"/>
              <w:gridCol w:w="1629"/>
            </w:tblGrid>
            <w:tr w14:paraId="3B28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top w:val="single" w:color="000000" w:sz="12" w:space="0"/>
                    <w:left w:val="nil"/>
                    <w:tl2br w:val="nil"/>
                  </w:tcBorders>
                  <w:noWrap w:val="0"/>
                  <w:vAlign w:val="center"/>
                </w:tcPr>
                <w:p w14:paraId="197BBA1A">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序号</w:t>
                  </w:r>
                </w:p>
              </w:tc>
              <w:tc>
                <w:tcPr>
                  <w:tcW w:w="1205" w:type="pct"/>
                  <w:tcBorders>
                    <w:top w:val="single" w:color="000000" w:sz="12" w:space="0"/>
                  </w:tcBorders>
                  <w:noWrap w:val="0"/>
                  <w:vAlign w:val="center"/>
                </w:tcPr>
                <w:p w14:paraId="4FB225D5">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设备名称</w:t>
                  </w:r>
                </w:p>
              </w:tc>
              <w:tc>
                <w:tcPr>
                  <w:tcW w:w="1078" w:type="pct"/>
                  <w:tcBorders>
                    <w:top w:val="single" w:color="000000" w:sz="12" w:space="0"/>
                  </w:tcBorders>
                  <w:noWrap w:val="0"/>
                  <w:vAlign w:val="center"/>
                </w:tcPr>
                <w:p w14:paraId="38732CB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设备规格</w:t>
                  </w:r>
                </w:p>
              </w:tc>
              <w:tc>
                <w:tcPr>
                  <w:tcW w:w="1176" w:type="pct"/>
                  <w:tcBorders>
                    <w:top w:val="single" w:color="000000" w:sz="12" w:space="0"/>
                  </w:tcBorders>
                  <w:noWrap w:val="0"/>
                  <w:vAlign w:val="center"/>
                </w:tcPr>
                <w:p w14:paraId="056E7DB0">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数量</w:t>
                  </w:r>
                </w:p>
              </w:tc>
              <w:tc>
                <w:tcPr>
                  <w:tcW w:w="1000" w:type="pct"/>
                  <w:tcBorders>
                    <w:top w:val="single" w:color="000000" w:sz="12" w:space="0"/>
                    <w:right w:val="nil"/>
                  </w:tcBorders>
                  <w:noWrap w:val="0"/>
                  <w:vAlign w:val="center"/>
                </w:tcPr>
                <w:p w14:paraId="6E92C8C2">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备注</w:t>
                  </w:r>
                </w:p>
              </w:tc>
            </w:tr>
            <w:tr w14:paraId="39BC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tcBorders>
                  <w:noWrap w:val="0"/>
                  <w:vAlign w:val="center"/>
                </w:tcPr>
                <w:p w14:paraId="72E3BF8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1</w:t>
                  </w:r>
                </w:p>
              </w:tc>
              <w:tc>
                <w:tcPr>
                  <w:tcW w:w="1205" w:type="pct"/>
                  <w:noWrap w:val="0"/>
                  <w:vAlign w:val="center"/>
                </w:tcPr>
                <w:p w14:paraId="3D609A16">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挖掘机</w:t>
                  </w:r>
                </w:p>
              </w:tc>
              <w:tc>
                <w:tcPr>
                  <w:tcW w:w="1078" w:type="pct"/>
                  <w:noWrap w:val="0"/>
                  <w:vAlign w:val="center"/>
                </w:tcPr>
                <w:p w14:paraId="501E2C18">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360 型挖掘机</w:t>
                  </w:r>
                </w:p>
              </w:tc>
              <w:tc>
                <w:tcPr>
                  <w:tcW w:w="1176" w:type="pct"/>
                  <w:noWrap w:val="0"/>
                  <w:vAlign w:val="center"/>
                </w:tcPr>
                <w:p w14:paraId="1CD614A5">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1台</w:t>
                  </w:r>
                </w:p>
              </w:tc>
              <w:tc>
                <w:tcPr>
                  <w:tcW w:w="1000" w:type="pct"/>
                  <w:tcBorders>
                    <w:right w:val="nil"/>
                  </w:tcBorders>
                  <w:noWrap w:val="0"/>
                  <w:vAlign w:val="center"/>
                </w:tcPr>
                <w:p w14:paraId="7BA50E4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购置</w:t>
                  </w:r>
                </w:p>
              </w:tc>
            </w:tr>
            <w:tr w14:paraId="3B45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tcBorders>
                  <w:noWrap w:val="0"/>
                  <w:vAlign w:val="center"/>
                </w:tcPr>
                <w:p w14:paraId="74081B88">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w:t>
                  </w:r>
                </w:p>
              </w:tc>
              <w:tc>
                <w:tcPr>
                  <w:tcW w:w="1205" w:type="pct"/>
                  <w:noWrap w:val="0"/>
                  <w:vAlign w:val="center"/>
                </w:tcPr>
                <w:p w14:paraId="0F4627A8">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电锯</w:t>
                  </w:r>
                </w:p>
              </w:tc>
              <w:tc>
                <w:tcPr>
                  <w:tcW w:w="1078" w:type="pct"/>
                  <w:noWrap w:val="0"/>
                  <w:vAlign w:val="center"/>
                </w:tcPr>
                <w:p w14:paraId="30156B0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QJ40-2</w:t>
                  </w:r>
                </w:p>
              </w:tc>
              <w:tc>
                <w:tcPr>
                  <w:tcW w:w="1176" w:type="pct"/>
                  <w:noWrap w:val="0"/>
                  <w:vAlign w:val="center"/>
                </w:tcPr>
                <w:p w14:paraId="7392F6A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1台</w:t>
                  </w:r>
                </w:p>
              </w:tc>
              <w:tc>
                <w:tcPr>
                  <w:tcW w:w="1000" w:type="pct"/>
                  <w:tcBorders>
                    <w:right w:val="nil"/>
                  </w:tcBorders>
                  <w:noWrap w:val="0"/>
                  <w:vAlign w:val="center"/>
                </w:tcPr>
                <w:p w14:paraId="2594E8FE">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租赁</w:t>
                  </w:r>
                </w:p>
              </w:tc>
            </w:tr>
            <w:tr w14:paraId="1C50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tcBorders>
                  <w:noWrap w:val="0"/>
                  <w:vAlign w:val="center"/>
                </w:tcPr>
                <w:p w14:paraId="277151E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3</w:t>
                  </w:r>
                </w:p>
              </w:tc>
              <w:tc>
                <w:tcPr>
                  <w:tcW w:w="1205" w:type="pct"/>
                  <w:noWrap w:val="0"/>
                  <w:vAlign w:val="center"/>
                </w:tcPr>
                <w:p w14:paraId="43F8A2C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电焊机</w:t>
                  </w:r>
                </w:p>
              </w:tc>
              <w:tc>
                <w:tcPr>
                  <w:tcW w:w="1078" w:type="pct"/>
                  <w:noWrap w:val="0"/>
                  <w:vAlign w:val="center"/>
                </w:tcPr>
                <w:p w14:paraId="1BCDB25C">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JSD-600</w:t>
                  </w:r>
                </w:p>
              </w:tc>
              <w:tc>
                <w:tcPr>
                  <w:tcW w:w="1176" w:type="pct"/>
                  <w:noWrap w:val="0"/>
                  <w:vAlign w:val="center"/>
                </w:tcPr>
                <w:p w14:paraId="7215B831">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w:t>
                  </w:r>
                  <w:r>
                    <w:rPr>
                      <w:rFonts w:hint="default"/>
                      <w:lang w:val="en-US" w:eastAsia="zh-CN"/>
                    </w:rPr>
                    <w:t>台</w:t>
                  </w:r>
                </w:p>
              </w:tc>
              <w:tc>
                <w:tcPr>
                  <w:tcW w:w="1000" w:type="pct"/>
                  <w:tcBorders>
                    <w:right w:val="nil"/>
                  </w:tcBorders>
                  <w:noWrap w:val="0"/>
                  <w:vAlign w:val="center"/>
                </w:tcPr>
                <w:p w14:paraId="4847C1A7">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租赁</w:t>
                  </w:r>
                </w:p>
              </w:tc>
            </w:tr>
            <w:tr w14:paraId="1C1AA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tcBorders>
                  <w:noWrap w:val="0"/>
                  <w:vAlign w:val="center"/>
                </w:tcPr>
                <w:p w14:paraId="08E5361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w:t>
                  </w:r>
                </w:p>
              </w:tc>
              <w:tc>
                <w:tcPr>
                  <w:tcW w:w="1205" w:type="pct"/>
                  <w:noWrap w:val="0"/>
                  <w:vAlign w:val="center"/>
                </w:tcPr>
                <w:p w14:paraId="4B4256C2">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电钻</w:t>
                  </w:r>
                </w:p>
              </w:tc>
              <w:tc>
                <w:tcPr>
                  <w:tcW w:w="1078" w:type="pct"/>
                  <w:noWrap w:val="0"/>
                  <w:vAlign w:val="center"/>
                </w:tcPr>
                <w:p w14:paraId="79EF9696">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100型</w:t>
                  </w:r>
                </w:p>
              </w:tc>
              <w:tc>
                <w:tcPr>
                  <w:tcW w:w="1176" w:type="pct"/>
                  <w:noWrap w:val="0"/>
                  <w:vAlign w:val="center"/>
                </w:tcPr>
                <w:p w14:paraId="6AD00C63">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1台</w:t>
                  </w:r>
                </w:p>
              </w:tc>
              <w:tc>
                <w:tcPr>
                  <w:tcW w:w="1000" w:type="pct"/>
                  <w:tcBorders>
                    <w:right w:val="nil"/>
                  </w:tcBorders>
                  <w:noWrap w:val="0"/>
                  <w:vAlign w:val="center"/>
                </w:tcPr>
                <w:p w14:paraId="57B9F68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租赁</w:t>
                  </w:r>
                </w:p>
              </w:tc>
            </w:tr>
            <w:tr w14:paraId="5350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tcBorders>
                  <w:noWrap w:val="0"/>
                  <w:vAlign w:val="center"/>
                </w:tcPr>
                <w:p w14:paraId="1142BE4B">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w:t>
                  </w:r>
                </w:p>
              </w:tc>
              <w:tc>
                <w:tcPr>
                  <w:tcW w:w="1205" w:type="pct"/>
                  <w:noWrap w:val="0"/>
                  <w:vAlign w:val="center"/>
                </w:tcPr>
                <w:p w14:paraId="14369308">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打夯机</w:t>
                  </w:r>
                </w:p>
              </w:tc>
              <w:tc>
                <w:tcPr>
                  <w:tcW w:w="1078" w:type="pct"/>
                  <w:noWrap w:val="0"/>
                  <w:vAlign w:val="center"/>
                </w:tcPr>
                <w:p w14:paraId="43D11D63">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HW80</w:t>
                  </w:r>
                </w:p>
              </w:tc>
              <w:tc>
                <w:tcPr>
                  <w:tcW w:w="1176" w:type="pct"/>
                  <w:noWrap w:val="0"/>
                  <w:vAlign w:val="center"/>
                </w:tcPr>
                <w:p w14:paraId="1BED00CD">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w:t>
                  </w:r>
                  <w:r>
                    <w:rPr>
                      <w:rFonts w:hint="default"/>
                      <w:lang w:val="en-US" w:eastAsia="zh-CN"/>
                    </w:rPr>
                    <w:t>台</w:t>
                  </w:r>
                </w:p>
              </w:tc>
              <w:tc>
                <w:tcPr>
                  <w:tcW w:w="1000" w:type="pct"/>
                  <w:tcBorders>
                    <w:right w:val="nil"/>
                  </w:tcBorders>
                  <w:noWrap w:val="0"/>
                  <w:vAlign w:val="center"/>
                </w:tcPr>
                <w:p w14:paraId="38674B23">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租赁</w:t>
                  </w:r>
                </w:p>
              </w:tc>
            </w:tr>
            <w:tr w14:paraId="25E8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tcBorders>
                  <w:noWrap w:val="0"/>
                  <w:vAlign w:val="center"/>
                </w:tcPr>
                <w:p w14:paraId="2D81EE9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w:t>
                  </w:r>
                </w:p>
              </w:tc>
              <w:tc>
                <w:tcPr>
                  <w:tcW w:w="1205" w:type="pct"/>
                  <w:noWrap w:val="0"/>
                  <w:vAlign w:val="center"/>
                </w:tcPr>
                <w:p w14:paraId="210B4C8E">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压路车</w:t>
                  </w:r>
                </w:p>
              </w:tc>
              <w:tc>
                <w:tcPr>
                  <w:tcW w:w="1078" w:type="pct"/>
                  <w:noWrap w:val="0"/>
                  <w:vAlign w:val="center"/>
                </w:tcPr>
                <w:p w14:paraId="1AE929E5">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w:t>
                  </w:r>
                </w:p>
              </w:tc>
              <w:tc>
                <w:tcPr>
                  <w:tcW w:w="1176" w:type="pct"/>
                  <w:noWrap w:val="0"/>
                  <w:vAlign w:val="center"/>
                </w:tcPr>
                <w:p w14:paraId="0423A58F">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1台</w:t>
                  </w:r>
                </w:p>
              </w:tc>
              <w:tc>
                <w:tcPr>
                  <w:tcW w:w="1000" w:type="pct"/>
                  <w:tcBorders>
                    <w:right w:val="nil"/>
                  </w:tcBorders>
                  <w:noWrap w:val="0"/>
                  <w:vAlign w:val="center"/>
                </w:tcPr>
                <w:p w14:paraId="197E3F31">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租赁</w:t>
                  </w:r>
                </w:p>
              </w:tc>
            </w:tr>
            <w:tr w14:paraId="3E67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tcBorders>
                  <w:noWrap w:val="0"/>
                  <w:vAlign w:val="center"/>
                </w:tcPr>
                <w:p w14:paraId="6374576D">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7</w:t>
                  </w:r>
                </w:p>
              </w:tc>
              <w:tc>
                <w:tcPr>
                  <w:tcW w:w="1205" w:type="pct"/>
                  <w:noWrap w:val="0"/>
                  <w:vAlign w:val="center"/>
                </w:tcPr>
                <w:p w14:paraId="2AA41FCE">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装载机</w:t>
                  </w:r>
                </w:p>
              </w:tc>
              <w:tc>
                <w:tcPr>
                  <w:tcW w:w="1078" w:type="pct"/>
                  <w:noWrap w:val="0"/>
                  <w:vAlign w:val="center"/>
                </w:tcPr>
                <w:p w14:paraId="225B935F">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临工50型</w:t>
                  </w:r>
                </w:p>
              </w:tc>
              <w:tc>
                <w:tcPr>
                  <w:tcW w:w="1176" w:type="pct"/>
                  <w:noWrap w:val="0"/>
                  <w:vAlign w:val="center"/>
                </w:tcPr>
                <w:p w14:paraId="4BA96F00">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2台</w:t>
                  </w:r>
                </w:p>
              </w:tc>
              <w:tc>
                <w:tcPr>
                  <w:tcW w:w="1000" w:type="pct"/>
                  <w:tcBorders>
                    <w:right w:val="nil"/>
                  </w:tcBorders>
                  <w:noWrap w:val="0"/>
                  <w:vAlign w:val="center"/>
                </w:tcPr>
                <w:p w14:paraId="5EAFC602">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购置</w:t>
                  </w:r>
                </w:p>
              </w:tc>
            </w:tr>
            <w:tr w14:paraId="71F3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tcBorders>
                  <w:noWrap w:val="0"/>
                  <w:vAlign w:val="center"/>
                </w:tcPr>
                <w:p w14:paraId="392B8208">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8</w:t>
                  </w:r>
                </w:p>
              </w:tc>
              <w:tc>
                <w:tcPr>
                  <w:tcW w:w="1205" w:type="pct"/>
                  <w:noWrap w:val="0"/>
                  <w:vAlign w:val="center"/>
                </w:tcPr>
                <w:p w14:paraId="319655A1">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自卸汽车</w:t>
                  </w:r>
                </w:p>
              </w:tc>
              <w:tc>
                <w:tcPr>
                  <w:tcW w:w="1078" w:type="pct"/>
                  <w:noWrap w:val="0"/>
                  <w:vAlign w:val="center"/>
                </w:tcPr>
                <w:p w14:paraId="1CE6383D">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10t</w:t>
                  </w:r>
                </w:p>
              </w:tc>
              <w:tc>
                <w:tcPr>
                  <w:tcW w:w="1176" w:type="pct"/>
                  <w:noWrap w:val="0"/>
                  <w:vAlign w:val="center"/>
                </w:tcPr>
                <w:p w14:paraId="54BE5A8D">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2台</w:t>
                  </w:r>
                </w:p>
              </w:tc>
              <w:tc>
                <w:tcPr>
                  <w:tcW w:w="1000" w:type="pct"/>
                  <w:tcBorders>
                    <w:right w:val="nil"/>
                  </w:tcBorders>
                  <w:noWrap w:val="0"/>
                  <w:vAlign w:val="center"/>
                </w:tcPr>
                <w:p w14:paraId="78F0E156">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购置</w:t>
                  </w:r>
                </w:p>
              </w:tc>
            </w:tr>
            <w:tr w14:paraId="7D79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38" w:type="pct"/>
                  <w:tcBorders>
                    <w:left w:val="nil"/>
                    <w:bottom w:val="single" w:color="000000" w:sz="12" w:space="0"/>
                  </w:tcBorders>
                  <w:noWrap w:val="0"/>
                  <w:vAlign w:val="center"/>
                </w:tcPr>
                <w:p w14:paraId="2B637055">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9</w:t>
                  </w:r>
                </w:p>
              </w:tc>
              <w:tc>
                <w:tcPr>
                  <w:tcW w:w="1205" w:type="pct"/>
                  <w:tcBorders>
                    <w:bottom w:val="single" w:color="000000" w:sz="12" w:space="0"/>
                  </w:tcBorders>
                  <w:noWrap w:val="0"/>
                  <w:vAlign w:val="center"/>
                </w:tcPr>
                <w:p w14:paraId="3C61710B">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推土机</w:t>
                  </w:r>
                </w:p>
              </w:tc>
              <w:tc>
                <w:tcPr>
                  <w:tcW w:w="1078" w:type="pct"/>
                  <w:tcBorders>
                    <w:bottom w:val="single" w:color="000000" w:sz="12" w:space="0"/>
                  </w:tcBorders>
                  <w:noWrap w:val="0"/>
                  <w:vAlign w:val="center"/>
                </w:tcPr>
                <w:p w14:paraId="650CDDDB">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default"/>
                      <w:lang w:val="en-US" w:eastAsia="zh-CN"/>
                    </w:rPr>
                    <w:t>GR100</w:t>
                  </w:r>
                </w:p>
              </w:tc>
              <w:tc>
                <w:tcPr>
                  <w:tcW w:w="1176" w:type="pct"/>
                  <w:tcBorders>
                    <w:bottom w:val="single" w:color="000000" w:sz="12" w:space="0"/>
                  </w:tcBorders>
                  <w:noWrap w:val="0"/>
                  <w:vAlign w:val="center"/>
                </w:tcPr>
                <w:p w14:paraId="0BE36F5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1台</w:t>
                  </w:r>
                </w:p>
              </w:tc>
              <w:tc>
                <w:tcPr>
                  <w:tcW w:w="1000" w:type="pct"/>
                  <w:tcBorders>
                    <w:bottom w:val="single" w:color="000000" w:sz="12" w:space="0"/>
                    <w:right w:val="nil"/>
                  </w:tcBorders>
                  <w:noWrap w:val="0"/>
                  <w:vAlign w:val="center"/>
                </w:tcPr>
                <w:p w14:paraId="429B1714">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租赁</w:t>
                  </w:r>
                </w:p>
              </w:tc>
            </w:tr>
          </w:tbl>
          <w:p w14:paraId="1A4FFB5A">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rPr>
              <w:t>施工期主要污染工序：</w:t>
            </w:r>
          </w:p>
          <w:p w14:paraId="368C0CB2">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本项目的施工主要包括矿山生活区以及其他配套设施的建设，以及主体工程建设完成</w:t>
            </w:r>
          </w:p>
          <w:p w14:paraId="2A69C3E0">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后，建筑的内部装饰、水电等的安装。本项目施工期主要污染工序如下：</w:t>
            </w:r>
          </w:p>
          <w:p w14:paraId="216DE007">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rPr>
              <w:t>废气</w:t>
            </w:r>
            <w:r>
              <w:rPr>
                <w:rFonts w:hint="default" w:ascii="Times New Roman" w:hAnsi="Times New Roman" w:eastAsia="宋体" w:cs="Times New Roman"/>
                <w:kern w:val="0"/>
                <w:sz w:val="24"/>
                <w:szCs w:val="24"/>
                <w:lang w:val="en-US" w:eastAsia="zh-CN"/>
              </w:rPr>
              <w:t>：项目施工期废气主要包括施工机械、机动车辆运输等产生的CO、NOx等废气，施工扬尘等。</w:t>
            </w:r>
          </w:p>
          <w:p w14:paraId="3E0BE85F">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kern w:val="0"/>
                <w:sz w:val="24"/>
                <w:szCs w:val="24"/>
                <w:lang w:val="en-US"/>
              </w:rPr>
            </w:pPr>
            <w:r>
              <w:rPr>
                <w:rFonts w:hint="default" w:ascii="Times New Roman" w:hAnsi="Times New Roman" w:eastAsia="宋体" w:cs="Times New Roman"/>
                <w:b/>
                <w:bCs/>
                <w:kern w:val="0"/>
                <w:sz w:val="24"/>
                <w:szCs w:val="24"/>
                <w:lang w:val="en-US" w:eastAsia="zh-CN"/>
              </w:rPr>
              <w:t>废水</w:t>
            </w:r>
            <w:r>
              <w:rPr>
                <w:rFonts w:hint="default" w:ascii="Times New Roman" w:hAnsi="Times New Roman" w:eastAsia="宋体" w:cs="Times New Roman"/>
                <w:kern w:val="0"/>
                <w:sz w:val="24"/>
                <w:szCs w:val="24"/>
                <w:lang w:val="en-US" w:eastAsia="zh-CN"/>
              </w:rPr>
              <w:t>：在施工过程中，</w:t>
            </w:r>
            <w:r>
              <w:rPr>
                <w:rFonts w:hint="eastAsia" w:cs="Times New Roman"/>
                <w:kern w:val="0"/>
                <w:sz w:val="24"/>
                <w:szCs w:val="24"/>
                <w:lang w:val="en-US" w:eastAsia="zh-CN"/>
              </w:rPr>
              <w:t>废水</w:t>
            </w:r>
            <w:r>
              <w:rPr>
                <w:rFonts w:hint="default" w:ascii="Times New Roman" w:hAnsi="Times New Roman" w:eastAsia="宋体" w:cs="Times New Roman"/>
                <w:kern w:val="0"/>
                <w:sz w:val="24"/>
                <w:szCs w:val="24"/>
                <w:lang w:val="en-US" w:eastAsia="zh-CN"/>
              </w:rPr>
              <w:t>主要是施工人员产生的生活污水</w:t>
            </w:r>
            <w:r>
              <w:rPr>
                <w:rFonts w:hint="eastAsia" w:cs="Times New Roman"/>
                <w:kern w:val="0"/>
                <w:sz w:val="24"/>
                <w:szCs w:val="24"/>
                <w:lang w:val="en-US" w:eastAsia="zh-CN"/>
              </w:rPr>
              <w:t>及施工废水，全部用于泼洒降尘。</w:t>
            </w:r>
          </w:p>
          <w:p w14:paraId="7D306BD2">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b/>
                <w:bCs/>
                <w:kern w:val="0"/>
                <w:sz w:val="24"/>
                <w:szCs w:val="24"/>
                <w:lang w:val="en-US" w:eastAsia="zh-CN"/>
              </w:rPr>
              <w:t>噪声</w:t>
            </w:r>
            <w:r>
              <w:rPr>
                <w:rFonts w:hint="default" w:ascii="Times New Roman" w:hAnsi="Times New Roman" w:eastAsia="宋体" w:cs="Times New Roman"/>
                <w:kern w:val="0"/>
                <w:sz w:val="24"/>
                <w:szCs w:val="24"/>
                <w:lang w:val="en-US" w:eastAsia="zh-CN"/>
              </w:rPr>
              <w:t>：施工期的噪声源主要是各种机械设备产生的噪声和车辆运输产生的交通噪声。</w:t>
            </w:r>
          </w:p>
          <w:p w14:paraId="0A1F7DC9">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b/>
                <w:bCs/>
                <w:kern w:val="0"/>
                <w:sz w:val="24"/>
                <w:szCs w:val="24"/>
                <w:lang w:val="en-US" w:eastAsia="zh-CN"/>
              </w:rPr>
              <w:t>固体废弃物</w:t>
            </w:r>
            <w:r>
              <w:rPr>
                <w:rFonts w:hint="default" w:ascii="Times New Roman" w:hAnsi="Times New Roman" w:eastAsia="宋体" w:cs="Times New Roman"/>
                <w:kern w:val="0"/>
                <w:sz w:val="24"/>
                <w:szCs w:val="24"/>
                <w:lang w:val="en-US" w:eastAsia="zh-CN"/>
              </w:rPr>
              <w:t>：施工期产生的固体废弃物主要是废弃土石、生活垃圾。</w:t>
            </w:r>
          </w:p>
          <w:p w14:paraId="2B19951F">
            <w:pPr>
              <w:pStyle w:val="22"/>
              <w:keepNext w:val="0"/>
              <w:keepLines w:val="0"/>
              <w:pageBreakBefore w:val="0"/>
              <w:kinsoku/>
              <w:wordWrap/>
              <w:overflowPunct/>
              <w:topLinePunct w:val="0"/>
              <w:autoSpaceDE/>
              <w:autoSpaceDN/>
              <w:bidi w:val="0"/>
              <w:snapToGrid w:val="0"/>
              <w:spacing w:before="0" w:after="0" w:line="360" w:lineRule="auto"/>
              <w:ind w:right="0" w:firstLine="482"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kern w:val="0"/>
                <w:sz w:val="24"/>
                <w:szCs w:val="24"/>
                <w:lang w:val="en-US" w:eastAsia="zh-CN" w:bidi="ar-SA"/>
              </w:rPr>
              <w:t>生态影响</w:t>
            </w:r>
            <w:r>
              <w:rPr>
                <w:rFonts w:hint="default" w:ascii="Times New Roman" w:hAnsi="Times New Roman" w:eastAsia="宋体" w:cs="Times New Roman"/>
                <w:sz w:val="24"/>
                <w:szCs w:val="24"/>
                <w:lang w:val="en-US" w:eastAsia="zh-CN"/>
              </w:rPr>
              <w:t>：项目施工在生态影响方面主要体现在施工占地、土石方开挖、回填等施工活动对场区的植被造成一定的影响和破坏，造成的水土流失；以及施工活动对动物栖息环境的影响。</w:t>
            </w:r>
          </w:p>
          <w:p w14:paraId="3634FF89">
            <w:pPr>
              <w:pStyle w:val="22"/>
              <w:keepNext w:val="0"/>
              <w:keepLines w:val="0"/>
              <w:pageBreakBefore w:val="0"/>
              <w:numPr>
                <w:ilvl w:val="0"/>
                <w:numId w:val="10"/>
              </w:numPr>
              <w:kinsoku/>
              <w:wordWrap/>
              <w:overflowPunct/>
              <w:topLinePunct w:val="0"/>
              <w:autoSpaceDE/>
              <w:autoSpaceDN/>
              <w:bidi w:val="0"/>
              <w:snapToGrid w:val="0"/>
              <w:spacing w:before="0" w:after="0" w:line="360" w:lineRule="auto"/>
              <w:ind w:left="0" w:leftChars="0" w:right="0"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建设周期</w:t>
            </w:r>
          </w:p>
          <w:p w14:paraId="7BADB38A">
            <w:pPr>
              <w:keepNext w:val="0"/>
              <w:keepLines w:val="0"/>
              <w:pageBreakBefore w:val="0"/>
              <w:widowControl w:val="0"/>
              <w:kinsoku/>
              <w:wordWrap/>
              <w:overflowPunct/>
              <w:topLinePunct w:val="0"/>
              <w:autoSpaceDE/>
              <w:autoSpaceDN/>
              <w:bidi w:val="0"/>
              <w:adjustRightInd/>
              <w:snapToGrid/>
              <w:spacing w:line="360" w:lineRule="auto"/>
              <w:ind w:firstLine="525" w:firstLineChars="219"/>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根据矿山建设内容，建设时间按</w:t>
            </w:r>
            <w:r>
              <w:rPr>
                <w:rFonts w:hint="eastAsia" w:ascii="Times New Roman" w:hAnsi="Times New Roman" w:eastAsia="宋体" w:cs="Times New Roman"/>
                <w:kern w:val="0"/>
                <w:sz w:val="24"/>
                <w:szCs w:val="24"/>
                <w:lang w:val="en-US" w:eastAsia="zh-CN" w:bidi="ar-SA"/>
              </w:rPr>
              <w:t>6</w:t>
            </w:r>
            <w:r>
              <w:rPr>
                <w:rFonts w:hint="default" w:ascii="Times New Roman" w:hAnsi="Times New Roman" w:eastAsia="宋体" w:cs="Times New Roman"/>
                <w:kern w:val="0"/>
                <w:sz w:val="24"/>
                <w:szCs w:val="24"/>
                <w:lang w:val="en-US" w:eastAsia="zh-CN" w:bidi="ar-SA"/>
              </w:rPr>
              <w:t>个月设计，基建建设进度见</w:t>
            </w:r>
            <w:r>
              <w:rPr>
                <w:rFonts w:hint="eastAsia" w:ascii="Times New Roman" w:hAnsi="Times New Roman" w:eastAsia="宋体" w:cs="Times New Roman"/>
                <w:kern w:val="0"/>
                <w:sz w:val="24"/>
                <w:szCs w:val="24"/>
                <w:lang w:val="en-US" w:eastAsia="zh-CN" w:bidi="ar-SA"/>
              </w:rPr>
              <w:t>下表4.3-2</w:t>
            </w:r>
            <w:r>
              <w:rPr>
                <w:rFonts w:hint="default" w:ascii="Times New Roman" w:hAnsi="Times New Roman" w:eastAsia="宋体" w:cs="Times New Roman"/>
                <w:kern w:val="0"/>
                <w:sz w:val="24"/>
                <w:szCs w:val="24"/>
                <w:lang w:val="en-US" w:eastAsia="zh-CN" w:bidi="ar-SA"/>
              </w:rPr>
              <w:t>基建进度计划表。</w:t>
            </w:r>
          </w:p>
          <w:p w14:paraId="51CDB4E3">
            <w:pPr>
              <w:ind w:firstLine="480"/>
              <w:jc w:val="center"/>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2-1</w:t>
            </w:r>
            <w:r>
              <w:rPr>
                <w:rFonts w:hint="eastAsia" w:cs="Times New Roman"/>
                <w:b/>
                <w:bCs/>
                <w:lang w:val="en-US" w:eastAsia="zh-CN"/>
              </w:rPr>
              <w:t>2</w:t>
            </w:r>
            <w:r>
              <w:rPr>
                <w:rFonts w:hint="default" w:ascii="Times New Roman" w:hAnsi="Times New Roman" w:eastAsia="宋体" w:cs="Times New Roman"/>
                <w:b/>
                <w:bCs/>
                <w:lang w:val="en-US" w:eastAsia="zh-CN"/>
              </w:rPr>
              <w:t xml:space="preserve">   </w:t>
            </w:r>
            <w:r>
              <w:rPr>
                <w:rFonts w:hint="default" w:ascii="Times New Roman" w:hAnsi="Times New Roman" w:eastAsia="宋体" w:cs="Times New Roman"/>
                <w:b/>
                <w:bCs/>
              </w:rPr>
              <w:t>基建进度计划表</w:t>
            </w:r>
          </w:p>
          <w:tbl>
            <w:tblPr>
              <w:tblStyle w:val="23"/>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83"/>
              <w:gridCol w:w="796"/>
              <w:gridCol w:w="973"/>
              <w:gridCol w:w="973"/>
              <w:gridCol w:w="973"/>
              <w:gridCol w:w="974"/>
              <w:gridCol w:w="974"/>
            </w:tblGrid>
            <w:tr w14:paraId="1411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3" w:type="pct"/>
                  <w:tcBorders>
                    <w:top w:val="single" w:color="000000" w:sz="12" w:space="0"/>
                    <w:left w:val="nil"/>
                    <w:tl2br w:val="nil"/>
                  </w:tcBorders>
                  <w:shd w:val="clear" w:color="auto" w:fill="auto"/>
                </w:tcPr>
                <w:p w14:paraId="5BA136C3">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分项内容</w:t>
                  </w:r>
                </w:p>
              </w:tc>
              <w:tc>
                <w:tcPr>
                  <w:tcW w:w="488" w:type="pct"/>
                  <w:tcBorders>
                    <w:top w:val="single" w:color="000000" w:sz="12" w:space="0"/>
                  </w:tcBorders>
                  <w:shd w:val="clear" w:color="auto" w:fill="auto"/>
                </w:tcPr>
                <w:p w14:paraId="52BECFEC">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w:t>
                  </w:r>
                </w:p>
              </w:tc>
              <w:tc>
                <w:tcPr>
                  <w:tcW w:w="597" w:type="pct"/>
                  <w:tcBorders>
                    <w:top w:val="single" w:color="000000" w:sz="12" w:space="0"/>
                  </w:tcBorders>
                  <w:shd w:val="clear" w:color="auto" w:fill="auto"/>
                </w:tcPr>
                <w:p w14:paraId="7D3B7EF3">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w:t>
                  </w:r>
                </w:p>
              </w:tc>
              <w:tc>
                <w:tcPr>
                  <w:tcW w:w="597" w:type="pct"/>
                  <w:tcBorders>
                    <w:top w:val="single" w:color="000000" w:sz="12" w:space="0"/>
                  </w:tcBorders>
                  <w:shd w:val="clear" w:color="auto" w:fill="auto"/>
                </w:tcPr>
                <w:p w14:paraId="6E8237E5">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w:t>
                  </w:r>
                </w:p>
              </w:tc>
              <w:tc>
                <w:tcPr>
                  <w:tcW w:w="597" w:type="pct"/>
                  <w:tcBorders>
                    <w:top w:val="single" w:color="000000" w:sz="12" w:space="0"/>
                  </w:tcBorders>
                  <w:shd w:val="clear" w:color="auto" w:fill="auto"/>
                </w:tcPr>
                <w:p w14:paraId="14A743B4">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w:t>
                  </w:r>
                </w:p>
              </w:tc>
              <w:tc>
                <w:tcPr>
                  <w:tcW w:w="597" w:type="pct"/>
                  <w:tcBorders>
                    <w:top w:val="single" w:color="000000" w:sz="12" w:space="0"/>
                  </w:tcBorders>
                  <w:shd w:val="clear" w:color="auto" w:fill="auto"/>
                </w:tcPr>
                <w:p w14:paraId="6FDD1F70">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w:t>
                  </w:r>
                </w:p>
              </w:tc>
              <w:tc>
                <w:tcPr>
                  <w:tcW w:w="597" w:type="pct"/>
                  <w:tcBorders>
                    <w:top w:val="single" w:color="000000" w:sz="12" w:space="0"/>
                    <w:right w:val="nil"/>
                  </w:tcBorders>
                  <w:shd w:val="clear" w:color="auto" w:fill="auto"/>
                </w:tcPr>
                <w:p w14:paraId="110BFDBB">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6</w:t>
                  </w:r>
                </w:p>
              </w:tc>
            </w:tr>
            <w:tr w14:paraId="114F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3" w:type="pct"/>
                  <w:tcBorders>
                    <w:left w:val="nil"/>
                  </w:tcBorders>
                  <w:shd w:val="clear" w:color="auto" w:fill="auto"/>
                </w:tcPr>
                <w:p w14:paraId="0636C94D">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mc:AlternateContent>
                      <mc:Choice Requires="wps">
                        <w:drawing>
                          <wp:anchor distT="0" distB="0" distL="114300" distR="114300" simplePos="0" relativeHeight="251660288" behindDoc="0" locked="0" layoutInCell="1" allowOverlap="1">
                            <wp:simplePos x="0" y="0"/>
                            <wp:positionH relativeFrom="column">
                              <wp:posOffset>1510030</wp:posOffset>
                            </wp:positionH>
                            <wp:positionV relativeFrom="paragraph">
                              <wp:posOffset>63500</wp:posOffset>
                            </wp:positionV>
                            <wp:extent cx="3693160" cy="13970"/>
                            <wp:effectExtent l="0" t="1905" r="2540" b="22225"/>
                            <wp:wrapNone/>
                            <wp:docPr id="14" name="直接连接符 60"/>
                            <wp:cNvGraphicFramePr/>
                            <a:graphic xmlns:a="http://schemas.openxmlformats.org/drawingml/2006/main">
                              <a:graphicData uri="http://schemas.microsoft.com/office/word/2010/wordprocessingShape">
                                <wps:wsp>
                                  <wps:cNvCnPr/>
                                  <wps:spPr>
                                    <a:xfrm flipV="1">
                                      <a:off x="0" y="0"/>
                                      <a:ext cx="3693160" cy="13970"/>
                                    </a:xfrm>
                                    <a:prstGeom prst="straightConnector1">
                                      <a:avLst/>
                                    </a:prstGeom>
                                    <a:ln w="38100" cap="flat" cmpd="sng">
                                      <a:solidFill>
                                        <a:srgbClr val="ED7D31"/>
                                      </a:solidFill>
                                      <a:prstDash val="solid"/>
                                      <a:miter/>
                                      <a:headEnd type="none" w="med" len="med"/>
                                      <a:tailEnd type="none" w="med" len="med"/>
                                    </a:ln>
                                  </wps:spPr>
                                  <wps:bodyPr/>
                                </wps:wsp>
                              </a:graphicData>
                            </a:graphic>
                          </wp:anchor>
                        </w:drawing>
                      </mc:Choice>
                      <mc:Fallback>
                        <w:pict>
                          <v:shape id="直接连接符 60" o:spid="_x0000_s1026" o:spt="32" type="#_x0000_t32" style="position:absolute;left:0pt;flip:y;margin-left:118.9pt;margin-top:5pt;height:1.1pt;width:290.8pt;z-index:251660288;mso-width-relative:page;mso-height-relative:page;" filled="f" stroked="t" coordsize="21600,21600" o:gfxdata="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vTlI1AAAAAkBAAAPAAAAAAAAAAEAIAAAACIAAABk&#10;cnMvZG93bnJldi54bWxQSwECFAAUAAAACACHTuJAZieMugoCAAABBAAADgAAAAAAAAABACAAAAAj&#10;AQAAZHJzL2Uyb0RvYy54bWxQSwUGAAAAAAYABgBZAQAAnwUAAAAA&#10;">
                            <v:fill on="f" focussize="0,0"/>
                            <v:stroke weight="3pt" color="#ED7D31" joinstyle="miter"/>
                            <v:imagedata o:title=""/>
                            <o:lock v:ext="edit" aspectratio="f"/>
                          </v:shape>
                        </w:pict>
                      </mc:Fallback>
                    </mc:AlternateContent>
                  </w:r>
                  <w:r>
                    <w:rPr>
                      <w:rFonts w:hint="default" w:ascii="Times New Roman" w:hAnsi="Times New Roman" w:eastAsia="宋体" w:cs="Times New Roman"/>
                      <w:b w:val="0"/>
                      <w:color w:val="000000"/>
                      <w:sz w:val="21"/>
                      <w:szCs w:val="21"/>
                    </w:rPr>
                    <w:t>基建采准</w:t>
                  </w:r>
                </w:p>
              </w:tc>
              <w:tc>
                <w:tcPr>
                  <w:tcW w:w="488" w:type="pct"/>
                  <w:shd w:val="clear" w:color="auto" w:fill="auto"/>
                </w:tcPr>
                <w:p w14:paraId="7ED53482">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544C5F81">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10F8B082">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2F981A22">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792F58F3">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tcBorders>
                    <w:right w:val="nil"/>
                  </w:tcBorders>
                  <w:shd w:val="clear" w:color="auto" w:fill="auto"/>
                </w:tcPr>
                <w:p w14:paraId="287450E0">
                  <w:pPr>
                    <w:spacing w:line="320" w:lineRule="exact"/>
                    <w:ind w:firstLine="0" w:firstLineChars="0"/>
                    <w:jc w:val="center"/>
                    <w:rPr>
                      <w:rFonts w:hint="default" w:ascii="Times New Roman" w:hAnsi="Times New Roman" w:eastAsia="宋体" w:cs="Times New Roman"/>
                      <w:b w:val="0"/>
                      <w:color w:val="000000"/>
                      <w:sz w:val="21"/>
                      <w:szCs w:val="21"/>
                    </w:rPr>
                  </w:pPr>
                </w:p>
              </w:tc>
            </w:tr>
            <w:tr w14:paraId="0AC2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3" w:type="pct"/>
                  <w:tcBorders>
                    <w:left w:val="nil"/>
                  </w:tcBorders>
                  <w:shd w:val="clear" w:color="auto" w:fill="auto"/>
                </w:tcPr>
                <w:p w14:paraId="2C0C7A25">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排土场挡墙</w:t>
                  </w:r>
                </w:p>
              </w:tc>
              <w:tc>
                <w:tcPr>
                  <w:tcW w:w="488" w:type="pct"/>
                  <w:shd w:val="clear" w:color="auto" w:fill="auto"/>
                </w:tcPr>
                <w:p w14:paraId="75B6A059">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7A327E66">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109855</wp:posOffset>
                            </wp:positionV>
                            <wp:extent cx="1233170" cy="9525"/>
                            <wp:effectExtent l="0" t="19050" r="5080" b="28575"/>
                            <wp:wrapNone/>
                            <wp:docPr id="15" name="直接连接符 43"/>
                            <wp:cNvGraphicFramePr/>
                            <a:graphic xmlns:a="http://schemas.openxmlformats.org/drawingml/2006/main">
                              <a:graphicData uri="http://schemas.microsoft.com/office/word/2010/wordprocessingShape">
                                <wps:wsp>
                                  <wps:cNvCnPr/>
                                  <wps:spPr>
                                    <a:xfrm>
                                      <a:off x="0" y="0"/>
                                      <a:ext cx="1233170" cy="9525"/>
                                    </a:xfrm>
                                    <a:prstGeom prst="straightConnector1">
                                      <a:avLst/>
                                    </a:prstGeom>
                                    <a:ln w="38100" cap="flat" cmpd="sng">
                                      <a:solidFill>
                                        <a:srgbClr val="ED7D31"/>
                                      </a:solidFill>
                                      <a:prstDash val="solid"/>
                                      <a:miter/>
                                      <a:headEnd type="none" w="med" len="med"/>
                                      <a:tailEnd type="none" w="med" len="med"/>
                                    </a:ln>
                                  </wps:spPr>
                                  <wps:bodyPr/>
                                </wps:wsp>
                              </a:graphicData>
                            </a:graphic>
                          </wp:anchor>
                        </w:drawing>
                      </mc:Choice>
                      <mc:Fallback>
                        <w:pict>
                          <v:shape id="直接连接符 43" o:spid="_x0000_s1026" o:spt="32" type="#_x0000_t32" style="position:absolute;left:0pt;margin-left:-5pt;margin-top:8.65pt;height:0.75pt;width:97.1pt;z-index:251661312;mso-width-relative:page;mso-height-relative:page;" filled="f" stroked="t" coordsize="21600,21600" o:gfxdata="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w3b7LXAAAACQEAAA8AAAAAAAAAAQAgAAAAIgAAAGRycy9k&#10;b3ducmV2LnhtbFBLAQIUABQAAAAIAIdO4kAkqTK5AwIAAPYDAAAOAAAAAAAAAAEAIAAAACYBAABk&#10;cnMvZTJvRG9jLnhtbFBLBQYAAAAABgAGAFkBAACbBQAAAAA=&#10;">
                            <v:fill on="f" focussize="0,0"/>
                            <v:stroke weight="3pt" color="#ED7D31" joinstyle="miter"/>
                            <v:imagedata o:title=""/>
                            <o:lock v:ext="edit" aspectratio="f"/>
                          </v:shape>
                        </w:pict>
                      </mc:Fallback>
                    </mc:AlternateContent>
                  </w:r>
                </w:p>
              </w:tc>
              <w:tc>
                <w:tcPr>
                  <w:tcW w:w="597" w:type="pct"/>
                  <w:shd w:val="clear" w:color="auto" w:fill="auto"/>
                </w:tcPr>
                <w:p w14:paraId="7E2809DC">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610F3208">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1EFF5984">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tcBorders>
                    <w:right w:val="nil"/>
                  </w:tcBorders>
                  <w:shd w:val="clear" w:color="auto" w:fill="auto"/>
                </w:tcPr>
                <w:p w14:paraId="4519D30D">
                  <w:pPr>
                    <w:spacing w:line="320" w:lineRule="exact"/>
                    <w:ind w:firstLine="0" w:firstLineChars="0"/>
                    <w:jc w:val="center"/>
                    <w:rPr>
                      <w:rFonts w:hint="default" w:ascii="Times New Roman" w:hAnsi="Times New Roman" w:eastAsia="宋体" w:cs="Times New Roman"/>
                      <w:b w:val="0"/>
                      <w:color w:val="000000"/>
                      <w:sz w:val="21"/>
                      <w:szCs w:val="21"/>
                    </w:rPr>
                  </w:pPr>
                </w:p>
              </w:tc>
            </w:tr>
            <w:tr w14:paraId="6BC1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3" w:type="pct"/>
                  <w:tcBorders>
                    <w:left w:val="nil"/>
                  </w:tcBorders>
                  <w:shd w:val="clear" w:color="auto" w:fill="auto"/>
                </w:tcPr>
                <w:p w14:paraId="61ACE36A">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采场防洪坝</w:t>
                  </w:r>
                </w:p>
              </w:tc>
              <w:tc>
                <w:tcPr>
                  <w:tcW w:w="488" w:type="pct"/>
                  <w:shd w:val="clear" w:color="auto" w:fill="auto"/>
                </w:tcPr>
                <w:p w14:paraId="409D34D8">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mc:AlternateContent>
                      <mc:Choice Requires="wps">
                        <w:drawing>
                          <wp:anchor distT="0" distB="0" distL="114300" distR="114300" simplePos="0" relativeHeight="251662336" behindDoc="0" locked="0" layoutInCell="1" allowOverlap="1">
                            <wp:simplePos x="0" y="0"/>
                            <wp:positionH relativeFrom="column">
                              <wp:posOffset>-49530</wp:posOffset>
                            </wp:positionH>
                            <wp:positionV relativeFrom="paragraph">
                              <wp:posOffset>89535</wp:posOffset>
                            </wp:positionV>
                            <wp:extent cx="1066800" cy="5080"/>
                            <wp:effectExtent l="0" t="19050" r="0" b="33020"/>
                            <wp:wrapNone/>
                            <wp:docPr id="16" name="直接连接符 53"/>
                            <wp:cNvGraphicFramePr/>
                            <a:graphic xmlns:a="http://schemas.openxmlformats.org/drawingml/2006/main">
                              <a:graphicData uri="http://schemas.microsoft.com/office/word/2010/wordprocessingShape">
                                <wps:wsp>
                                  <wps:cNvCnPr/>
                                  <wps:spPr>
                                    <a:xfrm flipV="1">
                                      <a:off x="0" y="0"/>
                                      <a:ext cx="1066800" cy="5080"/>
                                    </a:xfrm>
                                    <a:prstGeom prst="straightConnector1">
                                      <a:avLst/>
                                    </a:prstGeom>
                                    <a:ln w="38100" cap="flat" cmpd="sng">
                                      <a:solidFill>
                                        <a:srgbClr val="ED7D31"/>
                                      </a:solidFill>
                                      <a:prstDash val="solid"/>
                                      <a:miter/>
                                      <a:headEnd type="none" w="med" len="med"/>
                                      <a:tailEnd type="none" w="med" len="med"/>
                                    </a:ln>
                                  </wps:spPr>
                                  <wps:bodyPr/>
                                </wps:wsp>
                              </a:graphicData>
                            </a:graphic>
                          </wp:anchor>
                        </w:drawing>
                      </mc:Choice>
                      <mc:Fallback>
                        <w:pict>
                          <v:shape id="直接连接符 53" o:spid="_x0000_s1026" o:spt="32" type="#_x0000_t32" style="position:absolute;left:0pt;flip:y;margin-left:-3.9pt;margin-top:7.05pt;height:0.4pt;width:84pt;z-index:251662336;mso-width-relative:page;mso-height-relative:page;" filled="f" stroked="t" coordsize="21600,21600" o:gfxdata="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&#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CNEU1AAAAAgBAAAPAAAAAAAAAAEAIAAAACIAAABk&#10;cnMvZG93bnJldi54bWxQSwECFAAUAAAACACHTuJAbO0lKgoCAAAABAAADgAAAAAAAAABACAAAAAj&#10;AQAAZHJzL2Uyb0RvYy54bWxQSwUGAAAAAAYABgBZAQAAnwUAAAAA&#10;">
                            <v:fill on="f" focussize="0,0"/>
                            <v:stroke weight="3pt" color="#ED7D31" joinstyle="miter"/>
                            <v:imagedata o:title=""/>
                            <o:lock v:ext="edit" aspectratio="f"/>
                          </v:shape>
                        </w:pict>
                      </mc:Fallback>
                    </mc:AlternateContent>
                  </w:r>
                </w:p>
              </w:tc>
              <w:tc>
                <w:tcPr>
                  <w:tcW w:w="597" w:type="pct"/>
                  <w:shd w:val="clear" w:color="auto" w:fill="auto"/>
                </w:tcPr>
                <w:p w14:paraId="6A012C6A">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4A11D891">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29AE0865">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shd w:val="clear" w:color="auto" w:fill="auto"/>
                </w:tcPr>
                <w:p w14:paraId="1484DCBE">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tcBorders>
                    <w:right w:val="nil"/>
                  </w:tcBorders>
                  <w:shd w:val="clear" w:color="auto" w:fill="auto"/>
                </w:tcPr>
                <w:p w14:paraId="48151487">
                  <w:pPr>
                    <w:spacing w:line="320" w:lineRule="exact"/>
                    <w:ind w:firstLine="0" w:firstLineChars="0"/>
                    <w:jc w:val="center"/>
                    <w:rPr>
                      <w:rFonts w:hint="default" w:ascii="Times New Roman" w:hAnsi="Times New Roman" w:eastAsia="宋体" w:cs="Times New Roman"/>
                      <w:b w:val="0"/>
                      <w:color w:val="000000"/>
                      <w:sz w:val="21"/>
                      <w:szCs w:val="21"/>
                    </w:rPr>
                  </w:pPr>
                </w:p>
              </w:tc>
            </w:tr>
            <w:tr w14:paraId="305C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23" w:type="pct"/>
                  <w:tcBorders>
                    <w:left w:val="nil"/>
                    <w:bottom w:val="single" w:color="000000" w:sz="12" w:space="0"/>
                  </w:tcBorders>
                  <w:shd w:val="clear" w:color="auto" w:fill="auto"/>
                </w:tcPr>
                <w:p w14:paraId="74675D2A">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临时值班室</w:t>
                  </w:r>
                </w:p>
              </w:tc>
              <w:tc>
                <w:tcPr>
                  <w:tcW w:w="488" w:type="pct"/>
                  <w:tcBorders>
                    <w:bottom w:val="single" w:color="000000" w:sz="12" w:space="0"/>
                  </w:tcBorders>
                  <w:shd w:val="clear" w:color="auto" w:fill="auto"/>
                </w:tcPr>
                <w:p w14:paraId="3C6E1B5B">
                  <w:pPr>
                    <w:spacing w:line="320" w:lineRule="exact"/>
                    <w:ind w:firstLine="0" w:firstLineChars="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99060</wp:posOffset>
                            </wp:positionV>
                            <wp:extent cx="1749425" cy="3175"/>
                            <wp:effectExtent l="0" t="19050" r="3175" b="34925"/>
                            <wp:wrapNone/>
                            <wp:docPr id="17" name="自选图形 1039"/>
                            <wp:cNvGraphicFramePr/>
                            <a:graphic xmlns:a="http://schemas.openxmlformats.org/drawingml/2006/main">
                              <a:graphicData uri="http://schemas.microsoft.com/office/word/2010/wordprocessingShape">
                                <wps:wsp>
                                  <wps:cNvCnPr/>
                                  <wps:spPr>
                                    <a:xfrm>
                                      <a:off x="0" y="0"/>
                                      <a:ext cx="1749425" cy="3175"/>
                                    </a:xfrm>
                                    <a:prstGeom prst="straightConnector1">
                                      <a:avLst/>
                                    </a:prstGeom>
                                    <a:ln w="38100" cap="flat" cmpd="sng">
                                      <a:solidFill>
                                        <a:srgbClr val="ED7D31"/>
                                      </a:solidFill>
                                      <a:prstDash val="solid"/>
                                      <a:miter/>
                                      <a:headEnd type="none" w="med" len="med"/>
                                      <a:tailEnd type="none" w="med" len="med"/>
                                    </a:ln>
                                  </wps:spPr>
                                  <wps:bodyPr/>
                                </wps:wsp>
                              </a:graphicData>
                            </a:graphic>
                          </wp:anchor>
                        </w:drawing>
                      </mc:Choice>
                      <mc:Fallback>
                        <w:pict>
                          <v:shape id="自选图形 1039" o:spid="_x0000_s1026" o:spt="32" type="#_x0000_t32" style="position:absolute;left:0pt;margin-left:-5.15pt;margin-top:7.8pt;height:0.25pt;width:137.75pt;z-index:251663360;mso-width-relative:page;mso-height-relative:page;" filled="f" stroked="t" coordsize="21600,21600" o:gfxdata="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PAtAbVAAAACQEAAA8AAAAAAAAAAQAgAAAAIgAAAGRycy9k&#10;b3ducmV2LnhtbFBLAQIUABQAAAAIAIdO4kDwLTMzBQIAAPUDAAAOAAAAAAAAAAEAIAAAACQBAABk&#10;cnMvZTJvRG9jLnhtbFBLBQYAAAAABgAGAFkBAACbBQAAAAA=&#10;">
                            <v:fill on="f" focussize="0,0"/>
                            <v:stroke weight="3pt" color="#ED7D31" joinstyle="miter"/>
                            <v:imagedata o:title=""/>
                            <o:lock v:ext="edit" aspectratio="f"/>
                          </v:shape>
                        </w:pict>
                      </mc:Fallback>
                    </mc:AlternateContent>
                  </w:r>
                </w:p>
              </w:tc>
              <w:tc>
                <w:tcPr>
                  <w:tcW w:w="597" w:type="pct"/>
                  <w:tcBorders>
                    <w:bottom w:val="single" w:color="000000" w:sz="12" w:space="0"/>
                  </w:tcBorders>
                  <w:shd w:val="clear" w:color="auto" w:fill="auto"/>
                </w:tcPr>
                <w:p w14:paraId="671C38B7">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tcBorders>
                    <w:bottom w:val="single" w:color="000000" w:sz="12" w:space="0"/>
                  </w:tcBorders>
                  <w:shd w:val="clear" w:color="auto" w:fill="auto"/>
                </w:tcPr>
                <w:p w14:paraId="40B8A956">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tcBorders>
                    <w:bottom w:val="single" w:color="000000" w:sz="12" w:space="0"/>
                  </w:tcBorders>
                  <w:shd w:val="clear" w:color="auto" w:fill="auto"/>
                </w:tcPr>
                <w:p w14:paraId="07450E74">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tcBorders>
                    <w:bottom w:val="single" w:color="000000" w:sz="12" w:space="0"/>
                  </w:tcBorders>
                  <w:shd w:val="clear" w:color="auto" w:fill="auto"/>
                </w:tcPr>
                <w:p w14:paraId="7F48332E">
                  <w:pPr>
                    <w:spacing w:line="320" w:lineRule="exact"/>
                    <w:ind w:firstLine="0" w:firstLineChars="0"/>
                    <w:jc w:val="center"/>
                    <w:rPr>
                      <w:rFonts w:hint="default" w:ascii="Times New Roman" w:hAnsi="Times New Roman" w:eastAsia="宋体" w:cs="Times New Roman"/>
                      <w:b w:val="0"/>
                      <w:color w:val="000000"/>
                      <w:sz w:val="21"/>
                      <w:szCs w:val="21"/>
                    </w:rPr>
                  </w:pPr>
                </w:p>
              </w:tc>
              <w:tc>
                <w:tcPr>
                  <w:tcW w:w="597" w:type="pct"/>
                  <w:tcBorders>
                    <w:bottom w:val="single" w:color="000000" w:sz="12" w:space="0"/>
                    <w:right w:val="nil"/>
                  </w:tcBorders>
                  <w:shd w:val="clear" w:color="auto" w:fill="auto"/>
                </w:tcPr>
                <w:p w14:paraId="0FE07103">
                  <w:pPr>
                    <w:spacing w:line="320" w:lineRule="exact"/>
                    <w:ind w:firstLine="0" w:firstLineChars="0"/>
                    <w:jc w:val="center"/>
                    <w:rPr>
                      <w:rFonts w:hint="default" w:ascii="Times New Roman" w:hAnsi="Times New Roman" w:eastAsia="宋体" w:cs="Times New Roman"/>
                      <w:b w:val="0"/>
                      <w:color w:val="000000"/>
                      <w:sz w:val="21"/>
                      <w:szCs w:val="21"/>
                    </w:rPr>
                  </w:pPr>
                </w:p>
              </w:tc>
            </w:tr>
          </w:tbl>
          <w:p w14:paraId="4090A0D3">
            <w:pPr>
              <w:pStyle w:val="22"/>
              <w:keepNext w:val="0"/>
              <w:keepLines w:val="0"/>
              <w:pageBreakBefore w:val="0"/>
              <w:numPr>
                <w:ilvl w:val="0"/>
                <w:numId w:val="0"/>
              </w:numPr>
              <w:kinsoku/>
              <w:wordWrap/>
              <w:overflowPunct/>
              <w:topLinePunct w:val="0"/>
              <w:autoSpaceDE/>
              <w:autoSpaceDN/>
              <w:bidi w:val="0"/>
              <w:snapToGrid w:val="0"/>
              <w:spacing w:before="0" w:after="0" w:line="360" w:lineRule="auto"/>
              <w:ind w:right="0" w:rightChars="0"/>
              <w:textAlignment w:val="auto"/>
              <w:rPr>
                <w:rFonts w:hint="default" w:ascii="Times New Roman" w:hAnsi="Times New Roman" w:cs="Times New Roman"/>
                <w:sz w:val="24"/>
                <w:szCs w:val="24"/>
                <w:lang w:val="en-US" w:eastAsia="zh-CN"/>
              </w:rPr>
            </w:pPr>
          </w:p>
          <w:p w14:paraId="66B06B83">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二、运营期</w:t>
            </w:r>
            <w:r>
              <w:rPr>
                <w:rFonts w:hint="default" w:ascii="Times New Roman" w:hAnsi="Times New Roman" w:eastAsia="宋体" w:cs="Times New Roman"/>
                <w:kern w:val="0"/>
                <w:sz w:val="24"/>
                <w:szCs w:val="24"/>
                <w:lang w:val="en-US" w:eastAsia="zh-CN"/>
              </w:rPr>
              <w:t>工艺</w:t>
            </w:r>
            <w:r>
              <w:rPr>
                <w:rFonts w:hint="eastAsia" w:ascii="Times New Roman" w:hAnsi="Times New Roman" w:eastAsia="宋体" w:cs="Times New Roman"/>
                <w:kern w:val="0"/>
                <w:sz w:val="24"/>
                <w:szCs w:val="24"/>
                <w:lang w:val="en-US" w:eastAsia="zh-CN"/>
              </w:rPr>
              <w:t>流程及产排污环节。</w:t>
            </w:r>
          </w:p>
          <w:p w14:paraId="6CE784F6">
            <w:pPr>
              <w:pStyle w:val="22"/>
              <w:keepNext w:val="0"/>
              <w:keepLines w:val="0"/>
              <w:pageBreakBefore w:val="0"/>
              <w:kinsoku/>
              <w:wordWrap/>
              <w:overflowPunct/>
              <w:topLinePunct w:val="0"/>
              <w:autoSpaceDE/>
              <w:autoSpaceDN/>
              <w:bidi w:val="0"/>
              <w:snapToGrid w:val="0"/>
              <w:spacing w:before="0" w:after="0" w:line="360" w:lineRule="auto"/>
              <w:ind w:left="0" w:leftChars="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w:t>
            </w:r>
            <w:r>
              <w:rPr>
                <w:rFonts w:hint="default" w:ascii="Times New Roman" w:hAnsi="Times New Roman" w:eastAsia="宋体" w:cs="Times New Roman"/>
                <w:sz w:val="24"/>
                <w:szCs w:val="24"/>
                <w:lang w:val="en-US" w:eastAsia="zh-CN"/>
              </w:rPr>
              <w:t>期工艺流程</w:t>
            </w:r>
            <w:r>
              <w:rPr>
                <w:rFonts w:hint="eastAsia" w:ascii="Times New Roman" w:hAnsi="Times New Roman" w:eastAsia="宋体" w:cs="Times New Roman"/>
                <w:sz w:val="24"/>
                <w:szCs w:val="24"/>
                <w:lang w:val="en-US" w:eastAsia="zh-CN"/>
              </w:rPr>
              <w:t>为：</w:t>
            </w:r>
          </w:p>
          <w:p w14:paraId="1C85DC92">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zh-CN" w:eastAsia="zh-CN" w:bidi="ar-SA"/>
              </w:rPr>
              <w:t>矿山采矿生产工艺流程为：剥离--→挖掘开采--→装车--→运输。</w:t>
            </w:r>
          </w:p>
          <w:p w14:paraId="1B8285A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工艺步骤如下</w:t>
            </w:r>
            <w:r>
              <w:rPr>
                <w:rFonts w:hint="eastAsia" w:ascii="Times New Roman" w:hAnsi="Times New Roman" w:eastAsia="宋体" w:cs="Times New Roman"/>
                <w:color w:val="000000"/>
                <w:kern w:val="0"/>
                <w:sz w:val="24"/>
                <w:szCs w:val="24"/>
                <w:lang w:val="en-US" w:eastAsia="zh-CN" w:bidi="ar"/>
              </w:rPr>
              <w:t>：</w:t>
            </w:r>
          </w:p>
          <w:p w14:paraId="6CF557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（1）表土剥离</w:t>
            </w:r>
          </w:p>
          <w:p w14:paraId="7099CD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项目矿山表层需进行剥离，矿山开采前用挖掘机对</w:t>
            </w:r>
            <w:r>
              <w:rPr>
                <w:rFonts w:hint="eastAsia" w:cs="Times New Roman"/>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层进行剥离，剥离前对表面进行充分预湿，剥离时采用喷雾设施进行水雾降尘。剥离作业采用2.5m水平分层推进方式。为保障作业安全，剥离工作面始终超前开采工作面不小50m</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剥离过程产生的</w:t>
            </w:r>
            <w:r>
              <w:rPr>
                <w:rFonts w:hint="eastAsia" w:cs="Times New Roman"/>
                <w:color w:val="000000"/>
                <w:kern w:val="0"/>
                <w:sz w:val="24"/>
                <w:szCs w:val="24"/>
                <w:lang w:val="en-US" w:eastAsia="zh-CN" w:bidi="ar"/>
              </w:rPr>
              <w:t>覆盖层</w:t>
            </w:r>
            <w:r>
              <w:rPr>
                <w:rFonts w:hint="default" w:ascii="Times New Roman" w:hAnsi="Times New Roman" w:eastAsia="宋体" w:cs="Times New Roman"/>
                <w:color w:val="000000"/>
                <w:kern w:val="0"/>
                <w:sz w:val="24"/>
                <w:szCs w:val="24"/>
                <w:lang w:val="en-US" w:eastAsia="zh-CN" w:bidi="ar"/>
              </w:rPr>
              <w:t>存至排土场，用于矿山生态恢复和土地复垦。此过程产生粉尘废气、设备噪声、剥离物。</w:t>
            </w:r>
          </w:p>
          <w:p w14:paraId="3CECFD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（2）机械开采挖掘、集堆铲装</w:t>
            </w:r>
          </w:p>
          <w:p w14:paraId="6C36179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覆盖层剥离完毕后，出露的凹凸棒石粘土及石膏矿体采用挖掘机直接挖掘开采，严格按照设计开采境界、台阶高度及边坡角进行规整采掘，禁止超界超深开挖，维持采场边坡稳定。</w:t>
            </w:r>
          </w:p>
          <w:p w14:paraId="42CF634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（3）装车、运输过程</w:t>
            </w:r>
          </w:p>
          <w:p w14:paraId="7721C70D">
            <w:pPr>
              <w:keepNext w:val="0"/>
              <w:keepLines w:val="0"/>
              <w:pageBreakBefore w:val="0"/>
              <w:widowControl/>
              <w:suppressLineNumbers w:val="0"/>
              <w:kinsoku/>
              <w:wordWrap/>
              <w:overflowPunct/>
              <w:topLinePunct w:val="0"/>
              <w:autoSpaceDE/>
              <w:autoSpaceDN/>
              <w:bidi w:val="0"/>
              <w:adjustRightInd/>
              <w:snapToGrid/>
              <w:spacing w:line="360" w:lineRule="auto"/>
              <w:ind w:firstLine="476" w:firstLineChars="200"/>
              <w:jc w:val="left"/>
              <w:textAlignment w:val="auto"/>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采掘后的矿石及剥离弃渣，由装载机在采场工作面进行集中铲装，分类装载、分区转运，作业过程采取</w:t>
            </w:r>
            <w:r>
              <w:rPr>
                <w:rFonts w:hint="eastAsia" w:ascii="Times New Roman" w:hAnsi="Times New Roman" w:eastAsia="宋体" w:cs="Times New Roman"/>
                <w:spacing w:val="-1"/>
                <w:sz w:val="24"/>
                <w:szCs w:val="24"/>
                <w:lang w:val="en-US" w:eastAsia="zh-CN"/>
              </w:rPr>
              <w:t>洒水</w:t>
            </w:r>
            <w:r>
              <w:rPr>
                <w:rFonts w:hint="default" w:ascii="Times New Roman" w:hAnsi="Times New Roman" w:eastAsia="宋体" w:cs="Times New Roman"/>
                <w:spacing w:val="-1"/>
                <w:sz w:val="24"/>
                <w:szCs w:val="24"/>
                <w:lang w:val="en-US" w:eastAsia="zh-CN"/>
              </w:rPr>
              <w:t>抑尘措施，减少作业面粉尘产生。</w:t>
            </w:r>
          </w:p>
          <w:p w14:paraId="15AAF3E0">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z w:val="24"/>
                <w:szCs w:val="24"/>
              </w:rPr>
              <w:t>选用自卸汽车作为场内运输工具，将开采的矿石运至原料堆</w:t>
            </w:r>
            <w:r>
              <w:rPr>
                <w:rFonts w:hint="eastAsia" w:ascii="Times New Roman" w:hAnsi="Times New Roman" w:eastAsia="宋体" w:cs="Times New Roman"/>
                <w:sz w:val="24"/>
                <w:szCs w:val="24"/>
                <w:lang w:val="en-US" w:eastAsia="zh-CN"/>
              </w:rPr>
              <w:t>矿厂</w:t>
            </w:r>
            <w:r>
              <w:rPr>
                <w:rFonts w:hint="default" w:ascii="Times New Roman" w:hAnsi="Times New Roman" w:eastAsia="宋体" w:cs="Times New Roman"/>
                <w:spacing w:val="-5"/>
                <w:sz w:val="24"/>
                <w:szCs w:val="24"/>
              </w:rPr>
              <w:t>内，剥离过程产生的</w:t>
            </w:r>
            <w:r>
              <w:rPr>
                <w:rFonts w:hint="eastAsia" w:ascii="Times New Roman" w:hAnsi="Times New Roman" w:eastAsia="宋体" w:cs="Times New Roman"/>
                <w:spacing w:val="-5"/>
                <w:sz w:val="24"/>
                <w:szCs w:val="24"/>
                <w:lang w:val="en-US" w:eastAsia="zh-CN"/>
              </w:rPr>
              <w:t>覆盖层</w:t>
            </w:r>
            <w:r>
              <w:rPr>
                <w:rFonts w:hint="default" w:ascii="Times New Roman" w:hAnsi="Times New Roman" w:eastAsia="宋体" w:cs="Times New Roman"/>
                <w:spacing w:val="-5"/>
                <w:sz w:val="24"/>
                <w:szCs w:val="24"/>
              </w:rPr>
              <w:t>暂存至废石排土场，用于矿区采坑回填或外售。</w:t>
            </w:r>
            <w:r>
              <w:rPr>
                <w:rFonts w:hint="default" w:ascii="Times New Roman" w:hAnsi="Times New Roman" w:eastAsia="宋体" w:cs="Times New Roman"/>
                <w:sz w:val="24"/>
                <w:szCs w:val="24"/>
              </w:rPr>
              <w:t>装卸和运输过程会产生噪声、粉尘废气、机械</w:t>
            </w:r>
            <w:r>
              <w:rPr>
                <w:rFonts w:hint="default" w:ascii="Times New Roman" w:hAnsi="Times New Roman" w:eastAsia="宋体" w:cs="Times New Roman"/>
                <w:spacing w:val="-1"/>
                <w:sz w:val="24"/>
                <w:szCs w:val="24"/>
              </w:rPr>
              <w:t>车辆尾气。</w:t>
            </w:r>
          </w:p>
          <w:p w14:paraId="0620FDAF">
            <w:pPr>
              <w:keepNext w:val="0"/>
              <w:keepLines w:val="0"/>
              <w:widowControl/>
              <w:suppressLineNumbers w:val="0"/>
              <w:jc w:val="left"/>
              <w:rPr>
                <w:rFonts w:ascii="宋体" w:hAnsi="宋体" w:eastAsia="宋体" w:cs="宋体"/>
                <w:kern w:val="0"/>
                <w:sz w:val="24"/>
                <w:szCs w:val="24"/>
                <w:lang w:val="en-US" w:eastAsia="zh-CN" w:bidi="ar"/>
              </w:rPr>
            </w:pPr>
          </w:p>
          <w:p w14:paraId="3EB38120">
            <w:pPr>
              <w:pStyle w:val="22"/>
              <w:rPr>
                <w:rFonts w:hint="default" w:ascii="Times New Roman" w:hAnsi="Times New Roman" w:eastAsia="宋体" w:cs="Times New Roman"/>
                <w:b/>
                <w:bCs/>
                <w:spacing w:val="-7"/>
                <w:sz w:val="24"/>
                <w:szCs w:val="24"/>
              </w:rPr>
            </w:pPr>
          </w:p>
        </w:tc>
      </w:tr>
      <w:tr w14:paraId="288427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710" w:type="dxa"/>
            <w:noWrap w:val="0"/>
            <w:vAlign w:val="center"/>
          </w:tcPr>
          <w:p w14:paraId="6666C183">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w:t>
            </w:r>
          </w:p>
        </w:tc>
        <w:tc>
          <w:tcPr>
            <w:tcW w:w="8380" w:type="dxa"/>
            <w:noWrap w:val="0"/>
            <w:vAlign w:val="bottom"/>
          </w:tcPr>
          <w:p w14:paraId="1C590B2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p w14:paraId="4D111F8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p w14:paraId="1446C1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p w14:paraId="371189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p w14:paraId="788AC92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无</w:t>
            </w:r>
          </w:p>
          <w:p w14:paraId="7A49A3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p w14:paraId="04B786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p w14:paraId="7F2632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p w14:paraId="1DAC010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p w14:paraId="49697B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4"/>
                <w:szCs w:val="24"/>
                <w:lang w:val="en-US" w:eastAsia="zh-CN"/>
              </w:rPr>
            </w:pPr>
          </w:p>
        </w:tc>
      </w:tr>
    </w:tbl>
    <w:p w14:paraId="2D7571FD">
      <w:pPr>
        <w:pStyle w:val="20"/>
        <w:jc w:val="center"/>
        <w:outlineLvl w:val="0"/>
        <w:rPr>
          <w:rFonts w:hint="default" w:ascii="Times New Roman" w:hAnsi="Times New Roman" w:eastAsia="宋体" w:cs="Times New Roman"/>
          <w:b/>
          <w:bCs/>
          <w:snapToGrid w:val="0"/>
          <w:sz w:val="28"/>
          <w:szCs w:val="28"/>
        </w:rPr>
      </w:pPr>
      <w:r>
        <w:rPr>
          <w:rFonts w:hint="default" w:ascii="Times New Roman" w:hAnsi="Times New Roman" w:eastAsia="宋体" w:cs="Times New Roman"/>
          <w:b/>
          <w:bCs/>
          <w:sz w:val="24"/>
          <w:szCs w:val="24"/>
        </w:rPr>
        <w:br w:type="page"/>
      </w:r>
      <w:r>
        <w:rPr>
          <w:rFonts w:hint="default" w:ascii="Times New Roman" w:hAnsi="Times New Roman" w:eastAsia="宋体" w:cs="Times New Roman"/>
          <w:b/>
          <w:bCs/>
          <w:snapToGrid w:val="0"/>
          <w:sz w:val="28"/>
          <w:szCs w:val="28"/>
        </w:rPr>
        <w:t>三、生态环境现状、保护目标及评价标准</w:t>
      </w:r>
    </w:p>
    <w:tbl>
      <w:tblPr>
        <w:tblStyle w:val="23"/>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14:paraId="5A586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904" w:type="dxa"/>
            <w:noWrap w:val="0"/>
            <w:vAlign w:val="center"/>
          </w:tcPr>
          <w:p w14:paraId="1FC8D3B4">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生态环境现状</w:t>
            </w:r>
          </w:p>
        </w:tc>
        <w:tc>
          <w:tcPr>
            <w:tcW w:w="8253" w:type="dxa"/>
            <w:noWrap w:val="0"/>
            <w:vAlign w:val="center"/>
          </w:tcPr>
          <w:p w14:paraId="6172EFBB">
            <w:pPr>
              <w:keepNext w:val="0"/>
              <w:keepLines w:val="0"/>
              <w:pageBreakBefore w:val="0"/>
              <w:widowControl/>
              <w:suppressLineNumbers w:val="0"/>
              <w:kinsoku/>
              <w:wordWrap/>
              <w:overflowPunct/>
              <w:topLinePunct w:val="0"/>
              <w:autoSpaceDE/>
              <w:autoSpaceDN/>
              <w:bidi w:val="0"/>
              <w:spacing w:line="360" w:lineRule="auto"/>
              <w:ind w:left="0" w:right="0"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一、生态环境现状</w:t>
            </w:r>
          </w:p>
          <w:p w14:paraId="2C604D9B">
            <w:pPr>
              <w:pStyle w:val="45"/>
              <w:keepNext w:val="0"/>
              <w:keepLines w:val="0"/>
              <w:pageBreakBefore w:val="0"/>
              <w:kinsoku/>
              <w:wordWrap/>
              <w:overflowPunct/>
              <w:topLinePunct w:val="0"/>
              <w:autoSpaceDE/>
              <w:autoSpaceDN/>
              <w:bidi w:val="0"/>
              <w:spacing w:line="360" w:lineRule="auto"/>
              <w:ind w:left="0" w:right="0" w:firstLine="45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生态功能区划</w:t>
            </w:r>
          </w:p>
          <w:p w14:paraId="258C8326">
            <w:pPr>
              <w:pStyle w:val="45"/>
              <w:keepNext w:val="0"/>
              <w:keepLines w:val="0"/>
              <w:pageBreakBefore w:val="0"/>
              <w:kinsoku/>
              <w:wordWrap/>
              <w:overflowPunct/>
              <w:topLinePunct w:val="0"/>
              <w:autoSpaceDE/>
              <w:autoSpaceDN/>
              <w:bidi w:val="0"/>
              <w:spacing w:line="360" w:lineRule="auto"/>
              <w:ind w:left="0" w:right="0" w:firstLine="44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rPr>
              <w:t>甘肃省生态功能区划</w:t>
            </w:r>
          </w:p>
          <w:p w14:paraId="47932429">
            <w:pPr>
              <w:pStyle w:val="45"/>
              <w:keepNext w:val="0"/>
              <w:keepLines w:val="0"/>
              <w:pageBreakBefore w:val="0"/>
              <w:kinsoku/>
              <w:wordWrap/>
              <w:overflowPunct/>
              <w:topLinePunct w:val="0"/>
              <w:autoSpaceDE/>
              <w:autoSpaceDN/>
              <w:bidi w:val="0"/>
              <w:spacing w:line="360" w:lineRule="auto"/>
              <w:ind w:left="0" w:right="0" w:firstLine="46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根据《甘肃省生态功能区划》，本项目所在区域属于</w:t>
            </w:r>
            <w:r>
              <w:rPr>
                <w:rFonts w:hint="eastAsia"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rPr>
              <w:t>巴丹吉林沙漠</w:t>
            </w:r>
            <w:r>
              <w:rPr>
                <w:rFonts w:hint="default" w:ascii="Times New Roman" w:hAnsi="Times New Roman" w:eastAsia="宋体" w:cs="Times New Roman"/>
                <w:spacing w:val="-5"/>
                <w:sz w:val="24"/>
                <w:szCs w:val="24"/>
              </w:rPr>
              <w:t>生态亚区</w:t>
            </w:r>
            <w:r>
              <w:rPr>
                <w:rFonts w:hint="eastAsia" w:ascii="Times New Roman" w:hAnsi="Times New Roman" w:eastAsia="宋体" w:cs="Times New Roman"/>
                <w:spacing w:val="-4"/>
                <w:sz w:val="24"/>
                <w:szCs w:val="24"/>
                <w:lang w:eastAsia="zh-CN"/>
              </w:rPr>
              <w:t>”</w:t>
            </w:r>
            <w:r>
              <w:rPr>
                <w:rFonts w:hint="default" w:ascii="Times New Roman" w:hAnsi="Times New Roman" w:eastAsia="宋体" w:cs="Times New Roman"/>
                <w:spacing w:val="-5"/>
                <w:sz w:val="24"/>
                <w:szCs w:val="24"/>
              </w:rPr>
              <w:t>中</w:t>
            </w:r>
            <w:r>
              <w:rPr>
                <w:rFonts w:hint="eastAsia" w:ascii="Times New Roman" w:hAnsi="Times New Roman" w:eastAsia="宋体" w:cs="Times New Roman"/>
                <w:spacing w:val="-5"/>
                <w:sz w:val="24"/>
                <w:szCs w:val="24"/>
                <w:lang w:eastAsia="zh-CN"/>
              </w:rPr>
              <w:t>“</w:t>
            </w:r>
            <w:r>
              <w:rPr>
                <w:rFonts w:hint="default" w:ascii="Times New Roman" w:hAnsi="Times New Roman" w:eastAsia="宋体" w:cs="Times New Roman"/>
                <w:spacing w:val="-4"/>
                <w:sz w:val="24"/>
                <w:szCs w:val="24"/>
              </w:rPr>
              <w:t>32、合黎山北麓风蚀沙化控制生态功能区</w:t>
            </w:r>
            <w:r>
              <w:rPr>
                <w:rFonts w:hint="eastAsia" w:ascii="Times New Roman" w:hAnsi="Times New Roman" w:eastAsia="宋体" w:cs="Times New Roman"/>
                <w:spacing w:val="-5"/>
                <w:sz w:val="24"/>
                <w:szCs w:val="24"/>
                <w:lang w:eastAsia="zh-CN"/>
              </w:rPr>
              <w:t>”</w:t>
            </w:r>
            <w:r>
              <w:rPr>
                <w:rFonts w:hint="default" w:ascii="Times New Roman" w:hAnsi="Times New Roman" w:eastAsia="宋体" w:cs="Times New Roman"/>
                <w:spacing w:val="-4"/>
                <w:sz w:val="24"/>
                <w:szCs w:val="24"/>
              </w:rPr>
              <w:t>。项目与甘肃省生态功能区划位置关系见附图</w:t>
            </w:r>
            <w:r>
              <w:rPr>
                <w:rFonts w:hint="eastAsia" w:ascii="Times New Roman" w:hAnsi="Times New Roman" w:eastAsia="宋体" w:cs="Times New Roman"/>
                <w:spacing w:val="-4"/>
                <w:sz w:val="24"/>
                <w:szCs w:val="24"/>
                <w:lang w:val="en-US" w:eastAsia="zh-CN"/>
              </w:rPr>
              <w:t>5</w:t>
            </w:r>
            <w:r>
              <w:rPr>
                <w:rFonts w:hint="default" w:ascii="Times New Roman" w:hAnsi="Times New Roman" w:eastAsia="宋体" w:cs="Times New Roman"/>
                <w:spacing w:val="-4"/>
                <w:sz w:val="24"/>
                <w:szCs w:val="24"/>
              </w:rPr>
              <w:t>。</w:t>
            </w:r>
          </w:p>
          <w:p w14:paraId="064A1D0A">
            <w:pPr>
              <w:pStyle w:val="45"/>
              <w:keepNext w:val="0"/>
              <w:keepLines w:val="0"/>
              <w:pageBreakBefore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（2）张掖市生态功能区划</w:t>
            </w:r>
          </w:p>
          <w:p w14:paraId="0A099233">
            <w:pPr>
              <w:pStyle w:val="45"/>
              <w:keepNext w:val="0"/>
              <w:keepLines w:val="0"/>
              <w:pageBreakBefore w:val="0"/>
              <w:kinsoku/>
              <w:wordWrap/>
              <w:overflowPunct/>
              <w:topLinePunct w:val="0"/>
              <w:autoSpaceDE/>
              <w:autoSpaceDN/>
              <w:bidi w:val="0"/>
              <w:spacing w:line="360" w:lineRule="auto"/>
              <w:ind w:left="0" w:right="0" w:firstLine="460" w:firstLineChars="200"/>
              <w:textAlignment w:val="auto"/>
              <w:rPr>
                <w:rFonts w:hint="default" w:ascii="Times New Roman" w:hAnsi="Times New Roman" w:eastAsia="宋体" w:cs="Times New Roman"/>
                <w:spacing w:val="-4"/>
                <w:sz w:val="24"/>
                <w:szCs w:val="24"/>
                <w:highlight w:val="none"/>
              </w:rPr>
            </w:pPr>
            <w:r>
              <w:rPr>
                <w:rFonts w:hint="default" w:ascii="Times New Roman" w:hAnsi="Times New Roman" w:eastAsia="宋体" w:cs="Times New Roman"/>
                <w:spacing w:val="-5"/>
                <w:sz w:val="24"/>
                <w:szCs w:val="24"/>
              </w:rPr>
              <w:t>根据《张掖市生态功能区划》，本项目所在区域属于“I北部荒漠戈壁生态保育区”。</w:t>
            </w:r>
            <w:r>
              <w:rPr>
                <w:rFonts w:hint="default" w:ascii="Times New Roman" w:hAnsi="Times New Roman" w:eastAsia="宋体" w:cs="Times New Roman"/>
                <w:spacing w:val="-4"/>
                <w:sz w:val="24"/>
                <w:szCs w:val="24"/>
              </w:rPr>
              <w:t>项目与张掖市生态功能区划位置关系见</w:t>
            </w:r>
            <w:r>
              <w:rPr>
                <w:rFonts w:hint="default" w:ascii="Times New Roman" w:hAnsi="Times New Roman" w:eastAsia="宋体" w:cs="Times New Roman"/>
                <w:spacing w:val="-4"/>
                <w:sz w:val="24"/>
                <w:szCs w:val="24"/>
                <w:highlight w:val="none"/>
              </w:rPr>
              <w:t>附图</w:t>
            </w:r>
            <w:r>
              <w:rPr>
                <w:rFonts w:hint="eastAsia" w:ascii="Times New Roman" w:hAnsi="Times New Roman" w:eastAsia="宋体" w:cs="Times New Roman"/>
                <w:spacing w:val="-4"/>
                <w:sz w:val="24"/>
                <w:szCs w:val="24"/>
                <w:highlight w:val="none"/>
                <w:lang w:val="en-US" w:eastAsia="zh-CN"/>
              </w:rPr>
              <w:t>6</w:t>
            </w:r>
            <w:r>
              <w:rPr>
                <w:rFonts w:hint="default" w:ascii="Times New Roman" w:hAnsi="Times New Roman" w:eastAsia="宋体" w:cs="Times New Roman"/>
                <w:spacing w:val="-4"/>
                <w:sz w:val="24"/>
                <w:szCs w:val="24"/>
                <w:highlight w:val="none"/>
              </w:rPr>
              <w:t>。</w:t>
            </w:r>
          </w:p>
          <w:p w14:paraId="3C09947C">
            <w:pPr>
              <w:pStyle w:val="45"/>
              <w:keepNext w:val="0"/>
              <w:keepLines w:val="0"/>
              <w:pageBreakBefore w:val="0"/>
              <w:kinsoku/>
              <w:wordWrap/>
              <w:overflowPunct/>
              <w:topLinePunct w:val="0"/>
              <w:autoSpaceDE/>
              <w:autoSpaceDN/>
              <w:bidi w:val="0"/>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二、生态环境现状调查方法</w:t>
            </w:r>
          </w:p>
          <w:p w14:paraId="21EA6AF9">
            <w:pPr>
              <w:pStyle w:val="45"/>
              <w:keepNext w:val="0"/>
              <w:keepLines w:val="0"/>
              <w:pageBreakBefore w:val="0"/>
              <w:kinsoku/>
              <w:wordWrap/>
              <w:overflowPunct/>
              <w:topLinePunct w:val="0"/>
              <w:autoSpaceDE/>
              <w:autoSpaceDN/>
              <w:bidi w:val="0"/>
              <w:spacing w:line="360" w:lineRule="auto"/>
              <w:ind w:left="0" w:right="0" w:firstLine="45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1</w:t>
            </w:r>
            <w:r>
              <w:rPr>
                <w:rFonts w:hint="default" w:ascii="Times New Roman" w:hAnsi="Times New Roman" w:eastAsia="宋体" w:cs="Times New Roman"/>
                <w:b/>
                <w:bCs/>
                <w:spacing w:val="-23"/>
                <w:sz w:val="24"/>
                <w:szCs w:val="24"/>
              </w:rPr>
              <w:t xml:space="preserve"> </w:t>
            </w:r>
            <w:r>
              <w:rPr>
                <w:rFonts w:hint="default" w:ascii="Times New Roman" w:hAnsi="Times New Roman" w:eastAsia="宋体" w:cs="Times New Roman"/>
                <w:b/>
                <w:bCs/>
                <w:spacing w:val="-6"/>
                <w:sz w:val="24"/>
                <w:szCs w:val="24"/>
              </w:rPr>
              <w:t>、调查范围、方法和内容</w:t>
            </w:r>
          </w:p>
          <w:p w14:paraId="1EF5FF05">
            <w:pPr>
              <w:pStyle w:val="45"/>
              <w:keepNext w:val="0"/>
              <w:keepLines w:val="0"/>
              <w:pageBreakBefore w:val="0"/>
              <w:kinsoku/>
              <w:wordWrap/>
              <w:overflowPunct/>
              <w:topLinePunct w:val="0"/>
              <w:autoSpaceDE/>
              <w:autoSpaceDN/>
              <w:bidi w:val="0"/>
              <w:spacing w:line="360" w:lineRule="auto"/>
              <w:ind w:left="0" w:right="0" w:firstLine="45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6"/>
                <w:sz w:val="24"/>
                <w:szCs w:val="24"/>
                <w:lang w:eastAsia="zh-CN"/>
              </w:rPr>
              <w:t>（</w:t>
            </w:r>
            <w:r>
              <w:rPr>
                <w:rFonts w:hint="eastAsia" w:ascii="Times New Roman" w:hAnsi="Times New Roman" w:eastAsia="宋体" w:cs="Times New Roman"/>
                <w:b/>
                <w:bCs/>
                <w:spacing w:val="-6"/>
                <w:sz w:val="24"/>
                <w:szCs w:val="24"/>
                <w:lang w:val="en-US" w:eastAsia="zh-CN"/>
              </w:rPr>
              <w:t>1</w:t>
            </w:r>
            <w:r>
              <w:rPr>
                <w:rFonts w:hint="eastAsia" w:ascii="Times New Roman" w:hAnsi="Times New Roman" w:eastAsia="宋体" w:cs="Times New Roman"/>
                <w:b/>
                <w:bCs/>
                <w:spacing w:val="-6"/>
                <w:sz w:val="24"/>
                <w:szCs w:val="24"/>
                <w:lang w:eastAsia="zh-CN"/>
              </w:rPr>
              <w:t>）</w:t>
            </w:r>
            <w:r>
              <w:rPr>
                <w:rFonts w:hint="default" w:ascii="Times New Roman" w:hAnsi="Times New Roman" w:eastAsia="宋体" w:cs="Times New Roman"/>
                <w:b/>
                <w:bCs/>
                <w:spacing w:val="-6"/>
                <w:sz w:val="24"/>
                <w:szCs w:val="24"/>
              </w:rPr>
              <w:t>调查范围及时间</w:t>
            </w:r>
          </w:p>
          <w:p w14:paraId="5BCE802A">
            <w:pPr>
              <w:pStyle w:val="45"/>
              <w:keepNext w:val="0"/>
              <w:keepLines w:val="0"/>
              <w:pageBreakBefore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本次生态环境现状调查范围为项目占地范围及周边500m。</w:t>
            </w:r>
          </w:p>
          <w:p w14:paraId="280BBC39">
            <w:pPr>
              <w:pStyle w:val="45"/>
              <w:keepNext w:val="0"/>
              <w:keepLines w:val="0"/>
              <w:pageBreakBefore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（2）调查内容</w:t>
            </w:r>
          </w:p>
          <w:p w14:paraId="1D313649">
            <w:pPr>
              <w:pStyle w:val="45"/>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包括项目建设区域植被类型、土地利用现状等主要生态环境要素</w:t>
            </w:r>
            <w:r>
              <w:rPr>
                <w:rFonts w:hint="default" w:ascii="Times New Roman" w:hAnsi="Times New Roman" w:eastAsia="宋体" w:cs="Times New Roman"/>
                <w:spacing w:val="-1"/>
                <w:sz w:val="24"/>
                <w:szCs w:val="24"/>
              </w:rPr>
              <w:t>信息。</w:t>
            </w:r>
          </w:p>
          <w:p w14:paraId="5B77CE63">
            <w:pPr>
              <w:pStyle w:val="45"/>
              <w:keepNext w:val="0"/>
              <w:keepLines w:val="0"/>
              <w:pageBreakBefore w:val="0"/>
              <w:kinsoku/>
              <w:wordWrap/>
              <w:overflowPunct/>
              <w:topLinePunct w:val="0"/>
              <w:autoSpaceDE/>
              <w:autoSpaceDN/>
              <w:bidi w:val="0"/>
              <w:spacing w:line="360" w:lineRule="auto"/>
              <w:ind w:left="0" w:right="0" w:firstLine="45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b/>
                <w:bCs/>
                <w:spacing w:val="-30"/>
                <w:sz w:val="24"/>
                <w:szCs w:val="24"/>
              </w:rPr>
              <w:t xml:space="preserve"> </w:t>
            </w:r>
            <w:r>
              <w:rPr>
                <w:rFonts w:hint="default" w:ascii="Times New Roman" w:hAnsi="Times New Roman" w:eastAsia="宋体" w:cs="Times New Roman"/>
                <w:b/>
                <w:bCs/>
                <w:spacing w:val="-7"/>
                <w:sz w:val="24"/>
                <w:szCs w:val="24"/>
              </w:rPr>
              <w:t>）调查方法</w:t>
            </w:r>
          </w:p>
          <w:p w14:paraId="1EA4B722">
            <w:pPr>
              <w:pStyle w:val="45"/>
              <w:keepNext w:val="0"/>
              <w:keepLines w:val="0"/>
              <w:pageBreakBefore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生态现状调查方法采用资料收集法、专家和公众咨询及遥感调查等多种方法结合的</w:t>
            </w:r>
            <w:r>
              <w:rPr>
                <w:rFonts w:hint="default" w:ascii="Times New Roman" w:hAnsi="Times New Roman" w:eastAsia="宋体" w:cs="Times New Roman"/>
                <w:spacing w:val="-3"/>
                <w:sz w:val="24"/>
                <w:szCs w:val="24"/>
              </w:rPr>
              <w:t>方式进行。</w:t>
            </w:r>
          </w:p>
          <w:p w14:paraId="37F19D64">
            <w:pPr>
              <w:pStyle w:val="45"/>
              <w:keepNext w:val="0"/>
              <w:keepLines w:val="0"/>
              <w:pageBreakBefore w:val="0"/>
              <w:kinsoku/>
              <w:wordWrap/>
              <w:overflowPunct/>
              <w:topLinePunct w:val="0"/>
              <w:autoSpaceDE/>
              <w:autoSpaceDN/>
              <w:bidi w:val="0"/>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①资料收集法</w:t>
            </w:r>
          </w:p>
          <w:p w14:paraId="3FF59736">
            <w:pPr>
              <w:pStyle w:val="45"/>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植被调查收集的资料主要有中国科学院中国植被图编辑委员会编辑的《</w:t>
            </w:r>
            <w:r>
              <w:rPr>
                <w:rFonts w:hint="default" w:ascii="Times New Roman" w:hAnsi="Times New Roman" w:eastAsia="宋体" w:cs="Times New Roman"/>
                <w:spacing w:val="-1"/>
                <w:sz w:val="24"/>
                <w:szCs w:val="24"/>
              </w:rPr>
              <w:t>中国植被图</w:t>
            </w:r>
            <w:r>
              <w:rPr>
                <w:rFonts w:hint="default" w:ascii="Times New Roman" w:hAnsi="Times New Roman" w:eastAsia="宋体" w:cs="Times New Roman"/>
                <w:spacing w:val="-4"/>
                <w:sz w:val="24"/>
                <w:szCs w:val="24"/>
              </w:rPr>
              <w:t>集》等。</w:t>
            </w:r>
          </w:p>
          <w:p w14:paraId="69697AAA">
            <w:pPr>
              <w:pStyle w:val="45"/>
              <w:keepNext w:val="0"/>
              <w:keepLines w:val="0"/>
              <w:pageBreakBefore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②专家和公众咨询法</w:t>
            </w:r>
          </w:p>
          <w:p w14:paraId="5C36D531">
            <w:pPr>
              <w:pStyle w:val="45"/>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植物调查重点包括植物物种组成，覆盖度等。对于不确定的植物采集样</w:t>
            </w:r>
            <w:r>
              <w:rPr>
                <w:rFonts w:hint="default" w:ascii="Times New Roman" w:hAnsi="Times New Roman" w:eastAsia="宋体" w:cs="Times New Roman"/>
                <w:spacing w:val="-1"/>
                <w:sz w:val="24"/>
                <w:szCs w:val="24"/>
              </w:rPr>
              <w:t>本查阅《中</w:t>
            </w:r>
            <w:r>
              <w:rPr>
                <w:rFonts w:hint="default" w:ascii="Times New Roman" w:hAnsi="Times New Roman" w:eastAsia="宋体" w:cs="Times New Roman"/>
                <w:spacing w:val="-3"/>
                <w:sz w:val="24"/>
                <w:szCs w:val="24"/>
              </w:rPr>
              <w:t>国植被类型图谱》进行确认。</w:t>
            </w:r>
          </w:p>
          <w:p w14:paraId="7F623DFB">
            <w:pPr>
              <w:pStyle w:val="45"/>
              <w:keepNext w:val="0"/>
              <w:keepLines w:val="0"/>
              <w:pageBreakBefore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③现场调查法</w:t>
            </w:r>
          </w:p>
          <w:p w14:paraId="0BFBB146">
            <w:pPr>
              <w:pStyle w:val="45"/>
              <w:keepNext w:val="0"/>
              <w:keepLines w:val="0"/>
              <w:pageBreakBefore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根据整体与重点相结合的原则，现场调查法应突出重点区域和关键时段的调查，并通过实地踏勘，核实收集资料的准确性，以获取实际资料和数据。</w:t>
            </w:r>
          </w:p>
          <w:p w14:paraId="3DAD026B">
            <w:pPr>
              <w:pStyle w:val="45"/>
              <w:keepNext w:val="0"/>
              <w:keepLines w:val="0"/>
              <w:pageBreakBefore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b/>
                <w:bCs/>
                <w:spacing w:val="-3"/>
                <w:sz w:val="24"/>
                <w:szCs w:val="24"/>
              </w:rPr>
            </w:pPr>
            <w:r>
              <w:rPr>
                <w:rFonts w:hint="default" w:ascii="Times New Roman" w:hAnsi="Times New Roman" w:eastAsia="宋体" w:cs="Times New Roman"/>
                <w:b/>
                <w:bCs/>
                <w:spacing w:val="-3"/>
                <w:sz w:val="24"/>
                <w:szCs w:val="24"/>
              </w:rPr>
              <w:t>④遥感调查法</w:t>
            </w:r>
          </w:p>
          <w:p w14:paraId="459BB1EB">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科学准确地反映项目区植被类型、土地利用现状、土壤侵蚀强度等主要生态环境要素信息，本次工作采用3S技术结合的方法进行环境影响项目区生态环境信息的获取。首先，根据国家或相关行业规范，结合遥感图像的时相与空间分辨率，建立土地利用现状、植被类型、土壤侵蚀强度、植被覆盖度分类或分级体系；其次，对资源三号（ZY-3）遥感图像数据进行投影转换、几何纠正、直方图匹配等预处理；第三，以项目区资源三号（ZY-3）遥感影像为信息源，结合项目区的相关资料，建立基于土地利用现状、植被类型、土壤侵蚀强度的分类分级系统的遥感解译标志，采用人机交互目视判读对遥感数据进行解译，编制项目区土地利用现状、植被类型、土壤侵蚀强度生态环境专题图件。第四，采用专业制图软件ARCGIS进行专题图件数字化，并进行分类面积统计。</w:t>
            </w:r>
          </w:p>
          <w:p w14:paraId="06A8D451">
            <w:pPr>
              <w:pStyle w:val="45"/>
              <w:keepNext w:val="0"/>
              <w:keepLines w:val="0"/>
              <w:pageBreakBefore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2</w:t>
            </w:r>
            <w:r>
              <w:rPr>
                <w:rFonts w:hint="default" w:ascii="Times New Roman" w:hAnsi="Times New Roman" w:eastAsia="宋体" w:cs="Times New Roman"/>
                <w:b/>
                <w:bCs/>
                <w:spacing w:val="-25"/>
                <w:sz w:val="24"/>
                <w:szCs w:val="24"/>
              </w:rPr>
              <w:t xml:space="preserve"> </w:t>
            </w:r>
            <w:r>
              <w:rPr>
                <w:rFonts w:hint="default" w:ascii="Times New Roman" w:hAnsi="Times New Roman" w:eastAsia="宋体" w:cs="Times New Roman"/>
                <w:b/>
                <w:bCs/>
                <w:spacing w:val="-5"/>
                <w:sz w:val="24"/>
                <w:szCs w:val="24"/>
              </w:rPr>
              <w:t>、遥感图像处理及其评价</w:t>
            </w:r>
          </w:p>
          <w:p w14:paraId="5498BA72">
            <w:pPr>
              <w:pStyle w:val="45"/>
              <w:keepNext w:val="0"/>
              <w:keepLines w:val="0"/>
              <w:pageBreakBefore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（1）遥感信息源的选取</w:t>
            </w:r>
          </w:p>
          <w:p w14:paraId="540E038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以202</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月</w:t>
            </w:r>
            <w:r>
              <w:rPr>
                <w:rFonts w:hint="default" w:ascii="Times New Roman" w:hAnsi="Times New Roman" w:eastAsia="宋体" w:cs="Times New Roman"/>
                <w:sz w:val="24"/>
                <w:szCs w:val="24"/>
              </w:rPr>
              <w:t>的资源三号（ZY-3）影像像数据作为基本信息源，全色空间分辨率2.1米，经过融合处理后的图像地表信息丰富，有利于生态环境因子遥感解译标志的建立，保证了各生态环境要素解译成果的准确性。</w:t>
            </w:r>
          </w:p>
          <w:p w14:paraId="6BF55A5D">
            <w:pPr>
              <w:pStyle w:val="45"/>
              <w:keepNext w:val="0"/>
              <w:keepLines w:val="0"/>
              <w:pageBreakBefore w:val="0"/>
              <w:numPr>
                <w:ilvl w:val="0"/>
                <w:numId w:val="0"/>
              </w:numPr>
              <w:kinsoku/>
              <w:wordWrap/>
              <w:overflowPunct/>
              <w:topLinePunct w:val="0"/>
              <w:autoSpaceDE/>
              <w:autoSpaceDN/>
              <w:bidi w:val="0"/>
              <w:spacing w:line="360" w:lineRule="auto"/>
              <w:ind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资源三号（ZY-3）影像图处理</w:t>
            </w:r>
          </w:p>
          <w:p w14:paraId="77705834">
            <w:pPr>
              <w:pStyle w:val="45"/>
              <w:keepNext w:val="0"/>
              <w:keepLines w:val="0"/>
              <w:pageBreakBefore w:val="0"/>
              <w:numPr>
                <w:ilvl w:val="0"/>
                <w:numId w:val="0"/>
              </w:numPr>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在ERDAS等遥感图像处理软件的支持下，对资源三号（ZY-3）影像数据进行了投影转换、几何纠正、直方图匹配等图像预处理。根据土地利用现状、植被类型、土壤侵蚀等生态环境要素的地物光谱特征的差异性，选择全波段合成方案，全波段合成图像色彩丰富、层次分明，地类边界明显，有利于生态要素的判读解译。</w:t>
            </w:r>
          </w:p>
          <w:p w14:paraId="6CD225CE">
            <w:pPr>
              <w:pStyle w:val="45"/>
              <w:keepNext w:val="0"/>
              <w:keepLines w:val="0"/>
              <w:pageBreakBefore w:val="0"/>
              <w:kinsoku/>
              <w:wordWrap/>
              <w:overflowPunct/>
              <w:topLinePunct w:val="0"/>
              <w:autoSpaceDE/>
              <w:autoSpaceDN/>
              <w:bidi w:val="0"/>
              <w:spacing w:line="360" w:lineRule="auto"/>
              <w:ind w:left="0" w:right="0" w:firstLine="45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7"/>
                <w:sz w:val="24"/>
                <w:szCs w:val="24"/>
                <w:lang w:eastAsia="zh-CN"/>
              </w:rPr>
              <w:t>（</w:t>
            </w:r>
            <w:r>
              <w:rPr>
                <w:rFonts w:hint="default" w:ascii="Times New Roman" w:hAnsi="Times New Roman" w:eastAsia="宋体" w:cs="Times New Roman"/>
                <w:b/>
                <w:bCs/>
                <w:spacing w:val="-7"/>
                <w:sz w:val="24"/>
                <w:szCs w:val="24"/>
                <w:lang w:val="en-US" w:eastAsia="zh-CN"/>
              </w:rPr>
              <w:t>3</w:t>
            </w:r>
            <w:r>
              <w:rPr>
                <w:rFonts w:hint="default" w:ascii="Times New Roman" w:hAnsi="Times New Roman" w:eastAsia="宋体" w:cs="Times New Roman"/>
                <w:b/>
                <w:bCs/>
                <w:spacing w:val="-7"/>
                <w:sz w:val="24"/>
                <w:szCs w:val="24"/>
                <w:lang w:eastAsia="zh-CN"/>
              </w:rPr>
              <w:t>）</w:t>
            </w:r>
            <w:r>
              <w:rPr>
                <w:rFonts w:hint="default" w:ascii="Times New Roman" w:hAnsi="Times New Roman" w:eastAsia="宋体" w:cs="Times New Roman"/>
                <w:b/>
                <w:bCs/>
                <w:spacing w:val="-7"/>
                <w:sz w:val="24"/>
                <w:szCs w:val="24"/>
              </w:rPr>
              <w:t>调查结果</w:t>
            </w:r>
          </w:p>
          <w:p w14:paraId="2CD53925">
            <w:pPr>
              <w:pStyle w:val="45"/>
              <w:keepNext w:val="0"/>
              <w:keepLines w:val="0"/>
              <w:pageBreakBefore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z w:val="24"/>
                <w:szCs w:val="24"/>
              </w:rPr>
              <w:t>根据遥感解译技术要求，解译内容包括植被类型</w:t>
            </w:r>
            <w:r>
              <w:rPr>
                <w:rFonts w:hint="default" w:ascii="Times New Roman" w:hAnsi="Times New Roman" w:eastAsia="宋体" w:cs="Times New Roman"/>
                <w:spacing w:val="-1"/>
                <w:sz w:val="24"/>
                <w:szCs w:val="24"/>
              </w:rPr>
              <w:t>、土地利用现状</w:t>
            </w: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spacing w:val="-1"/>
                <w:sz w:val="24"/>
                <w:szCs w:val="24"/>
                <w:lang w:val="en-US" w:eastAsia="zh-CN"/>
              </w:rPr>
              <w:t>土地利用现状和植被覆盖度空间分布图</w:t>
            </w:r>
            <w:r>
              <w:rPr>
                <w:rFonts w:hint="default" w:ascii="Times New Roman" w:hAnsi="Times New Roman" w:eastAsia="宋体" w:cs="Times New Roman"/>
                <w:spacing w:val="-1"/>
                <w:sz w:val="24"/>
                <w:szCs w:val="24"/>
              </w:rPr>
              <w:t>。</w:t>
            </w:r>
          </w:p>
          <w:p w14:paraId="50F9BA77">
            <w:pPr>
              <w:pStyle w:val="45"/>
              <w:keepNext w:val="0"/>
              <w:keepLines w:val="0"/>
              <w:pageBreakBefore w:val="0"/>
              <w:kinsoku/>
              <w:wordWrap/>
              <w:overflowPunct/>
              <w:topLinePunct w:val="0"/>
              <w:autoSpaceDE/>
              <w:autoSpaceDN/>
              <w:bidi w:val="0"/>
              <w:spacing w:line="360" w:lineRule="auto"/>
              <w:ind w:left="0" w:right="0" w:firstLine="464"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4"/>
                <w:sz w:val="24"/>
                <w:szCs w:val="24"/>
              </w:rPr>
              <w:t>（1）土地利用类型</w:t>
            </w:r>
          </w:p>
          <w:p w14:paraId="41026796">
            <w:pPr>
              <w:pStyle w:val="22"/>
              <w:keepNext w:val="0"/>
              <w:keepLines w:val="0"/>
              <w:pageBreakBefore w:val="0"/>
              <w:kinsoku/>
              <w:wordWrap/>
              <w:overflowPunct/>
              <w:topLinePunct w:val="0"/>
              <w:autoSpaceDE/>
              <w:autoSpaceDN/>
              <w:bidi w:val="0"/>
              <w:spacing w:before="0" w:after="0" w:line="360" w:lineRule="auto"/>
              <w:ind w:left="0" w:leftChars="0" w:right="0" w:firstLine="52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10"/>
                <w:sz w:val="24"/>
                <w:szCs w:val="24"/>
              </w:rPr>
              <w:t>按照《土地利用现状分类标准（</w:t>
            </w:r>
            <w:r>
              <w:rPr>
                <w:rFonts w:hint="default" w:ascii="Times New Roman" w:hAnsi="Times New Roman" w:eastAsia="宋体" w:cs="Times New Roman"/>
                <w:sz w:val="24"/>
                <w:szCs w:val="24"/>
              </w:rPr>
              <w:t>GBT</w:t>
            </w:r>
            <w:r>
              <w:rPr>
                <w:rFonts w:hint="default" w:ascii="Times New Roman" w:hAnsi="Times New Roman" w:eastAsia="宋体" w:cs="Times New Roman"/>
                <w:spacing w:val="10"/>
                <w:sz w:val="24"/>
                <w:szCs w:val="24"/>
              </w:rPr>
              <w:t>21010-2017</w:t>
            </w:r>
            <w:r>
              <w:rPr>
                <w:rFonts w:hint="eastAsia" w:ascii="Times New Roman" w:hAnsi="Times New Roman" w:cs="Times New Roman"/>
                <w:spacing w:val="10"/>
                <w:sz w:val="24"/>
                <w:szCs w:val="24"/>
                <w:lang w:eastAsia="zh-CN"/>
              </w:rPr>
              <w:t>）</w:t>
            </w:r>
            <w:r>
              <w:rPr>
                <w:rFonts w:hint="default" w:ascii="Times New Roman" w:hAnsi="Times New Roman" w:eastAsia="宋体" w:cs="Times New Roman"/>
                <w:spacing w:val="10"/>
                <w:sz w:val="24"/>
                <w:szCs w:val="24"/>
              </w:rPr>
              <w:t>》的进行地类</w:t>
            </w:r>
            <w:r>
              <w:rPr>
                <w:rFonts w:hint="default" w:ascii="Times New Roman" w:hAnsi="Times New Roman" w:eastAsia="宋体" w:cs="Times New Roman"/>
                <w:spacing w:val="-2"/>
                <w:sz w:val="24"/>
                <w:szCs w:val="24"/>
              </w:rPr>
              <w:t>划分，将评价范围内的土地利用类型划分为旱地、</w:t>
            </w:r>
            <w:r>
              <w:rPr>
                <w:rFonts w:hint="default" w:ascii="Times New Roman" w:hAnsi="Times New Roman" w:eastAsia="宋体" w:cs="Times New Roman"/>
                <w:i w:val="0"/>
                <w:iCs w:val="0"/>
                <w:color w:val="000000"/>
                <w:kern w:val="0"/>
                <w:sz w:val="24"/>
                <w:szCs w:val="24"/>
                <w:u w:val="none"/>
                <w:lang w:val="en-US" w:eastAsia="zh-CN" w:bidi="ar"/>
              </w:rPr>
              <w:t>公路用地</w:t>
            </w:r>
            <w:r>
              <w:rPr>
                <w:rFonts w:hint="default" w:ascii="Times New Roman" w:hAnsi="Times New Roman" w:eastAsia="宋体" w:cs="Times New Roman"/>
                <w:spacing w:val="-2"/>
                <w:sz w:val="24"/>
                <w:szCs w:val="24"/>
              </w:rPr>
              <w:t>、</w:t>
            </w:r>
            <w:r>
              <w:rPr>
                <w:rFonts w:hint="default" w:ascii="Times New Roman" w:hAnsi="Times New Roman" w:eastAsia="宋体" w:cs="Times New Roman"/>
                <w:i w:val="0"/>
                <w:iCs w:val="0"/>
                <w:color w:val="000000"/>
                <w:kern w:val="0"/>
                <w:sz w:val="24"/>
                <w:szCs w:val="24"/>
                <w:u w:val="none"/>
                <w:lang w:val="en-US" w:eastAsia="zh-CN" w:bidi="ar"/>
              </w:rPr>
              <w:t>盐碱地</w:t>
            </w:r>
            <w:r>
              <w:rPr>
                <w:rFonts w:hint="default" w:ascii="Times New Roman" w:hAnsi="Times New Roman" w:eastAsia="宋体" w:cs="Times New Roman"/>
                <w:spacing w:val="-3"/>
                <w:sz w:val="24"/>
                <w:szCs w:val="24"/>
              </w:rPr>
              <w:t>、</w:t>
            </w:r>
            <w:r>
              <w:rPr>
                <w:rFonts w:hint="default" w:ascii="Times New Roman" w:hAnsi="Times New Roman" w:eastAsia="宋体" w:cs="Times New Roman"/>
                <w:sz w:val="24"/>
                <w:szCs w:val="24"/>
              </w:rPr>
              <w:t>其他草地</w:t>
            </w:r>
            <w:r>
              <w:rPr>
                <w:rFonts w:hint="default" w:ascii="Times New Roman" w:hAnsi="Times New Roman" w:eastAsia="宋体" w:cs="Times New Roman"/>
                <w:spacing w:val="-43"/>
                <w:sz w:val="24"/>
                <w:szCs w:val="24"/>
              </w:rPr>
              <w:t xml:space="preserve"> </w:t>
            </w:r>
            <w:r>
              <w:rPr>
                <w:rFonts w:hint="default" w:ascii="Times New Roman" w:hAnsi="Times New Roman" w:eastAsia="宋体" w:cs="Times New Roman"/>
                <w:sz w:val="24"/>
                <w:szCs w:val="24"/>
              </w:rPr>
              <w:t>、</w:t>
            </w:r>
            <w:r>
              <w:rPr>
                <w:rFonts w:hint="default" w:ascii="Times New Roman" w:hAnsi="Times New Roman" w:eastAsia="宋体" w:cs="Times New Roman"/>
                <w:i w:val="0"/>
                <w:iCs w:val="0"/>
                <w:color w:val="000000"/>
                <w:kern w:val="0"/>
                <w:sz w:val="24"/>
                <w:szCs w:val="24"/>
                <w:u w:val="none"/>
                <w:lang w:val="en-US" w:eastAsia="zh-CN" w:bidi="ar"/>
              </w:rPr>
              <w:t>裸土地</w:t>
            </w:r>
            <w:r>
              <w:rPr>
                <w:rFonts w:hint="default" w:ascii="Times New Roman" w:hAnsi="Times New Roman" w:eastAsia="宋体" w:cs="Times New Roman"/>
                <w:sz w:val="24"/>
                <w:szCs w:val="24"/>
              </w:rPr>
              <w:t>，共计</w:t>
            </w:r>
            <w:r>
              <w:rPr>
                <w:rFonts w:hint="eastAsia" w:ascii="Times New Roman" w:hAnsi="Times New Roman" w:cs="Times New Roman"/>
                <w:sz w:val="24"/>
                <w:szCs w:val="24"/>
                <w:lang w:val="en-US" w:eastAsia="zh-CN"/>
              </w:rPr>
              <w:t>5个</w:t>
            </w:r>
            <w:r>
              <w:rPr>
                <w:rFonts w:hint="default" w:ascii="Times New Roman" w:hAnsi="Times New Roman" w:eastAsia="宋体" w:cs="Times New Roman"/>
                <w:sz w:val="24"/>
                <w:szCs w:val="24"/>
              </w:rPr>
              <w:t>地类。根据遥感解译成</w:t>
            </w:r>
            <w:r>
              <w:rPr>
                <w:rFonts w:hint="default" w:ascii="Times New Roman" w:hAnsi="Times New Roman" w:eastAsia="宋体" w:cs="Times New Roman"/>
                <w:spacing w:val="-1"/>
                <w:sz w:val="24"/>
                <w:szCs w:val="24"/>
              </w:rPr>
              <w:t>果，项目区调查</w:t>
            </w:r>
            <w:r>
              <w:rPr>
                <w:rFonts w:hint="default" w:ascii="Times New Roman" w:hAnsi="Times New Roman" w:eastAsia="宋体" w:cs="Times New Roman"/>
                <w:spacing w:val="1"/>
                <w:sz w:val="24"/>
                <w:szCs w:val="24"/>
              </w:rPr>
              <w:t>范围内土地利用类型及矿区范围内土</w:t>
            </w:r>
            <w:r>
              <w:rPr>
                <w:rFonts w:hint="default" w:ascii="Times New Roman" w:hAnsi="Times New Roman" w:eastAsia="宋体" w:cs="Times New Roman"/>
                <w:spacing w:val="1"/>
                <w:sz w:val="24"/>
                <w:szCs w:val="24"/>
                <w:highlight w:val="none"/>
              </w:rPr>
              <w:t>地利用类</w:t>
            </w:r>
            <w:r>
              <w:rPr>
                <w:rFonts w:hint="default" w:ascii="Times New Roman" w:hAnsi="Times New Roman" w:eastAsia="宋体" w:cs="Times New Roman"/>
                <w:sz w:val="24"/>
                <w:szCs w:val="24"/>
                <w:highlight w:val="none"/>
              </w:rPr>
              <w:t>型见表3-1</w:t>
            </w:r>
            <w:r>
              <w:rPr>
                <w:rFonts w:hint="default" w:ascii="Times New Roman" w:hAnsi="Times New Roman" w:eastAsia="宋体" w:cs="Times New Roman"/>
                <w:spacing w:val="-48"/>
                <w:sz w:val="24"/>
                <w:szCs w:val="24"/>
                <w:highlight w:val="none"/>
              </w:rPr>
              <w:t xml:space="preserve"> </w:t>
            </w:r>
            <w:r>
              <w:rPr>
                <w:rFonts w:hint="default" w:ascii="Times New Roman" w:hAnsi="Times New Roman" w:eastAsia="宋体" w:cs="Times New Roman"/>
                <w:sz w:val="24"/>
                <w:szCs w:val="24"/>
                <w:highlight w:val="none"/>
              </w:rPr>
              <w:t>和附图</w:t>
            </w:r>
            <w:r>
              <w:rPr>
                <w:rFonts w:hint="eastAsia" w:ascii="Times New Roman" w:hAnsi="Times New Roman" w:cs="Times New Roman"/>
                <w:sz w:val="24"/>
                <w:szCs w:val="24"/>
                <w:highlight w:val="none"/>
                <w:lang w:val="en-US" w:eastAsia="zh-CN"/>
              </w:rPr>
              <w:t>8</w:t>
            </w:r>
            <w:r>
              <w:rPr>
                <w:rFonts w:hint="default" w:ascii="Times New Roman" w:hAnsi="Times New Roman" w:eastAsia="宋体" w:cs="Times New Roman"/>
                <w:sz w:val="24"/>
                <w:szCs w:val="24"/>
                <w:highlight w:val="none"/>
              </w:rPr>
              <w:t>。</w:t>
            </w:r>
          </w:p>
          <w:p w14:paraId="7E3743CA">
            <w:pPr>
              <w:pStyle w:val="22"/>
              <w:keepNext w:val="0"/>
              <w:keepLines w:val="0"/>
              <w:pageBreakBefore w:val="0"/>
              <w:kinsoku/>
              <w:wordWrap/>
              <w:overflowPunct/>
              <w:topLinePunct w:val="0"/>
              <w:autoSpaceDE/>
              <w:autoSpaceDN/>
              <w:bidi w:val="0"/>
              <w:spacing w:before="0" w:after="0" w:line="360" w:lineRule="auto"/>
              <w:ind w:left="0" w:right="0" w:firstLine="2168" w:firstLineChars="1000"/>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spacing w:val="3"/>
                <w:sz w:val="21"/>
                <w:szCs w:val="21"/>
              </w:rPr>
              <w:t>表 3-1</w:t>
            </w:r>
            <w:r>
              <w:rPr>
                <w:rFonts w:hint="default" w:ascii="Times New Roman" w:hAnsi="Times New Roman" w:eastAsia="宋体" w:cs="Times New Roman"/>
                <w:b/>
                <w:bCs/>
                <w:spacing w:val="22"/>
                <w:sz w:val="21"/>
                <w:szCs w:val="21"/>
              </w:rPr>
              <w:t xml:space="preserve">  </w:t>
            </w:r>
            <w:r>
              <w:rPr>
                <w:rFonts w:hint="eastAsia" w:ascii="Times New Roman" w:hAnsi="Times New Roman" w:cs="Times New Roman"/>
                <w:b/>
                <w:bCs/>
                <w:spacing w:val="22"/>
                <w:sz w:val="21"/>
                <w:szCs w:val="21"/>
                <w:lang w:val="en-US" w:eastAsia="zh-CN"/>
              </w:rPr>
              <w:t xml:space="preserve"> </w:t>
            </w:r>
            <w:r>
              <w:rPr>
                <w:rFonts w:hint="default" w:ascii="Times New Roman" w:hAnsi="Times New Roman" w:eastAsia="宋体" w:cs="Times New Roman"/>
                <w:b/>
                <w:bCs/>
                <w:spacing w:val="3"/>
                <w:sz w:val="21"/>
                <w:szCs w:val="21"/>
              </w:rPr>
              <w:t>土地利用类型及面积统计表</w:t>
            </w:r>
          </w:p>
          <w:tbl>
            <w:tblPr>
              <w:tblStyle w:val="23"/>
              <w:tblW w:w="4998" w:type="pct"/>
              <w:tblInd w:w="5"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57" w:type="dxa"/>
                <w:left w:w="57" w:type="dxa"/>
                <w:bottom w:w="57" w:type="dxa"/>
                <w:right w:w="57" w:type="dxa"/>
              </w:tblCellMar>
            </w:tblPr>
            <w:tblGrid>
              <w:gridCol w:w="1610"/>
              <w:gridCol w:w="628"/>
              <w:gridCol w:w="1392"/>
              <w:gridCol w:w="1143"/>
              <w:gridCol w:w="1053"/>
              <w:gridCol w:w="1194"/>
              <w:gridCol w:w="1004"/>
            </w:tblGrid>
            <w:tr w14:paraId="7B66F6D6">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1003" w:type="pct"/>
                  <w:vMerge w:val="restart"/>
                  <w:tcBorders>
                    <w:top w:val="single" w:color="000000" w:sz="12" w:space="0"/>
                    <w:left w:val="nil"/>
                    <w:tl2br w:val="nil"/>
                  </w:tcBorders>
                  <w:shd w:val="clear" w:color="auto" w:fill="auto"/>
                  <w:noWrap w:val="0"/>
                  <w:vAlign w:val="center"/>
                </w:tcPr>
                <w:p w14:paraId="4829F9C0">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一级类</w:t>
                  </w:r>
                </w:p>
              </w:tc>
              <w:tc>
                <w:tcPr>
                  <w:tcW w:w="1258" w:type="pct"/>
                  <w:gridSpan w:val="2"/>
                  <w:tcBorders>
                    <w:top w:val="single" w:color="000000" w:sz="12" w:space="0"/>
                  </w:tcBorders>
                  <w:shd w:val="clear" w:color="auto" w:fill="auto"/>
                  <w:noWrap w:val="0"/>
                  <w:vAlign w:val="center"/>
                </w:tcPr>
                <w:p w14:paraId="51A0BF31">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二级类</w:t>
                  </w:r>
                </w:p>
              </w:tc>
              <w:tc>
                <w:tcPr>
                  <w:tcW w:w="1368" w:type="pct"/>
                  <w:gridSpan w:val="2"/>
                  <w:tcBorders>
                    <w:top w:val="single" w:color="000000" w:sz="12" w:space="0"/>
                  </w:tcBorders>
                  <w:shd w:val="clear" w:color="auto" w:fill="auto"/>
                  <w:noWrap w:val="0"/>
                  <w:vAlign w:val="center"/>
                </w:tcPr>
                <w:p w14:paraId="673F6BE0">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评价区</w:t>
                  </w:r>
                </w:p>
              </w:tc>
              <w:tc>
                <w:tcPr>
                  <w:tcW w:w="1369" w:type="pct"/>
                  <w:gridSpan w:val="2"/>
                  <w:tcBorders>
                    <w:top w:val="single" w:color="000000" w:sz="12" w:space="0"/>
                    <w:right w:val="nil"/>
                  </w:tcBorders>
                  <w:shd w:val="clear" w:color="auto" w:fill="auto"/>
                  <w:noWrap w:val="0"/>
                  <w:vAlign w:val="center"/>
                </w:tcPr>
                <w:p w14:paraId="20918440">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项目区</w:t>
                  </w:r>
                </w:p>
              </w:tc>
            </w:tr>
            <w:tr w14:paraId="3F35356A">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57" w:type="dxa"/>
                  <w:left w:w="57" w:type="dxa"/>
                  <w:bottom w:w="57" w:type="dxa"/>
                  <w:right w:w="57" w:type="dxa"/>
                </w:tblCellMar>
              </w:tblPrEx>
              <w:tc>
                <w:tcPr>
                  <w:tcW w:w="1003" w:type="pct"/>
                  <w:vMerge w:val="continue"/>
                  <w:tcBorders>
                    <w:left w:val="nil"/>
                  </w:tcBorders>
                  <w:shd w:val="clear" w:color="auto" w:fill="auto"/>
                  <w:noWrap w:val="0"/>
                  <w:vAlign w:val="center"/>
                </w:tcPr>
                <w:p w14:paraId="2665A160">
                  <w:pPr>
                    <w:jc w:val="center"/>
                    <w:rPr>
                      <w:rFonts w:hint="default" w:ascii="Times New Roman" w:hAnsi="Times New Roman" w:eastAsia="宋体" w:cs="Times New Roman"/>
                      <w:b w:val="0"/>
                      <w:color w:val="000000"/>
                      <w:sz w:val="21"/>
                      <w:szCs w:val="21"/>
                    </w:rPr>
                  </w:pPr>
                </w:p>
              </w:tc>
              <w:tc>
                <w:tcPr>
                  <w:tcW w:w="391" w:type="pct"/>
                  <w:shd w:val="clear" w:color="auto" w:fill="auto"/>
                  <w:noWrap w:val="0"/>
                  <w:vAlign w:val="center"/>
                </w:tcPr>
                <w:p w14:paraId="677704B1">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代码</w:t>
                  </w:r>
                </w:p>
              </w:tc>
              <w:tc>
                <w:tcPr>
                  <w:tcW w:w="867" w:type="pct"/>
                  <w:shd w:val="clear" w:color="auto" w:fill="auto"/>
                  <w:noWrap w:val="0"/>
                  <w:vAlign w:val="center"/>
                </w:tcPr>
                <w:p w14:paraId="7ACE0B52">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名称</w:t>
                  </w:r>
                </w:p>
              </w:tc>
              <w:tc>
                <w:tcPr>
                  <w:tcW w:w="712" w:type="pct"/>
                  <w:shd w:val="clear" w:color="auto" w:fill="auto"/>
                  <w:noWrap w:val="0"/>
                  <w:vAlign w:val="center"/>
                </w:tcPr>
                <w:p w14:paraId="0ADED412">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面积(km</w:t>
                  </w:r>
                  <w:r>
                    <w:rPr>
                      <w:rFonts w:hint="default" w:ascii="Times New Roman" w:hAnsi="Times New Roman" w:eastAsia="宋体" w:cs="Times New Roman"/>
                      <w:b w:val="0"/>
                      <w:color w:val="000000"/>
                      <w:sz w:val="21"/>
                      <w:szCs w:val="21"/>
                      <w:vertAlign w:val="superscript"/>
                    </w:rPr>
                    <w:t>2</w:t>
                  </w:r>
                  <w:r>
                    <w:rPr>
                      <w:rFonts w:hint="default" w:ascii="Times New Roman" w:hAnsi="Times New Roman" w:eastAsia="宋体" w:cs="Times New Roman"/>
                      <w:b w:val="0"/>
                      <w:color w:val="000000"/>
                      <w:sz w:val="21"/>
                      <w:szCs w:val="21"/>
                    </w:rPr>
                    <w:t>)</w:t>
                  </w:r>
                </w:p>
              </w:tc>
              <w:tc>
                <w:tcPr>
                  <w:tcW w:w="655" w:type="pct"/>
                  <w:shd w:val="clear" w:color="auto" w:fill="auto"/>
                  <w:noWrap w:val="0"/>
                  <w:vAlign w:val="center"/>
                </w:tcPr>
                <w:p w14:paraId="10737923">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比例(%)</w:t>
                  </w:r>
                </w:p>
              </w:tc>
              <w:tc>
                <w:tcPr>
                  <w:tcW w:w="744" w:type="pct"/>
                  <w:shd w:val="clear" w:color="auto" w:fill="auto"/>
                  <w:noWrap w:val="0"/>
                  <w:vAlign w:val="center"/>
                </w:tcPr>
                <w:p w14:paraId="6D433072">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面积(km</w:t>
                  </w:r>
                  <w:r>
                    <w:rPr>
                      <w:rFonts w:hint="default" w:ascii="Times New Roman" w:hAnsi="Times New Roman" w:eastAsia="宋体" w:cs="Times New Roman"/>
                      <w:b w:val="0"/>
                      <w:color w:val="000000"/>
                      <w:sz w:val="21"/>
                      <w:szCs w:val="21"/>
                      <w:vertAlign w:val="superscript"/>
                    </w:rPr>
                    <w:t>2</w:t>
                  </w:r>
                  <w:r>
                    <w:rPr>
                      <w:rFonts w:hint="default" w:ascii="Times New Roman" w:hAnsi="Times New Roman" w:eastAsia="宋体" w:cs="Times New Roman"/>
                      <w:b w:val="0"/>
                      <w:color w:val="000000"/>
                      <w:sz w:val="21"/>
                      <w:szCs w:val="21"/>
                    </w:rPr>
                    <w:t>)</w:t>
                  </w:r>
                </w:p>
              </w:tc>
              <w:tc>
                <w:tcPr>
                  <w:tcW w:w="625" w:type="pct"/>
                  <w:tcBorders>
                    <w:right w:val="nil"/>
                  </w:tcBorders>
                  <w:shd w:val="clear" w:color="auto" w:fill="auto"/>
                  <w:noWrap w:val="0"/>
                  <w:vAlign w:val="center"/>
                </w:tcPr>
                <w:p w14:paraId="7D0A0419">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比例(%)</w:t>
                  </w:r>
                </w:p>
              </w:tc>
            </w:tr>
            <w:tr w14:paraId="1D293980">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03" w:type="pct"/>
                  <w:tcBorders>
                    <w:left w:val="nil"/>
                  </w:tcBorders>
                  <w:shd w:val="clear" w:color="auto" w:fill="auto"/>
                  <w:noWrap w:val="0"/>
                  <w:vAlign w:val="center"/>
                </w:tcPr>
                <w:p w14:paraId="3B49E375">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工矿用地</w:t>
                  </w:r>
                </w:p>
              </w:tc>
              <w:tc>
                <w:tcPr>
                  <w:tcW w:w="391" w:type="pct"/>
                  <w:shd w:val="clear" w:color="auto" w:fill="auto"/>
                  <w:noWrap w:val="0"/>
                  <w:vAlign w:val="center"/>
                </w:tcPr>
                <w:p w14:paraId="0FD8739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0</w:t>
                  </w:r>
                  <w:r>
                    <w:rPr>
                      <w:rFonts w:hint="default" w:ascii="Times New Roman" w:hAnsi="Times New Roman" w:eastAsia="宋体" w:cs="Times New Roman"/>
                      <w:b w:val="0"/>
                      <w:color w:val="000000"/>
                      <w:sz w:val="21"/>
                      <w:szCs w:val="21"/>
                      <w:lang w:val="en-US" w:eastAsia="zh-CN"/>
                    </w:rPr>
                    <w:t>1</w:t>
                  </w:r>
                  <w:r>
                    <w:rPr>
                      <w:rFonts w:hint="default" w:ascii="Times New Roman" w:hAnsi="Times New Roman" w:eastAsia="宋体" w:cs="Times New Roman"/>
                      <w:b w:val="0"/>
                      <w:color w:val="000000"/>
                      <w:sz w:val="21"/>
                      <w:szCs w:val="21"/>
                    </w:rPr>
                    <w:t>0</w:t>
                  </w:r>
                  <w:r>
                    <w:rPr>
                      <w:rFonts w:hint="default" w:ascii="Times New Roman" w:hAnsi="Times New Roman" w:eastAsia="宋体" w:cs="Times New Roman"/>
                      <w:b w:val="0"/>
                      <w:color w:val="000000"/>
                      <w:sz w:val="21"/>
                      <w:szCs w:val="21"/>
                      <w:lang w:val="en-US" w:eastAsia="zh-CN"/>
                    </w:rPr>
                    <w:t>3</w:t>
                  </w:r>
                </w:p>
              </w:tc>
              <w:tc>
                <w:tcPr>
                  <w:tcW w:w="867" w:type="pct"/>
                  <w:shd w:val="clear" w:color="auto" w:fill="auto"/>
                  <w:noWrap w:val="0"/>
                  <w:vAlign w:val="center"/>
                </w:tcPr>
                <w:p w14:paraId="54677133">
                  <w:pPr>
                    <w:jc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lang w:val="en-US" w:eastAsia="zh-CN"/>
                    </w:rPr>
                    <w:t>旱地</w:t>
                  </w:r>
                </w:p>
              </w:tc>
              <w:tc>
                <w:tcPr>
                  <w:tcW w:w="1200" w:type="dxa"/>
                  <w:shd w:val="clear" w:color="auto" w:fill="auto"/>
                  <w:noWrap w:val="0"/>
                  <w:vAlign w:val="center"/>
                </w:tcPr>
                <w:p w14:paraId="6729CF8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0.4196</w:t>
                  </w:r>
                </w:p>
              </w:tc>
              <w:tc>
                <w:tcPr>
                  <w:tcW w:w="1105" w:type="dxa"/>
                  <w:shd w:val="clear" w:color="auto" w:fill="auto"/>
                  <w:noWrap w:val="0"/>
                  <w:vAlign w:val="center"/>
                </w:tcPr>
                <w:p w14:paraId="4A2CB78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4.93%</w:t>
                  </w:r>
                </w:p>
              </w:tc>
              <w:tc>
                <w:tcPr>
                  <w:tcW w:w="1254" w:type="dxa"/>
                  <w:shd w:val="clear" w:color="auto" w:fill="auto"/>
                  <w:noWrap w:val="0"/>
                  <w:vAlign w:val="center"/>
                </w:tcPr>
                <w:p w14:paraId="03A1F1A0">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c>
                <w:tcPr>
                  <w:tcW w:w="1054" w:type="dxa"/>
                  <w:tcBorders>
                    <w:right w:val="nil"/>
                  </w:tcBorders>
                  <w:shd w:val="clear" w:color="auto" w:fill="auto"/>
                  <w:noWrap w:val="0"/>
                  <w:vAlign w:val="center"/>
                </w:tcPr>
                <w:p w14:paraId="1BF33064">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3C8909F6">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57" w:type="dxa"/>
                  <w:left w:w="57" w:type="dxa"/>
                  <w:bottom w:w="57" w:type="dxa"/>
                  <w:right w:w="57" w:type="dxa"/>
                </w:tblCellMar>
              </w:tblPrEx>
              <w:trPr>
                <w:trHeight w:val="382" w:hRule="atLeast"/>
              </w:trPr>
              <w:tc>
                <w:tcPr>
                  <w:tcW w:w="1003" w:type="pct"/>
                  <w:tcBorders>
                    <w:left w:val="nil"/>
                  </w:tcBorders>
                  <w:shd w:val="clear" w:color="auto" w:fill="auto"/>
                  <w:noWrap w:val="0"/>
                  <w:vAlign w:val="center"/>
                </w:tcPr>
                <w:p w14:paraId="09047026">
                  <w:pPr>
                    <w:jc w:val="center"/>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草地</w:t>
                  </w:r>
                </w:p>
              </w:tc>
              <w:tc>
                <w:tcPr>
                  <w:tcW w:w="391" w:type="pct"/>
                  <w:shd w:val="clear" w:color="auto" w:fill="auto"/>
                  <w:noWrap w:val="0"/>
                  <w:vAlign w:val="center"/>
                </w:tcPr>
                <w:p w14:paraId="35F019C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0404</w:t>
                  </w:r>
                </w:p>
              </w:tc>
              <w:tc>
                <w:tcPr>
                  <w:tcW w:w="867" w:type="pct"/>
                  <w:shd w:val="clear" w:color="auto" w:fill="auto"/>
                  <w:noWrap w:val="0"/>
                  <w:vAlign w:val="center"/>
                </w:tcPr>
                <w:p w14:paraId="3A350923">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其他草地</w:t>
                  </w:r>
                </w:p>
              </w:tc>
              <w:tc>
                <w:tcPr>
                  <w:tcW w:w="1200" w:type="dxa"/>
                  <w:shd w:val="clear" w:color="auto" w:fill="auto"/>
                  <w:noWrap w:val="0"/>
                  <w:vAlign w:val="center"/>
                </w:tcPr>
                <w:p w14:paraId="54DC4B1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0.5314</w:t>
                  </w:r>
                </w:p>
              </w:tc>
              <w:tc>
                <w:tcPr>
                  <w:tcW w:w="1105" w:type="dxa"/>
                  <w:shd w:val="clear" w:color="auto" w:fill="auto"/>
                  <w:noWrap w:val="0"/>
                  <w:vAlign w:val="center"/>
                </w:tcPr>
                <w:p w14:paraId="44172E80">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6.24%</w:t>
                  </w:r>
                </w:p>
              </w:tc>
              <w:tc>
                <w:tcPr>
                  <w:tcW w:w="1254" w:type="dxa"/>
                  <w:shd w:val="clear" w:color="auto" w:fill="auto"/>
                  <w:noWrap w:val="0"/>
                  <w:vAlign w:val="center"/>
                </w:tcPr>
                <w:p w14:paraId="6639FC73">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c>
                <w:tcPr>
                  <w:tcW w:w="1054" w:type="dxa"/>
                  <w:tcBorders>
                    <w:right w:val="nil"/>
                  </w:tcBorders>
                  <w:shd w:val="clear" w:color="auto" w:fill="auto"/>
                  <w:noWrap w:val="0"/>
                  <w:vAlign w:val="center"/>
                </w:tcPr>
                <w:p w14:paraId="74E2513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376038B0">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03" w:type="pct"/>
                  <w:tcBorders>
                    <w:left w:val="nil"/>
                  </w:tcBorders>
                  <w:shd w:val="clear" w:color="auto" w:fill="auto"/>
                  <w:noWrap w:val="0"/>
                  <w:vAlign w:val="center"/>
                </w:tcPr>
                <w:p w14:paraId="0A44A05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交通</w:t>
                  </w:r>
                  <w:r>
                    <w:rPr>
                      <w:rFonts w:hint="default" w:ascii="Times New Roman" w:hAnsi="Times New Roman" w:eastAsia="宋体" w:cs="Times New Roman"/>
                      <w:b w:val="0"/>
                      <w:color w:val="000000"/>
                      <w:sz w:val="21"/>
                      <w:szCs w:val="21"/>
                      <w:lang w:val="en-US" w:eastAsia="zh-CN"/>
                    </w:rPr>
                    <w:t>运输</w:t>
                  </w:r>
                  <w:r>
                    <w:rPr>
                      <w:rFonts w:hint="default" w:ascii="Times New Roman" w:hAnsi="Times New Roman" w:eastAsia="宋体" w:cs="Times New Roman"/>
                      <w:b w:val="0"/>
                      <w:color w:val="000000"/>
                      <w:sz w:val="21"/>
                      <w:szCs w:val="21"/>
                    </w:rPr>
                    <w:t>用地</w:t>
                  </w:r>
                </w:p>
              </w:tc>
              <w:tc>
                <w:tcPr>
                  <w:tcW w:w="391" w:type="pct"/>
                  <w:shd w:val="clear" w:color="auto" w:fill="auto"/>
                  <w:noWrap w:val="0"/>
                  <w:vAlign w:val="center"/>
                </w:tcPr>
                <w:p w14:paraId="6E0F6162">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1006</w:t>
                  </w:r>
                </w:p>
              </w:tc>
              <w:tc>
                <w:tcPr>
                  <w:tcW w:w="867" w:type="pct"/>
                  <w:shd w:val="clear" w:color="auto" w:fill="auto"/>
                  <w:noWrap w:val="0"/>
                  <w:vAlign w:val="center"/>
                </w:tcPr>
                <w:p w14:paraId="662B2CFE">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公路用地</w:t>
                  </w:r>
                </w:p>
              </w:tc>
              <w:tc>
                <w:tcPr>
                  <w:tcW w:w="1200" w:type="dxa"/>
                  <w:shd w:val="clear" w:color="auto" w:fill="auto"/>
                  <w:noWrap w:val="0"/>
                  <w:vAlign w:val="center"/>
                </w:tcPr>
                <w:p w14:paraId="747D82E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0.0981</w:t>
                  </w:r>
                </w:p>
              </w:tc>
              <w:tc>
                <w:tcPr>
                  <w:tcW w:w="1105" w:type="dxa"/>
                  <w:shd w:val="clear" w:color="auto" w:fill="auto"/>
                  <w:noWrap w:val="0"/>
                  <w:vAlign w:val="center"/>
                </w:tcPr>
                <w:p w14:paraId="450154F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1.15%</w:t>
                  </w:r>
                </w:p>
              </w:tc>
              <w:tc>
                <w:tcPr>
                  <w:tcW w:w="1254" w:type="dxa"/>
                  <w:shd w:val="clear" w:color="auto" w:fill="auto"/>
                  <w:noWrap w:val="0"/>
                  <w:vAlign w:val="center"/>
                </w:tcPr>
                <w:p w14:paraId="6E9678B4">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0.0277</w:t>
                  </w:r>
                </w:p>
              </w:tc>
              <w:tc>
                <w:tcPr>
                  <w:tcW w:w="1054" w:type="dxa"/>
                  <w:tcBorders>
                    <w:right w:val="nil"/>
                  </w:tcBorders>
                  <w:shd w:val="clear" w:color="auto" w:fill="auto"/>
                  <w:noWrap w:val="0"/>
                  <w:vAlign w:val="center"/>
                </w:tcPr>
                <w:p w14:paraId="3D51B353">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1.77%</w:t>
                  </w:r>
                </w:p>
              </w:tc>
            </w:tr>
            <w:tr w14:paraId="1D52CE44">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03" w:type="pct"/>
                  <w:vMerge w:val="restart"/>
                  <w:tcBorders>
                    <w:left w:val="nil"/>
                  </w:tcBorders>
                  <w:shd w:val="clear" w:color="auto" w:fill="auto"/>
                  <w:noWrap w:val="0"/>
                  <w:vAlign w:val="center"/>
                </w:tcPr>
                <w:p w14:paraId="56610621">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其他土地</w:t>
                  </w:r>
                </w:p>
              </w:tc>
              <w:tc>
                <w:tcPr>
                  <w:tcW w:w="391" w:type="pct"/>
                  <w:shd w:val="clear" w:color="auto" w:fill="auto"/>
                  <w:noWrap w:val="0"/>
                  <w:vAlign w:val="center"/>
                </w:tcPr>
                <w:p w14:paraId="19D73981">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1204</w:t>
                  </w:r>
                </w:p>
              </w:tc>
              <w:tc>
                <w:tcPr>
                  <w:tcW w:w="867" w:type="pct"/>
                  <w:shd w:val="clear" w:color="auto" w:fill="auto"/>
                  <w:noWrap w:val="0"/>
                  <w:vAlign w:val="center"/>
                </w:tcPr>
                <w:p w14:paraId="0AD7FB6F">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盐碱地</w:t>
                  </w:r>
                </w:p>
              </w:tc>
              <w:tc>
                <w:tcPr>
                  <w:tcW w:w="1200" w:type="dxa"/>
                  <w:shd w:val="clear" w:color="auto" w:fill="auto"/>
                  <w:noWrap w:val="0"/>
                  <w:vAlign w:val="center"/>
                </w:tcPr>
                <w:p w14:paraId="7AB1429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0.9369</w:t>
                  </w:r>
                </w:p>
              </w:tc>
              <w:tc>
                <w:tcPr>
                  <w:tcW w:w="1105" w:type="dxa"/>
                  <w:shd w:val="clear" w:color="auto" w:fill="auto"/>
                  <w:noWrap w:val="0"/>
                  <w:vAlign w:val="center"/>
                </w:tcPr>
                <w:p w14:paraId="6D81E78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11.01%</w:t>
                  </w:r>
                </w:p>
              </w:tc>
              <w:tc>
                <w:tcPr>
                  <w:tcW w:w="1254" w:type="dxa"/>
                  <w:shd w:val="clear" w:color="auto" w:fill="auto"/>
                  <w:noWrap w:val="0"/>
                  <w:vAlign w:val="center"/>
                </w:tcPr>
                <w:p w14:paraId="457DCEDA">
                  <w:pPr>
                    <w:keepNext w:val="0"/>
                    <w:keepLines w:val="0"/>
                    <w:widowControl/>
                    <w:suppressLineNumbers w:val="0"/>
                    <w:jc w:val="center"/>
                    <w:textAlignment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0.3259</w:t>
                  </w:r>
                </w:p>
              </w:tc>
              <w:tc>
                <w:tcPr>
                  <w:tcW w:w="1054" w:type="dxa"/>
                  <w:tcBorders>
                    <w:right w:val="nil"/>
                  </w:tcBorders>
                  <w:shd w:val="clear" w:color="auto" w:fill="auto"/>
                  <w:noWrap w:val="0"/>
                  <w:vAlign w:val="center"/>
                </w:tcPr>
                <w:p w14:paraId="45DD08A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20.86%</w:t>
                  </w:r>
                </w:p>
              </w:tc>
            </w:tr>
            <w:tr w14:paraId="51C78D9B">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57" w:type="dxa"/>
                  <w:left w:w="57" w:type="dxa"/>
                  <w:bottom w:w="57" w:type="dxa"/>
                  <w:right w:w="57" w:type="dxa"/>
                </w:tblCellMar>
              </w:tblPrEx>
              <w:trPr>
                <w:trHeight w:val="382" w:hRule="atLeast"/>
              </w:trPr>
              <w:tc>
                <w:tcPr>
                  <w:tcW w:w="1003" w:type="pct"/>
                  <w:vMerge w:val="continue"/>
                  <w:tcBorders>
                    <w:left w:val="nil"/>
                  </w:tcBorders>
                  <w:shd w:val="clear" w:color="auto" w:fill="auto"/>
                  <w:noWrap w:val="0"/>
                  <w:vAlign w:val="center"/>
                </w:tcPr>
                <w:p w14:paraId="4A3F6E26">
                  <w:pPr>
                    <w:jc w:val="center"/>
                    <w:rPr>
                      <w:rFonts w:hint="default" w:ascii="Times New Roman" w:hAnsi="Times New Roman" w:eastAsia="宋体" w:cs="Times New Roman"/>
                      <w:b w:val="0"/>
                      <w:color w:val="000000"/>
                      <w:sz w:val="21"/>
                      <w:szCs w:val="21"/>
                      <w:lang w:val="en-US" w:eastAsia="zh-CN"/>
                    </w:rPr>
                  </w:pPr>
                </w:p>
              </w:tc>
              <w:tc>
                <w:tcPr>
                  <w:tcW w:w="391" w:type="pct"/>
                  <w:shd w:val="clear" w:color="auto" w:fill="auto"/>
                  <w:noWrap w:val="0"/>
                  <w:vAlign w:val="center"/>
                </w:tcPr>
                <w:p w14:paraId="394D03C4">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1206</w:t>
                  </w:r>
                </w:p>
              </w:tc>
              <w:tc>
                <w:tcPr>
                  <w:tcW w:w="867" w:type="pct"/>
                  <w:shd w:val="clear" w:color="auto" w:fill="auto"/>
                  <w:noWrap w:val="0"/>
                  <w:vAlign w:val="center"/>
                </w:tcPr>
                <w:p w14:paraId="6D230BA7">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裸土地</w:t>
                  </w:r>
                </w:p>
              </w:tc>
              <w:tc>
                <w:tcPr>
                  <w:tcW w:w="1200" w:type="dxa"/>
                  <w:shd w:val="clear" w:color="auto" w:fill="auto"/>
                  <w:noWrap w:val="0"/>
                  <w:vAlign w:val="center"/>
                </w:tcPr>
                <w:p w14:paraId="0157AE00">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6.5251</w:t>
                  </w:r>
                </w:p>
              </w:tc>
              <w:tc>
                <w:tcPr>
                  <w:tcW w:w="1105" w:type="dxa"/>
                  <w:shd w:val="clear" w:color="auto" w:fill="auto"/>
                  <w:noWrap w:val="0"/>
                  <w:vAlign w:val="center"/>
                </w:tcPr>
                <w:p w14:paraId="671063B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76.67%</w:t>
                  </w:r>
                </w:p>
              </w:tc>
              <w:tc>
                <w:tcPr>
                  <w:tcW w:w="1254" w:type="dxa"/>
                  <w:shd w:val="clear" w:color="auto" w:fill="auto"/>
                  <w:noWrap w:val="0"/>
                  <w:vAlign w:val="center"/>
                </w:tcPr>
                <w:p w14:paraId="439F0A3A">
                  <w:pPr>
                    <w:keepNext w:val="0"/>
                    <w:keepLines w:val="0"/>
                    <w:widowControl/>
                    <w:suppressLineNumbers w:val="0"/>
                    <w:jc w:val="center"/>
                    <w:textAlignment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1.2117</w:t>
                  </w:r>
                </w:p>
              </w:tc>
              <w:tc>
                <w:tcPr>
                  <w:tcW w:w="1054" w:type="dxa"/>
                  <w:tcBorders>
                    <w:right w:val="nil"/>
                  </w:tcBorders>
                  <w:shd w:val="clear" w:color="auto" w:fill="auto"/>
                  <w:noWrap w:val="0"/>
                  <w:vAlign w:val="center"/>
                </w:tcPr>
                <w:p w14:paraId="2C39F98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77.37%</w:t>
                  </w:r>
                </w:p>
              </w:tc>
            </w:tr>
            <w:tr w14:paraId="6C230A8B">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2261" w:type="pct"/>
                  <w:gridSpan w:val="3"/>
                  <w:tcBorders>
                    <w:left w:val="nil"/>
                    <w:bottom w:val="single" w:color="000000" w:sz="12" w:space="0"/>
                  </w:tcBorders>
                  <w:shd w:val="clear" w:color="auto" w:fill="auto"/>
                  <w:noWrap w:val="0"/>
                  <w:vAlign w:val="center"/>
                </w:tcPr>
                <w:p w14:paraId="7583F6B3">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合计</w:t>
                  </w:r>
                </w:p>
              </w:tc>
              <w:tc>
                <w:tcPr>
                  <w:tcW w:w="1200" w:type="dxa"/>
                  <w:tcBorders>
                    <w:bottom w:val="single" w:color="000000" w:sz="12" w:space="0"/>
                  </w:tcBorders>
                  <w:shd w:val="clear" w:color="auto" w:fill="auto"/>
                  <w:noWrap w:val="0"/>
                  <w:vAlign w:val="center"/>
                </w:tcPr>
                <w:p w14:paraId="1BF8478C">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8.5111</w:t>
                  </w:r>
                </w:p>
              </w:tc>
              <w:tc>
                <w:tcPr>
                  <w:tcW w:w="1105" w:type="dxa"/>
                  <w:tcBorders>
                    <w:bottom w:val="single" w:color="000000" w:sz="12" w:space="0"/>
                  </w:tcBorders>
                  <w:shd w:val="clear" w:color="auto" w:fill="auto"/>
                  <w:noWrap w:val="0"/>
                  <w:vAlign w:val="center"/>
                </w:tcPr>
                <w:p w14:paraId="7DE9BA3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c>
                <w:tcPr>
                  <w:tcW w:w="1254" w:type="dxa"/>
                  <w:tcBorders>
                    <w:bottom w:val="single" w:color="000000" w:sz="12" w:space="0"/>
                  </w:tcBorders>
                  <w:shd w:val="clear" w:color="auto" w:fill="auto"/>
                  <w:noWrap w:val="0"/>
                  <w:vAlign w:val="center"/>
                </w:tcPr>
                <w:p w14:paraId="1E3F36B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auto"/>
                      <w:sz w:val="21"/>
                      <w:szCs w:val="21"/>
                      <w:lang w:val="en-US" w:eastAsia="zh-CN"/>
                    </w:rPr>
                    <w:t>1.56</w:t>
                  </w:r>
                  <w:r>
                    <w:rPr>
                      <w:rFonts w:hint="eastAsia" w:cs="Times New Roman"/>
                      <w:b w:val="0"/>
                      <w:color w:val="auto"/>
                      <w:sz w:val="21"/>
                      <w:szCs w:val="21"/>
                      <w:lang w:val="en-US" w:eastAsia="zh-CN"/>
                    </w:rPr>
                    <w:t>53</w:t>
                  </w:r>
                </w:p>
              </w:tc>
              <w:tc>
                <w:tcPr>
                  <w:tcW w:w="1054" w:type="dxa"/>
                  <w:tcBorders>
                    <w:bottom w:val="single" w:color="000000" w:sz="12" w:space="0"/>
                    <w:right w:val="nil"/>
                  </w:tcBorders>
                  <w:shd w:val="clear" w:color="auto" w:fill="auto"/>
                  <w:noWrap w:val="0"/>
                  <w:vAlign w:val="center"/>
                </w:tcPr>
                <w:p w14:paraId="4D1A7FD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r>
          </w:tbl>
          <w:p w14:paraId="2F9D5552">
            <w:pPr>
              <w:pStyle w:val="45"/>
              <w:keepNext w:val="0"/>
              <w:keepLines w:val="0"/>
              <w:pageBreakBefore w:val="0"/>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宋体" w:cs="Times New Roman"/>
                <w:spacing w:val="9"/>
                <w:sz w:val="24"/>
                <w:szCs w:val="24"/>
              </w:rPr>
            </w:pPr>
            <w:r>
              <w:rPr>
                <w:rFonts w:hint="default" w:ascii="Times New Roman" w:hAnsi="Times New Roman" w:eastAsia="宋体" w:cs="Times New Roman"/>
                <w:sz w:val="24"/>
                <w:szCs w:val="24"/>
              </w:rPr>
              <w:t>由上表分析可知，项目区土地利用类型主要以</w:t>
            </w:r>
            <w:r>
              <w:rPr>
                <w:rFonts w:hint="default" w:ascii="Times New Roman" w:hAnsi="Times New Roman" w:eastAsia="宋体" w:cs="Times New Roman"/>
                <w:sz w:val="24"/>
                <w:szCs w:val="24"/>
                <w:lang w:val="en-US" w:eastAsia="zh-CN"/>
              </w:rPr>
              <w:t>其他土地中</w:t>
            </w:r>
            <w:r>
              <w:rPr>
                <w:rFonts w:hint="default" w:ascii="Times New Roman" w:hAnsi="Times New Roman" w:eastAsia="宋体" w:cs="Times New Roman"/>
                <w:sz w:val="24"/>
                <w:szCs w:val="24"/>
              </w:rPr>
              <w:t>的</w:t>
            </w:r>
            <w:r>
              <w:rPr>
                <w:rFonts w:hint="default" w:ascii="Times New Roman" w:hAnsi="Times New Roman" w:eastAsia="宋体" w:cs="Times New Roman"/>
                <w:sz w:val="24"/>
                <w:szCs w:val="24"/>
                <w:lang w:val="en-US" w:eastAsia="zh-CN"/>
              </w:rPr>
              <w:t>裸土地</w:t>
            </w:r>
            <w:r>
              <w:rPr>
                <w:rFonts w:hint="default" w:ascii="Times New Roman" w:hAnsi="Times New Roman" w:eastAsia="宋体" w:cs="Times New Roman"/>
                <w:sz w:val="24"/>
                <w:szCs w:val="24"/>
              </w:rPr>
              <w:t>为</w:t>
            </w:r>
            <w:r>
              <w:rPr>
                <w:rFonts w:hint="default" w:ascii="Times New Roman" w:hAnsi="Times New Roman" w:eastAsia="宋体" w:cs="Times New Roman"/>
                <w:spacing w:val="9"/>
                <w:sz w:val="24"/>
                <w:szCs w:val="24"/>
              </w:rPr>
              <w:t>主，分布面积为</w:t>
            </w:r>
            <w:r>
              <w:rPr>
                <w:rFonts w:hint="default" w:ascii="Times New Roman" w:hAnsi="Times New Roman" w:eastAsia="宋体" w:cs="Times New Roman"/>
                <w:color w:val="000000"/>
                <w:sz w:val="24"/>
                <w:szCs w:val="24"/>
                <w:lang w:val="en-US" w:eastAsia="zh-CN"/>
              </w:rPr>
              <w:t>1.2122</w:t>
            </w:r>
            <w:r>
              <w:rPr>
                <w:rFonts w:hint="default" w:ascii="Times New Roman" w:hAnsi="Times New Roman" w:eastAsia="宋体" w:cs="Times New Roman"/>
                <w:sz w:val="24"/>
                <w:szCs w:val="24"/>
              </w:rPr>
              <w:t>km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9"/>
                <w:sz w:val="24"/>
                <w:szCs w:val="24"/>
              </w:rPr>
              <w:t>，占项目区总面积的99.86%；其次为交通</w:t>
            </w:r>
            <w:r>
              <w:rPr>
                <w:rFonts w:hint="default" w:ascii="Times New Roman" w:hAnsi="Times New Roman" w:eastAsia="宋体" w:cs="Times New Roman"/>
                <w:spacing w:val="11"/>
                <w:sz w:val="24"/>
                <w:szCs w:val="24"/>
              </w:rPr>
              <w:t>运输用地，分布面积0.0005</w:t>
            </w:r>
            <w:r>
              <w:rPr>
                <w:rFonts w:hint="default" w:ascii="Times New Roman" w:hAnsi="Times New Roman" w:eastAsia="宋体" w:cs="Times New Roman"/>
                <w:sz w:val="24"/>
                <w:szCs w:val="24"/>
              </w:rPr>
              <w:t>km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11"/>
                <w:sz w:val="24"/>
                <w:szCs w:val="24"/>
              </w:rPr>
              <w:t>，占项目区总面</w:t>
            </w:r>
            <w:r>
              <w:rPr>
                <w:rFonts w:hint="default" w:ascii="Times New Roman" w:hAnsi="Times New Roman" w:eastAsia="宋体" w:cs="Times New Roman"/>
                <w:spacing w:val="10"/>
                <w:sz w:val="24"/>
                <w:szCs w:val="24"/>
              </w:rPr>
              <w:t>积的</w:t>
            </w:r>
            <w:r>
              <w:rPr>
                <w:rFonts w:hint="default" w:ascii="Times New Roman" w:hAnsi="Times New Roman" w:eastAsia="宋体" w:cs="Times New Roman"/>
                <w:color w:val="000000"/>
                <w:sz w:val="24"/>
                <w:szCs w:val="24"/>
                <w:lang w:val="en-US" w:eastAsia="zh-CN"/>
              </w:rPr>
              <w:t>77.37</w:t>
            </w:r>
            <w:r>
              <w:rPr>
                <w:rFonts w:hint="default" w:ascii="Times New Roman" w:hAnsi="Times New Roman" w:eastAsia="宋体" w:cs="Times New Roman"/>
                <w:spacing w:val="10"/>
                <w:sz w:val="24"/>
                <w:szCs w:val="24"/>
              </w:rPr>
              <w:t>%；评价区</w:t>
            </w:r>
            <w:r>
              <w:rPr>
                <w:rFonts w:hint="default" w:ascii="Times New Roman" w:hAnsi="Times New Roman" w:eastAsia="宋体" w:cs="Times New Roman"/>
                <w:spacing w:val="5"/>
                <w:sz w:val="24"/>
                <w:szCs w:val="24"/>
              </w:rPr>
              <w:t>土地利用类型主要以</w:t>
            </w:r>
            <w:r>
              <w:rPr>
                <w:rFonts w:hint="default" w:ascii="Times New Roman" w:hAnsi="Times New Roman" w:eastAsia="宋体" w:cs="Times New Roman"/>
                <w:sz w:val="24"/>
                <w:szCs w:val="24"/>
                <w:lang w:val="en-US" w:eastAsia="zh-CN"/>
              </w:rPr>
              <w:t>其他土地</w:t>
            </w:r>
            <w:r>
              <w:rPr>
                <w:rFonts w:hint="default" w:ascii="Times New Roman" w:hAnsi="Times New Roman" w:eastAsia="宋体" w:cs="Times New Roman"/>
                <w:spacing w:val="5"/>
                <w:sz w:val="24"/>
                <w:szCs w:val="24"/>
              </w:rPr>
              <w:t>的</w:t>
            </w:r>
            <w:r>
              <w:rPr>
                <w:rFonts w:hint="default" w:ascii="Times New Roman" w:hAnsi="Times New Roman" w:eastAsia="宋体" w:cs="Times New Roman"/>
                <w:spacing w:val="5"/>
                <w:sz w:val="24"/>
                <w:szCs w:val="24"/>
                <w:lang w:val="en-US" w:eastAsia="zh-CN"/>
              </w:rPr>
              <w:t>裸土地</w:t>
            </w:r>
            <w:r>
              <w:rPr>
                <w:rFonts w:hint="default" w:ascii="Times New Roman" w:hAnsi="Times New Roman" w:eastAsia="宋体" w:cs="Times New Roman"/>
                <w:spacing w:val="5"/>
                <w:sz w:val="24"/>
                <w:szCs w:val="24"/>
              </w:rPr>
              <w:t>为主，分布面积为</w:t>
            </w:r>
            <w:r>
              <w:rPr>
                <w:rFonts w:hint="default" w:ascii="Times New Roman" w:hAnsi="Times New Roman" w:eastAsia="宋体" w:cs="Times New Roman"/>
                <w:sz w:val="24"/>
                <w:szCs w:val="24"/>
                <w:lang w:val="en-US" w:eastAsia="zh-CN"/>
              </w:rPr>
              <w:t>6.5251</w:t>
            </w:r>
            <w:r>
              <w:rPr>
                <w:rFonts w:hint="default" w:ascii="Times New Roman" w:hAnsi="Times New Roman" w:eastAsia="宋体" w:cs="Times New Roman"/>
                <w:sz w:val="24"/>
                <w:szCs w:val="24"/>
              </w:rPr>
              <w:t>km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12"/>
                <w:sz w:val="24"/>
                <w:szCs w:val="24"/>
              </w:rPr>
              <w:t>占项评价区总面积的</w:t>
            </w:r>
            <w:r>
              <w:rPr>
                <w:rFonts w:hint="default" w:ascii="Times New Roman" w:hAnsi="Times New Roman" w:eastAsia="宋体" w:cs="Times New Roman"/>
                <w:sz w:val="24"/>
                <w:szCs w:val="24"/>
                <w:lang w:val="en-US" w:eastAsia="zh-CN"/>
              </w:rPr>
              <w:t>76.67</w:t>
            </w:r>
            <w:r>
              <w:rPr>
                <w:rFonts w:hint="default" w:ascii="Times New Roman" w:hAnsi="Times New Roman" w:eastAsia="宋体" w:cs="Times New Roman"/>
                <w:spacing w:val="12"/>
                <w:sz w:val="24"/>
                <w:szCs w:val="24"/>
              </w:rPr>
              <w:t>%；其次为</w:t>
            </w:r>
            <w:r>
              <w:rPr>
                <w:rFonts w:hint="default" w:ascii="Times New Roman" w:hAnsi="Times New Roman" w:eastAsia="宋体" w:cs="Times New Roman"/>
                <w:i w:val="0"/>
                <w:iCs w:val="0"/>
                <w:color w:val="000000"/>
                <w:kern w:val="0"/>
                <w:sz w:val="24"/>
                <w:szCs w:val="24"/>
                <w:u w:val="none"/>
                <w:lang w:val="en-US" w:eastAsia="zh-CN" w:bidi="ar"/>
              </w:rPr>
              <w:t>盐碱地</w:t>
            </w:r>
            <w:r>
              <w:rPr>
                <w:rFonts w:hint="default" w:ascii="Times New Roman" w:hAnsi="Times New Roman" w:eastAsia="宋体" w:cs="Times New Roman"/>
                <w:spacing w:val="12"/>
                <w:sz w:val="24"/>
                <w:szCs w:val="24"/>
              </w:rPr>
              <w:t>，分布面积</w:t>
            </w:r>
            <w:r>
              <w:rPr>
                <w:rFonts w:hint="default" w:ascii="Times New Roman" w:hAnsi="Times New Roman" w:eastAsia="宋体" w:cs="Times New Roman"/>
                <w:sz w:val="24"/>
                <w:szCs w:val="24"/>
                <w:lang w:val="en-US" w:eastAsia="zh-CN"/>
              </w:rPr>
              <w:t>0.9369</w:t>
            </w:r>
            <w:r>
              <w:rPr>
                <w:rFonts w:hint="default" w:ascii="Times New Roman" w:hAnsi="Times New Roman" w:eastAsia="宋体" w:cs="Times New Roman"/>
                <w:sz w:val="24"/>
                <w:szCs w:val="24"/>
              </w:rPr>
              <w:t>km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12"/>
                <w:sz w:val="24"/>
                <w:szCs w:val="24"/>
              </w:rPr>
              <w:t>，</w:t>
            </w:r>
            <w:r>
              <w:rPr>
                <w:rFonts w:hint="default" w:ascii="Times New Roman" w:hAnsi="Times New Roman" w:eastAsia="宋体" w:cs="Times New Roman"/>
                <w:spacing w:val="9"/>
                <w:sz w:val="24"/>
                <w:szCs w:val="24"/>
              </w:rPr>
              <w:t>占评价区总面积的</w:t>
            </w:r>
            <w:r>
              <w:rPr>
                <w:rFonts w:hint="default" w:ascii="Times New Roman" w:hAnsi="Times New Roman" w:eastAsia="宋体" w:cs="Times New Roman"/>
                <w:sz w:val="24"/>
                <w:szCs w:val="24"/>
                <w:lang w:val="en-US" w:eastAsia="zh-CN"/>
              </w:rPr>
              <w:t>11.01</w:t>
            </w:r>
            <w:r>
              <w:rPr>
                <w:rFonts w:hint="default" w:ascii="Times New Roman" w:hAnsi="Times New Roman" w:eastAsia="宋体" w:cs="Times New Roman"/>
                <w:spacing w:val="9"/>
                <w:sz w:val="24"/>
                <w:szCs w:val="24"/>
              </w:rPr>
              <w:t>%。</w:t>
            </w:r>
          </w:p>
          <w:p w14:paraId="24357E45">
            <w:pPr>
              <w:pStyle w:val="45"/>
              <w:keepNext w:val="0"/>
              <w:keepLines w:val="0"/>
              <w:pageBreakBefore w:val="0"/>
              <w:kinsoku/>
              <w:wordWrap/>
              <w:overflowPunct/>
              <w:topLinePunct w:val="0"/>
              <w:autoSpaceDE/>
              <w:autoSpaceDN/>
              <w:bidi w:val="0"/>
              <w:adjustRightInd/>
              <w:spacing w:line="360" w:lineRule="auto"/>
              <w:ind w:left="0" w:right="0" w:firstLine="46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5"/>
                <w:sz w:val="24"/>
                <w:szCs w:val="24"/>
                <w:lang w:eastAsia="zh-CN"/>
              </w:rPr>
              <w:t>（</w:t>
            </w:r>
            <w:r>
              <w:rPr>
                <w:rFonts w:hint="eastAsia" w:ascii="Times New Roman" w:hAnsi="Times New Roman" w:eastAsia="宋体" w:cs="Times New Roman"/>
                <w:spacing w:val="-5"/>
                <w:sz w:val="24"/>
                <w:szCs w:val="24"/>
                <w:lang w:val="en-US" w:eastAsia="zh-CN"/>
              </w:rPr>
              <w:t>2</w:t>
            </w:r>
            <w:r>
              <w:rPr>
                <w:rFonts w:hint="eastAsia" w:ascii="Times New Roman" w:hAnsi="Times New Roman" w:eastAsia="宋体" w:cs="Times New Roman"/>
                <w:spacing w:val="-5"/>
                <w:sz w:val="24"/>
                <w:szCs w:val="24"/>
                <w:lang w:eastAsia="zh-CN"/>
              </w:rPr>
              <w:t>）</w:t>
            </w:r>
            <w:r>
              <w:rPr>
                <w:rFonts w:hint="default" w:ascii="Times New Roman" w:hAnsi="Times New Roman" w:eastAsia="宋体" w:cs="Times New Roman"/>
                <w:spacing w:val="-5"/>
                <w:sz w:val="24"/>
                <w:szCs w:val="24"/>
              </w:rPr>
              <w:t>植被类型</w:t>
            </w:r>
          </w:p>
          <w:p w14:paraId="1377EC23">
            <w:pPr>
              <w:pStyle w:val="45"/>
              <w:keepNext w:val="0"/>
              <w:keepLines w:val="0"/>
              <w:pageBreakBefore w:val="0"/>
              <w:kinsoku/>
              <w:wordWrap/>
              <w:overflowPunct/>
              <w:topLinePunct w:val="0"/>
              <w:autoSpaceDE/>
              <w:autoSpaceDN/>
              <w:bidi w:val="0"/>
              <w:adjustRightInd/>
              <w:spacing w:line="360" w:lineRule="auto"/>
              <w:ind w:left="0" w:right="0" w:firstLine="49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项目区植被覆盖度不高，大部分为非植被区</w:t>
            </w:r>
            <w:r>
              <w:rPr>
                <w:rFonts w:hint="default" w:ascii="Times New Roman" w:hAnsi="Times New Roman" w:eastAsia="宋体" w:cs="Times New Roman"/>
                <w:spacing w:val="-26"/>
                <w:sz w:val="24"/>
                <w:szCs w:val="24"/>
              </w:rPr>
              <w:t xml:space="preserve"> </w:t>
            </w:r>
            <w:r>
              <w:rPr>
                <w:rFonts w:hint="default" w:ascii="Times New Roman" w:hAnsi="Times New Roman" w:eastAsia="宋体" w:cs="Times New Roman"/>
                <w:spacing w:val="-26"/>
                <w:sz w:val="24"/>
                <w:szCs w:val="24"/>
                <w:lang w:eastAsia="zh-CN"/>
              </w:rPr>
              <w:t>，</w:t>
            </w:r>
            <w:r>
              <w:rPr>
                <w:rFonts w:hint="default" w:ascii="Times New Roman" w:hAnsi="Times New Roman" w:eastAsia="宋体" w:cs="Times New Roman"/>
                <w:spacing w:val="-1"/>
                <w:sz w:val="24"/>
                <w:szCs w:val="24"/>
              </w:rPr>
              <w:t>其它区域分布少量的</w:t>
            </w:r>
            <w:r>
              <w:rPr>
                <w:rFonts w:hint="default" w:ascii="Times New Roman" w:hAnsi="Times New Roman" w:eastAsia="宋体" w:cs="Times New Roman"/>
                <w:spacing w:val="-1"/>
                <w:sz w:val="24"/>
                <w:szCs w:val="24"/>
                <w:lang w:val="en-US" w:eastAsia="zh-CN"/>
              </w:rPr>
              <w:t>草原</w:t>
            </w:r>
            <w:r>
              <w:rPr>
                <w:rFonts w:hint="default" w:ascii="Times New Roman" w:hAnsi="Times New Roman" w:eastAsia="宋体" w:cs="Times New Roman"/>
                <w:sz w:val="24"/>
                <w:szCs w:val="24"/>
              </w:rPr>
              <w:t>，主要分布</w:t>
            </w:r>
            <w:r>
              <w:rPr>
                <w:rFonts w:hint="default" w:ascii="Times New Roman" w:hAnsi="Times New Roman" w:eastAsia="宋体" w:cs="Times New Roman"/>
                <w:sz w:val="24"/>
                <w:szCs w:val="24"/>
                <w:lang w:val="en-US" w:eastAsia="zh-CN"/>
              </w:rPr>
              <w:t>长芒草群系</w:t>
            </w:r>
            <w:r>
              <w:rPr>
                <w:rFonts w:hint="default" w:ascii="Times New Roman" w:hAnsi="Times New Roman" w:eastAsia="宋体" w:cs="Times New Roman"/>
                <w:spacing w:val="-40"/>
                <w:sz w:val="24"/>
                <w:szCs w:val="24"/>
                <w:lang w:eastAsia="zh-CN"/>
              </w:rPr>
              <w:t>、</w:t>
            </w:r>
            <w:r>
              <w:rPr>
                <w:rFonts w:hint="default" w:ascii="Times New Roman" w:hAnsi="Times New Roman" w:eastAsia="宋体" w:cs="Times New Roman"/>
                <w:sz w:val="24"/>
                <w:szCs w:val="24"/>
                <w:lang w:val="en-US" w:eastAsia="zh-CN"/>
              </w:rPr>
              <w:t>芨芨草群系</w:t>
            </w:r>
            <w:r>
              <w:rPr>
                <w:rFonts w:hint="default" w:ascii="Times New Roman" w:hAnsi="Times New Roman" w:eastAsia="宋体" w:cs="Times New Roman"/>
                <w:sz w:val="24"/>
                <w:szCs w:val="24"/>
              </w:rPr>
              <w:t>等植</w:t>
            </w:r>
            <w:r>
              <w:rPr>
                <w:rFonts w:hint="default" w:ascii="Times New Roman" w:hAnsi="Times New Roman" w:eastAsia="宋体" w:cs="Times New Roman"/>
                <w:spacing w:val="2"/>
                <w:sz w:val="24"/>
                <w:szCs w:val="24"/>
              </w:rPr>
              <w:t>被。综合参考《中国物种红色名录》（汪松和</w:t>
            </w:r>
            <w:r>
              <w:rPr>
                <w:rFonts w:hint="default" w:ascii="Times New Roman" w:hAnsi="Times New Roman" w:eastAsia="宋体" w:cs="Times New Roman"/>
                <w:spacing w:val="1"/>
                <w:sz w:val="24"/>
                <w:szCs w:val="24"/>
              </w:rPr>
              <w:t>解焱，2004）《中国珍稀</w:t>
            </w:r>
            <w:r>
              <w:rPr>
                <w:rFonts w:hint="default" w:ascii="Times New Roman" w:hAnsi="Times New Roman" w:eastAsia="宋体" w:cs="Times New Roman"/>
                <w:spacing w:val="-3"/>
                <w:sz w:val="24"/>
                <w:szCs w:val="24"/>
              </w:rPr>
              <w:t>濒危保护植物名录》（第一册</w:t>
            </w:r>
            <w:r>
              <w:rPr>
                <w:rFonts w:hint="default" w:ascii="Times New Roman" w:hAnsi="Times New Roman" w:eastAsia="宋体" w:cs="Times New Roman"/>
                <w:spacing w:val="-29"/>
                <w:sz w:val="24"/>
                <w:szCs w:val="24"/>
              </w:rPr>
              <w:t>）（</w:t>
            </w:r>
            <w:r>
              <w:rPr>
                <w:rFonts w:hint="default" w:ascii="Times New Roman" w:hAnsi="Times New Roman" w:eastAsia="宋体" w:cs="Times New Roman"/>
                <w:spacing w:val="-3"/>
                <w:sz w:val="24"/>
                <w:szCs w:val="24"/>
              </w:rPr>
              <w:t>国家环保局和中国科学院植物研究所，1987）、《濒危物种国际贸易公约》（CITES）附录Ⅰ和Ⅱ（ 中华人民共</w:t>
            </w:r>
            <w:r>
              <w:rPr>
                <w:rFonts w:hint="default" w:ascii="Times New Roman" w:hAnsi="Times New Roman" w:eastAsia="宋体" w:cs="Times New Roman"/>
                <w:spacing w:val="3"/>
                <w:sz w:val="24"/>
                <w:szCs w:val="24"/>
              </w:rPr>
              <w:t>和国濒危物种进出口管理办公室，2003）、《甘肃珍稀濒危保护植物》（任继文，1996</w:t>
            </w:r>
            <w:r>
              <w:rPr>
                <w:rFonts w:hint="default" w:ascii="Times New Roman" w:hAnsi="Times New Roman" w:eastAsia="宋体" w:cs="Times New Roman"/>
                <w:spacing w:val="-9"/>
                <w:sz w:val="24"/>
                <w:szCs w:val="24"/>
              </w:rPr>
              <w:t>），</w:t>
            </w:r>
            <w:r>
              <w:rPr>
                <w:rFonts w:hint="default" w:ascii="Times New Roman" w:hAnsi="Times New Roman" w:eastAsia="宋体" w:cs="Times New Roman"/>
                <w:spacing w:val="3"/>
                <w:sz w:val="24"/>
                <w:szCs w:val="24"/>
              </w:rPr>
              <w:t>确定项目区内无珍稀濒危植物，无保护物种。</w:t>
            </w:r>
          </w:p>
          <w:p w14:paraId="63E87355">
            <w:pPr>
              <w:pStyle w:val="45"/>
              <w:keepNext w:val="0"/>
              <w:keepLines w:val="0"/>
              <w:pageBreakBefore w:val="0"/>
              <w:kinsoku/>
              <w:wordWrap/>
              <w:overflowPunct/>
              <w:topLinePunct w:val="0"/>
              <w:autoSpaceDE/>
              <w:autoSpaceDN/>
              <w:bidi w:val="0"/>
              <w:adjustRightInd/>
              <w:spacing w:line="360" w:lineRule="auto"/>
              <w:ind w:left="0" w:right="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sz w:val="24"/>
                <w:szCs w:val="24"/>
              </w:rPr>
              <w:t>根据遥感解译，项目区植被类型</w:t>
            </w:r>
            <w:r>
              <w:rPr>
                <w:rFonts w:hint="default" w:ascii="Times New Roman" w:hAnsi="Times New Roman" w:eastAsia="宋体" w:cs="Times New Roman"/>
                <w:b w:val="0"/>
                <w:bCs w:val="0"/>
                <w:sz w:val="24"/>
                <w:szCs w:val="24"/>
                <w:highlight w:val="none"/>
              </w:rPr>
              <w:t>见表3-2</w:t>
            </w:r>
            <w:r>
              <w:rPr>
                <w:rFonts w:hint="default" w:ascii="Times New Roman" w:hAnsi="Times New Roman" w:eastAsia="宋体" w:cs="Times New Roman"/>
                <w:b w:val="0"/>
                <w:bCs w:val="0"/>
                <w:spacing w:val="-31"/>
                <w:sz w:val="24"/>
                <w:szCs w:val="24"/>
                <w:highlight w:val="none"/>
              </w:rPr>
              <w:t xml:space="preserve"> </w:t>
            </w:r>
            <w:r>
              <w:rPr>
                <w:rFonts w:hint="default" w:ascii="Times New Roman" w:hAnsi="Times New Roman" w:eastAsia="宋体" w:cs="Times New Roman"/>
                <w:b w:val="0"/>
                <w:bCs w:val="0"/>
                <w:sz w:val="24"/>
                <w:szCs w:val="24"/>
                <w:highlight w:val="none"/>
              </w:rPr>
              <w:t>和附图</w:t>
            </w:r>
            <w:r>
              <w:rPr>
                <w:rFonts w:hint="eastAsia" w:ascii="Times New Roman" w:hAnsi="Times New Roman" w:eastAsia="宋体" w:cs="Times New Roman"/>
                <w:b w:val="0"/>
                <w:bCs w:val="0"/>
                <w:sz w:val="24"/>
                <w:szCs w:val="24"/>
                <w:highlight w:val="none"/>
                <w:lang w:val="en-US" w:eastAsia="zh-CN"/>
              </w:rPr>
              <w:t>9</w:t>
            </w:r>
            <w:r>
              <w:rPr>
                <w:rFonts w:hint="default" w:ascii="Times New Roman" w:hAnsi="Times New Roman" w:eastAsia="宋体" w:cs="Times New Roman"/>
                <w:b w:val="0"/>
                <w:bCs w:val="0"/>
                <w:sz w:val="24"/>
                <w:szCs w:val="24"/>
                <w:highlight w:val="none"/>
              </w:rPr>
              <w:t>。</w:t>
            </w:r>
          </w:p>
          <w:p w14:paraId="0AD5CF3B">
            <w:pPr>
              <w:pStyle w:val="45"/>
              <w:spacing w:before="1" w:line="199" w:lineRule="auto"/>
              <w:ind w:left="587" w:firstLine="1546" w:firstLineChars="700"/>
              <w:jc w:val="both"/>
              <w:rPr>
                <w:rFonts w:hint="default" w:ascii="Times New Roman" w:hAnsi="Times New Roman" w:eastAsia="宋体" w:cs="Times New Roman"/>
                <w:sz w:val="24"/>
                <w:szCs w:val="24"/>
                <w:highlight w:val="yellow"/>
              </w:rPr>
            </w:pPr>
            <w:r>
              <w:rPr>
                <w:rFonts w:hint="default" w:ascii="Times New Roman" w:hAnsi="Times New Roman" w:eastAsia="宋体" w:cs="Times New Roman"/>
                <w:b/>
                <w:bCs/>
                <w:spacing w:val="5"/>
                <w:sz w:val="21"/>
                <w:szCs w:val="21"/>
              </w:rPr>
              <w:t>表 3-</w:t>
            </w:r>
            <w:r>
              <w:rPr>
                <w:rFonts w:hint="eastAsia" w:ascii="Times New Roman" w:hAnsi="Times New Roman" w:eastAsia="宋体" w:cs="Times New Roman"/>
                <w:b/>
                <w:bCs/>
                <w:spacing w:val="5"/>
                <w:sz w:val="21"/>
                <w:szCs w:val="21"/>
                <w:lang w:val="en-US" w:eastAsia="zh-CN"/>
              </w:rPr>
              <w:t>2</w:t>
            </w:r>
            <w:r>
              <w:rPr>
                <w:rFonts w:hint="default" w:ascii="Times New Roman" w:hAnsi="Times New Roman" w:eastAsia="宋体" w:cs="Times New Roman"/>
                <w:b/>
                <w:bCs/>
                <w:spacing w:val="15"/>
                <w:sz w:val="21"/>
                <w:szCs w:val="21"/>
              </w:rPr>
              <w:t xml:space="preserve">   </w:t>
            </w:r>
            <w:r>
              <w:rPr>
                <w:rFonts w:hint="default" w:ascii="Times New Roman" w:hAnsi="Times New Roman" w:eastAsia="宋体" w:cs="Times New Roman"/>
                <w:b/>
                <w:bCs/>
                <w:spacing w:val="5"/>
                <w:sz w:val="21"/>
                <w:szCs w:val="21"/>
              </w:rPr>
              <w:t>植被覆盖度面积统计</w:t>
            </w:r>
          </w:p>
          <w:tbl>
            <w:tblPr>
              <w:tblStyle w:val="23"/>
              <w:tblW w:w="7978" w:type="dxa"/>
              <w:tblInd w:w="5"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57" w:type="dxa"/>
                <w:left w:w="57" w:type="dxa"/>
                <w:bottom w:w="57" w:type="dxa"/>
                <w:right w:w="57" w:type="dxa"/>
              </w:tblCellMar>
            </w:tblPr>
            <w:tblGrid>
              <w:gridCol w:w="1038"/>
              <w:gridCol w:w="2880"/>
              <w:gridCol w:w="1100"/>
              <w:gridCol w:w="930"/>
              <w:gridCol w:w="1100"/>
              <w:gridCol w:w="930"/>
            </w:tblGrid>
            <w:tr w14:paraId="48BDF502">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91" w:hRule="atLeast"/>
              </w:trPr>
              <w:tc>
                <w:tcPr>
                  <w:tcW w:w="2455" w:type="pct"/>
                  <w:gridSpan w:val="2"/>
                  <w:tcBorders>
                    <w:top w:val="single" w:color="000000" w:sz="12" w:space="0"/>
                    <w:left w:val="nil"/>
                    <w:tl2br w:val="nil"/>
                  </w:tcBorders>
                  <w:shd w:val="clear" w:color="auto" w:fill="auto"/>
                  <w:noWrap w:val="0"/>
                  <w:vAlign w:val="center"/>
                </w:tcPr>
                <w:p w14:paraId="1B673254">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植被类型</w:t>
                  </w:r>
                </w:p>
              </w:tc>
              <w:tc>
                <w:tcPr>
                  <w:tcW w:w="1272" w:type="pct"/>
                  <w:gridSpan w:val="2"/>
                  <w:tcBorders>
                    <w:top w:val="single" w:color="000000" w:sz="12" w:space="0"/>
                  </w:tcBorders>
                  <w:shd w:val="clear" w:color="auto" w:fill="auto"/>
                  <w:noWrap w:val="0"/>
                  <w:vAlign w:val="center"/>
                </w:tcPr>
                <w:p w14:paraId="4EF50A52">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评价区</w:t>
                  </w:r>
                </w:p>
              </w:tc>
              <w:tc>
                <w:tcPr>
                  <w:tcW w:w="1272" w:type="pct"/>
                  <w:gridSpan w:val="2"/>
                  <w:tcBorders>
                    <w:top w:val="single" w:color="000000" w:sz="12" w:space="0"/>
                    <w:right w:val="nil"/>
                  </w:tcBorders>
                  <w:shd w:val="clear" w:color="auto" w:fill="auto"/>
                  <w:noWrap w:val="0"/>
                  <w:vAlign w:val="center"/>
                </w:tcPr>
                <w:p w14:paraId="4DAFB4E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项目区</w:t>
                  </w:r>
                </w:p>
              </w:tc>
            </w:tr>
            <w:tr w14:paraId="209FD2B2">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91" w:hRule="atLeast"/>
              </w:trPr>
              <w:tc>
                <w:tcPr>
                  <w:tcW w:w="650" w:type="pct"/>
                  <w:tcBorders>
                    <w:left w:val="nil"/>
                  </w:tcBorders>
                  <w:shd w:val="clear" w:color="auto" w:fill="auto"/>
                  <w:noWrap w:val="0"/>
                  <w:vAlign w:val="center"/>
                </w:tcPr>
                <w:p w14:paraId="6986A9A2">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一级类</w:t>
                  </w:r>
                </w:p>
              </w:tc>
              <w:tc>
                <w:tcPr>
                  <w:tcW w:w="1804" w:type="pct"/>
                  <w:shd w:val="clear" w:color="auto" w:fill="auto"/>
                  <w:noWrap w:val="0"/>
                  <w:vAlign w:val="center"/>
                </w:tcPr>
                <w:p w14:paraId="71BF98C5">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二级类</w:t>
                  </w:r>
                </w:p>
              </w:tc>
              <w:tc>
                <w:tcPr>
                  <w:tcW w:w="689" w:type="pct"/>
                  <w:shd w:val="clear" w:color="auto" w:fill="auto"/>
                  <w:noWrap w:val="0"/>
                  <w:vAlign w:val="center"/>
                </w:tcPr>
                <w:p w14:paraId="49362A63">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rPr>
                    <w:t>面积(km</w:t>
                  </w:r>
                  <w:r>
                    <w:rPr>
                      <w:rFonts w:hint="default" w:ascii="Times New Roman" w:hAnsi="Times New Roman" w:eastAsia="宋体" w:cs="Times New Roman"/>
                      <w:b w:val="0"/>
                      <w:color w:val="000000"/>
                      <w:sz w:val="21"/>
                      <w:szCs w:val="21"/>
                      <w:vertAlign w:val="superscript"/>
                    </w:rPr>
                    <w:t>2</w:t>
                  </w:r>
                  <w:r>
                    <w:rPr>
                      <w:rFonts w:hint="default" w:ascii="Times New Roman" w:hAnsi="Times New Roman" w:eastAsia="宋体" w:cs="Times New Roman"/>
                      <w:b w:val="0"/>
                      <w:color w:val="000000"/>
                      <w:sz w:val="21"/>
                      <w:szCs w:val="21"/>
                    </w:rPr>
                    <w:t>)</w:t>
                  </w:r>
                </w:p>
              </w:tc>
              <w:tc>
                <w:tcPr>
                  <w:tcW w:w="582" w:type="pct"/>
                  <w:shd w:val="clear" w:color="auto" w:fill="auto"/>
                  <w:noWrap w:val="0"/>
                  <w:vAlign w:val="center"/>
                </w:tcPr>
                <w:p w14:paraId="6390C06E">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rPr>
                    <w:t>比例(%)</w:t>
                  </w:r>
                </w:p>
              </w:tc>
              <w:tc>
                <w:tcPr>
                  <w:tcW w:w="689" w:type="pct"/>
                  <w:shd w:val="clear" w:color="auto" w:fill="auto"/>
                  <w:noWrap w:val="0"/>
                  <w:vAlign w:val="center"/>
                </w:tcPr>
                <w:p w14:paraId="4F8ECE9A">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面积(km</w:t>
                  </w:r>
                  <w:r>
                    <w:rPr>
                      <w:rFonts w:hint="default" w:ascii="Times New Roman" w:hAnsi="Times New Roman" w:eastAsia="宋体" w:cs="Times New Roman"/>
                      <w:b w:val="0"/>
                      <w:color w:val="000000"/>
                      <w:sz w:val="21"/>
                      <w:szCs w:val="21"/>
                      <w:vertAlign w:val="superscript"/>
                    </w:rPr>
                    <w:t>2</w:t>
                  </w:r>
                  <w:r>
                    <w:rPr>
                      <w:rFonts w:hint="default" w:ascii="Times New Roman" w:hAnsi="Times New Roman" w:eastAsia="宋体" w:cs="Times New Roman"/>
                      <w:b w:val="0"/>
                      <w:color w:val="000000"/>
                      <w:sz w:val="21"/>
                      <w:szCs w:val="21"/>
                    </w:rPr>
                    <w:t>)</w:t>
                  </w:r>
                </w:p>
              </w:tc>
              <w:tc>
                <w:tcPr>
                  <w:tcW w:w="582" w:type="pct"/>
                  <w:tcBorders>
                    <w:right w:val="nil"/>
                  </w:tcBorders>
                  <w:shd w:val="clear" w:color="auto" w:fill="auto"/>
                  <w:noWrap w:val="0"/>
                  <w:vAlign w:val="center"/>
                </w:tcPr>
                <w:p w14:paraId="72D568C8">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比例(%)</w:t>
                  </w:r>
                </w:p>
              </w:tc>
            </w:tr>
            <w:tr w14:paraId="58ED3E4E">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91" w:hRule="atLeast"/>
              </w:trPr>
              <w:tc>
                <w:tcPr>
                  <w:tcW w:w="650" w:type="pct"/>
                  <w:vMerge w:val="restart"/>
                  <w:tcBorders>
                    <w:left w:val="nil"/>
                  </w:tcBorders>
                  <w:shd w:val="clear" w:color="auto" w:fill="auto"/>
                  <w:noWrap w:val="0"/>
                  <w:vAlign w:val="center"/>
                </w:tcPr>
                <w:p w14:paraId="00F88095">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草原</w:t>
                  </w:r>
                </w:p>
              </w:tc>
              <w:tc>
                <w:tcPr>
                  <w:tcW w:w="1804" w:type="pct"/>
                  <w:shd w:val="clear" w:color="auto" w:fill="auto"/>
                  <w:noWrap w:val="0"/>
                  <w:vAlign w:val="center"/>
                </w:tcPr>
                <w:p w14:paraId="07837F04">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lang w:val="en-US" w:eastAsia="zh-CN"/>
                    </w:rPr>
                    <w:t>长芒草群系</w:t>
                  </w:r>
                </w:p>
              </w:tc>
              <w:tc>
                <w:tcPr>
                  <w:tcW w:w="689" w:type="pct"/>
                  <w:shd w:val="clear" w:color="auto" w:fill="auto"/>
                  <w:noWrap w:val="0"/>
                  <w:vAlign w:val="center"/>
                </w:tcPr>
                <w:p w14:paraId="4C6AA61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0.3354</w:t>
                  </w:r>
                </w:p>
              </w:tc>
              <w:tc>
                <w:tcPr>
                  <w:tcW w:w="582" w:type="pct"/>
                  <w:shd w:val="clear" w:color="auto" w:fill="auto"/>
                  <w:noWrap w:val="0"/>
                  <w:vAlign w:val="center"/>
                </w:tcPr>
                <w:p w14:paraId="4613A62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3.94%</w:t>
                  </w:r>
                </w:p>
              </w:tc>
              <w:tc>
                <w:tcPr>
                  <w:tcW w:w="689" w:type="pct"/>
                  <w:shd w:val="clear" w:color="auto" w:fill="auto"/>
                  <w:noWrap w:val="0"/>
                  <w:vAlign w:val="center"/>
                </w:tcPr>
                <w:p w14:paraId="25293EA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c>
                <w:tcPr>
                  <w:tcW w:w="582" w:type="pct"/>
                  <w:tcBorders>
                    <w:right w:val="nil"/>
                  </w:tcBorders>
                  <w:shd w:val="clear" w:color="auto" w:fill="auto"/>
                  <w:noWrap w:val="0"/>
                  <w:vAlign w:val="center"/>
                </w:tcPr>
                <w:p w14:paraId="7C3D0888">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237F717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91" w:hRule="atLeast"/>
              </w:trPr>
              <w:tc>
                <w:tcPr>
                  <w:tcW w:w="650" w:type="pct"/>
                  <w:vMerge w:val="continue"/>
                  <w:tcBorders>
                    <w:left w:val="nil"/>
                  </w:tcBorders>
                  <w:shd w:val="clear" w:color="auto" w:fill="auto"/>
                  <w:noWrap w:val="0"/>
                  <w:vAlign w:val="center"/>
                </w:tcPr>
                <w:p w14:paraId="10779250">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p>
              </w:tc>
              <w:tc>
                <w:tcPr>
                  <w:tcW w:w="1804" w:type="pct"/>
                  <w:shd w:val="clear" w:color="auto" w:fill="auto"/>
                  <w:noWrap w:val="0"/>
                  <w:vAlign w:val="center"/>
                </w:tcPr>
                <w:p w14:paraId="2BBE562D">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lang w:val="en-US" w:eastAsia="zh-CN"/>
                    </w:rPr>
                    <w:t>芨芨草群系</w:t>
                  </w:r>
                </w:p>
              </w:tc>
              <w:tc>
                <w:tcPr>
                  <w:tcW w:w="689" w:type="pct"/>
                  <w:shd w:val="clear" w:color="auto" w:fill="auto"/>
                  <w:noWrap w:val="0"/>
                  <w:vAlign w:val="center"/>
                </w:tcPr>
                <w:p w14:paraId="487D29C1">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 xml:space="preserve">0.1960 </w:t>
                  </w:r>
                </w:p>
              </w:tc>
              <w:tc>
                <w:tcPr>
                  <w:tcW w:w="582" w:type="pct"/>
                  <w:shd w:val="clear" w:color="auto" w:fill="auto"/>
                  <w:noWrap w:val="0"/>
                  <w:vAlign w:val="center"/>
                </w:tcPr>
                <w:p w14:paraId="62F9074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2.30%</w:t>
                  </w:r>
                </w:p>
              </w:tc>
              <w:tc>
                <w:tcPr>
                  <w:tcW w:w="689" w:type="pct"/>
                  <w:shd w:val="clear" w:color="auto" w:fill="auto"/>
                  <w:noWrap w:val="0"/>
                  <w:vAlign w:val="center"/>
                </w:tcPr>
                <w:p w14:paraId="619410D6">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c>
                <w:tcPr>
                  <w:tcW w:w="582" w:type="pct"/>
                  <w:tcBorders>
                    <w:right w:val="nil"/>
                  </w:tcBorders>
                  <w:shd w:val="clear" w:color="auto" w:fill="auto"/>
                  <w:noWrap w:val="0"/>
                  <w:vAlign w:val="center"/>
                </w:tcPr>
                <w:p w14:paraId="6F15C8C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4DD71253">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91" w:hRule="atLeast"/>
              </w:trPr>
              <w:tc>
                <w:tcPr>
                  <w:tcW w:w="650" w:type="pct"/>
                  <w:tcBorders>
                    <w:left w:val="nil"/>
                  </w:tcBorders>
                  <w:shd w:val="clear" w:color="auto" w:fill="auto"/>
                  <w:noWrap w:val="0"/>
                  <w:vAlign w:val="center"/>
                </w:tcPr>
                <w:p w14:paraId="4F1ACB7D">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非植被区</w:t>
                  </w:r>
                </w:p>
              </w:tc>
              <w:tc>
                <w:tcPr>
                  <w:tcW w:w="1804" w:type="pct"/>
                  <w:shd w:val="clear" w:color="auto" w:fill="auto"/>
                  <w:noWrap w:val="0"/>
                  <w:vAlign w:val="center"/>
                </w:tcPr>
                <w:p w14:paraId="2CD40269">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公路、裸土地等</w:t>
                  </w:r>
                </w:p>
              </w:tc>
              <w:tc>
                <w:tcPr>
                  <w:tcW w:w="689" w:type="pct"/>
                  <w:shd w:val="clear" w:color="auto" w:fill="auto"/>
                  <w:noWrap w:val="0"/>
                  <w:vAlign w:val="center"/>
                </w:tcPr>
                <w:p w14:paraId="68EF523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7.9797</w:t>
                  </w:r>
                </w:p>
              </w:tc>
              <w:tc>
                <w:tcPr>
                  <w:tcW w:w="582" w:type="pct"/>
                  <w:shd w:val="clear" w:color="auto" w:fill="auto"/>
                  <w:noWrap w:val="0"/>
                  <w:vAlign w:val="center"/>
                </w:tcPr>
                <w:p w14:paraId="3E20416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93.76%</w:t>
                  </w:r>
                </w:p>
              </w:tc>
              <w:tc>
                <w:tcPr>
                  <w:tcW w:w="689" w:type="pct"/>
                  <w:shd w:val="clear" w:color="auto" w:fill="auto"/>
                  <w:noWrap w:val="0"/>
                  <w:vAlign w:val="center"/>
                </w:tcPr>
                <w:p w14:paraId="451C3471">
                  <w:pPr>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1.56</w:t>
                  </w:r>
                  <w:r>
                    <w:rPr>
                      <w:rFonts w:hint="eastAsia" w:cs="Times New Roman"/>
                      <w:b w:val="0"/>
                      <w:color w:val="auto"/>
                      <w:sz w:val="21"/>
                      <w:szCs w:val="21"/>
                      <w:lang w:val="en-US" w:eastAsia="zh-CN"/>
                    </w:rPr>
                    <w:t>53</w:t>
                  </w:r>
                </w:p>
              </w:tc>
              <w:tc>
                <w:tcPr>
                  <w:tcW w:w="582" w:type="pct"/>
                  <w:tcBorders>
                    <w:right w:val="nil"/>
                  </w:tcBorders>
                  <w:shd w:val="clear" w:color="auto" w:fill="auto"/>
                  <w:noWrap w:val="0"/>
                  <w:vAlign w:val="center"/>
                </w:tcPr>
                <w:p w14:paraId="6A61D878">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r>
            <w:tr w14:paraId="2FB0465C">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91" w:hRule="atLeast"/>
              </w:trPr>
              <w:tc>
                <w:tcPr>
                  <w:tcW w:w="2455" w:type="pct"/>
                  <w:gridSpan w:val="2"/>
                  <w:tcBorders>
                    <w:left w:val="nil"/>
                    <w:bottom w:val="single" w:color="000000" w:sz="12" w:space="0"/>
                  </w:tcBorders>
                  <w:shd w:val="clear" w:color="auto" w:fill="auto"/>
                  <w:noWrap w:val="0"/>
                  <w:vAlign w:val="center"/>
                </w:tcPr>
                <w:p w14:paraId="33DD3170">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合计</w:t>
                  </w:r>
                </w:p>
              </w:tc>
              <w:tc>
                <w:tcPr>
                  <w:tcW w:w="689" w:type="pct"/>
                  <w:tcBorders>
                    <w:bottom w:val="single" w:color="000000" w:sz="12" w:space="0"/>
                  </w:tcBorders>
                  <w:shd w:val="clear" w:color="auto" w:fill="auto"/>
                  <w:noWrap w:val="0"/>
                  <w:vAlign w:val="center"/>
                </w:tcPr>
                <w:p w14:paraId="3D6163B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8.5111</w:t>
                  </w:r>
                </w:p>
              </w:tc>
              <w:tc>
                <w:tcPr>
                  <w:tcW w:w="582" w:type="pct"/>
                  <w:tcBorders>
                    <w:bottom w:val="single" w:color="000000" w:sz="12" w:space="0"/>
                  </w:tcBorders>
                  <w:shd w:val="clear" w:color="auto" w:fill="auto"/>
                  <w:noWrap w:val="0"/>
                  <w:vAlign w:val="center"/>
                </w:tcPr>
                <w:p w14:paraId="3A7C9714">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c>
                <w:tcPr>
                  <w:tcW w:w="689" w:type="pct"/>
                  <w:tcBorders>
                    <w:bottom w:val="single" w:color="000000" w:sz="12" w:space="0"/>
                  </w:tcBorders>
                  <w:shd w:val="clear" w:color="auto" w:fill="auto"/>
                  <w:noWrap w:val="0"/>
                  <w:vAlign w:val="center"/>
                </w:tcPr>
                <w:p w14:paraId="7F406EB5">
                  <w:pPr>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1.56</w:t>
                  </w:r>
                  <w:r>
                    <w:rPr>
                      <w:rFonts w:hint="eastAsia" w:cs="Times New Roman"/>
                      <w:b w:val="0"/>
                      <w:color w:val="auto"/>
                      <w:sz w:val="21"/>
                      <w:szCs w:val="21"/>
                      <w:lang w:val="en-US" w:eastAsia="zh-CN"/>
                    </w:rPr>
                    <w:t>53</w:t>
                  </w:r>
                </w:p>
              </w:tc>
              <w:tc>
                <w:tcPr>
                  <w:tcW w:w="582" w:type="pct"/>
                  <w:tcBorders>
                    <w:bottom w:val="single" w:color="000000" w:sz="12" w:space="0"/>
                    <w:right w:val="nil"/>
                  </w:tcBorders>
                  <w:shd w:val="clear" w:color="auto" w:fill="auto"/>
                  <w:noWrap w:val="0"/>
                  <w:vAlign w:val="center"/>
                </w:tcPr>
                <w:p w14:paraId="330A1F11">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r>
          </w:tbl>
          <w:p w14:paraId="6CA15830">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rPr>
              <w:t>由上表可知，项目区</w:t>
            </w:r>
            <w:r>
              <w:rPr>
                <w:rFonts w:hint="default" w:ascii="Times New Roman" w:hAnsi="Times New Roman" w:eastAsia="宋体" w:cs="Times New Roman"/>
                <w:spacing w:val="-2"/>
                <w:sz w:val="24"/>
                <w:szCs w:val="24"/>
                <w:lang w:val="en-US" w:eastAsia="zh-CN"/>
              </w:rPr>
              <w:t>植被类型</w:t>
            </w:r>
            <w:r>
              <w:rPr>
                <w:rFonts w:hint="default" w:ascii="Times New Roman" w:hAnsi="Times New Roman" w:eastAsia="宋体" w:cs="Times New Roman"/>
                <w:spacing w:val="-2"/>
                <w:sz w:val="24"/>
                <w:szCs w:val="24"/>
              </w:rPr>
              <w:t>主要以</w:t>
            </w:r>
            <w:r>
              <w:rPr>
                <w:rFonts w:hint="default" w:ascii="Times New Roman" w:hAnsi="Times New Roman" w:eastAsia="宋体" w:cs="Times New Roman"/>
                <w:i w:val="0"/>
                <w:iCs w:val="0"/>
                <w:color w:val="000000"/>
                <w:kern w:val="0"/>
                <w:sz w:val="24"/>
                <w:szCs w:val="24"/>
                <w:u w:val="none"/>
                <w:lang w:val="en-US" w:eastAsia="zh-CN" w:bidi="ar"/>
              </w:rPr>
              <w:t>公路、裸土地等</w:t>
            </w:r>
            <w:r>
              <w:rPr>
                <w:rFonts w:hint="default" w:ascii="Times New Roman" w:hAnsi="Times New Roman" w:eastAsia="宋体" w:cs="Times New Roman"/>
                <w:spacing w:val="-2"/>
                <w:sz w:val="24"/>
                <w:szCs w:val="24"/>
              </w:rPr>
              <w:t>为主，占地</w:t>
            </w:r>
            <w:r>
              <w:rPr>
                <w:rFonts w:hint="default" w:ascii="Times New Roman" w:hAnsi="Times New Roman" w:eastAsia="宋体" w:cs="Times New Roman"/>
                <w:spacing w:val="10"/>
                <w:sz w:val="24"/>
                <w:szCs w:val="24"/>
              </w:rPr>
              <w:t>面积</w:t>
            </w:r>
            <w:r>
              <w:rPr>
                <w:rFonts w:hint="default" w:ascii="Times New Roman" w:hAnsi="Times New Roman" w:eastAsia="宋体" w:cs="Times New Roman"/>
                <w:sz w:val="24"/>
                <w:szCs w:val="24"/>
                <w:lang w:val="en-US" w:eastAsia="zh-CN"/>
              </w:rPr>
              <w:t>1.5668</w:t>
            </w:r>
            <w:r>
              <w:rPr>
                <w:rFonts w:hint="default" w:ascii="Times New Roman" w:hAnsi="Times New Roman" w:eastAsia="宋体" w:cs="Times New Roman"/>
                <w:sz w:val="24"/>
                <w:szCs w:val="24"/>
              </w:rPr>
              <w:t>km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pacing w:val="10"/>
                <w:sz w:val="24"/>
                <w:szCs w:val="24"/>
              </w:rPr>
              <w:t>，占项目区总面积的</w:t>
            </w:r>
            <w:r>
              <w:rPr>
                <w:rFonts w:hint="default" w:ascii="Times New Roman" w:hAnsi="Times New Roman" w:eastAsia="宋体" w:cs="Times New Roman"/>
                <w:spacing w:val="10"/>
                <w:sz w:val="24"/>
                <w:szCs w:val="24"/>
                <w:lang w:val="en-US" w:eastAsia="zh-CN"/>
              </w:rPr>
              <w:t>100</w:t>
            </w:r>
            <w:r>
              <w:rPr>
                <w:rFonts w:hint="default" w:ascii="Times New Roman" w:hAnsi="Times New Roman" w:eastAsia="宋体" w:cs="Times New Roman"/>
                <w:spacing w:val="10"/>
                <w:sz w:val="24"/>
                <w:szCs w:val="24"/>
              </w:rPr>
              <w:t>%；</w:t>
            </w:r>
            <w:r>
              <w:rPr>
                <w:rFonts w:hint="default" w:ascii="Times New Roman" w:hAnsi="Times New Roman" w:eastAsia="宋体" w:cs="Times New Roman"/>
                <w:spacing w:val="11"/>
                <w:sz w:val="24"/>
                <w:szCs w:val="24"/>
              </w:rPr>
              <w:t>评价区</w:t>
            </w:r>
            <w:r>
              <w:rPr>
                <w:rFonts w:hint="default" w:ascii="Times New Roman" w:hAnsi="Times New Roman" w:eastAsia="宋体" w:cs="Times New Roman"/>
                <w:spacing w:val="11"/>
                <w:sz w:val="24"/>
                <w:szCs w:val="24"/>
                <w:lang w:val="en-US" w:eastAsia="zh-CN"/>
              </w:rPr>
              <w:t>仍</w:t>
            </w:r>
            <w:r>
              <w:rPr>
                <w:rFonts w:hint="default" w:ascii="Times New Roman" w:hAnsi="Times New Roman" w:eastAsia="宋体" w:cs="Times New Roman"/>
                <w:spacing w:val="11"/>
                <w:sz w:val="24"/>
                <w:szCs w:val="24"/>
              </w:rPr>
              <w:t>以</w:t>
            </w:r>
            <w:r>
              <w:rPr>
                <w:rFonts w:hint="default" w:ascii="Times New Roman" w:hAnsi="Times New Roman" w:eastAsia="宋体" w:cs="Times New Roman"/>
                <w:i w:val="0"/>
                <w:iCs w:val="0"/>
                <w:color w:val="000000"/>
                <w:kern w:val="0"/>
                <w:sz w:val="24"/>
                <w:szCs w:val="24"/>
                <w:u w:val="none"/>
                <w:lang w:val="en-US" w:eastAsia="zh-CN" w:bidi="ar"/>
              </w:rPr>
              <w:t>公路、裸土地等</w:t>
            </w:r>
            <w:r>
              <w:rPr>
                <w:rFonts w:hint="default" w:ascii="Times New Roman" w:hAnsi="Times New Roman" w:eastAsia="宋体" w:cs="Times New Roman"/>
                <w:spacing w:val="-2"/>
                <w:sz w:val="24"/>
                <w:szCs w:val="24"/>
              </w:rPr>
              <w:t>为主，占地面积的</w:t>
            </w:r>
            <w:r>
              <w:rPr>
                <w:rFonts w:hint="default" w:ascii="Times New Roman" w:hAnsi="Times New Roman" w:eastAsia="宋体" w:cs="Times New Roman"/>
                <w:sz w:val="24"/>
                <w:szCs w:val="24"/>
                <w:lang w:val="en-US" w:eastAsia="zh-CN"/>
              </w:rPr>
              <w:t>7.9797</w:t>
            </w:r>
            <w:r>
              <w:rPr>
                <w:rFonts w:hint="default" w:ascii="Times New Roman" w:hAnsi="Times New Roman" w:eastAsia="宋体" w:cs="Times New Roman"/>
                <w:spacing w:val="-2"/>
                <w:sz w:val="24"/>
                <w:szCs w:val="24"/>
              </w:rPr>
              <w:t>km</w:t>
            </w:r>
            <w:r>
              <w:rPr>
                <w:rFonts w:hint="eastAsia" w:ascii="Times New Roman" w:hAnsi="Times New Roman" w:eastAsia="宋体" w:cs="Times New Roman"/>
                <w:spacing w:val="-2"/>
                <w:sz w:val="24"/>
                <w:szCs w:val="24"/>
                <w:vertAlign w:val="superscript"/>
                <w:lang w:val="en-US" w:eastAsia="zh-CN"/>
              </w:rPr>
              <w:t>2</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3"/>
                <w:sz w:val="24"/>
                <w:szCs w:val="24"/>
              </w:rPr>
              <w:t>占评价区总面积</w:t>
            </w:r>
            <w:r>
              <w:rPr>
                <w:rFonts w:hint="default" w:ascii="Times New Roman" w:hAnsi="Times New Roman" w:eastAsia="宋体" w:cs="Times New Roman"/>
                <w:spacing w:val="1"/>
                <w:sz w:val="24"/>
                <w:szCs w:val="24"/>
              </w:rPr>
              <w:t>的</w:t>
            </w:r>
            <w:r>
              <w:rPr>
                <w:rFonts w:hint="default" w:ascii="Times New Roman" w:hAnsi="Times New Roman" w:eastAsia="宋体" w:cs="Times New Roman"/>
                <w:sz w:val="24"/>
                <w:szCs w:val="24"/>
                <w:lang w:val="en-US" w:eastAsia="zh-CN"/>
              </w:rPr>
              <w:t>93.76</w:t>
            </w:r>
            <w:r>
              <w:rPr>
                <w:rFonts w:hint="default" w:ascii="Times New Roman" w:hAnsi="Times New Roman" w:eastAsia="宋体" w:cs="Times New Roman"/>
                <w:spacing w:val="1"/>
                <w:sz w:val="24"/>
                <w:szCs w:val="24"/>
              </w:rPr>
              <w:t>%；其次为</w:t>
            </w:r>
            <w:r>
              <w:rPr>
                <w:rFonts w:hint="default" w:ascii="Times New Roman" w:hAnsi="Times New Roman" w:eastAsia="宋体" w:cs="Times New Roman"/>
                <w:sz w:val="24"/>
                <w:szCs w:val="24"/>
                <w:lang w:val="en-US" w:eastAsia="zh-CN"/>
              </w:rPr>
              <w:t>长芒草群系、芨芨草群</w:t>
            </w:r>
            <w:r>
              <w:rPr>
                <w:rFonts w:hint="default" w:ascii="Times New Roman" w:hAnsi="Times New Roman" w:eastAsia="宋体" w:cs="Times New Roman"/>
                <w:sz w:val="24"/>
                <w:szCs w:val="24"/>
                <w:highlight w:val="none"/>
                <w:lang w:val="en-US" w:eastAsia="zh-CN"/>
              </w:rPr>
              <w:t>系等</w:t>
            </w:r>
            <w:r>
              <w:rPr>
                <w:rFonts w:hint="default" w:ascii="Times New Roman" w:hAnsi="Times New Roman" w:eastAsia="宋体" w:cs="Times New Roman"/>
                <w:spacing w:val="1"/>
                <w:sz w:val="24"/>
                <w:szCs w:val="24"/>
                <w:highlight w:val="none"/>
              </w:rPr>
              <w:t>植被，占地</w:t>
            </w:r>
            <w:r>
              <w:rPr>
                <w:rFonts w:hint="default" w:ascii="Times New Roman" w:hAnsi="Times New Roman" w:eastAsia="宋体" w:cs="Times New Roman"/>
                <w:sz w:val="24"/>
                <w:szCs w:val="24"/>
                <w:highlight w:val="none"/>
              </w:rPr>
              <w:t>面积</w:t>
            </w:r>
            <w:r>
              <w:rPr>
                <w:rFonts w:hint="eastAsia" w:ascii="Times New Roman" w:hAnsi="Times New Roman" w:eastAsia="宋体" w:cs="Times New Roman"/>
                <w:sz w:val="24"/>
                <w:szCs w:val="24"/>
                <w:highlight w:val="none"/>
                <w:lang w:val="en-US" w:eastAsia="zh-CN"/>
              </w:rPr>
              <w:t>0.5314</w:t>
            </w:r>
            <w:r>
              <w:rPr>
                <w:rFonts w:hint="default" w:ascii="Times New Roman" w:hAnsi="Times New Roman" w:eastAsia="宋体" w:cs="Times New Roman"/>
                <w:sz w:val="24"/>
                <w:szCs w:val="24"/>
                <w:highlight w:val="none"/>
              </w:rPr>
              <w:t>m</w:t>
            </w:r>
            <w:r>
              <w:rPr>
                <w:rFonts w:hint="eastAsia" w:ascii="Times New Roman" w:hAnsi="Times New Roman" w:eastAsia="宋体" w:cs="Times New Roman"/>
                <w:sz w:val="24"/>
                <w:szCs w:val="24"/>
                <w:highlight w:val="none"/>
                <w:vertAlign w:val="superscript"/>
                <w:lang w:val="en-US" w:eastAsia="zh-CN"/>
              </w:rPr>
              <w:t>2</w:t>
            </w:r>
            <w:r>
              <w:rPr>
                <w:rFonts w:hint="default" w:ascii="Times New Roman" w:hAnsi="Times New Roman" w:eastAsia="宋体" w:cs="Times New Roman"/>
                <w:sz w:val="24"/>
                <w:szCs w:val="24"/>
                <w:highlight w:val="none"/>
              </w:rPr>
              <w:t>，占评价区区</w:t>
            </w:r>
            <w:r>
              <w:rPr>
                <w:rFonts w:hint="default" w:ascii="Times New Roman" w:hAnsi="Times New Roman" w:eastAsia="宋体" w:cs="Times New Roman"/>
                <w:spacing w:val="3"/>
                <w:sz w:val="24"/>
                <w:szCs w:val="24"/>
                <w:highlight w:val="none"/>
              </w:rPr>
              <w:t>总面积的6.</w:t>
            </w:r>
            <w:r>
              <w:rPr>
                <w:rFonts w:hint="default" w:ascii="Times New Roman" w:hAnsi="Times New Roman" w:eastAsia="宋体" w:cs="Times New Roman"/>
                <w:spacing w:val="3"/>
                <w:sz w:val="24"/>
                <w:szCs w:val="24"/>
                <w:highlight w:val="none"/>
                <w:lang w:val="en-US" w:eastAsia="zh-CN"/>
              </w:rPr>
              <w:t>24</w:t>
            </w:r>
            <w:r>
              <w:rPr>
                <w:rFonts w:hint="default" w:ascii="Times New Roman" w:hAnsi="Times New Roman" w:eastAsia="宋体" w:cs="Times New Roman"/>
                <w:spacing w:val="3"/>
                <w:sz w:val="24"/>
                <w:szCs w:val="24"/>
                <w:highlight w:val="none"/>
              </w:rPr>
              <w:t>%。</w:t>
            </w:r>
          </w:p>
          <w:p w14:paraId="61AD77B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pacing w:val="-2"/>
                <w:sz w:val="24"/>
                <w:szCs w:val="24"/>
                <w:highlight w:val="none"/>
              </w:rPr>
              <w:t xml:space="preserve">区域植被覆盖度分级及面积统计见表 3-3 和附图 </w:t>
            </w:r>
            <w:r>
              <w:rPr>
                <w:rFonts w:hint="eastAsia" w:ascii="Times New Roman" w:hAnsi="Times New Roman" w:eastAsia="宋体" w:cs="Times New Roman"/>
                <w:spacing w:val="-2"/>
                <w:sz w:val="24"/>
                <w:szCs w:val="24"/>
                <w:highlight w:val="none"/>
                <w:lang w:val="en-US" w:eastAsia="zh-CN"/>
              </w:rPr>
              <w:t>10</w:t>
            </w:r>
            <w:r>
              <w:rPr>
                <w:rFonts w:hint="default" w:ascii="Times New Roman" w:hAnsi="Times New Roman" w:eastAsia="宋体" w:cs="Times New Roman"/>
                <w:spacing w:val="-2"/>
                <w:sz w:val="24"/>
                <w:szCs w:val="24"/>
                <w:highlight w:val="none"/>
              </w:rPr>
              <w:t>。</w:t>
            </w:r>
          </w:p>
          <w:p w14:paraId="4870D7D6">
            <w:pPr>
              <w:pStyle w:val="22"/>
              <w:keepNext w:val="0"/>
              <w:keepLines w:val="0"/>
              <w:pageBreakBefore w:val="0"/>
              <w:kinsoku/>
              <w:wordWrap/>
              <w:overflowPunct/>
              <w:topLinePunct w:val="0"/>
              <w:autoSpaceDE/>
              <w:autoSpaceDN/>
              <w:bidi w:val="0"/>
              <w:spacing w:before="0" w:after="0" w:line="360" w:lineRule="auto"/>
              <w:ind w:left="0" w:right="0"/>
              <w:jc w:val="center"/>
              <w:textAlignment w:val="auto"/>
              <w:rPr>
                <w:rFonts w:hint="default" w:ascii="Times New Roman" w:hAnsi="Times New Roman" w:eastAsia="宋体" w:cs="Times New Roman"/>
                <w:b/>
                <w:bCs/>
                <w:spacing w:val="5"/>
                <w:sz w:val="21"/>
                <w:szCs w:val="21"/>
              </w:rPr>
            </w:pPr>
            <w:r>
              <w:rPr>
                <w:rFonts w:hint="default" w:ascii="Times New Roman" w:hAnsi="Times New Roman" w:eastAsia="宋体" w:cs="Times New Roman"/>
                <w:b/>
                <w:bCs/>
                <w:spacing w:val="5"/>
                <w:sz w:val="21"/>
                <w:szCs w:val="21"/>
              </w:rPr>
              <w:t>表3-3</w:t>
            </w:r>
            <w:r>
              <w:rPr>
                <w:rFonts w:hint="default" w:ascii="Times New Roman" w:hAnsi="Times New Roman" w:eastAsia="宋体" w:cs="Times New Roman"/>
                <w:b/>
                <w:bCs/>
                <w:spacing w:val="15"/>
                <w:sz w:val="21"/>
                <w:szCs w:val="21"/>
              </w:rPr>
              <w:t xml:space="preserve">   </w:t>
            </w:r>
            <w:r>
              <w:rPr>
                <w:rFonts w:hint="default" w:ascii="Times New Roman" w:hAnsi="Times New Roman" w:eastAsia="宋体" w:cs="Times New Roman"/>
                <w:b/>
                <w:bCs/>
                <w:spacing w:val="5"/>
                <w:sz w:val="21"/>
                <w:szCs w:val="21"/>
              </w:rPr>
              <w:t>植被覆盖度面积统计</w:t>
            </w:r>
          </w:p>
          <w:tbl>
            <w:tblPr>
              <w:tblStyle w:val="23"/>
              <w:tblW w:w="4998" w:type="pct"/>
              <w:tblInd w:w="5"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57" w:type="dxa"/>
                <w:left w:w="57" w:type="dxa"/>
                <w:bottom w:w="57" w:type="dxa"/>
                <w:right w:w="57" w:type="dxa"/>
              </w:tblCellMar>
            </w:tblPr>
            <w:tblGrid>
              <w:gridCol w:w="2043"/>
              <w:gridCol w:w="1719"/>
              <w:gridCol w:w="1418"/>
              <w:gridCol w:w="1418"/>
              <w:gridCol w:w="1426"/>
            </w:tblGrid>
            <w:tr w14:paraId="024E6653">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1273" w:type="pct"/>
                  <w:vMerge w:val="restart"/>
                  <w:tcBorders>
                    <w:top w:val="single" w:color="000000" w:sz="12" w:space="0"/>
                    <w:left w:val="nil"/>
                    <w:tl2br w:val="nil"/>
                  </w:tcBorders>
                  <w:shd w:val="clear" w:color="auto" w:fill="auto"/>
                  <w:noWrap w:val="0"/>
                  <w:vAlign w:val="center"/>
                </w:tcPr>
                <w:p w14:paraId="6F8A69D1">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一级类</w:t>
                  </w:r>
                </w:p>
              </w:tc>
              <w:tc>
                <w:tcPr>
                  <w:tcW w:w="1954" w:type="pct"/>
                  <w:gridSpan w:val="2"/>
                  <w:tcBorders>
                    <w:top w:val="single" w:color="000000" w:sz="12" w:space="0"/>
                  </w:tcBorders>
                  <w:shd w:val="clear" w:color="auto" w:fill="auto"/>
                  <w:noWrap w:val="0"/>
                  <w:vAlign w:val="center"/>
                </w:tcPr>
                <w:p w14:paraId="0673C1AD">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评价区</w:t>
                  </w:r>
                </w:p>
              </w:tc>
              <w:tc>
                <w:tcPr>
                  <w:tcW w:w="1772" w:type="pct"/>
                  <w:gridSpan w:val="2"/>
                  <w:tcBorders>
                    <w:top w:val="single" w:color="000000" w:sz="12" w:space="0"/>
                    <w:right w:val="nil"/>
                  </w:tcBorders>
                  <w:shd w:val="clear" w:color="auto" w:fill="auto"/>
                  <w:noWrap w:val="0"/>
                  <w:vAlign w:val="top"/>
                </w:tcPr>
                <w:p w14:paraId="5A0DB686">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项目区</w:t>
                  </w:r>
                </w:p>
              </w:tc>
            </w:tr>
            <w:tr w14:paraId="5B5E33C6">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1273" w:type="pct"/>
                  <w:vMerge w:val="continue"/>
                  <w:tcBorders>
                    <w:left w:val="nil"/>
                  </w:tcBorders>
                  <w:shd w:val="clear" w:color="auto" w:fill="auto"/>
                  <w:noWrap w:val="0"/>
                  <w:vAlign w:val="center"/>
                </w:tcPr>
                <w:p w14:paraId="59EB1961">
                  <w:pPr>
                    <w:jc w:val="center"/>
                    <w:rPr>
                      <w:rFonts w:hint="default" w:ascii="Times New Roman" w:hAnsi="Times New Roman" w:eastAsia="宋体" w:cs="Times New Roman"/>
                      <w:b w:val="0"/>
                      <w:color w:val="000000"/>
                      <w:sz w:val="21"/>
                      <w:szCs w:val="21"/>
                    </w:rPr>
                  </w:pPr>
                </w:p>
              </w:tc>
              <w:tc>
                <w:tcPr>
                  <w:tcW w:w="1071" w:type="pct"/>
                  <w:shd w:val="clear" w:color="auto" w:fill="auto"/>
                  <w:noWrap w:val="0"/>
                  <w:vAlign w:val="center"/>
                </w:tcPr>
                <w:p w14:paraId="62EBB1C7">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面积(km</w:t>
                  </w:r>
                  <w:r>
                    <w:rPr>
                      <w:rFonts w:hint="default" w:ascii="Times New Roman" w:hAnsi="Times New Roman" w:eastAsia="宋体" w:cs="Times New Roman"/>
                      <w:b w:val="0"/>
                      <w:color w:val="000000"/>
                      <w:sz w:val="21"/>
                      <w:szCs w:val="21"/>
                      <w:vertAlign w:val="superscript"/>
                    </w:rPr>
                    <w:t>2</w:t>
                  </w:r>
                  <w:r>
                    <w:rPr>
                      <w:rFonts w:hint="default" w:ascii="Times New Roman" w:hAnsi="Times New Roman" w:eastAsia="宋体" w:cs="Times New Roman"/>
                      <w:b w:val="0"/>
                      <w:color w:val="000000"/>
                      <w:sz w:val="21"/>
                      <w:szCs w:val="21"/>
                    </w:rPr>
                    <w:t>)</w:t>
                  </w:r>
                </w:p>
              </w:tc>
              <w:tc>
                <w:tcPr>
                  <w:tcW w:w="883" w:type="pct"/>
                  <w:shd w:val="clear" w:color="auto" w:fill="auto"/>
                  <w:noWrap w:val="0"/>
                  <w:vAlign w:val="center"/>
                </w:tcPr>
                <w:p w14:paraId="565880A9">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比例(%)</w:t>
                  </w:r>
                </w:p>
              </w:tc>
              <w:tc>
                <w:tcPr>
                  <w:tcW w:w="883" w:type="pct"/>
                  <w:shd w:val="clear" w:color="auto" w:fill="auto"/>
                  <w:noWrap w:val="0"/>
                  <w:vAlign w:val="center"/>
                </w:tcPr>
                <w:p w14:paraId="346F0942">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面积(km</w:t>
                  </w:r>
                  <w:r>
                    <w:rPr>
                      <w:rFonts w:hint="default" w:ascii="Times New Roman" w:hAnsi="Times New Roman" w:eastAsia="宋体" w:cs="Times New Roman"/>
                      <w:b w:val="0"/>
                      <w:color w:val="000000"/>
                      <w:sz w:val="21"/>
                      <w:szCs w:val="21"/>
                      <w:vertAlign w:val="superscript"/>
                    </w:rPr>
                    <w:t>2</w:t>
                  </w:r>
                  <w:r>
                    <w:rPr>
                      <w:rFonts w:hint="default" w:ascii="Times New Roman" w:hAnsi="Times New Roman" w:eastAsia="宋体" w:cs="Times New Roman"/>
                      <w:b w:val="0"/>
                      <w:color w:val="000000"/>
                      <w:sz w:val="21"/>
                      <w:szCs w:val="21"/>
                    </w:rPr>
                    <w:t>)</w:t>
                  </w:r>
                </w:p>
              </w:tc>
              <w:tc>
                <w:tcPr>
                  <w:tcW w:w="888" w:type="pct"/>
                  <w:tcBorders>
                    <w:right w:val="nil"/>
                  </w:tcBorders>
                  <w:shd w:val="clear" w:color="auto" w:fill="auto"/>
                  <w:noWrap w:val="0"/>
                  <w:vAlign w:val="center"/>
                </w:tcPr>
                <w:p w14:paraId="54217B54">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比例(%)</w:t>
                  </w:r>
                </w:p>
              </w:tc>
            </w:tr>
            <w:tr w14:paraId="481894F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1273" w:type="pct"/>
                  <w:tcBorders>
                    <w:left w:val="nil"/>
                  </w:tcBorders>
                  <w:shd w:val="clear" w:color="auto" w:fill="auto"/>
                  <w:noWrap w:val="0"/>
                  <w:vAlign w:val="center"/>
                </w:tcPr>
                <w:p w14:paraId="34045B53">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低植被覆盖度</w:t>
                  </w:r>
                </w:p>
              </w:tc>
              <w:tc>
                <w:tcPr>
                  <w:tcW w:w="1071" w:type="pct"/>
                  <w:shd w:val="clear" w:color="auto" w:fill="auto"/>
                  <w:noWrap w:val="0"/>
                  <w:vAlign w:val="center"/>
                </w:tcPr>
                <w:p w14:paraId="297FD76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1.6844</w:t>
                  </w:r>
                </w:p>
              </w:tc>
              <w:tc>
                <w:tcPr>
                  <w:tcW w:w="883" w:type="pct"/>
                  <w:shd w:val="clear" w:color="auto" w:fill="auto"/>
                  <w:noWrap w:val="0"/>
                  <w:vAlign w:val="center"/>
                </w:tcPr>
                <w:p w14:paraId="619DC6F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19.79%</w:t>
                  </w:r>
                </w:p>
              </w:tc>
              <w:tc>
                <w:tcPr>
                  <w:tcW w:w="883" w:type="pct"/>
                  <w:shd w:val="clear" w:color="auto" w:fill="auto"/>
                  <w:noWrap w:val="0"/>
                  <w:vAlign w:val="center"/>
                </w:tcPr>
                <w:p w14:paraId="2AB1E16B">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1.1188</w:t>
                  </w:r>
                </w:p>
              </w:tc>
              <w:tc>
                <w:tcPr>
                  <w:tcW w:w="888" w:type="pct"/>
                  <w:tcBorders>
                    <w:right w:val="nil"/>
                  </w:tcBorders>
                  <w:shd w:val="clear" w:color="auto" w:fill="auto"/>
                  <w:noWrap w:val="0"/>
                  <w:vAlign w:val="center"/>
                </w:tcPr>
                <w:p w14:paraId="54F2ECFE">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71.41%</w:t>
                  </w:r>
                </w:p>
              </w:tc>
            </w:tr>
            <w:tr w14:paraId="3160444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1273" w:type="pct"/>
                  <w:tcBorders>
                    <w:left w:val="nil"/>
                  </w:tcBorders>
                  <w:shd w:val="clear" w:color="auto" w:fill="auto"/>
                  <w:noWrap w:val="0"/>
                  <w:vAlign w:val="center"/>
                </w:tcPr>
                <w:p w14:paraId="2F634161">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较低植被覆盖度</w:t>
                  </w:r>
                </w:p>
              </w:tc>
              <w:tc>
                <w:tcPr>
                  <w:tcW w:w="1071" w:type="pct"/>
                  <w:shd w:val="clear" w:color="auto" w:fill="auto"/>
                  <w:noWrap w:val="0"/>
                  <w:vAlign w:val="center"/>
                </w:tcPr>
                <w:p w14:paraId="0C840FE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3.9350</w:t>
                  </w:r>
                </w:p>
              </w:tc>
              <w:tc>
                <w:tcPr>
                  <w:tcW w:w="883" w:type="pct"/>
                  <w:shd w:val="clear" w:color="auto" w:fill="auto"/>
                  <w:noWrap w:val="0"/>
                  <w:vAlign w:val="center"/>
                </w:tcPr>
                <w:p w14:paraId="19312D6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46.23%</w:t>
                  </w:r>
                </w:p>
              </w:tc>
              <w:tc>
                <w:tcPr>
                  <w:tcW w:w="883" w:type="pct"/>
                  <w:shd w:val="clear" w:color="auto" w:fill="auto"/>
                  <w:noWrap w:val="0"/>
                  <w:vAlign w:val="center"/>
                </w:tcPr>
                <w:p w14:paraId="4598FC76">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0.2091</w:t>
                  </w:r>
                </w:p>
              </w:tc>
              <w:tc>
                <w:tcPr>
                  <w:tcW w:w="888" w:type="pct"/>
                  <w:tcBorders>
                    <w:right w:val="nil"/>
                  </w:tcBorders>
                  <w:shd w:val="clear" w:color="auto" w:fill="auto"/>
                  <w:noWrap w:val="0"/>
                  <w:vAlign w:val="center"/>
                </w:tcPr>
                <w:p w14:paraId="6993915D">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13.34%</w:t>
                  </w:r>
                </w:p>
              </w:tc>
            </w:tr>
            <w:tr w14:paraId="1FA98238">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273" w:type="pct"/>
                  <w:tcBorders>
                    <w:left w:val="nil"/>
                  </w:tcBorders>
                  <w:shd w:val="clear" w:color="auto" w:fill="auto"/>
                  <w:noWrap w:val="0"/>
                  <w:vAlign w:val="center"/>
                </w:tcPr>
                <w:p w14:paraId="21B1ED1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中度植被覆盖度</w:t>
                  </w:r>
                </w:p>
              </w:tc>
              <w:tc>
                <w:tcPr>
                  <w:tcW w:w="1071" w:type="pct"/>
                  <w:shd w:val="clear" w:color="auto" w:fill="auto"/>
                  <w:noWrap w:val="0"/>
                  <w:vAlign w:val="center"/>
                </w:tcPr>
                <w:p w14:paraId="036E8116">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1.5773</w:t>
                  </w:r>
                </w:p>
              </w:tc>
              <w:tc>
                <w:tcPr>
                  <w:tcW w:w="883" w:type="pct"/>
                  <w:shd w:val="clear" w:color="auto" w:fill="auto"/>
                  <w:noWrap w:val="0"/>
                  <w:vAlign w:val="center"/>
                </w:tcPr>
                <w:p w14:paraId="0CE61F8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18.53%</w:t>
                  </w:r>
                </w:p>
              </w:tc>
              <w:tc>
                <w:tcPr>
                  <w:tcW w:w="883" w:type="pct"/>
                  <w:shd w:val="clear" w:color="auto" w:fill="auto"/>
                  <w:noWrap w:val="0"/>
                  <w:vAlign w:val="center"/>
                </w:tcPr>
                <w:p w14:paraId="23853D2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0.18</w:t>
                  </w:r>
                  <w:r>
                    <w:rPr>
                      <w:rFonts w:hint="eastAsia" w:cs="Times New Roman"/>
                      <w:b w:val="0"/>
                      <w:color w:val="000000"/>
                      <w:sz w:val="21"/>
                      <w:szCs w:val="21"/>
                      <w:lang w:val="en-US" w:eastAsia="zh-CN"/>
                    </w:rPr>
                    <w:t>74</w:t>
                  </w:r>
                </w:p>
              </w:tc>
              <w:tc>
                <w:tcPr>
                  <w:tcW w:w="888" w:type="pct"/>
                  <w:tcBorders>
                    <w:right w:val="nil"/>
                  </w:tcBorders>
                  <w:shd w:val="clear" w:color="auto" w:fill="auto"/>
                  <w:noWrap w:val="0"/>
                  <w:vAlign w:val="center"/>
                </w:tcPr>
                <w:p w14:paraId="7047AAA1">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12.05%</w:t>
                  </w:r>
                </w:p>
              </w:tc>
            </w:tr>
            <w:tr w14:paraId="0FD93F9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273" w:type="pct"/>
                  <w:tcBorders>
                    <w:left w:val="nil"/>
                  </w:tcBorders>
                  <w:shd w:val="clear" w:color="auto" w:fill="auto"/>
                  <w:noWrap w:val="0"/>
                  <w:vAlign w:val="center"/>
                </w:tcPr>
                <w:p w14:paraId="4B91A3B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较高植被覆盖度</w:t>
                  </w:r>
                </w:p>
              </w:tc>
              <w:tc>
                <w:tcPr>
                  <w:tcW w:w="1071" w:type="pct"/>
                  <w:shd w:val="clear" w:color="auto" w:fill="auto"/>
                  <w:noWrap w:val="0"/>
                  <w:vAlign w:val="center"/>
                </w:tcPr>
                <w:p w14:paraId="488EBF4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1.3144</w:t>
                  </w:r>
                </w:p>
              </w:tc>
              <w:tc>
                <w:tcPr>
                  <w:tcW w:w="883" w:type="pct"/>
                  <w:shd w:val="clear" w:color="auto" w:fill="auto"/>
                  <w:noWrap w:val="0"/>
                  <w:vAlign w:val="center"/>
                </w:tcPr>
                <w:p w14:paraId="51B7C47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15.44%</w:t>
                  </w:r>
                </w:p>
              </w:tc>
              <w:tc>
                <w:tcPr>
                  <w:tcW w:w="883" w:type="pct"/>
                  <w:shd w:val="clear" w:color="auto" w:fill="auto"/>
                  <w:noWrap w:val="0"/>
                  <w:vAlign w:val="center"/>
                </w:tcPr>
                <w:p w14:paraId="0049CD1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0.0500</w:t>
                  </w:r>
                </w:p>
              </w:tc>
              <w:tc>
                <w:tcPr>
                  <w:tcW w:w="888" w:type="pct"/>
                  <w:tcBorders>
                    <w:right w:val="nil"/>
                  </w:tcBorders>
                  <w:shd w:val="clear" w:color="auto" w:fill="auto"/>
                  <w:noWrap w:val="0"/>
                  <w:vAlign w:val="center"/>
                </w:tcPr>
                <w:p w14:paraId="7AF2F82C">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3.19%</w:t>
                  </w:r>
                </w:p>
              </w:tc>
            </w:tr>
            <w:tr w14:paraId="3041D4B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1273" w:type="pct"/>
                  <w:tcBorders>
                    <w:left w:val="nil"/>
                    <w:bottom w:val="single" w:color="000000" w:sz="12" w:space="0"/>
                  </w:tcBorders>
                  <w:shd w:val="clear" w:color="auto" w:fill="auto"/>
                  <w:noWrap w:val="0"/>
                  <w:vAlign w:val="center"/>
                </w:tcPr>
                <w:p w14:paraId="44918838">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合计</w:t>
                  </w:r>
                </w:p>
              </w:tc>
              <w:tc>
                <w:tcPr>
                  <w:tcW w:w="1071" w:type="pct"/>
                  <w:tcBorders>
                    <w:bottom w:val="single" w:color="000000" w:sz="12" w:space="0"/>
                  </w:tcBorders>
                  <w:shd w:val="clear" w:color="auto" w:fill="auto"/>
                  <w:noWrap w:val="0"/>
                  <w:vAlign w:val="center"/>
                </w:tcPr>
                <w:p w14:paraId="73675393">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8.5111</w:t>
                  </w:r>
                </w:p>
              </w:tc>
              <w:tc>
                <w:tcPr>
                  <w:tcW w:w="883" w:type="pct"/>
                  <w:tcBorders>
                    <w:bottom w:val="single" w:color="000000" w:sz="12" w:space="0"/>
                  </w:tcBorders>
                  <w:shd w:val="clear" w:color="auto" w:fill="auto"/>
                  <w:noWrap w:val="0"/>
                  <w:vAlign w:val="center"/>
                </w:tcPr>
                <w:p w14:paraId="669B08F0">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c>
                <w:tcPr>
                  <w:tcW w:w="883" w:type="pct"/>
                  <w:tcBorders>
                    <w:bottom w:val="single" w:color="000000" w:sz="12" w:space="0"/>
                  </w:tcBorders>
                  <w:shd w:val="clear" w:color="auto" w:fill="auto"/>
                  <w:noWrap w:val="0"/>
                  <w:vAlign w:val="center"/>
                </w:tcPr>
                <w:p w14:paraId="40C44808">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1.5653</w:t>
                  </w:r>
                </w:p>
              </w:tc>
              <w:tc>
                <w:tcPr>
                  <w:tcW w:w="888" w:type="pct"/>
                  <w:tcBorders>
                    <w:bottom w:val="single" w:color="000000" w:sz="12" w:space="0"/>
                    <w:right w:val="nil"/>
                  </w:tcBorders>
                  <w:shd w:val="clear" w:color="auto" w:fill="auto"/>
                  <w:noWrap w:val="0"/>
                  <w:vAlign w:val="center"/>
                </w:tcPr>
                <w:p w14:paraId="7A25AF0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r>
          </w:tbl>
          <w:p w14:paraId="4D00D29B">
            <w:pPr>
              <w:pStyle w:val="2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76"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spacing w:val="-1"/>
                <w:sz w:val="24"/>
                <w:szCs w:val="24"/>
              </w:rPr>
              <w:t>由上表可知，项目区植被覆盖度主要以</w:t>
            </w:r>
            <w:r>
              <w:rPr>
                <w:rFonts w:hint="default" w:ascii="Times New Roman" w:hAnsi="Times New Roman" w:eastAsia="宋体" w:cs="Times New Roman"/>
                <w:sz w:val="24"/>
                <w:szCs w:val="24"/>
                <w:lang w:val="en-US" w:eastAsia="zh-CN"/>
              </w:rPr>
              <w:t>低植被覆盖度</w:t>
            </w:r>
            <w:r>
              <w:rPr>
                <w:rFonts w:hint="default" w:ascii="Times New Roman" w:hAnsi="Times New Roman" w:eastAsia="宋体" w:cs="Times New Roman"/>
                <w:spacing w:val="-1"/>
                <w:sz w:val="24"/>
                <w:szCs w:val="24"/>
              </w:rPr>
              <w:t>为主，占地</w:t>
            </w:r>
            <w:r>
              <w:rPr>
                <w:rFonts w:hint="default" w:ascii="Times New Roman" w:hAnsi="Times New Roman" w:eastAsia="宋体" w:cs="Times New Roman"/>
                <w:spacing w:val="2"/>
                <w:sz w:val="24"/>
                <w:szCs w:val="24"/>
              </w:rPr>
              <w:t>面积为</w:t>
            </w:r>
            <w:r>
              <w:rPr>
                <w:rFonts w:hint="default" w:ascii="Times New Roman" w:hAnsi="Times New Roman" w:eastAsia="宋体" w:cs="Times New Roman"/>
                <w:sz w:val="24"/>
                <w:szCs w:val="24"/>
                <w:lang w:val="en-US" w:eastAsia="zh-CN"/>
              </w:rPr>
              <w:t>1.1188</w:t>
            </w:r>
            <w:r>
              <w:rPr>
                <w:rFonts w:hint="default" w:ascii="Times New Roman" w:hAnsi="Times New Roman" w:eastAsia="宋体" w:cs="Times New Roman"/>
                <w:sz w:val="24"/>
                <w:szCs w:val="24"/>
              </w:rPr>
              <w:t>km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pacing w:val="2"/>
                <w:sz w:val="24"/>
                <w:szCs w:val="24"/>
              </w:rPr>
              <w:t>，占项目区总面积的</w:t>
            </w:r>
            <w:r>
              <w:rPr>
                <w:rFonts w:hint="default" w:ascii="Times New Roman" w:hAnsi="Times New Roman" w:eastAsia="宋体" w:cs="Times New Roman"/>
                <w:sz w:val="24"/>
                <w:szCs w:val="24"/>
                <w:lang w:val="en-US" w:eastAsia="zh-CN"/>
              </w:rPr>
              <w:t>71.41</w:t>
            </w:r>
            <w:r>
              <w:rPr>
                <w:rFonts w:hint="default" w:ascii="Times New Roman" w:hAnsi="Times New Roman" w:eastAsia="宋体" w:cs="Times New Roman"/>
                <w:spacing w:val="1"/>
                <w:sz w:val="24"/>
                <w:szCs w:val="24"/>
              </w:rPr>
              <w:t>%；评价区范围内植被覆</w:t>
            </w:r>
            <w:r>
              <w:rPr>
                <w:rFonts w:hint="default" w:ascii="Times New Roman" w:hAnsi="Times New Roman" w:eastAsia="宋体" w:cs="Times New Roman"/>
                <w:sz w:val="24"/>
                <w:szCs w:val="24"/>
              </w:rPr>
              <w:t>盖度仍以</w:t>
            </w:r>
            <w:r>
              <w:rPr>
                <w:rFonts w:hint="default" w:ascii="Times New Roman" w:hAnsi="Times New Roman" w:eastAsia="宋体" w:cs="Times New Roman"/>
                <w:sz w:val="24"/>
                <w:szCs w:val="24"/>
                <w:lang w:val="en-US" w:eastAsia="zh-CN"/>
              </w:rPr>
              <w:t>低植被覆盖度</w:t>
            </w:r>
            <w:r>
              <w:rPr>
                <w:rFonts w:hint="default" w:ascii="Times New Roman" w:hAnsi="Times New Roman" w:eastAsia="宋体" w:cs="Times New Roman"/>
                <w:sz w:val="24"/>
                <w:szCs w:val="24"/>
              </w:rPr>
              <w:t>为主，占地面积为</w:t>
            </w:r>
            <w:r>
              <w:rPr>
                <w:rFonts w:hint="default" w:ascii="Times New Roman" w:hAnsi="Times New Roman" w:eastAsia="宋体" w:cs="Times New Roman"/>
                <w:sz w:val="24"/>
                <w:szCs w:val="24"/>
                <w:lang w:val="en-US" w:eastAsia="zh-CN"/>
              </w:rPr>
              <w:t>3.9350</w:t>
            </w:r>
            <w:r>
              <w:rPr>
                <w:rFonts w:hint="default" w:ascii="Times New Roman" w:hAnsi="Times New Roman" w:eastAsia="宋体" w:cs="Times New Roman"/>
                <w:sz w:val="24"/>
                <w:szCs w:val="24"/>
              </w:rPr>
              <w:t>km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rPr>
              <w:t>，占评价区</w:t>
            </w:r>
            <w:r>
              <w:rPr>
                <w:rFonts w:hint="default" w:ascii="Times New Roman" w:hAnsi="Times New Roman" w:eastAsia="宋体" w:cs="Times New Roman"/>
                <w:spacing w:val="-1"/>
                <w:sz w:val="24"/>
                <w:szCs w:val="24"/>
              </w:rPr>
              <w:t>范围</w:t>
            </w:r>
            <w:r>
              <w:rPr>
                <w:rFonts w:hint="default" w:ascii="Times New Roman" w:hAnsi="Times New Roman" w:eastAsia="宋体" w:cs="Times New Roman"/>
                <w:spacing w:val="6"/>
                <w:sz w:val="24"/>
                <w:szCs w:val="24"/>
              </w:rPr>
              <w:t>的</w:t>
            </w:r>
            <w:r>
              <w:rPr>
                <w:rFonts w:hint="default" w:ascii="Times New Roman" w:hAnsi="Times New Roman" w:eastAsia="宋体" w:cs="Times New Roman"/>
                <w:sz w:val="24"/>
                <w:szCs w:val="24"/>
                <w:lang w:val="en-US" w:eastAsia="zh-CN"/>
              </w:rPr>
              <w:t>46.23</w:t>
            </w:r>
            <w:r>
              <w:rPr>
                <w:rFonts w:hint="default" w:ascii="Times New Roman" w:hAnsi="Times New Roman" w:eastAsia="宋体" w:cs="Times New Roman"/>
                <w:spacing w:val="6"/>
                <w:sz w:val="24"/>
                <w:szCs w:val="24"/>
              </w:rPr>
              <w:t>%。</w:t>
            </w:r>
          </w:p>
          <w:p w14:paraId="26E07DC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（3）生态系统</w:t>
            </w:r>
          </w:p>
          <w:p w14:paraId="4BF0E75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按照《</w:t>
            </w:r>
            <w:r>
              <w:rPr>
                <w:rFonts w:hint="default" w:ascii="Times New Roman" w:hAnsi="Times New Roman" w:eastAsia="宋体" w:cs="Times New Roman"/>
                <w:sz w:val="24"/>
                <w:szCs w:val="24"/>
                <w:lang w:val="en-US" w:eastAsia="zh-CN"/>
              </w:rPr>
              <w:t>全国生态状况调查评估技术规范——生态系统遥感解译与野外核查</w:t>
            </w:r>
            <w:r>
              <w:rPr>
                <w:rFonts w:hint="default" w:ascii="Times New Roman" w:hAnsi="Times New Roman" w:eastAsia="宋体" w:cs="Times New Roman"/>
                <w:sz w:val="24"/>
                <w:szCs w:val="24"/>
                <w:lang w:eastAsia="zh-CN"/>
              </w:rPr>
              <w:t>》的进行生态系划分，</w:t>
            </w:r>
            <w:r>
              <w:rPr>
                <w:rFonts w:hint="default" w:ascii="Times New Roman" w:hAnsi="Times New Roman" w:eastAsia="宋体" w:cs="Times New Roman"/>
                <w:sz w:val="24"/>
                <w:szCs w:val="24"/>
                <w:lang w:val="en-US" w:eastAsia="zh-CN"/>
              </w:rPr>
              <w:t>生态系统类型</w:t>
            </w:r>
            <w:r>
              <w:rPr>
                <w:rFonts w:hint="default" w:ascii="Times New Roman" w:hAnsi="Times New Roman" w:eastAsia="宋体" w:cs="Times New Roman"/>
                <w:sz w:val="24"/>
                <w:szCs w:val="24"/>
                <w:lang w:eastAsia="zh-CN"/>
              </w:rPr>
              <w:t>及面积，</w:t>
            </w:r>
            <w:r>
              <w:rPr>
                <w:rFonts w:hint="default" w:ascii="Times New Roman" w:hAnsi="Times New Roman" w:eastAsia="宋体" w:cs="Times New Roman"/>
                <w:spacing w:val="-6"/>
                <w:sz w:val="24"/>
                <w:szCs w:val="24"/>
              </w:rPr>
              <w:t>见表3-4和附</w:t>
            </w:r>
            <w:r>
              <w:rPr>
                <w:rFonts w:hint="default" w:ascii="Times New Roman" w:hAnsi="Times New Roman" w:eastAsia="宋体" w:cs="Times New Roman"/>
                <w:spacing w:val="-7"/>
                <w:sz w:val="24"/>
                <w:szCs w:val="24"/>
              </w:rPr>
              <w:t>图3-6。</w:t>
            </w:r>
          </w:p>
          <w:p w14:paraId="020E8E17">
            <w:pPr>
              <w:pStyle w:val="22"/>
              <w:keepNext w:val="0"/>
              <w:keepLines w:val="0"/>
              <w:pageBreakBefore w:val="0"/>
              <w:kinsoku/>
              <w:wordWrap/>
              <w:overflowPunct/>
              <w:topLinePunct w:val="0"/>
              <w:autoSpaceDE/>
              <w:autoSpaceDN/>
              <w:bidi w:val="0"/>
              <w:spacing w:before="0" w:after="0" w:line="360" w:lineRule="auto"/>
              <w:ind w:left="0" w:right="0" w:firstLine="2188" w:firstLineChars="1000"/>
              <w:jc w:val="left"/>
              <w:textAlignment w:val="auto"/>
              <w:rPr>
                <w:rFonts w:hint="default" w:ascii="Times New Roman" w:hAnsi="Times New Roman" w:eastAsia="宋体" w:cs="Times New Roman"/>
                <w:b/>
                <w:bCs/>
                <w:spacing w:val="4"/>
                <w:sz w:val="21"/>
                <w:szCs w:val="21"/>
              </w:rPr>
            </w:pPr>
            <w:r>
              <w:rPr>
                <w:rFonts w:hint="default" w:ascii="Times New Roman" w:hAnsi="Times New Roman" w:eastAsia="宋体" w:cs="Times New Roman"/>
                <w:b/>
                <w:bCs/>
                <w:spacing w:val="4"/>
                <w:sz w:val="21"/>
                <w:szCs w:val="21"/>
              </w:rPr>
              <w:t>表3-4</w:t>
            </w:r>
            <w:r>
              <w:rPr>
                <w:rFonts w:hint="default" w:ascii="Times New Roman" w:hAnsi="Times New Roman" w:eastAsia="宋体" w:cs="Times New Roman"/>
                <w:b/>
                <w:bCs/>
                <w:spacing w:val="19"/>
                <w:sz w:val="21"/>
                <w:szCs w:val="21"/>
              </w:rPr>
              <w:t xml:space="preserve">   </w:t>
            </w:r>
            <w:r>
              <w:rPr>
                <w:rFonts w:hint="default" w:ascii="Times New Roman" w:hAnsi="Times New Roman" w:eastAsia="宋体" w:cs="Times New Roman"/>
                <w:b/>
                <w:bCs/>
                <w:spacing w:val="4"/>
                <w:sz w:val="21"/>
                <w:szCs w:val="21"/>
              </w:rPr>
              <w:t>生态系统类型面积统计</w:t>
            </w:r>
          </w:p>
          <w:tbl>
            <w:tblPr>
              <w:tblStyle w:val="23"/>
              <w:tblW w:w="4998" w:type="pct"/>
              <w:tblInd w:w="5" w:type="dxa"/>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57" w:type="dxa"/>
                <w:left w:w="57" w:type="dxa"/>
                <w:bottom w:w="57" w:type="dxa"/>
                <w:right w:w="57" w:type="dxa"/>
              </w:tblCellMar>
            </w:tblPr>
            <w:tblGrid>
              <w:gridCol w:w="1669"/>
              <w:gridCol w:w="649"/>
              <w:gridCol w:w="1170"/>
              <w:gridCol w:w="1233"/>
              <w:gridCol w:w="1035"/>
              <w:gridCol w:w="1178"/>
              <w:gridCol w:w="1090"/>
            </w:tblGrid>
            <w:tr w14:paraId="0DBE5DFB">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1040" w:type="pct"/>
                  <w:vMerge w:val="restart"/>
                  <w:tcBorders>
                    <w:top w:val="single" w:color="000000" w:sz="12" w:space="0"/>
                    <w:left w:val="nil"/>
                    <w:tl2br w:val="nil"/>
                  </w:tcBorders>
                  <w:shd w:val="clear" w:color="auto" w:fill="auto"/>
                  <w:noWrap w:val="0"/>
                  <w:vAlign w:val="center"/>
                </w:tcPr>
                <w:p w14:paraId="1EBD88C5">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一级类</w:t>
                  </w:r>
                </w:p>
              </w:tc>
              <w:tc>
                <w:tcPr>
                  <w:tcW w:w="1133" w:type="pct"/>
                  <w:gridSpan w:val="2"/>
                  <w:tcBorders>
                    <w:top w:val="single" w:color="000000" w:sz="12" w:space="0"/>
                  </w:tcBorders>
                  <w:shd w:val="clear" w:color="auto" w:fill="auto"/>
                  <w:noWrap w:val="0"/>
                  <w:vAlign w:val="center"/>
                </w:tcPr>
                <w:p w14:paraId="466F19FD">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二级类</w:t>
                  </w:r>
                </w:p>
              </w:tc>
              <w:tc>
                <w:tcPr>
                  <w:tcW w:w="1413" w:type="pct"/>
                  <w:gridSpan w:val="2"/>
                  <w:tcBorders>
                    <w:top w:val="single" w:color="000000" w:sz="12" w:space="0"/>
                  </w:tcBorders>
                  <w:shd w:val="clear" w:color="auto" w:fill="auto"/>
                  <w:noWrap w:val="0"/>
                  <w:vAlign w:val="center"/>
                </w:tcPr>
                <w:p w14:paraId="044FE16E">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评价区</w:t>
                  </w:r>
                </w:p>
              </w:tc>
              <w:tc>
                <w:tcPr>
                  <w:tcW w:w="1413" w:type="pct"/>
                  <w:gridSpan w:val="2"/>
                  <w:tcBorders>
                    <w:top w:val="single" w:color="000000" w:sz="12" w:space="0"/>
                    <w:right w:val="nil"/>
                  </w:tcBorders>
                  <w:shd w:val="clear" w:color="auto" w:fill="auto"/>
                  <w:noWrap w:val="0"/>
                  <w:vAlign w:val="center"/>
                </w:tcPr>
                <w:p w14:paraId="1961D9C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项目区</w:t>
                  </w:r>
                </w:p>
              </w:tc>
            </w:tr>
            <w:tr w14:paraId="32514B0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1040" w:type="pct"/>
                  <w:vMerge w:val="continue"/>
                  <w:tcBorders>
                    <w:left w:val="nil"/>
                  </w:tcBorders>
                  <w:shd w:val="clear" w:color="auto" w:fill="auto"/>
                  <w:noWrap w:val="0"/>
                  <w:vAlign w:val="center"/>
                </w:tcPr>
                <w:p w14:paraId="111B3FD9">
                  <w:pPr>
                    <w:jc w:val="center"/>
                    <w:rPr>
                      <w:rFonts w:hint="default" w:ascii="Times New Roman" w:hAnsi="Times New Roman" w:eastAsia="宋体" w:cs="Times New Roman"/>
                      <w:b w:val="0"/>
                      <w:color w:val="000000"/>
                      <w:sz w:val="21"/>
                      <w:szCs w:val="21"/>
                    </w:rPr>
                  </w:pPr>
                </w:p>
              </w:tc>
              <w:tc>
                <w:tcPr>
                  <w:tcW w:w="404" w:type="pct"/>
                  <w:shd w:val="clear" w:color="auto" w:fill="auto"/>
                  <w:noWrap w:val="0"/>
                  <w:vAlign w:val="center"/>
                </w:tcPr>
                <w:p w14:paraId="73C21B09">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代码</w:t>
                  </w:r>
                </w:p>
              </w:tc>
              <w:tc>
                <w:tcPr>
                  <w:tcW w:w="728" w:type="pct"/>
                  <w:shd w:val="clear" w:color="auto" w:fill="auto"/>
                  <w:noWrap w:val="0"/>
                  <w:vAlign w:val="center"/>
                </w:tcPr>
                <w:p w14:paraId="347EA934">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名称</w:t>
                  </w:r>
                </w:p>
              </w:tc>
              <w:tc>
                <w:tcPr>
                  <w:tcW w:w="768" w:type="pct"/>
                  <w:shd w:val="clear" w:color="auto" w:fill="auto"/>
                  <w:noWrap w:val="0"/>
                  <w:vAlign w:val="center"/>
                </w:tcPr>
                <w:p w14:paraId="1B93E757">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面积(km</w:t>
                  </w:r>
                  <w:r>
                    <w:rPr>
                      <w:rFonts w:hint="default" w:ascii="Times New Roman" w:hAnsi="Times New Roman" w:eastAsia="宋体" w:cs="Times New Roman"/>
                      <w:b w:val="0"/>
                      <w:color w:val="000000"/>
                      <w:sz w:val="21"/>
                      <w:szCs w:val="21"/>
                      <w:vertAlign w:val="superscript"/>
                    </w:rPr>
                    <w:t>2</w:t>
                  </w:r>
                  <w:r>
                    <w:rPr>
                      <w:rFonts w:hint="default" w:ascii="Times New Roman" w:hAnsi="Times New Roman" w:eastAsia="宋体" w:cs="Times New Roman"/>
                      <w:b w:val="0"/>
                      <w:color w:val="000000"/>
                      <w:sz w:val="21"/>
                      <w:szCs w:val="21"/>
                    </w:rPr>
                    <w:t>)</w:t>
                  </w:r>
                </w:p>
              </w:tc>
              <w:tc>
                <w:tcPr>
                  <w:tcW w:w="645" w:type="pct"/>
                  <w:shd w:val="clear" w:color="auto" w:fill="auto"/>
                  <w:noWrap w:val="0"/>
                  <w:vAlign w:val="center"/>
                </w:tcPr>
                <w:p w14:paraId="16DDBD73">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比例(%)</w:t>
                  </w:r>
                </w:p>
              </w:tc>
              <w:tc>
                <w:tcPr>
                  <w:tcW w:w="734" w:type="pct"/>
                  <w:shd w:val="clear" w:color="auto" w:fill="auto"/>
                  <w:noWrap w:val="0"/>
                  <w:vAlign w:val="center"/>
                </w:tcPr>
                <w:p w14:paraId="235FFEBE">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面积(km</w:t>
                  </w:r>
                  <w:r>
                    <w:rPr>
                      <w:rFonts w:hint="default" w:ascii="Times New Roman" w:hAnsi="Times New Roman" w:eastAsia="宋体" w:cs="Times New Roman"/>
                      <w:b w:val="0"/>
                      <w:color w:val="000000"/>
                      <w:sz w:val="21"/>
                      <w:szCs w:val="21"/>
                      <w:vertAlign w:val="superscript"/>
                    </w:rPr>
                    <w:t>2</w:t>
                  </w:r>
                  <w:r>
                    <w:rPr>
                      <w:rFonts w:hint="default" w:ascii="Times New Roman" w:hAnsi="Times New Roman" w:eastAsia="宋体" w:cs="Times New Roman"/>
                      <w:b w:val="0"/>
                      <w:color w:val="000000"/>
                      <w:sz w:val="21"/>
                      <w:szCs w:val="21"/>
                    </w:rPr>
                    <w:t>)</w:t>
                  </w:r>
                </w:p>
              </w:tc>
              <w:tc>
                <w:tcPr>
                  <w:tcW w:w="679" w:type="pct"/>
                  <w:tcBorders>
                    <w:right w:val="nil"/>
                  </w:tcBorders>
                  <w:shd w:val="clear" w:color="auto" w:fill="auto"/>
                  <w:noWrap w:val="0"/>
                  <w:vAlign w:val="center"/>
                </w:tcPr>
                <w:p w14:paraId="585AAE34">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比例(%)</w:t>
                  </w:r>
                </w:p>
              </w:tc>
            </w:tr>
            <w:tr w14:paraId="62B487A8">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40" w:type="pct"/>
                  <w:vMerge w:val="restart"/>
                  <w:tcBorders>
                    <w:left w:val="nil"/>
                  </w:tcBorders>
                  <w:shd w:val="clear" w:color="auto" w:fill="auto"/>
                  <w:noWrap w:val="0"/>
                  <w:vAlign w:val="center"/>
                </w:tcPr>
                <w:p w14:paraId="7E55EC6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草地生态系统</w:t>
                  </w:r>
                </w:p>
              </w:tc>
              <w:tc>
                <w:tcPr>
                  <w:tcW w:w="404" w:type="pct"/>
                  <w:shd w:val="clear" w:color="auto" w:fill="auto"/>
                  <w:noWrap w:val="0"/>
                  <w:vAlign w:val="center"/>
                </w:tcPr>
                <w:p w14:paraId="0FB2F25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33</w:t>
                  </w:r>
                </w:p>
              </w:tc>
              <w:tc>
                <w:tcPr>
                  <w:tcW w:w="728" w:type="pct"/>
                  <w:shd w:val="clear" w:color="auto" w:fill="auto"/>
                  <w:noWrap w:val="0"/>
                  <w:vAlign w:val="center"/>
                </w:tcPr>
                <w:p w14:paraId="40F49A1C">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草丛</w:t>
                  </w:r>
                </w:p>
              </w:tc>
              <w:tc>
                <w:tcPr>
                  <w:tcW w:w="1294" w:type="dxa"/>
                  <w:shd w:val="clear" w:color="auto" w:fill="auto"/>
                  <w:noWrap w:val="0"/>
                  <w:vAlign w:val="center"/>
                </w:tcPr>
                <w:p w14:paraId="2FA2FEF8">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0.3354</w:t>
                  </w:r>
                </w:p>
              </w:tc>
              <w:tc>
                <w:tcPr>
                  <w:tcW w:w="1087" w:type="dxa"/>
                  <w:shd w:val="clear" w:color="auto" w:fill="auto"/>
                  <w:noWrap w:val="0"/>
                  <w:vAlign w:val="center"/>
                </w:tcPr>
                <w:p w14:paraId="1E824EA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3.94%</w:t>
                  </w:r>
                </w:p>
              </w:tc>
              <w:tc>
                <w:tcPr>
                  <w:tcW w:w="1237" w:type="dxa"/>
                  <w:shd w:val="clear" w:color="auto" w:fill="auto"/>
                  <w:noWrap w:val="0"/>
                  <w:vAlign w:val="center"/>
                </w:tcPr>
                <w:p w14:paraId="26AED434">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c>
                <w:tcPr>
                  <w:tcW w:w="1144" w:type="dxa"/>
                  <w:tcBorders>
                    <w:right w:val="nil"/>
                  </w:tcBorders>
                  <w:shd w:val="clear" w:color="auto" w:fill="auto"/>
                  <w:noWrap w:val="0"/>
                  <w:vAlign w:val="center"/>
                </w:tcPr>
                <w:p w14:paraId="02F2A421">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3CD40781">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40" w:type="pct"/>
                  <w:vMerge w:val="continue"/>
                  <w:tcBorders>
                    <w:left w:val="nil"/>
                  </w:tcBorders>
                  <w:shd w:val="clear" w:color="auto" w:fill="auto"/>
                  <w:noWrap w:val="0"/>
                  <w:vAlign w:val="center"/>
                </w:tcPr>
                <w:p w14:paraId="77D656EC">
                  <w:pPr>
                    <w:jc w:val="center"/>
                    <w:rPr>
                      <w:rFonts w:hint="default" w:ascii="Times New Roman" w:hAnsi="Times New Roman" w:eastAsia="宋体" w:cs="Times New Roman"/>
                      <w:b w:val="0"/>
                      <w:color w:val="000000"/>
                      <w:sz w:val="21"/>
                      <w:szCs w:val="21"/>
                      <w:lang w:val="en-US" w:eastAsia="zh-CN"/>
                    </w:rPr>
                  </w:pPr>
                </w:p>
              </w:tc>
              <w:tc>
                <w:tcPr>
                  <w:tcW w:w="404" w:type="pct"/>
                  <w:shd w:val="clear" w:color="auto" w:fill="auto"/>
                  <w:noWrap w:val="0"/>
                  <w:vAlign w:val="center"/>
                </w:tcPr>
                <w:p w14:paraId="143EC4D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34</w:t>
                  </w:r>
                </w:p>
              </w:tc>
              <w:tc>
                <w:tcPr>
                  <w:tcW w:w="728" w:type="pct"/>
                  <w:shd w:val="clear" w:color="auto" w:fill="auto"/>
                  <w:noWrap w:val="0"/>
                  <w:vAlign w:val="center"/>
                </w:tcPr>
                <w:p w14:paraId="052625B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稀疏草地</w:t>
                  </w:r>
                </w:p>
              </w:tc>
              <w:tc>
                <w:tcPr>
                  <w:tcW w:w="1294" w:type="dxa"/>
                  <w:shd w:val="clear" w:color="auto" w:fill="auto"/>
                  <w:noWrap w:val="0"/>
                  <w:vAlign w:val="center"/>
                </w:tcPr>
                <w:p w14:paraId="32250B5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 xml:space="preserve">0.1960 </w:t>
                  </w:r>
                </w:p>
              </w:tc>
              <w:tc>
                <w:tcPr>
                  <w:tcW w:w="1087" w:type="dxa"/>
                  <w:shd w:val="clear" w:color="auto" w:fill="auto"/>
                  <w:noWrap w:val="0"/>
                  <w:vAlign w:val="center"/>
                </w:tcPr>
                <w:p w14:paraId="1C0EBFF5">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2.30%</w:t>
                  </w:r>
                </w:p>
              </w:tc>
              <w:tc>
                <w:tcPr>
                  <w:tcW w:w="1237" w:type="dxa"/>
                  <w:shd w:val="clear" w:color="auto" w:fill="auto"/>
                  <w:noWrap w:val="0"/>
                  <w:vAlign w:val="center"/>
                </w:tcPr>
                <w:p w14:paraId="56B9B0D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c>
                <w:tcPr>
                  <w:tcW w:w="1144" w:type="dxa"/>
                  <w:tcBorders>
                    <w:right w:val="nil"/>
                  </w:tcBorders>
                  <w:shd w:val="clear" w:color="auto" w:fill="auto"/>
                  <w:noWrap w:val="0"/>
                  <w:vAlign w:val="center"/>
                </w:tcPr>
                <w:p w14:paraId="6FE23A9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1BD91E7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40" w:type="pct"/>
                  <w:tcBorders>
                    <w:left w:val="nil"/>
                  </w:tcBorders>
                  <w:shd w:val="clear" w:color="auto" w:fill="auto"/>
                  <w:noWrap w:val="0"/>
                  <w:vAlign w:val="center"/>
                </w:tcPr>
                <w:p w14:paraId="547467D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农田生态系统</w:t>
                  </w:r>
                </w:p>
              </w:tc>
              <w:tc>
                <w:tcPr>
                  <w:tcW w:w="404" w:type="pct"/>
                  <w:shd w:val="clear" w:color="auto" w:fill="auto"/>
                  <w:noWrap w:val="0"/>
                  <w:vAlign w:val="center"/>
                </w:tcPr>
                <w:p w14:paraId="44167DA3">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51</w:t>
                  </w:r>
                </w:p>
              </w:tc>
              <w:tc>
                <w:tcPr>
                  <w:tcW w:w="728" w:type="pct"/>
                  <w:shd w:val="clear" w:color="auto" w:fill="auto"/>
                  <w:noWrap w:val="0"/>
                  <w:vAlign w:val="center"/>
                </w:tcPr>
                <w:p w14:paraId="126D7B9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耕地</w:t>
                  </w:r>
                </w:p>
              </w:tc>
              <w:tc>
                <w:tcPr>
                  <w:tcW w:w="1294" w:type="dxa"/>
                  <w:shd w:val="clear" w:color="auto" w:fill="auto"/>
                  <w:noWrap w:val="0"/>
                  <w:vAlign w:val="center"/>
                </w:tcPr>
                <w:p w14:paraId="381C5FF5">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0.4196</w:t>
                  </w:r>
                </w:p>
              </w:tc>
              <w:tc>
                <w:tcPr>
                  <w:tcW w:w="1087" w:type="dxa"/>
                  <w:shd w:val="clear" w:color="auto" w:fill="auto"/>
                  <w:noWrap w:val="0"/>
                  <w:vAlign w:val="center"/>
                </w:tcPr>
                <w:p w14:paraId="573EC8C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4.93%</w:t>
                  </w:r>
                </w:p>
              </w:tc>
              <w:tc>
                <w:tcPr>
                  <w:tcW w:w="1237" w:type="dxa"/>
                  <w:shd w:val="clear" w:color="auto" w:fill="auto"/>
                  <w:noWrap w:val="0"/>
                  <w:vAlign w:val="center"/>
                </w:tcPr>
                <w:p w14:paraId="6F8AB26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c>
                <w:tcPr>
                  <w:tcW w:w="1144" w:type="dxa"/>
                  <w:tcBorders>
                    <w:right w:val="nil"/>
                  </w:tcBorders>
                  <w:shd w:val="clear" w:color="auto" w:fill="auto"/>
                  <w:noWrap w:val="0"/>
                  <w:vAlign w:val="center"/>
                </w:tcPr>
                <w:p w14:paraId="749756E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w:t>
                  </w:r>
                </w:p>
              </w:tc>
            </w:tr>
            <w:tr w14:paraId="43032EC3">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40" w:type="pct"/>
                  <w:tcBorders>
                    <w:left w:val="nil"/>
                  </w:tcBorders>
                  <w:shd w:val="clear" w:color="auto" w:fill="auto"/>
                  <w:noWrap w:val="0"/>
                  <w:vAlign w:val="center"/>
                </w:tcPr>
                <w:p w14:paraId="309EBA43">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城镇生态系统</w:t>
                  </w:r>
                </w:p>
              </w:tc>
              <w:tc>
                <w:tcPr>
                  <w:tcW w:w="404" w:type="pct"/>
                  <w:shd w:val="clear" w:color="auto" w:fill="auto"/>
                  <w:noWrap w:val="0"/>
                  <w:vAlign w:val="center"/>
                </w:tcPr>
                <w:p w14:paraId="454887DA">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63</w:t>
                  </w:r>
                </w:p>
              </w:tc>
              <w:tc>
                <w:tcPr>
                  <w:tcW w:w="728" w:type="pct"/>
                  <w:shd w:val="clear" w:color="auto" w:fill="auto"/>
                  <w:noWrap w:val="0"/>
                  <w:vAlign w:val="center"/>
                </w:tcPr>
                <w:p w14:paraId="060244D0">
                  <w:pPr>
                    <w:jc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lang w:val="en-US" w:eastAsia="zh-CN"/>
                    </w:rPr>
                    <w:t>工矿交通</w:t>
                  </w:r>
                </w:p>
              </w:tc>
              <w:tc>
                <w:tcPr>
                  <w:tcW w:w="1294" w:type="dxa"/>
                  <w:shd w:val="clear" w:color="auto" w:fill="auto"/>
                  <w:noWrap w:val="0"/>
                  <w:vAlign w:val="center"/>
                </w:tcPr>
                <w:p w14:paraId="1DF56AED">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0.0981</w:t>
                  </w:r>
                </w:p>
              </w:tc>
              <w:tc>
                <w:tcPr>
                  <w:tcW w:w="1087" w:type="dxa"/>
                  <w:shd w:val="clear" w:color="auto" w:fill="auto"/>
                  <w:noWrap w:val="0"/>
                  <w:vAlign w:val="center"/>
                </w:tcPr>
                <w:p w14:paraId="256590D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1.15%</w:t>
                  </w:r>
                </w:p>
              </w:tc>
              <w:tc>
                <w:tcPr>
                  <w:tcW w:w="1237" w:type="dxa"/>
                  <w:shd w:val="clear" w:color="auto" w:fill="auto"/>
                  <w:noWrap w:val="0"/>
                  <w:vAlign w:val="center"/>
                </w:tcPr>
                <w:p w14:paraId="0546277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0.0277</w:t>
                  </w:r>
                </w:p>
              </w:tc>
              <w:tc>
                <w:tcPr>
                  <w:tcW w:w="1144" w:type="dxa"/>
                  <w:tcBorders>
                    <w:right w:val="nil"/>
                  </w:tcBorders>
                  <w:shd w:val="clear" w:color="auto" w:fill="auto"/>
                  <w:noWrap w:val="0"/>
                  <w:vAlign w:val="center"/>
                </w:tcPr>
                <w:p w14:paraId="37B5B1C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1.77%</w:t>
                  </w:r>
                </w:p>
              </w:tc>
            </w:tr>
            <w:tr w14:paraId="3A919B9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40" w:type="pct"/>
                  <w:tcBorders>
                    <w:left w:val="nil"/>
                  </w:tcBorders>
                  <w:shd w:val="clear" w:color="auto" w:fill="auto"/>
                  <w:noWrap w:val="0"/>
                  <w:vAlign w:val="center"/>
                </w:tcPr>
                <w:p w14:paraId="02632D6F">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荒漠生态系统</w:t>
                  </w:r>
                </w:p>
              </w:tc>
              <w:tc>
                <w:tcPr>
                  <w:tcW w:w="404" w:type="pct"/>
                  <w:shd w:val="clear" w:color="auto" w:fill="auto"/>
                  <w:noWrap w:val="0"/>
                  <w:vAlign w:val="center"/>
                </w:tcPr>
                <w:p w14:paraId="0814C3FB">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73</w:t>
                  </w:r>
                </w:p>
              </w:tc>
              <w:tc>
                <w:tcPr>
                  <w:tcW w:w="728" w:type="pct"/>
                  <w:shd w:val="clear" w:color="auto" w:fill="auto"/>
                  <w:noWrap w:val="0"/>
                  <w:vAlign w:val="center"/>
                </w:tcPr>
                <w:p w14:paraId="1C83E4B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eastAsia="zh-CN"/>
                    </w:rPr>
                    <w:t>盐碱地</w:t>
                  </w:r>
                </w:p>
              </w:tc>
              <w:tc>
                <w:tcPr>
                  <w:tcW w:w="1294" w:type="dxa"/>
                  <w:shd w:val="clear" w:color="auto" w:fill="auto"/>
                  <w:noWrap w:val="0"/>
                  <w:vAlign w:val="center"/>
                </w:tcPr>
                <w:p w14:paraId="6280CF45">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0.9369</w:t>
                  </w:r>
                </w:p>
              </w:tc>
              <w:tc>
                <w:tcPr>
                  <w:tcW w:w="1087" w:type="dxa"/>
                  <w:shd w:val="clear" w:color="auto" w:fill="auto"/>
                  <w:noWrap w:val="0"/>
                  <w:vAlign w:val="center"/>
                </w:tcPr>
                <w:p w14:paraId="2DE487FE">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11.01%</w:t>
                  </w:r>
                </w:p>
              </w:tc>
              <w:tc>
                <w:tcPr>
                  <w:tcW w:w="1237" w:type="dxa"/>
                  <w:shd w:val="clear" w:color="auto" w:fill="auto"/>
                  <w:noWrap w:val="0"/>
                  <w:vAlign w:val="center"/>
                </w:tcPr>
                <w:p w14:paraId="48A3E81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0.32</w:t>
                  </w:r>
                  <w:r>
                    <w:rPr>
                      <w:rFonts w:hint="eastAsia" w:cs="Times New Roman"/>
                      <w:b w:val="0"/>
                      <w:color w:val="000000"/>
                      <w:sz w:val="21"/>
                      <w:szCs w:val="21"/>
                      <w:lang w:val="en-US" w:eastAsia="zh-CN"/>
                    </w:rPr>
                    <w:t>54</w:t>
                  </w:r>
                </w:p>
              </w:tc>
              <w:tc>
                <w:tcPr>
                  <w:tcW w:w="1144" w:type="dxa"/>
                  <w:tcBorders>
                    <w:right w:val="nil"/>
                  </w:tcBorders>
                  <w:shd w:val="clear" w:color="auto" w:fill="auto"/>
                  <w:noWrap w:val="0"/>
                  <w:vAlign w:val="center"/>
                </w:tcPr>
                <w:p w14:paraId="4F8C7C30">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20.86%</w:t>
                  </w:r>
                </w:p>
              </w:tc>
            </w:tr>
            <w:tr w14:paraId="00345888">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rPr>
                <w:trHeight w:val="382" w:hRule="atLeast"/>
              </w:trPr>
              <w:tc>
                <w:tcPr>
                  <w:tcW w:w="1040" w:type="pct"/>
                  <w:tcBorders>
                    <w:left w:val="nil"/>
                  </w:tcBorders>
                  <w:shd w:val="clear" w:color="auto" w:fill="auto"/>
                  <w:noWrap w:val="0"/>
                  <w:vAlign w:val="center"/>
                </w:tcPr>
                <w:p w14:paraId="0CF5BCBF">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其他</w:t>
                  </w:r>
                </w:p>
              </w:tc>
              <w:tc>
                <w:tcPr>
                  <w:tcW w:w="404" w:type="pct"/>
                  <w:shd w:val="clear" w:color="auto" w:fill="auto"/>
                  <w:noWrap w:val="0"/>
                  <w:vAlign w:val="center"/>
                </w:tcPr>
                <w:p w14:paraId="31260C63">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82</w:t>
                  </w:r>
                </w:p>
              </w:tc>
              <w:tc>
                <w:tcPr>
                  <w:tcW w:w="728" w:type="pct"/>
                  <w:shd w:val="clear" w:color="auto" w:fill="auto"/>
                  <w:noWrap w:val="0"/>
                  <w:vAlign w:val="center"/>
                </w:tcPr>
                <w:p w14:paraId="21AC248F">
                  <w:pPr>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裸地</w:t>
                  </w:r>
                </w:p>
              </w:tc>
              <w:tc>
                <w:tcPr>
                  <w:tcW w:w="1294" w:type="dxa"/>
                  <w:shd w:val="clear" w:color="auto" w:fill="auto"/>
                  <w:noWrap w:val="0"/>
                  <w:vAlign w:val="center"/>
                </w:tcPr>
                <w:p w14:paraId="4514A18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6.5251</w:t>
                  </w:r>
                </w:p>
              </w:tc>
              <w:tc>
                <w:tcPr>
                  <w:tcW w:w="1087" w:type="dxa"/>
                  <w:shd w:val="clear" w:color="auto" w:fill="auto"/>
                  <w:noWrap w:val="0"/>
                  <w:vAlign w:val="center"/>
                </w:tcPr>
                <w:p w14:paraId="1C9FDB48">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76.67%</w:t>
                  </w:r>
                </w:p>
              </w:tc>
              <w:tc>
                <w:tcPr>
                  <w:tcW w:w="1237" w:type="dxa"/>
                  <w:shd w:val="clear" w:color="auto" w:fill="auto"/>
                  <w:noWrap w:val="0"/>
                  <w:vAlign w:val="center"/>
                </w:tcPr>
                <w:p w14:paraId="049247D2">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1.2122</w:t>
                  </w:r>
                </w:p>
              </w:tc>
              <w:tc>
                <w:tcPr>
                  <w:tcW w:w="1144" w:type="dxa"/>
                  <w:tcBorders>
                    <w:right w:val="nil"/>
                  </w:tcBorders>
                  <w:shd w:val="clear" w:color="auto" w:fill="auto"/>
                  <w:noWrap w:val="0"/>
                  <w:vAlign w:val="center"/>
                </w:tcPr>
                <w:p w14:paraId="44412137">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77.37%</w:t>
                  </w:r>
                </w:p>
              </w:tc>
            </w:tr>
            <w:tr w14:paraId="10A1521D">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57" w:type="dxa"/>
                  <w:left w:w="57" w:type="dxa"/>
                  <w:bottom w:w="57" w:type="dxa"/>
                  <w:right w:w="57" w:type="dxa"/>
                </w:tblCellMar>
              </w:tblPrEx>
              <w:tc>
                <w:tcPr>
                  <w:tcW w:w="2173" w:type="pct"/>
                  <w:gridSpan w:val="3"/>
                  <w:tcBorders>
                    <w:left w:val="nil"/>
                    <w:bottom w:val="single" w:color="000000" w:sz="12" w:space="0"/>
                  </w:tcBorders>
                  <w:shd w:val="clear" w:color="auto" w:fill="auto"/>
                  <w:noWrap w:val="0"/>
                  <w:vAlign w:val="center"/>
                </w:tcPr>
                <w:p w14:paraId="7E73BC6E">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合计</w:t>
                  </w:r>
                </w:p>
              </w:tc>
              <w:tc>
                <w:tcPr>
                  <w:tcW w:w="1294" w:type="dxa"/>
                  <w:tcBorders>
                    <w:bottom w:val="single" w:color="000000" w:sz="12" w:space="0"/>
                  </w:tcBorders>
                  <w:shd w:val="clear" w:color="auto" w:fill="auto"/>
                  <w:noWrap w:val="0"/>
                  <w:vAlign w:val="center"/>
                </w:tcPr>
                <w:p w14:paraId="243BD6F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8.5111</w:t>
                  </w:r>
                </w:p>
              </w:tc>
              <w:tc>
                <w:tcPr>
                  <w:tcW w:w="1087" w:type="dxa"/>
                  <w:tcBorders>
                    <w:bottom w:val="single" w:color="000000" w:sz="12" w:space="0"/>
                  </w:tcBorders>
                  <w:shd w:val="clear" w:color="auto" w:fill="auto"/>
                  <w:noWrap w:val="0"/>
                  <w:vAlign w:val="center"/>
                </w:tcPr>
                <w:p w14:paraId="2776665A">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c>
                <w:tcPr>
                  <w:tcW w:w="734" w:type="pct"/>
                  <w:tcBorders>
                    <w:bottom w:val="single" w:color="000000" w:sz="12" w:space="0"/>
                  </w:tcBorders>
                  <w:shd w:val="clear" w:color="auto" w:fill="auto"/>
                  <w:noWrap w:val="0"/>
                  <w:vAlign w:val="center"/>
                </w:tcPr>
                <w:p w14:paraId="10FDB609">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1.5653</w:t>
                  </w:r>
                </w:p>
              </w:tc>
              <w:tc>
                <w:tcPr>
                  <w:tcW w:w="679" w:type="pct"/>
                  <w:tcBorders>
                    <w:bottom w:val="single" w:color="000000" w:sz="12" w:space="0"/>
                    <w:right w:val="nil"/>
                  </w:tcBorders>
                  <w:shd w:val="clear" w:color="auto" w:fill="auto"/>
                  <w:noWrap w:val="0"/>
                  <w:vAlign w:val="center"/>
                </w:tcPr>
                <w:p w14:paraId="7727017C">
                  <w:pPr>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fldChar w:fldCharType="begin"/>
                  </w:r>
                  <w:r>
                    <w:rPr>
                      <w:rFonts w:hint="default" w:ascii="Times New Roman" w:hAnsi="Times New Roman" w:eastAsia="宋体" w:cs="Times New Roman"/>
                      <w:b w:val="0"/>
                      <w:color w:val="000000"/>
                      <w:sz w:val="21"/>
                      <w:szCs w:val="21"/>
                      <w:lang w:val="en-US" w:eastAsia="zh-CN"/>
                    </w:rPr>
                    <w:instrText xml:space="preserve"> =SUM(ABOVE) </w:instrText>
                  </w:r>
                  <w:r>
                    <w:rPr>
                      <w:rFonts w:hint="default" w:ascii="Times New Roman" w:hAnsi="Times New Roman" w:eastAsia="宋体" w:cs="Times New Roman"/>
                      <w:b w:val="0"/>
                      <w:color w:val="000000"/>
                      <w:sz w:val="21"/>
                      <w:szCs w:val="21"/>
                      <w:lang w:val="en-US" w:eastAsia="zh-CN"/>
                    </w:rPr>
                    <w:fldChar w:fldCharType="separate"/>
                  </w:r>
                  <w:r>
                    <w:rPr>
                      <w:rFonts w:hint="default" w:ascii="Times New Roman" w:hAnsi="Times New Roman" w:eastAsia="宋体" w:cs="Times New Roman"/>
                      <w:b w:val="0"/>
                      <w:color w:val="000000"/>
                      <w:sz w:val="21"/>
                      <w:szCs w:val="21"/>
                      <w:lang w:val="en-US" w:eastAsia="zh-CN"/>
                    </w:rPr>
                    <w:t>100</w:t>
                  </w:r>
                  <w:r>
                    <w:rPr>
                      <w:rFonts w:hint="default" w:ascii="Times New Roman" w:hAnsi="Times New Roman" w:eastAsia="宋体" w:cs="Times New Roman"/>
                      <w:b w:val="0"/>
                      <w:color w:val="000000"/>
                      <w:sz w:val="21"/>
                      <w:szCs w:val="21"/>
                      <w:lang w:val="en-US" w:eastAsia="zh-CN"/>
                    </w:rPr>
                    <w:fldChar w:fldCharType="end"/>
                  </w:r>
                  <w:r>
                    <w:rPr>
                      <w:rFonts w:hint="default" w:ascii="Times New Roman" w:hAnsi="Times New Roman" w:eastAsia="宋体" w:cs="Times New Roman"/>
                      <w:b w:val="0"/>
                      <w:color w:val="000000"/>
                      <w:sz w:val="21"/>
                      <w:szCs w:val="21"/>
                      <w:lang w:val="en-US" w:eastAsia="zh-CN"/>
                    </w:rPr>
                    <w:t>%</w:t>
                  </w:r>
                </w:p>
              </w:tc>
            </w:tr>
          </w:tbl>
          <w:p w14:paraId="2CDA509E">
            <w:pPr>
              <w:pStyle w:val="22"/>
              <w:keepNext w:val="0"/>
              <w:keepLines w:val="0"/>
              <w:pageBreakBefore w:val="0"/>
              <w:kinsoku/>
              <w:wordWrap/>
              <w:overflowPunct/>
              <w:topLinePunct w:val="0"/>
              <w:autoSpaceDE/>
              <w:autoSpaceDN/>
              <w:bidi w:val="0"/>
              <w:spacing w:before="0" w:after="0" w:line="360" w:lineRule="auto"/>
              <w:ind w:left="0" w:right="0"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rPr>
              <w:t>由上表可知，项目区涉及的生态系统主要以</w:t>
            </w:r>
            <w:r>
              <w:rPr>
                <w:rFonts w:hint="default" w:ascii="Times New Roman" w:hAnsi="Times New Roman" w:eastAsia="宋体" w:cs="Times New Roman"/>
                <w:sz w:val="24"/>
                <w:szCs w:val="24"/>
                <w:lang w:val="en-US" w:eastAsia="zh-CN"/>
              </w:rPr>
              <w:t>其他</w:t>
            </w:r>
            <w:r>
              <w:rPr>
                <w:rFonts w:hint="default" w:ascii="Times New Roman" w:hAnsi="Times New Roman" w:eastAsia="宋体" w:cs="Times New Roman"/>
                <w:sz w:val="24"/>
                <w:szCs w:val="24"/>
              </w:rPr>
              <w:t>中的</w:t>
            </w:r>
            <w:r>
              <w:rPr>
                <w:rFonts w:hint="default" w:ascii="Times New Roman" w:hAnsi="Times New Roman" w:eastAsia="宋体" w:cs="Times New Roman"/>
                <w:sz w:val="24"/>
                <w:szCs w:val="24"/>
                <w:lang w:val="en-US" w:eastAsia="zh-CN"/>
              </w:rPr>
              <w:t>裸地</w:t>
            </w:r>
            <w:r>
              <w:rPr>
                <w:rFonts w:hint="default" w:ascii="Times New Roman" w:hAnsi="Times New Roman" w:eastAsia="宋体" w:cs="Times New Roman"/>
                <w:spacing w:val="9"/>
                <w:sz w:val="24"/>
                <w:szCs w:val="24"/>
              </w:rPr>
              <w:t>为主，占地面积为</w:t>
            </w:r>
            <w:r>
              <w:rPr>
                <w:rFonts w:hint="default" w:ascii="Times New Roman" w:hAnsi="Times New Roman" w:eastAsia="宋体" w:cs="Times New Roman"/>
                <w:color w:val="000000"/>
                <w:sz w:val="24"/>
                <w:szCs w:val="24"/>
                <w:lang w:val="en-US" w:eastAsia="zh-CN"/>
              </w:rPr>
              <w:t>1.2122</w:t>
            </w:r>
            <w:r>
              <w:rPr>
                <w:rFonts w:hint="default" w:ascii="Times New Roman" w:hAnsi="Times New Roman" w:eastAsia="宋体" w:cs="Times New Roman"/>
                <w:sz w:val="24"/>
                <w:szCs w:val="24"/>
              </w:rPr>
              <w:t>km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pacing w:val="9"/>
                <w:sz w:val="24"/>
                <w:szCs w:val="24"/>
              </w:rPr>
              <w:t>，占项目区总面积的</w:t>
            </w:r>
            <w:r>
              <w:rPr>
                <w:rFonts w:hint="default" w:ascii="Times New Roman" w:hAnsi="Times New Roman" w:eastAsia="宋体" w:cs="Times New Roman"/>
                <w:color w:val="000000"/>
                <w:sz w:val="24"/>
                <w:szCs w:val="24"/>
                <w:lang w:val="en-US" w:eastAsia="zh-CN"/>
              </w:rPr>
              <w:t>77.37</w:t>
            </w:r>
            <w:r>
              <w:rPr>
                <w:rFonts w:hint="default" w:ascii="Times New Roman" w:hAnsi="Times New Roman" w:eastAsia="宋体" w:cs="Times New Roman"/>
                <w:spacing w:val="9"/>
                <w:sz w:val="24"/>
                <w:szCs w:val="24"/>
              </w:rPr>
              <w:t>%；评价</w:t>
            </w:r>
            <w:r>
              <w:rPr>
                <w:rFonts w:hint="default" w:ascii="Times New Roman" w:hAnsi="Times New Roman" w:eastAsia="宋体" w:cs="Times New Roman"/>
                <w:spacing w:val="2"/>
                <w:sz w:val="24"/>
                <w:szCs w:val="24"/>
              </w:rPr>
              <w:t>范围内涉及的生态系统仍以</w:t>
            </w:r>
            <w:r>
              <w:rPr>
                <w:rFonts w:hint="default" w:ascii="Times New Roman" w:hAnsi="Times New Roman" w:eastAsia="宋体" w:cs="Times New Roman"/>
                <w:sz w:val="24"/>
                <w:szCs w:val="24"/>
                <w:lang w:val="en-US" w:eastAsia="zh-CN"/>
              </w:rPr>
              <w:t>其他</w:t>
            </w:r>
            <w:r>
              <w:rPr>
                <w:rFonts w:hint="default" w:ascii="Times New Roman" w:hAnsi="Times New Roman" w:eastAsia="宋体" w:cs="Times New Roman"/>
                <w:spacing w:val="2"/>
                <w:sz w:val="24"/>
                <w:szCs w:val="24"/>
              </w:rPr>
              <w:t>中</w:t>
            </w:r>
            <w:r>
              <w:rPr>
                <w:rFonts w:hint="default" w:ascii="Times New Roman" w:hAnsi="Times New Roman" w:eastAsia="宋体" w:cs="Times New Roman"/>
                <w:spacing w:val="1"/>
                <w:sz w:val="24"/>
                <w:szCs w:val="24"/>
              </w:rPr>
              <w:t>的</w:t>
            </w:r>
            <w:r>
              <w:rPr>
                <w:rFonts w:hint="default" w:ascii="Times New Roman" w:hAnsi="Times New Roman" w:eastAsia="宋体" w:cs="Times New Roman"/>
                <w:sz w:val="24"/>
                <w:szCs w:val="24"/>
                <w:lang w:val="en-US" w:eastAsia="zh-CN"/>
              </w:rPr>
              <w:t>裸地</w:t>
            </w:r>
            <w:r>
              <w:rPr>
                <w:rFonts w:hint="default" w:ascii="Times New Roman" w:hAnsi="Times New Roman" w:eastAsia="宋体" w:cs="Times New Roman"/>
                <w:spacing w:val="1"/>
                <w:sz w:val="24"/>
                <w:szCs w:val="24"/>
              </w:rPr>
              <w:t>为主，占地面积</w:t>
            </w:r>
            <w:r>
              <w:rPr>
                <w:rFonts w:hint="default" w:ascii="Times New Roman" w:hAnsi="Times New Roman" w:eastAsia="宋体" w:cs="Times New Roman"/>
                <w:spacing w:val="9"/>
                <w:sz w:val="24"/>
                <w:szCs w:val="24"/>
              </w:rPr>
              <w:t>为</w:t>
            </w:r>
            <w:r>
              <w:rPr>
                <w:rFonts w:hint="default" w:ascii="Times New Roman" w:hAnsi="Times New Roman" w:eastAsia="宋体" w:cs="Times New Roman"/>
                <w:color w:val="000000"/>
                <w:sz w:val="24"/>
                <w:szCs w:val="24"/>
                <w:lang w:val="en-US" w:eastAsia="zh-CN"/>
              </w:rPr>
              <w:t>6.5251</w:t>
            </w:r>
            <w:r>
              <w:rPr>
                <w:rFonts w:hint="default" w:ascii="Times New Roman" w:hAnsi="Times New Roman" w:eastAsia="宋体" w:cs="Times New Roman"/>
                <w:sz w:val="24"/>
                <w:szCs w:val="24"/>
              </w:rPr>
              <w:t>km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pacing w:val="9"/>
                <w:sz w:val="24"/>
                <w:szCs w:val="24"/>
              </w:rPr>
              <w:t>，占评价区总面积的</w:t>
            </w:r>
            <w:r>
              <w:rPr>
                <w:rFonts w:hint="default" w:ascii="Times New Roman" w:hAnsi="Times New Roman" w:eastAsia="宋体" w:cs="Times New Roman"/>
                <w:color w:val="000000"/>
                <w:sz w:val="24"/>
                <w:szCs w:val="24"/>
                <w:lang w:val="en-US" w:eastAsia="zh-CN"/>
              </w:rPr>
              <w:t>76.67</w:t>
            </w:r>
            <w:r>
              <w:rPr>
                <w:rFonts w:hint="default" w:ascii="Times New Roman" w:hAnsi="Times New Roman" w:eastAsia="宋体" w:cs="Times New Roman"/>
                <w:spacing w:val="9"/>
                <w:sz w:val="24"/>
                <w:szCs w:val="24"/>
              </w:rPr>
              <w:t>%，其次为</w:t>
            </w:r>
            <w:r>
              <w:rPr>
                <w:rFonts w:hint="default" w:ascii="Times New Roman" w:hAnsi="Times New Roman" w:eastAsia="宋体" w:cs="Times New Roman"/>
                <w:sz w:val="24"/>
                <w:szCs w:val="24"/>
                <w:lang w:val="en-US" w:eastAsia="zh-CN"/>
              </w:rPr>
              <w:t>荒漠生态系统</w:t>
            </w:r>
            <w:r>
              <w:rPr>
                <w:rFonts w:hint="default" w:ascii="Times New Roman" w:hAnsi="Times New Roman" w:eastAsia="宋体" w:cs="Times New Roman"/>
                <w:spacing w:val="9"/>
                <w:sz w:val="24"/>
                <w:szCs w:val="24"/>
              </w:rPr>
              <w:t>，占</w:t>
            </w:r>
            <w:r>
              <w:rPr>
                <w:rFonts w:hint="default" w:ascii="Times New Roman" w:hAnsi="Times New Roman" w:eastAsia="宋体" w:cs="Times New Roman"/>
                <w:spacing w:val="10"/>
                <w:sz w:val="24"/>
                <w:szCs w:val="24"/>
              </w:rPr>
              <w:t>评价区总面积的</w:t>
            </w:r>
            <w:r>
              <w:rPr>
                <w:rFonts w:hint="default" w:ascii="Times New Roman" w:hAnsi="Times New Roman" w:eastAsia="宋体" w:cs="Times New Roman"/>
                <w:color w:val="000000"/>
                <w:sz w:val="24"/>
                <w:szCs w:val="24"/>
                <w:lang w:val="en-US" w:eastAsia="zh-CN"/>
              </w:rPr>
              <w:t>11.01</w:t>
            </w:r>
            <w:r>
              <w:rPr>
                <w:rFonts w:hint="default" w:ascii="Times New Roman" w:hAnsi="Times New Roman" w:eastAsia="宋体" w:cs="Times New Roman"/>
                <w:spacing w:val="10"/>
                <w:sz w:val="24"/>
                <w:szCs w:val="24"/>
              </w:rPr>
              <w:t>%。</w:t>
            </w:r>
          </w:p>
          <w:p w14:paraId="54673E61">
            <w:pPr>
              <w:pStyle w:val="45"/>
              <w:keepNext w:val="0"/>
              <w:keepLines w:val="0"/>
              <w:pageBreakBefore w:val="0"/>
              <w:wordWrap/>
              <w:overflowPunct/>
              <w:topLinePunct w:val="0"/>
              <w:bidi w:val="0"/>
              <w:spacing w:line="360" w:lineRule="auto"/>
              <w:ind w:left="0" w:right="0" w:firstLine="496" w:firstLineChars="200"/>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（4）野生动物调查</w:t>
            </w:r>
          </w:p>
          <w:p w14:paraId="48573D95">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4" w:firstLineChars="200"/>
              <w:jc w:val="left"/>
              <w:textAlignment w:val="baseline"/>
              <w:rPr>
                <w:rFonts w:hint="eastAsia" w:ascii="Times New Roman" w:hAnsi="Times New Roman" w:eastAsia="宋体" w:cs="Times New Roman"/>
                <w:snapToGrid w:val="0"/>
                <w:color w:val="000000"/>
                <w:kern w:val="0"/>
                <w:sz w:val="24"/>
                <w:szCs w:val="24"/>
                <w:lang w:val="en-US" w:eastAsia="zh-CN" w:bidi="ar-SA"/>
              </w:rPr>
            </w:pPr>
            <w:r>
              <w:rPr>
                <w:rFonts w:hint="default" w:ascii="Times New Roman" w:hAnsi="Times New Roman" w:eastAsia="宋体" w:cs="Times New Roman"/>
                <w:snapToGrid w:val="0"/>
                <w:color w:val="000000"/>
                <w:spacing w:val="1"/>
                <w:kern w:val="0"/>
                <w:sz w:val="24"/>
                <w:szCs w:val="24"/>
                <w:lang w:val="en-US" w:eastAsia="en-US" w:bidi="ar-SA"/>
              </w:rPr>
              <w:t>本项目所在区域内活动的野生动物主要是当地常见的</w:t>
            </w:r>
            <w:r>
              <w:rPr>
                <w:rFonts w:hint="default" w:ascii="Times New Roman" w:hAnsi="Times New Roman" w:eastAsia="宋体" w:cs="Times New Roman"/>
                <w:spacing w:val="6"/>
                <w:sz w:val="24"/>
                <w:szCs w:val="24"/>
              </w:rPr>
              <w:t>荒漠沙蜥</w:t>
            </w:r>
            <w:r>
              <w:rPr>
                <w:rFonts w:hint="default" w:ascii="Times New Roman" w:hAnsi="Times New Roman" w:eastAsia="宋体" w:cs="Times New Roman"/>
                <w:snapToGrid w:val="0"/>
                <w:color w:val="000000"/>
                <w:kern w:val="0"/>
                <w:sz w:val="24"/>
                <w:szCs w:val="24"/>
                <w:lang w:val="en-US" w:eastAsia="en-US" w:bidi="ar-SA"/>
              </w:rPr>
              <w:t>、</w:t>
            </w:r>
            <w:r>
              <w:rPr>
                <w:rFonts w:hint="default" w:ascii="Times New Roman" w:hAnsi="Times New Roman" w:eastAsia="宋体" w:cs="Times New Roman"/>
                <w:spacing w:val="-1"/>
                <w:sz w:val="24"/>
                <w:szCs w:val="24"/>
              </w:rPr>
              <w:t>沙鼠</w:t>
            </w:r>
            <w:r>
              <w:rPr>
                <w:rFonts w:hint="default" w:ascii="Times New Roman" w:hAnsi="Times New Roman" w:eastAsia="宋体" w:cs="Times New Roman"/>
                <w:snapToGrid w:val="0"/>
                <w:color w:val="000000"/>
                <w:kern w:val="0"/>
                <w:sz w:val="24"/>
                <w:szCs w:val="24"/>
                <w:lang w:val="en-US" w:eastAsia="en-US" w:bidi="ar-SA"/>
              </w:rPr>
              <w:t>、</w:t>
            </w:r>
            <w:r>
              <w:rPr>
                <w:rFonts w:hint="default" w:ascii="Times New Roman" w:hAnsi="Times New Roman" w:eastAsia="宋体" w:cs="Times New Roman"/>
                <w:snapToGrid w:val="0"/>
                <w:color w:val="000000"/>
                <w:kern w:val="0"/>
                <w:sz w:val="24"/>
                <w:szCs w:val="24"/>
                <w:lang w:val="en-US" w:eastAsia="zh-CN" w:bidi="ar-SA"/>
              </w:rPr>
              <w:t>跳鼠</w:t>
            </w:r>
            <w:r>
              <w:rPr>
                <w:rFonts w:hint="default" w:ascii="Times New Roman" w:hAnsi="Times New Roman" w:eastAsia="宋体" w:cs="Times New Roman"/>
                <w:snapToGrid w:val="0"/>
                <w:color w:val="000000"/>
                <w:kern w:val="0"/>
                <w:sz w:val="24"/>
                <w:szCs w:val="24"/>
                <w:lang w:val="en-US" w:eastAsia="en-US" w:bidi="ar-SA"/>
              </w:rPr>
              <w:t>蛇等。项目区域内未发现大型野生动物的活动痕迹，项目区由于人为活动干扰，区域内尚未发现国家及省级保护动物、《国际濒危动物植物种</w:t>
            </w:r>
            <w:r>
              <w:rPr>
                <w:rFonts w:hint="default" w:ascii="Times New Roman" w:hAnsi="Times New Roman" w:eastAsia="宋体" w:cs="Times New Roman"/>
                <w:snapToGrid w:val="0"/>
                <w:color w:val="000000"/>
                <w:spacing w:val="-1"/>
                <w:kern w:val="0"/>
                <w:sz w:val="24"/>
                <w:szCs w:val="24"/>
                <w:lang w:val="en-US" w:eastAsia="en-US" w:bidi="ar-SA"/>
              </w:rPr>
              <w:t>贸易公约》规定的保护动物种类，没有保护动物觅食、栖息、繁殖地和</w:t>
            </w:r>
            <w:r>
              <w:rPr>
                <w:rFonts w:hint="default" w:ascii="Times New Roman" w:hAnsi="Times New Roman" w:eastAsia="宋体" w:cs="Times New Roman"/>
                <w:snapToGrid w:val="0"/>
                <w:color w:val="000000"/>
                <w:spacing w:val="-2"/>
                <w:kern w:val="0"/>
                <w:sz w:val="24"/>
                <w:szCs w:val="24"/>
                <w:lang w:val="en-US" w:eastAsia="en-US" w:bidi="ar-SA"/>
              </w:rPr>
              <w:t>动物迁徙通道</w:t>
            </w:r>
            <w:r>
              <w:rPr>
                <w:rFonts w:hint="eastAsia" w:cs="Times New Roman"/>
                <w:snapToGrid w:val="0"/>
                <w:color w:val="000000"/>
                <w:spacing w:val="-2"/>
                <w:kern w:val="0"/>
                <w:sz w:val="24"/>
                <w:szCs w:val="24"/>
                <w:lang w:val="en-US" w:eastAsia="zh-CN" w:bidi="ar-SA"/>
              </w:rPr>
              <w:t>。</w:t>
            </w:r>
          </w:p>
          <w:p w14:paraId="173F29CE">
            <w:pPr>
              <w:keepNext w:val="0"/>
              <w:keepLines w:val="0"/>
              <w:pageBreakBefore w:val="0"/>
              <w:kinsoku w:val="0"/>
              <w:wordWrap/>
              <w:overflowPunct/>
              <w:topLinePunct w:val="0"/>
              <w:autoSpaceDE w:val="0"/>
              <w:autoSpaceDN w:val="0"/>
              <w:bidi w:val="0"/>
              <w:adjustRightInd w:val="0"/>
              <w:snapToGrid w:val="0"/>
              <w:spacing w:line="360" w:lineRule="auto"/>
              <w:ind w:left="0" w:right="0" w:firstLine="476" w:firstLineChars="200"/>
              <w:jc w:val="both"/>
              <w:textAlignment w:val="baseline"/>
              <w:rPr>
                <w:rFonts w:hint="default" w:ascii="Times New Roman" w:hAnsi="Times New Roman" w:eastAsia="宋体" w:cs="Times New Roman"/>
                <w:snapToGrid w:val="0"/>
                <w:color w:val="000000"/>
                <w:kern w:val="0"/>
                <w:sz w:val="24"/>
                <w:szCs w:val="24"/>
                <w:lang w:val="en-US" w:eastAsia="en-US" w:bidi="ar-SA"/>
              </w:rPr>
            </w:pPr>
            <w:r>
              <w:rPr>
                <w:rFonts w:hint="default" w:ascii="Times New Roman" w:hAnsi="Times New Roman" w:eastAsia="宋体" w:cs="Times New Roman"/>
                <w:snapToGrid w:val="0"/>
                <w:color w:val="000000"/>
                <w:spacing w:val="-1"/>
                <w:kern w:val="0"/>
                <w:sz w:val="24"/>
                <w:szCs w:val="24"/>
                <w:lang w:val="en-US" w:eastAsia="en-US" w:bidi="ar-SA"/>
              </w:rPr>
              <w:t>根据现场调查，项目建设区域内不属于鸟类的分布重点区域，区域</w:t>
            </w:r>
            <w:r>
              <w:rPr>
                <w:rFonts w:hint="default" w:ascii="Times New Roman" w:hAnsi="Times New Roman" w:eastAsia="宋体" w:cs="Times New Roman"/>
                <w:snapToGrid w:val="0"/>
                <w:color w:val="000000"/>
                <w:kern w:val="0"/>
                <w:sz w:val="24"/>
                <w:szCs w:val="24"/>
                <w:lang w:val="en-US" w:eastAsia="en-US" w:bidi="ar-SA"/>
              </w:rPr>
              <w:t>内鸟类较少，仅有少量小型鸟类觅食和栖息。工程建设会导致工程区部</w:t>
            </w:r>
            <w:r>
              <w:rPr>
                <w:rFonts w:hint="default" w:ascii="Times New Roman" w:hAnsi="Times New Roman" w:eastAsia="宋体" w:cs="Times New Roman"/>
                <w:snapToGrid w:val="0"/>
                <w:color w:val="000000"/>
                <w:spacing w:val="1"/>
                <w:kern w:val="0"/>
                <w:sz w:val="24"/>
                <w:szCs w:val="24"/>
                <w:lang w:val="en-US" w:eastAsia="en-US" w:bidi="ar-SA"/>
              </w:rPr>
              <w:t>分少量草本资源消失，但不改变区域的整体生态属性</w:t>
            </w:r>
            <w:r>
              <w:rPr>
                <w:rFonts w:hint="default" w:ascii="Times New Roman" w:hAnsi="Times New Roman" w:eastAsia="宋体" w:cs="Times New Roman"/>
                <w:snapToGrid w:val="0"/>
                <w:color w:val="000000"/>
                <w:spacing w:val="-23"/>
                <w:kern w:val="0"/>
                <w:sz w:val="24"/>
                <w:szCs w:val="24"/>
                <w:lang w:val="en-US" w:eastAsia="en-US" w:bidi="ar-SA"/>
              </w:rPr>
              <w:t xml:space="preserve"> </w:t>
            </w:r>
            <w:r>
              <w:rPr>
                <w:rFonts w:hint="default" w:ascii="Times New Roman" w:hAnsi="Times New Roman" w:eastAsia="宋体" w:cs="Times New Roman"/>
                <w:snapToGrid w:val="0"/>
                <w:color w:val="000000"/>
                <w:spacing w:val="1"/>
                <w:kern w:val="0"/>
                <w:sz w:val="24"/>
                <w:szCs w:val="24"/>
                <w:lang w:val="en-US" w:eastAsia="en-US" w:bidi="ar-SA"/>
              </w:rPr>
              <w:t>，工程区内原有的</w:t>
            </w:r>
            <w:r>
              <w:rPr>
                <w:rFonts w:hint="default" w:ascii="Times New Roman" w:hAnsi="Times New Roman" w:eastAsia="宋体" w:cs="Times New Roman"/>
                <w:snapToGrid w:val="0"/>
                <w:color w:val="000000"/>
                <w:spacing w:val="-1"/>
                <w:kern w:val="0"/>
                <w:sz w:val="24"/>
                <w:szCs w:val="24"/>
                <w:lang w:val="en-US" w:eastAsia="en-US" w:bidi="ar-SA"/>
              </w:rPr>
              <w:t>鸟类将选择周边区域进行觅食和栖息。</w:t>
            </w:r>
          </w:p>
          <w:p w14:paraId="4DB5E066">
            <w:pPr>
              <w:keepNext w:val="0"/>
              <w:keepLines w:val="0"/>
              <w:pageBreakBefore w:val="0"/>
              <w:kinsoku w:val="0"/>
              <w:wordWrap/>
              <w:overflowPunct/>
              <w:topLinePunct w:val="0"/>
              <w:autoSpaceDE w:val="0"/>
              <w:autoSpaceDN w:val="0"/>
              <w:bidi w:val="0"/>
              <w:adjustRightInd w:val="0"/>
              <w:snapToGrid w:val="0"/>
              <w:spacing w:line="360" w:lineRule="auto"/>
              <w:ind w:left="0" w:right="0" w:firstLine="484" w:firstLineChars="200"/>
              <w:jc w:val="both"/>
              <w:textAlignment w:val="baseline"/>
              <w:rPr>
                <w:rFonts w:hint="default" w:ascii="Times New Roman" w:hAnsi="Times New Roman" w:eastAsia="宋体" w:cs="Times New Roman"/>
                <w:snapToGrid w:val="0"/>
                <w:color w:val="000000"/>
                <w:kern w:val="0"/>
                <w:sz w:val="24"/>
                <w:szCs w:val="24"/>
                <w:lang w:val="en-US" w:eastAsia="en-US" w:bidi="ar-SA"/>
              </w:rPr>
            </w:pPr>
            <w:r>
              <w:rPr>
                <w:rFonts w:hint="default" w:ascii="Times New Roman" w:hAnsi="Times New Roman" w:eastAsia="宋体" w:cs="Times New Roman"/>
                <w:snapToGrid w:val="0"/>
                <w:color w:val="000000"/>
                <w:spacing w:val="1"/>
                <w:kern w:val="0"/>
                <w:sz w:val="24"/>
                <w:szCs w:val="24"/>
                <w:lang w:val="en-US" w:eastAsia="en-US" w:bidi="ar-SA"/>
              </w:rPr>
              <w:t>项目所在区域内不涉及保护动物，没有划定的珍稀野生动物栖息地</w:t>
            </w:r>
            <w:r>
              <w:rPr>
                <w:rFonts w:hint="default" w:ascii="Times New Roman" w:hAnsi="Times New Roman" w:eastAsia="宋体" w:cs="Times New Roman"/>
                <w:snapToGrid w:val="0"/>
                <w:color w:val="000000"/>
                <w:kern w:val="0"/>
                <w:sz w:val="24"/>
                <w:szCs w:val="24"/>
                <w:lang w:val="en-US" w:eastAsia="en-US" w:bidi="ar-SA"/>
              </w:rPr>
              <w:t>及保护区，评价范围不是重要保护动物的天然集中分布区、栖息地</w:t>
            </w:r>
            <w:r>
              <w:rPr>
                <w:rFonts w:hint="default" w:ascii="Times New Roman" w:hAnsi="Times New Roman" w:eastAsia="宋体" w:cs="Times New Roman"/>
                <w:snapToGrid w:val="0"/>
                <w:color w:val="000000"/>
                <w:spacing w:val="-26"/>
                <w:kern w:val="0"/>
                <w:sz w:val="24"/>
                <w:szCs w:val="24"/>
                <w:lang w:val="en-US" w:eastAsia="en-US" w:bidi="ar-SA"/>
              </w:rPr>
              <w:t xml:space="preserve"> </w:t>
            </w:r>
            <w:r>
              <w:rPr>
                <w:rFonts w:hint="default" w:ascii="Times New Roman" w:hAnsi="Times New Roman" w:eastAsia="宋体" w:cs="Times New Roman"/>
                <w:snapToGrid w:val="0"/>
                <w:color w:val="000000"/>
                <w:kern w:val="0"/>
                <w:sz w:val="24"/>
                <w:szCs w:val="24"/>
                <w:lang w:val="en-US" w:eastAsia="en-US" w:bidi="ar-SA"/>
              </w:rPr>
              <w:t>，亦</w:t>
            </w:r>
            <w:r>
              <w:rPr>
                <w:rFonts w:hint="default" w:ascii="Times New Roman" w:hAnsi="Times New Roman" w:eastAsia="宋体" w:cs="Times New Roman"/>
                <w:snapToGrid w:val="0"/>
                <w:color w:val="000000"/>
                <w:spacing w:val="-1"/>
                <w:kern w:val="0"/>
                <w:sz w:val="24"/>
                <w:szCs w:val="24"/>
                <w:lang w:val="en-US" w:eastAsia="en-US" w:bidi="ar-SA"/>
              </w:rPr>
              <w:t>不是重要保护鸟类的重要繁殖地、停歇地、越冬地，项目沿线无野生动物迁徙通道。</w:t>
            </w:r>
          </w:p>
          <w:p w14:paraId="317831A7">
            <w:pPr>
              <w:pStyle w:val="45"/>
              <w:keepNext w:val="0"/>
              <w:keepLines w:val="0"/>
              <w:pageBreakBefore w:val="0"/>
              <w:widowControl w:val="0"/>
              <w:kinsoku/>
              <w:wordWrap/>
              <w:overflowPunct/>
              <w:topLinePunct w:val="0"/>
              <w:autoSpaceDE/>
              <w:autoSpaceDN/>
              <w:bidi w:val="0"/>
              <w:adjustRightInd/>
              <w:snapToGrid/>
              <w:spacing w:line="360" w:lineRule="auto"/>
              <w:ind w:lef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二、大气环境质量现状监测与评价</w:t>
            </w:r>
          </w:p>
          <w:p w14:paraId="79F4D65C">
            <w:pPr>
              <w:pStyle w:val="45"/>
              <w:keepNext w:val="0"/>
              <w:keepLines w:val="0"/>
              <w:pageBreakBefore w:val="0"/>
              <w:widowControl w:val="0"/>
              <w:kinsoku/>
              <w:wordWrap/>
              <w:overflowPunct/>
              <w:topLinePunct w:val="0"/>
              <w:autoSpaceDE/>
              <w:autoSpaceDN/>
              <w:bidi w:val="0"/>
              <w:adjustRightInd/>
              <w:snapToGrid/>
              <w:spacing w:line="360" w:lineRule="auto"/>
              <w:ind w:left="0" w:firstLine="454"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7"/>
                <w:sz w:val="24"/>
                <w:szCs w:val="24"/>
                <w:lang w:eastAsia="zh-CN"/>
              </w:rPr>
              <w:t>（</w:t>
            </w:r>
            <w:r>
              <w:rPr>
                <w:rFonts w:hint="eastAsia" w:ascii="Times New Roman" w:hAnsi="Times New Roman" w:eastAsia="宋体" w:cs="Times New Roman"/>
                <w:b/>
                <w:bCs/>
                <w:spacing w:val="-7"/>
                <w:sz w:val="24"/>
                <w:szCs w:val="24"/>
                <w:lang w:val="en-US" w:eastAsia="zh-CN"/>
              </w:rPr>
              <w:t>一</w:t>
            </w:r>
            <w:r>
              <w:rPr>
                <w:rFonts w:hint="eastAsia" w:ascii="Times New Roman" w:hAnsi="Times New Roman" w:eastAsia="宋体" w:cs="Times New Roman"/>
                <w:b/>
                <w:bCs/>
                <w:spacing w:val="-7"/>
                <w:sz w:val="24"/>
                <w:szCs w:val="24"/>
                <w:lang w:eastAsia="zh-CN"/>
              </w:rPr>
              <w:t>）</w:t>
            </w:r>
            <w:r>
              <w:rPr>
                <w:rFonts w:hint="default" w:ascii="Times New Roman" w:hAnsi="Times New Roman" w:eastAsia="宋体" w:cs="Times New Roman"/>
                <w:b/>
                <w:bCs/>
                <w:spacing w:val="-7"/>
                <w:sz w:val="24"/>
                <w:szCs w:val="24"/>
              </w:rPr>
              <w:t>空气质量达标区判定</w:t>
            </w:r>
          </w:p>
          <w:p w14:paraId="484F4EE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根据《环境影响评价技术导则-大气环境》（HJ2.2-2018</w:t>
            </w:r>
            <w:r>
              <w:rPr>
                <w:rFonts w:hint="default" w:ascii="Times New Roman" w:hAnsi="Times New Roman" w:eastAsia="宋体" w:cs="Times New Roman"/>
                <w:spacing w:val="-25"/>
                <w:sz w:val="24"/>
                <w:szCs w:val="24"/>
              </w:rPr>
              <w:t xml:space="preserve"> </w:t>
            </w:r>
            <w:r>
              <w:rPr>
                <w:rFonts w:hint="default" w:ascii="Times New Roman" w:hAnsi="Times New Roman" w:eastAsia="宋体" w:cs="Times New Roman"/>
                <w:spacing w:val="-2"/>
                <w:sz w:val="24"/>
                <w:szCs w:val="24"/>
              </w:rPr>
              <w:t>）第</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2"/>
                <w:sz w:val="24"/>
                <w:szCs w:val="24"/>
              </w:rPr>
              <w:t>6.2.1.</w:t>
            </w:r>
            <w:r>
              <w:rPr>
                <w:rFonts w:hint="default" w:ascii="Times New Roman" w:hAnsi="Times New Roman" w:eastAsia="宋体" w:cs="Times New Roman"/>
                <w:spacing w:val="-32"/>
                <w:sz w:val="24"/>
                <w:szCs w:val="24"/>
              </w:rPr>
              <w:t xml:space="preserve"> </w:t>
            </w:r>
            <w:r>
              <w:rPr>
                <w:rFonts w:hint="default" w:ascii="Times New Roman" w:hAnsi="Times New Roman" w:eastAsia="宋体" w:cs="Times New Roman"/>
                <w:spacing w:val="-2"/>
                <w:sz w:val="24"/>
                <w:szCs w:val="24"/>
              </w:rPr>
              <w:t>1 条“项目所在区</w:t>
            </w:r>
            <w:r>
              <w:rPr>
                <w:rFonts w:hint="default" w:ascii="Times New Roman" w:hAnsi="Times New Roman" w:eastAsia="宋体" w:cs="Times New Roman"/>
                <w:sz w:val="24"/>
                <w:szCs w:val="24"/>
              </w:rPr>
              <w:t>域达标判定，优先选用国家或地方生态主管部门公开发布的评</w:t>
            </w:r>
            <w:r>
              <w:rPr>
                <w:rFonts w:hint="default" w:ascii="Times New Roman" w:hAnsi="Times New Roman" w:eastAsia="宋体" w:cs="Times New Roman"/>
                <w:spacing w:val="-1"/>
                <w:sz w:val="24"/>
                <w:szCs w:val="24"/>
              </w:rPr>
              <w:t>价基准年环境质量公告或环境质量公告中的数据或结论”。</w:t>
            </w:r>
          </w:p>
          <w:p w14:paraId="6768DC1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环境空气质量现状评价引用《2024年张掖市生态环</w:t>
            </w:r>
            <w:r>
              <w:rPr>
                <w:rFonts w:hint="default" w:ascii="Times New Roman" w:hAnsi="Times New Roman" w:eastAsia="宋体" w:cs="Times New Roman"/>
                <w:spacing w:val="-3"/>
                <w:sz w:val="24"/>
                <w:szCs w:val="24"/>
              </w:rPr>
              <w:t>境状况公报》数据进行达标区判</w:t>
            </w:r>
            <w:r>
              <w:rPr>
                <w:rFonts w:hint="default" w:ascii="Times New Roman" w:hAnsi="Times New Roman" w:eastAsia="宋体" w:cs="Times New Roman"/>
                <w:spacing w:val="-2"/>
                <w:sz w:val="24"/>
                <w:szCs w:val="24"/>
              </w:rPr>
              <w:t>定。2024年，全市城市环境空气综合质量指数为3.11，可吸入颗粒物（PM</w:t>
            </w:r>
            <w:r>
              <w:rPr>
                <w:rFonts w:hint="default" w:ascii="Times New Roman" w:hAnsi="Times New Roman" w:eastAsia="宋体" w:cs="Times New Roman"/>
                <w:spacing w:val="-2"/>
                <w:sz w:val="24"/>
                <w:szCs w:val="24"/>
                <w:vertAlign w:val="subscript"/>
              </w:rPr>
              <w:t>10</w:t>
            </w:r>
            <w:r>
              <w:rPr>
                <w:rFonts w:hint="default" w:ascii="Times New Roman" w:hAnsi="Times New Roman" w:eastAsia="宋体" w:cs="Times New Roman"/>
                <w:spacing w:val="-2"/>
                <w:sz w:val="24"/>
                <w:szCs w:val="24"/>
              </w:rPr>
              <w:t>）平均浓度为</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spacing w:val="-2"/>
                <w:sz w:val="24"/>
                <w:szCs w:val="24"/>
              </w:rPr>
              <w:t>54ug/m</w:t>
            </w:r>
            <w:r>
              <w:rPr>
                <w:rFonts w:hint="eastAsia" w:ascii="Times New Roman" w:hAnsi="Times New Roman"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rPr>
              <w:t>（扣除沙尘后</w:t>
            </w:r>
            <w:r>
              <w:rPr>
                <w:rFonts w:hint="default" w:ascii="Times New Roman" w:hAnsi="Times New Roman" w:eastAsia="宋体" w:cs="Times New Roman"/>
                <w:spacing w:val="-57"/>
                <w:sz w:val="24"/>
                <w:szCs w:val="24"/>
              </w:rPr>
              <w:t xml:space="preserve"> </w:t>
            </w:r>
            <w:r>
              <w:rPr>
                <w:rFonts w:hint="eastAsia" w:ascii="Times New Roman" w:hAnsi="Times New Roman" w:eastAsia="宋体" w:cs="Times New Roman"/>
                <w:spacing w:val="-57"/>
                <w:sz w:val="24"/>
                <w:szCs w:val="24"/>
                <w:lang w:eastAsia="zh-CN"/>
              </w:rPr>
              <w:t>）</w:t>
            </w:r>
            <w:r>
              <w:rPr>
                <w:rFonts w:hint="default" w:ascii="Times New Roman" w:hAnsi="Times New Roman" w:eastAsia="宋体" w:cs="Times New Roman"/>
                <w:spacing w:val="-2"/>
                <w:sz w:val="24"/>
                <w:szCs w:val="24"/>
              </w:rPr>
              <w:t>细颗粒物（PM</w:t>
            </w:r>
            <w:r>
              <w:rPr>
                <w:rFonts w:hint="eastAsia" w:ascii="Times New Roman" w:hAnsi="Times New Roman" w:eastAsia="宋体" w:cs="Times New Roman"/>
                <w:spacing w:val="-2"/>
                <w:sz w:val="24"/>
                <w:szCs w:val="24"/>
                <w:vertAlign w:val="subscript"/>
                <w:lang w:val="en-US" w:eastAsia="zh-CN"/>
              </w:rPr>
              <w:t>2.5</w:t>
            </w:r>
            <w:r>
              <w:rPr>
                <w:rFonts w:hint="default" w:ascii="Times New Roman" w:hAnsi="Times New Roman" w:eastAsia="宋体" w:cs="Times New Roman"/>
                <w:spacing w:val="-3"/>
                <w:sz w:val="24"/>
                <w:szCs w:val="24"/>
              </w:rPr>
              <w:t>）平均浓度为</w:t>
            </w:r>
            <w:r>
              <w:rPr>
                <w:rFonts w:hint="default" w:ascii="Times New Roman" w:hAnsi="Times New Roman" w:eastAsia="宋体" w:cs="Times New Roman"/>
                <w:spacing w:val="-55"/>
                <w:sz w:val="24"/>
                <w:szCs w:val="24"/>
              </w:rPr>
              <w:t xml:space="preserve"> </w:t>
            </w:r>
            <w:r>
              <w:rPr>
                <w:rFonts w:hint="default" w:ascii="Times New Roman" w:hAnsi="Times New Roman" w:eastAsia="宋体" w:cs="Times New Roman"/>
                <w:spacing w:val="-3"/>
                <w:sz w:val="24"/>
                <w:szCs w:val="24"/>
              </w:rPr>
              <w:t>25ug/m</w:t>
            </w:r>
            <w:r>
              <w:rPr>
                <w:rFonts w:hint="eastAsia" w:ascii="Times New Roman" w:hAnsi="Times New Roman" w:eastAsia="宋体" w:cs="Times New Roman"/>
                <w:spacing w:val="-3"/>
                <w:sz w:val="24"/>
                <w:szCs w:val="24"/>
                <w:vertAlign w:val="superscript"/>
                <w:lang w:val="en-US" w:eastAsia="zh-CN"/>
              </w:rPr>
              <w:t>3</w:t>
            </w:r>
            <w:r>
              <w:rPr>
                <w:rFonts w:hint="default" w:ascii="Times New Roman" w:hAnsi="Times New Roman" w:eastAsia="宋体" w:cs="Times New Roman"/>
                <w:spacing w:val="-3"/>
                <w:sz w:val="24"/>
                <w:szCs w:val="24"/>
              </w:rPr>
              <w:t>（扣除沙尘后</w:t>
            </w:r>
            <w:r>
              <w:rPr>
                <w:rFonts w:hint="default" w:ascii="Times New Roman" w:hAnsi="Times New Roman" w:eastAsia="宋体" w:cs="Times New Roman"/>
                <w:spacing w:val="-57"/>
                <w:sz w:val="24"/>
                <w:szCs w:val="24"/>
              </w:rPr>
              <w:t xml:space="preserve"> </w:t>
            </w:r>
            <w:r>
              <w:rPr>
                <w:rFonts w:hint="eastAsia" w:ascii="Times New Roman" w:hAnsi="Times New Roman" w:eastAsia="宋体" w:cs="Times New Roman"/>
                <w:spacing w:val="-57"/>
                <w:sz w:val="24"/>
                <w:szCs w:val="24"/>
                <w:lang w:eastAsia="zh-CN"/>
              </w:rPr>
              <w:t>）</w:t>
            </w:r>
            <w:r>
              <w:rPr>
                <w:rFonts w:hint="default" w:ascii="Times New Roman" w:hAnsi="Times New Roman" w:eastAsia="宋体" w:cs="Times New Roman"/>
                <w:spacing w:val="-3"/>
                <w:sz w:val="24"/>
                <w:szCs w:val="24"/>
              </w:rPr>
              <w:t>二氧化硫和二氧化氮平均浓度分别为</w:t>
            </w:r>
            <w:r>
              <w:rPr>
                <w:rFonts w:hint="default" w:ascii="Times New Roman" w:hAnsi="Times New Roman" w:eastAsia="宋体" w:cs="Times New Roman"/>
                <w:spacing w:val="-47"/>
                <w:sz w:val="24"/>
                <w:szCs w:val="24"/>
              </w:rPr>
              <w:t xml:space="preserve"> </w:t>
            </w:r>
            <w:r>
              <w:rPr>
                <w:rFonts w:hint="default" w:ascii="Times New Roman" w:hAnsi="Times New Roman" w:eastAsia="宋体" w:cs="Times New Roman"/>
                <w:spacing w:val="-3"/>
                <w:sz w:val="24"/>
                <w:szCs w:val="24"/>
              </w:rPr>
              <w:t>8和17ug/m</w:t>
            </w:r>
            <w:r>
              <w:rPr>
                <w:rFonts w:hint="eastAsia" w:ascii="Times New Roman" w:hAnsi="Times New Roman" w:eastAsia="宋体" w:cs="Times New Roman"/>
                <w:spacing w:val="-3"/>
                <w:sz w:val="24"/>
                <w:szCs w:val="24"/>
                <w:vertAlign w:val="superscript"/>
                <w:lang w:val="en-US" w:eastAsia="zh-CN"/>
              </w:rPr>
              <w:t>3</w:t>
            </w:r>
            <w:r>
              <w:rPr>
                <w:rFonts w:hint="default" w:ascii="Times New Roman" w:hAnsi="Times New Roman" w:eastAsia="宋体" w:cs="Times New Roman"/>
                <w:spacing w:val="-3"/>
                <w:sz w:val="24"/>
                <w:szCs w:val="24"/>
              </w:rPr>
              <w:t>，一氧化碳日均第</w:t>
            </w:r>
            <w:r>
              <w:rPr>
                <w:rFonts w:hint="eastAsia" w:ascii="Times New Roman" w:hAnsi="Times New Roman" w:eastAsia="宋体" w:cs="Times New Roman"/>
                <w:spacing w:val="-3"/>
                <w:sz w:val="24"/>
                <w:szCs w:val="24"/>
                <w:lang w:val="en-US" w:eastAsia="zh-CN"/>
              </w:rPr>
              <w:t>95</w:t>
            </w:r>
            <w:r>
              <w:rPr>
                <w:rFonts w:hint="default" w:ascii="Times New Roman" w:hAnsi="Times New Roman" w:eastAsia="宋体" w:cs="Times New Roman"/>
                <w:spacing w:val="-3"/>
                <w:sz w:val="24"/>
                <w:szCs w:val="24"/>
              </w:rPr>
              <w:t>百分位数浓度为</w:t>
            </w:r>
            <w:r>
              <w:rPr>
                <w:rFonts w:hint="eastAsia" w:ascii="Times New Roman" w:hAnsi="Times New Roman" w:eastAsia="宋体" w:cs="Times New Roman"/>
                <w:spacing w:val="-3"/>
                <w:sz w:val="24"/>
                <w:szCs w:val="24"/>
                <w:lang w:val="en-US" w:eastAsia="zh-CN"/>
              </w:rPr>
              <w:t>0.</w:t>
            </w:r>
            <w:r>
              <w:rPr>
                <w:rFonts w:hint="default" w:ascii="Times New Roman" w:hAnsi="Times New Roman" w:eastAsia="宋体" w:cs="Times New Roman"/>
                <w:spacing w:val="-4"/>
                <w:sz w:val="24"/>
                <w:szCs w:val="24"/>
              </w:rPr>
              <w:t>8mg/m</w:t>
            </w:r>
            <w:r>
              <w:rPr>
                <w:rFonts w:hint="eastAsia"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rPr>
              <w:t>、臭氧日最大</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4"/>
                <w:sz w:val="24"/>
                <w:szCs w:val="24"/>
              </w:rPr>
              <w:t>8小时平均第</w:t>
            </w:r>
            <w:r>
              <w:rPr>
                <w:rFonts w:hint="eastAsia" w:ascii="Times New Roman" w:hAnsi="Times New Roman" w:eastAsia="宋体" w:cs="Times New Roman"/>
                <w:spacing w:val="-4"/>
                <w:sz w:val="24"/>
                <w:szCs w:val="24"/>
                <w:lang w:val="en-US" w:eastAsia="zh-CN"/>
              </w:rPr>
              <w:t>90</w:t>
            </w:r>
            <w:r>
              <w:rPr>
                <w:rFonts w:hint="default" w:ascii="Times New Roman" w:hAnsi="Times New Roman" w:eastAsia="宋体" w:cs="Times New Roman"/>
                <w:spacing w:val="-4"/>
                <w:sz w:val="24"/>
                <w:szCs w:val="24"/>
              </w:rPr>
              <w:t>百分位数浓度为140ug/m</w:t>
            </w:r>
            <w:r>
              <w:rPr>
                <w:rFonts w:hint="eastAsia"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rPr>
              <w:t>；全</w:t>
            </w:r>
            <w:r>
              <w:rPr>
                <w:rFonts w:hint="default" w:ascii="Times New Roman" w:hAnsi="Times New Roman" w:eastAsia="宋体" w:cs="Times New Roman"/>
                <w:spacing w:val="-5"/>
                <w:sz w:val="24"/>
                <w:szCs w:val="24"/>
              </w:rPr>
              <w:t>年城市空气质量</w:t>
            </w:r>
            <w:r>
              <w:rPr>
                <w:rFonts w:hint="default" w:ascii="Times New Roman" w:hAnsi="Times New Roman" w:eastAsia="宋体" w:cs="Times New Roman"/>
                <w:spacing w:val="-2"/>
                <w:sz w:val="24"/>
                <w:szCs w:val="24"/>
              </w:rPr>
              <w:t>优良天数</w:t>
            </w:r>
            <w:r>
              <w:rPr>
                <w:rFonts w:hint="default" w:ascii="Times New Roman" w:hAnsi="Times New Roman" w:eastAsia="宋体" w:cs="Times New Roman"/>
                <w:spacing w:val="-53"/>
                <w:sz w:val="24"/>
                <w:szCs w:val="24"/>
              </w:rPr>
              <w:t xml:space="preserve"> </w:t>
            </w:r>
            <w:r>
              <w:rPr>
                <w:rFonts w:hint="default" w:ascii="Times New Roman" w:hAnsi="Times New Roman" w:eastAsia="宋体" w:cs="Times New Roman"/>
                <w:spacing w:val="-2"/>
                <w:sz w:val="24"/>
                <w:szCs w:val="24"/>
              </w:rPr>
              <w:t>303天，优良率</w:t>
            </w:r>
            <w:r>
              <w:rPr>
                <w:rFonts w:hint="default" w:ascii="Times New Roman" w:hAnsi="Times New Roman" w:eastAsia="宋体" w:cs="Times New Roman"/>
                <w:spacing w:val="-45"/>
                <w:sz w:val="24"/>
                <w:szCs w:val="24"/>
              </w:rPr>
              <w:t xml:space="preserve"> </w:t>
            </w:r>
            <w:r>
              <w:rPr>
                <w:rFonts w:hint="default" w:ascii="Times New Roman" w:hAnsi="Times New Roman" w:eastAsia="宋体" w:cs="Times New Roman"/>
                <w:spacing w:val="-2"/>
                <w:sz w:val="24"/>
                <w:szCs w:val="24"/>
              </w:rPr>
              <w:t>82.8％。环境空气质量连续九年稳定达到国家二级标</w:t>
            </w:r>
            <w:r>
              <w:rPr>
                <w:rFonts w:hint="default" w:ascii="Times New Roman" w:hAnsi="Times New Roman" w:eastAsia="宋体" w:cs="Times New Roman"/>
                <w:spacing w:val="-3"/>
                <w:sz w:val="24"/>
                <w:szCs w:val="24"/>
              </w:rPr>
              <w:t>准，没有</w:t>
            </w:r>
            <w:r>
              <w:rPr>
                <w:rFonts w:hint="default" w:ascii="Times New Roman" w:hAnsi="Times New Roman" w:eastAsia="宋体" w:cs="Times New Roman"/>
                <w:spacing w:val="-4"/>
                <w:sz w:val="24"/>
                <w:szCs w:val="24"/>
              </w:rPr>
              <w:t>发生人为导致的重污染天气情况。</w:t>
            </w:r>
            <w:r>
              <w:rPr>
                <w:rFonts w:hint="default" w:ascii="Times New Roman" w:hAnsi="Times New Roman" w:eastAsia="宋体" w:cs="Times New Roman"/>
                <w:spacing w:val="-52"/>
                <w:sz w:val="24"/>
                <w:szCs w:val="24"/>
              </w:rPr>
              <w:t xml:space="preserve"> </w:t>
            </w:r>
            <w:r>
              <w:rPr>
                <w:rFonts w:hint="default" w:ascii="Times New Roman" w:hAnsi="Times New Roman" w:eastAsia="宋体" w:cs="Times New Roman"/>
                <w:spacing w:val="-4"/>
                <w:sz w:val="24"/>
                <w:szCs w:val="24"/>
              </w:rPr>
              <w:t>因此，项目所在区为环境空气质量达标区。</w:t>
            </w:r>
          </w:p>
          <w:p w14:paraId="5C585E1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环境空气质量模型技术支持服务系统判定结果为达标区，</w:t>
            </w:r>
            <w:r>
              <w:rPr>
                <w:rFonts w:hint="default" w:ascii="Times New Roman" w:hAnsi="Times New Roman" w:eastAsia="宋体" w:cs="Times New Roman"/>
                <w:spacing w:val="-1"/>
                <w:sz w:val="24"/>
                <w:szCs w:val="24"/>
              </w:rPr>
              <w:t>内容要求参见下表，达标</w:t>
            </w:r>
            <w:r>
              <w:rPr>
                <w:rFonts w:hint="default" w:ascii="Times New Roman" w:hAnsi="Times New Roman" w:eastAsia="宋体" w:cs="Times New Roman"/>
                <w:spacing w:val="-6"/>
                <w:sz w:val="24"/>
                <w:szCs w:val="24"/>
              </w:rPr>
              <w:t>区判定结果如下：</w:t>
            </w:r>
          </w:p>
          <w:p w14:paraId="510B9E21">
            <w:pPr>
              <w:pStyle w:val="22"/>
              <w:keepNext w:val="0"/>
              <w:keepLines w:val="0"/>
              <w:pageBreakBefore w:val="0"/>
              <w:kinsoku/>
              <w:wordWrap/>
              <w:overflowPunct/>
              <w:topLinePunct w:val="0"/>
              <w:autoSpaceDE/>
              <w:autoSpaceDN/>
              <w:bidi w:val="0"/>
              <w:spacing w:before="0" w:after="0" w:line="360" w:lineRule="auto"/>
              <w:ind w:left="0" w:right="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spacing w:val="-5"/>
                <w:sz w:val="21"/>
                <w:szCs w:val="21"/>
              </w:rPr>
              <w:t>表</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b/>
                <w:bCs/>
                <w:spacing w:val="-5"/>
                <w:sz w:val="21"/>
                <w:szCs w:val="21"/>
              </w:rPr>
              <w:t>3-5</w:t>
            </w:r>
            <w:r>
              <w:rPr>
                <w:rFonts w:hint="default" w:ascii="Times New Roman" w:hAnsi="Times New Roman" w:eastAsia="宋体" w:cs="Times New Roman"/>
                <w:b/>
                <w:bCs/>
                <w:spacing w:val="35"/>
                <w:sz w:val="21"/>
                <w:szCs w:val="21"/>
              </w:rPr>
              <w:t xml:space="preserve"> </w:t>
            </w:r>
            <w:r>
              <w:rPr>
                <w:rFonts w:hint="default" w:ascii="Times New Roman" w:hAnsi="Times New Roman" w:eastAsia="宋体" w:cs="Times New Roman"/>
                <w:b/>
                <w:bCs/>
                <w:spacing w:val="-5"/>
                <w:sz w:val="21"/>
                <w:szCs w:val="21"/>
              </w:rPr>
              <w:t>区域空气质量现状评价表</w:t>
            </w:r>
          </w:p>
          <w:tbl>
            <w:tblPr>
              <w:tblStyle w:val="24"/>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799"/>
              <w:gridCol w:w="1270"/>
              <w:gridCol w:w="1323"/>
              <w:gridCol w:w="1323"/>
              <w:gridCol w:w="1323"/>
            </w:tblGrid>
            <w:tr w14:paraId="11BA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01" w:type="dxa"/>
                  <w:tcBorders>
                    <w:top w:val="single" w:color="000000" w:sz="12" w:space="0"/>
                    <w:left w:val="nil"/>
                    <w:tl2br w:val="nil"/>
                  </w:tcBorders>
                  <w:noWrap w:val="0"/>
                  <w:vAlign w:val="center"/>
                </w:tcPr>
                <w:p w14:paraId="4797707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污染物</w:t>
                  </w:r>
                </w:p>
              </w:tc>
              <w:tc>
                <w:tcPr>
                  <w:tcW w:w="1799" w:type="dxa"/>
                  <w:tcBorders>
                    <w:top w:val="single" w:color="000000" w:sz="12" w:space="0"/>
                  </w:tcBorders>
                  <w:noWrap w:val="0"/>
                  <w:vAlign w:val="center"/>
                </w:tcPr>
                <w:p w14:paraId="64060B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年评价指标</w:t>
                  </w:r>
                </w:p>
              </w:tc>
              <w:tc>
                <w:tcPr>
                  <w:tcW w:w="1270" w:type="dxa"/>
                  <w:tcBorders>
                    <w:top w:val="single" w:color="000000" w:sz="12" w:space="0"/>
                  </w:tcBorders>
                  <w:noWrap w:val="0"/>
                  <w:vAlign w:val="center"/>
                </w:tcPr>
                <w:p w14:paraId="282628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现状浓度(μg/m</w:t>
                  </w:r>
                  <w:r>
                    <w:rPr>
                      <w:rFonts w:hint="default" w:ascii="Times New Roman" w:hAnsi="Times New Roman" w:eastAsia="宋体" w:cs="Times New Roman"/>
                      <w:b w:val="0"/>
                      <w:color w:val="000000"/>
                      <w:sz w:val="21"/>
                      <w:szCs w:val="21"/>
                      <w:vertAlign w:val="superscript"/>
                    </w:rPr>
                    <w:t>3</w:t>
                  </w:r>
                  <w:r>
                    <w:rPr>
                      <w:rFonts w:hint="default" w:ascii="Times New Roman" w:hAnsi="Times New Roman" w:eastAsia="宋体" w:cs="Times New Roman"/>
                      <w:b w:val="0"/>
                      <w:color w:val="000000"/>
                      <w:sz w:val="21"/>
                      <w:szCs w:val="21"/>
                    </w:rPr>
                    <w:t>）</w:t>
                  </w:r>
                </w:p>
              </w:tc>
              <w:tc>
                <w:tcPr>
                  <w:tcW w:w="1323" w:type="dxa"/>
                  <w:tcBorders>
                    <w:top w:val="single" w:color="000000" w:sz="12" w:space="0"/>
                  </w:tcBorders>
                  <w:noWrap w:val="0"/>
                  <w:vAlign w:val="center"/>
                </w:tcPr>
                <w:p w14:paraId="7E8674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标准值(μg/m</w:t>
                  </w:r>
                  <w:r>
                    <w:rPr>
                      <w:rFonts w:hint="default" w:ascii="Times New Roman" w:hAnsi="Times New Roman" w:eastAsia="宋体" w:cs="Times New Roman"/>
                      <w:b w:val="0"/>
                      <w:color w:val="000000"/>
                      <w:sz w:val="21"/>
                      <w:szCs w:val="21"/>
                      <w:vertAlign w:val="superscript"/>
                    </w:rPr>
                    <w:t>3</w:t>
                  </w:r>
                  <w:r>
                    <w:rPr>
                      <w:rFonts w:hint="default" w:ascii="Times New Roman" w:hAnsi="Times New Roman" w:eastAsia="宋体" w:cs="Times New Roman"/>
                      <w:b w:val="0"/>
                      <w:color w:val="000000"/>
                      <w:sz w:val="21"/>
                      <w:szCs w:val="21"/>
                    </w:rPr>
                    <w:t>）</w:t>
                  </w:r>
                </w:p>
              </w:tc>
              <w:tc>
                <w:tcPr>
                  <w:tcW w:w="1323" w:type="dxa"/>
                  <w:tcBorders>
                    <w:top w:val="single" w:color="000000" w:sz="12" w:space="0"/>
                  </w:tcBorders>
                  <w:noWrap w:val="0"/>
                  <w:vAlign w:val="center"/>
                </w:tcPr>
                <w:p w14:paraId="16F6FA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占标率（％）</w:t>
                  </w:r>
                </w:p>
              </w:tc>
              <w:tc>
                <w:tcPr>
                  <w:tcW w:w="1323" w:type="dxa"/>
                  <w:tcBorders>
                    <w:top w:val="single" w:color="000000" w:sz="12" w:space="0"/>
                    <w:right w:val="nil"/>
                  </w:tcBorders>
                  <w:noWrap w:val="0"/>
                  <w:vAlign w:val="center"/>
                </w:tcPr>
                <w:p w14:paraId="66132B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达标情况</w:t>
                  </w:r>
                </w:p>
              </w:tc>
            </w:tr>
            <w:tr w14:paraId="4A83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01" w:type="dxa"/>
                  <w:tcBorders>
                    <w:left w:val="nil"/>
                  </w:tcBorders>
                  <w:noWrap w:val="0"/>
                  <w:vAlign w:val="center"/>
                </w:tcPr>
                <w:p w14:paraId="3631C2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SO</w:t>
                  </w:r>
                  <w:r>
                    <w:rPr>
                      <w:rFonts w:hint="default" w:ascii="Times New Roman" w:hAnsi="Times New Roman" w:eastAsia="宋体" w:cs="Times New Roman"/>
                      <w:b w:val="0"/>
                      <w:color w:val="000000"/>
                      <w:sz w:val="21"/>
                      <w:szCs w:val="21"/>
                      <w:vertAlign w:val="subscript"/>
                    </w:rPr>
                    <w:t>2</w:t>
                  </w:r>
                </w:p>
              </w:tc>
              <w:tc>
                <w:tcPr>
                  <w:tcW w:w="1799" w:type="dxa"/>
                  <w:noWrap w:val="0"/>
                  <w:vAlign w:val="center"/>
                </w:tcPr>
                <w:p w14:paraId="21342F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年平均质量浓度</w:t>
                  </w:r>
                </w:p>
              </w:tc>
              <w:tc>
                <w:tcPr>
                  <w:tcW w:w="1270" w:type="dxa"/>
                  <w:noWrap w:val="0"/>
                  <w:vAlign w:val="center"/>
                </w:tcPr>
                <w:p w14:paraId="697290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8</w:t>
                  </w:r>
                </w:p>
              </w:tc>
              <w:tc>
                <w:tcPr>
                  <w:tcW w:w="1323" w:type="dxa"/>
                  <w:noWrap w:val="0"/>
                  <w:vAlign w:val="center"/>
                </w:tcPr>
                <w:p w14:paraId="6FFEB9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60</w:t>
                  </w:r>
                </w:p>
              </w:tc>
              <w:tc>
                <w:tcPr>
                  <w:tcW w:w="1323" w:type="dxa"/>
                  <w:noWrap w:val="0"/>
                  <w:vAlign w:val="center"/>
                </w:tcPr>
                <w:p w14:paraId="38FE1E7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13.33</w:t>
                  </w:r>
                </w:p>
              </w:tc>
              <w:tc>
                <w:tcPr>
                  <w:tcW w:w="1323" w:type="dxa"/>
                  <w:tcBorders>
                    <w:right w:val="nil"/>
                  </w:tcBorders>
                  <w:noWrap w:val="0"/>
                  <w:vAlign w:val="center"/>
                </w:tcPr>
                <w:p w14:paraId="52696D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en-US"/>
                    </w:rPr>
                  </w:pPr>
                  <w:r>
                    <w:rPr>
                      <w:rFonts w:hint="default" w:ascii="Times New Roman" w:hAnsi="Times New Roman" w:eastAsia="宋体" w:cs="Times New Roman"/>
                      <w:b w:val="0"/>
                      <w:color w:val="000000"/>
                      <w:sz w:val="21"/>
                      <w:szCs w:val="21"/>
                    </w:rPr>
                    <w:t>达标</w:t>
                  </w:r>
                </w:p>
              </w:tc>
            </w:tr>
            <w:tr w14:paraId="4566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01" w:type="dxa"/>
                  <w:tcBorders>
                    <w:left w:val="nil"/>
                  </w:tcBorders>
                  <w:noWrap w:val="0"/>
                  <w:vAlign w:val="center"/>
                </w:tcPr>
                <w:p w14:paraId="2C6176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NO</w:t>
                  </w:r>
                  <w:r>
                    <w:rPr>
                      <w:rFonts w:hint="default" w:ascii="Times New Roman" w:hAnsi="Times New Roman" w:eastAsia="宋体" w:cs="Times New Roman"/>
                      <w:b w:val="0"/>
                      <w:color w:val="000000"/>
                      <w:sz w:val="21"/>
                      <w:szCs w:val="21"/>
                      <w:vertAlign w:val="subscript"/>
                    </w:rPr>
                    <w:t>2</w:t>
                  </w:r>
                </w:p>
              </w:tc>
              <w:tc>
                <w:tcPr>
                  <w:tcW w:w="1799" w:type="dxa"/>
                  <w:noWrap w:val="0"/>
                  <w:vAlign w:val="center"/>
                </w:tcPr>
                <w:p w14:paraId="4060C2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年平均质量浓度</w:t>
                  </w:r>
                </w:p>
              </w:tc>
              <w:tc>
                <w:tcPr>
                  <w:tcW w:w="1270" w:type="dxa"/>
                  <w:noWrap w:val="0"/>
                  <w:vAlign w:val="center"/>
                </w:tcPr>
                <w:p w14:paraId="2D97D3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17</w:t>
                  </w:r>
                </w:p>
              </w:tc>
              <w:tc>
                <w:tcPr>
                  <w:tcW w:w="1323" w:type="dxa"/>
                  <w:noWrap w:val="0"/>
                  <w:vAlign w:val="center"/>
                </w:tcPr>
                <w:p w14:paraId="74E9F1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40</w:t>
                  </w:r>
                </w:p>
              </w:tc>
              <w:tc>
                <w:tcPr>
                  <w:tcW w:w="1323" w:type="dxa"/>
                  <w:noWrap w:val="0"/>
                  <w:vAlign w:val="center"/>
                </w:tcPr>
                <w:p w14:paraId="03E263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42.50</w:t>
                  </w:r>
                </w:p>
              </w:tc>
              <w:tc>
                <w:tcPr>
                  <w:tcW w:w="1323" w:type="dxa"/>
                  <w:tcBorders>
                    <w:right w:val="nil"/>
                  </w:tcBorders>
                  <w:noWrap w:val="0"/>
                  <w:vAlign w:val="center"/>
                </w:tcPr>
                <w:p w14:paraId="7937E9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en-US"/>
                    </w:rPr>
                  </w:pPr>
                  <w:r>
                    <w:rPr>
                      <w:rFonts w:hint="default" w:ascii="Times New Roman" w:hAnsi="Times New Roman" w:eastAsia="宋体" w:cs="Times New Roman"/>
                      <w:b w:val="0"/>
                      <w:color w:val="000000"/>
                      <w:sz w:val="21"/>
                      <w:szCs w:val="21"/>
                    </w:rPr>
                    <w:t>达标</w:t>
                  </w:r>
                </w:p>
              </w:tc>
            </w:tr>
            <w:tr w14:paraId="6055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01" w:type="dxa"/>
                  <w:tcBorders>
                    <w:left w:val="nil"/>
                  </w:tcBorders>
                  <w:noWrap w:val="0"/>
                  <w:vAlign w:val="center"/>
                </w:tcPr>
                <w:p w14:paraId="48FA88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PM</w:t>
                  </w:r>
                  <w:r>
                    <w:rPr>
                      <w:rFonts w:hint="default" w:ascii="Times New Roman" w:hAnsi="Times New Roman" w:eastAsia="宋体" w:cs="Times New Roman"/>
                      <w:b w:val="0"/>
                      <w:color w:val="000000"/>
                      <w:sz w:val="21"/>
                      <w:szCs w:val="21"/>
                      <w:vertAlign w:val="subscript"/>
                    </w:rPr>
                    <w:t>10</w:t>
                  </w:r>
                </w:p>
              </w:tc>
              <w:tc>
                <w:tcPr>
                  <w:tcW w:w="1799" w:type="dxa"/>
                  <w:noWrap w:val="0"/>
                  <w:vAlign w:val="center"/>
                </w:tcPr>
                <w:p w14:paraId="2B20D3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年平均质量浓度</w:t>
                  </w:r>
                </w:p>
              </w:tc>
              <w:tc>
                <w:tcPr>
                  <w:tcW w:w="1270" w:type="dxa"/>
                  <w:noWrap w:val="0"/>
                  <w:vAlign w:val="center"/>
                </w:tcPr>
                <w:p w14:paraId="22C882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54</w:t>
                  </w:r>
                </w:p>
              </w:tc>
              <w:tc>
                <w:tcPr>
                  <w:tcW w:w="1323" w:type="dxa"/>
                  <w:noWrap w:val="0"/>
                  <w:vAlign w:val="center"/>
                </w:tcPr>
                <w:p w14:paraId="6B8FAC0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6</w:t>
                  </w:r>
                  <w:r>
                    <w:rPr>
                      <w:rFonts w:hint="default" w:ascii="Times New Roman" w:hAnsi="Times New Roman" w:eastAsia="宋体" w:cs="Times New Roman"/>
                      <w:b w:val="0"/>
                      <w:color w:val="000000"/>
                      <w:sz w:val="21"/>
                      <w:szCs w:val="21"/>
                    </w:rPr>
                    <w:t>0</w:t>
                  </w:r>
                </w:p>
              </w:tc>
              <w:tc>
                <w:tcPr>
                  <w:tcW w:w="1323" w:type="dxa"/>
                  <w:noWrap w:val="0"/>
                  <w:vAlign w:val="center"/>
                </w:tcPr>
                <w:p w14:paraId="02FB21F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90.00</w:t>
                  </w:r>
                </w:p>
              </w:tc>
              <w:tc>
                <w:tcPr>
                  <w:tcW w:w="1323" w:type="dxa"/>
                  <w:tcBorders>
                    <w:right w:val="nil"/>
                  </w:tcBorders>
                  <w:noWrap w:val="0"/>
                  <w:vAlign w:val="center"/>
                </w:tcPr>
                <w:p w14:paraId="3096CC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en-US"/>
                    </w:rPr>
                  </w:pPr>
                  <w:r>
                    <w:rPr>
                      <w:rFonts w:hint="default" w:ascii="Times New Roman" w:hAnsi="Times New Roman" w:eastAsia="宋体" w:cs="Times New Roman"/>
                      <w:b w:val="0"/>
                      <w:color w:val="000000"/>
                      <w:sz w:val="21"/>
                      <w:szCs w:val="21"/>
                    </w:rPr>
                    <w:t>达标</w:t>
                  </w:r>
                </w:p>
              </w:tc>
            </w:tr>
            <w:tr w14:paraId="718A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01" w:type="dxa"/>
                  <w:tcBorders>
                    <w:left w:val="nil"/>
                  </w:tcBorders>
                  <w:noWrap w:val="0"/>
                  <w:vAlign w:val="center"/>
                </w:tcPr>
                <w:p w14:paraId="2CC229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PM</w:t>
                  </w:r>
                  <w:r>
                    <w:rPr>
                      <w:rFonts w:hint="default" w:ascii="Times New Roman" w:hAnsi="Times New Roman" w:eastAsia="宋体" w:cs="Times New Roman"/>
                      <w:b w:val="0"/>
                      <w:color w:val="000000"/>
                      <w:sz w:val="21"/>
                      <w:szCs w:val="21"/>
                      <w:vertAlign w:val="subscript"/>
                      <w:lang w:val="en-US" w:eastAsia="zh-CN"/>
                    </w:rPr>
                    <w:t>2.5</w:t>
                  </w:r>
                </w:p>
              </w:tc>
              <w:tc>
                <w:tcPr>
                  <w:tcW w:w="1799" w:type="dxa"/>
                  <w:noWrap w:val="0"/>
                  <w:vAlign w:val="center"/>
                </w:tcPr>
                <w:p w14:paraId="5DAE25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年平均质量浓度</w:t>
                  </w:r>
                </w:p>
              </w:tc>
              <w:tc>
                <w:tcPr>
                  <w:tcW w:w="1270" w:type="dxa"/>
                  <w:noWrap w:val="0"/>
                  <w:vAlign w:val="center"/>
                </w:tcPr>
                <w:p w14:paraId="4E4EF04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25</w:t>
                  </w:r>
                </w:p>
              </w:tc>
              <w:tc>
                <w:tcPr>
                  <w:tcW w:w="1323" w:type="dxa"/>
                  <w:noWrap w:val="0"/>
                  <w:vAlign w:val="center"/>
                </w:tcPr>
                <w:p w14:paraId="50F0EC3D">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3</w:t>
                  </w:r>
                  <w:r>
                    <w:rPr>
                      <w:rFonts w:hint="eastAsia" w:cs="Times New Roman"/>
                      <w:b w:val="0"/>
                      <w:color w:val="000000"/>
                      <w:sz w:val="21"/>
                      <w:szCs w:val="21"/>
                      <w:lang w:val="en-US" w:eastAsia="zh-CN"/>
                    </w:rPr>
                    <w:t>0</w:t>
                  </w:r>
                </w:p>
              </w:tc>
              <w:tc>
                <w:tcPr>
                  <w:tcW w:w="1323" w:type="dxa"/>
                  <w:noWrap w:val="0"/>
                  <w:vAlign w:val="center"/>
                </w:tcPr>
                <w:p w14:paraId="5B6FC0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83.33</w:t>
                  </w:r>
                </w:p>
              </w:tc>
              <w:tc>
                <w:tcPr>
                  <w:tcW w:w="1323" w:type="dxa"/>
                  <w:tcBorders>
                    <w:right w:val="nil"/>
                  </w:tcBorders>
                  <w:noWrap w:val="0"/>
                  <w:vAlign w:val="center"/>
                </w:tcPr>
                <w:p w14:paraId="231BB7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en-US"/>
                    </w:rPr>
                  </w:pPr>
                  <w:r>
                    <w:rPr>
                      <w:rFonts w:hint="default" w:ascii="Times New Roman" w:hAnsi="Times New Roman" w:eastAsia="宋体" w:cs="Times New Roman"/>
                      <w:b w:val="0"/>
                      <w:color w:val="000000"/>
                      <w:sz w:val="21"/>
                      <w:szCs w:val="21"/>
                    </w:rPr>
                    <w:t>达标</w:t>
                  </w:r>
                </w:p>
              </w:tc>
            </w:tr>
            <w:tr w14:paraId="4009D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01" w:type="dxa"/>
                  <w:tcBorders>
                    <w:left w:val="nil"/>
                  </w:tcBorders>
                  <w:noWrap w:val="0"/>
                  <w:vAlign w:val="center"/>
                </w:tcPr>
                <w:p w14:paraId="4BF9D2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CO</w:t>
                  </w:r>
                </w:p>
              </w:tc>
              <w:tc>
                <w:tcPr>
                  <w:tcW w:w="1799" w:type="dxa"/>
                  <w:noWrap w:val="0"/>
                  <w:vAlign w:val="center"/>
                </w:tcPr>
                <w:p w14:paraId="0129A1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en-US"/>
                    </w:rPr>
                  </w:pPr>
                  <w:r>
                    <w:rPr>
                      <w:rFonts w:hint="default" w:ascii="Times New Roman" w:hAnsi="Times New Roman" w:eastAsia="宋体" w:cs="Times New Roman"/>
                      <w:b w:val="0"/>
                      <w:color w:val="000000"/>
                      <w:sz w:val="21"/>
                      <w:szCs w:val="21"/>
                    </w:rPr>
                    <w:t>第 95 百分位数日平均质量浓度</w:t>
                  </w:r>
                </w:p>
              </w:tc>
              <w:tc>
                <w:tcPr>
                  <w:tcW w:w="1270" w:type="dxa"/>
                  <w:noWrap w:val="0"/>
                  <w:vAlign w:val="center"/>
                </w:tcPr>
                <w:p w14:paraId="05D47C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800</w:t>
                  </w:r>
                </w:p>
              </w:tc>
              <w:tc>
                <w:tcPr>
                  <w:tcW w:w="1323" w:type="dxa"/>
                  <w:noWrap w:val="0"/>
                  <w:vAlign w:val="center"/>
                </w:tcPr>
                <w:p w14:paraId="4D98AE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4000</w:t>
                  </w:r>
                </w:p>
              </w:tc>
              <w:tc>
                <w:tcPr>
                  <w:tcW w:w="1323" w:type="dxa"/>
                  <w:noWrap w:val="0"/>
                  <w:vAlign w:val="center"/>
                </w:tcPr>
                <w:p w14:paraId="5FF0C9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20.00</w:t>
                  </w:r>
                </w:p>
              </w:tc>
              <w:tc>
                <w:tcPr>
                  <w:tcW w:w="1323" w:type="dxa"/>
                  <w:tcBorders>
                    <w:right w:val="nil"/>
                  </w:tcBorders>
                  <w:noWrap w:val="0"/>
                  <w:vAlign w:val="center"/>
                </w:tcPr>
                <w:p w14:paraId="0BD6C6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en-US"/>
                    </w:rPr>
                  </w:pPr>
                  <w:r>
                    <w:rPr>
                      <w:rFonts w:hint="default" w:ascii="Times New Roman" w:hAnsi="Times New Roman" w:eastAsia="宋体" w:cs="Times New Roman"/>
                      <w:b w:val="0"/>
                      <w:color w:val="000000"/>
                      <w:sz w:val="21"/>
                      <w:szCs w:val="21"/>
                    </w:rPr>
                    <w:t>达标</w:t>
                  </w:r>
                </w:p>
              </w:tc>
            </w:tr>
            <w:tr w14:paraId="2B69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01" w:type="dxa"/>
                  <w:tcBorders>
                    <w:left w:val="nil"/>
                    <w:bottom w:val="single" w:color="000000" w:sz="12" w:space="0"/>
                  </w:tcBorders>
                  <w:noWrap w:val="0"/>
                  <w:vAlign w:val="center"/>
                </w:tcPr>
                <w:p w14:paraId="5D4A26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O</w:t>
                  </w:r>
                  <w:r>
                    <w:rPr>
                      <w:rFonts w:hint="default" w:ascii="Times New Roman" w:hAnsi="Times New Roman" w:eastAsia="宋体" w:cs="Times New Roman"/>
                      <w:b w:val="0"/>
                      <w:color w:val="000000"/>
                      <w:sz w:val="21"/>
                      <w:szCs w:val="21"/>
                      <w:vertAlign w:val="subscript"/>
                    </w:rPr>
                    <w:t>3</w:t>
                  </w:r>
                </w:p>
              </w:tc>
              <w:tc>
                <w:tcPr>
                  <w:tcW w:w="1799" w:type="dxa"/>
                  <w:tcBorders>
                    <w:bottom w:val="single" w:color="000000" w:sz="12" w:space="0"/>
                  </w:tcBorders>
                  <w:noWrap w:val="0"/>
                  <w:vAlign w:val="center"/>
                </w:tcPr>
                <w:p w14:paraId="02F054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en-US"/>
                    </w:rPr>
                  </w:pPr>
                  <w:r>
                    <w:rPr>
                      <w:rFonts w:hint="default" w:ascii="Times New Roman" w:hAnsi="Times New Roman" w:eastAsia="宋体" w:cs="Times New Roman"/>
                      <w:b w:val="0"/>
                      <w:color w:val="000000"/>
                      <w:sz w:val="21"/>
                      <w:szCs w:val="21"/>
                    </w:rPr>
                    <w:t>第 90 百分位数 8h 平均质量浓度</w:t>
                  </w:r>
                </w:p>
              </w:tc>
              <w:tc>
                <w:tcPr>
                  <w:tcW w:w="1270" w:type="dxa"/>
                  <w:tcBorders>
                    <w:bottom w:val="single" w:color="000000" w:sz="12" w:space="0"/>
                  </w:tcBorders>
                  <w:noWrap w:val="0"/>
                  <w:vAlign w:val="center"/>
                </w:tcPr>
                <w:p w14:paraId="54BA73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140</w:t>
                  </w:r>
                </w:p>
              </w:tc>
              <w:tc>
                <w:tcPr>
                  <w:tcW w:w="1323" w:type="dxa"/>
                  <w:tcBorders>
                    <w:bottom w:val="single" w:color="000000" w:sz="12" w:space="0"/>
                  </w:tcBorders>
                  <w:noWrap w:val="0"/>
                  <w:vAlign w:val="center"/>
                </w:tcPr>
                <w:p w14:paraId="4B5B8E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160</w:t>
                  </w:r>
                </w:p>
              </w:tc>
              <w:tc>
                <w:tcPr>
                  <w:tcW w:w="1323" w:type="dxa"/>
                  <w:tcBorders>
                    <w:bottom w:val="single" w:color="000000" w:sz="12" w:space="0"/>
                  </w:tcBorders>
                  <w:noWrap w:val="0"/>
                  <w:vAlign w:val="center"/>
                </w:tcPr>
                <w:p w14:paraId="6035BB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87.50</w:t>
                  </w:r>
                </w:p>
              </w:tc>
              <w:tc>
                <w:tcPr>
                  <w:tcW w:w="1323" w:type="dxa"/>
                  <w:tcBorders>
                    <w:bottom w:val="single" w:color="000000" w:sz="12" w:space="0"/>
                    <w:right w:val="nil"/>
                  </w:tcBorders>
                  <w:noWrap w:val="0"/>
                  <w:vAlign w:val="center"/>
                </w:tcPr>
                <w:p w14:paraId="2B6E93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en-US"/>
                    </w:rPr>
                  </w:pPr>
                  <w:r>
                    <w:rPr>
                      <w:rFonts w:hint="default" w:ascii="Times New Roman" w:hAnsi="Times New Roman" w:eastAsia="宋体" w:cs="Times New Roman"/>
                      <w:b w:val="0"/>
                      <w:color w:val="000000"/>
                      <w:sz w:val="21"/>
                      <w:szCs w:val="21"/>
                    </w:rPr>
                    <w:t>达标</w:t>
                  </w:r>
                </w:p>
              </w:tc>
            </w:tr>
          </w:tbl>
          <w:p w14:paraId="6F30BF9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kern w:val="0"/>
                <w:sz w:val="24"/>
                <w:szCs w:val="24"/>
                <w:highlight w:val="none"/>
              </w:rPr>
              <w:t>由表3-1可知PM</w:t>
            </w:r>
            <w:r>
              <w:rPr>
                <w:rFonts w:hint="default" w:ascii="Times New Roman" w:hAnsi="Times New Roman" w:eastAsia="宋体" w:cs="Times New Roman"/>
                <w:kern w:val="0"/>
                <w:sz w:val="24"/>
                <w:szCs w:val="24"/>
                <w:highlight w:val="none"/>
                <w:vertAlign w:val="subscript"/>
              </w:rPr>
              <w:t>10</w:t>
            </w:r>
            <w:r>
              <w:rPr>
                <w:rFonts w:hint="default" w:ascii="Times New Roman" w:hAnsi="Times New Roman" w:eastAsia="宋体" w:cs="Times New Roman"/>
                <w:kern w:val="0"/>
                <w:sz w:val="24"/>
                <w:szCs w:val="24"/>
                <w:highlight w:val="none"/>
              </w:rPr>
              <w:t>、PM</w:t>
            </w:r>
            <w:r>
              <w:rPr>
                <w:rFonts w:hint="default" w:ascii="Times New Roman" w:hAnsi="Times New Roman" w:eastAsia="宋体" w:cs="Times New Roman"/>
                <w:kern w:val="0"/>
                <w:sz w:val="24"/>
                <w:szCs w:val="24"/>
                <w:highlight w:val="none"/>
                <w:vertAlign w:val="subscript"/>
              </w:rPr>
              <w:t>2.5</w:t>
            </w:r>
            <w:r>
              <w:rPr>
                <w:rFonts w:hint="default" w:ascii="Times New Roman" w:hAnsi="Times New Roman" w:eastAsia="宋体" w:cs="Times New Roman"/>
                <w:kern w:val="0"/>
                <w:sz w:val="24"/>
                <w:szCs w:val="24"/>
                <w:highlight w:val="none"/>
              </w:rPr>
              <w:t>、SO</w:t>
            </w:r>
            <w:r>
              <w:rPr>
                <w:rFonts w:hint="default" w:ascii="Times New Roman" w:hAnsi="Times New Roman" w:eastAsia="宋体" w:cs="Times New Roman"/>
                <w:kern w:val="0"/>
                <w:sz w:val="24"/>
                <w:szCs w:val="24"/>
                <w:highlight w:val="none"/>
                <w:vertAlign w:val="subscript"/>
              </w:rPr>
              <w:t>2</w:t>
            </w:r>
            <w:r>
              <w:rPr>
                <w:rFonts w:hint="default" w:ascii="Times New Roman" w:hAnsi="Times New Roman" w:eastAsia="宋体" w:cs="Times New Roman"/>
                <w:kern w:val="0"/>
                <w:sz w:val="24"/>
                <w:szCs w:val="24"/>
                <w:highlight w:val="none"/>
              </w:rPr>
              <w:t>、NO</w:t>
            </w:r>
            <w:r>
              <w:rPr>
                <w:rFonts w:hint="default" w:ascii="Times New Roman" w:hAnsi="Times New Roman" w:eastAsia="宋体" w:cs="Times New Roman"/>
                <w:kern w:val="0"/>
                <w:sz w:val="24"/>
                <w:szCs w:val="24"/>
                <w:highlight w:val="none"/>
                <w:vertAlign w:val="subscript"/>
              </w:rPr>
              <w:t>2</w:t>
            </w:r>
            <w:r>
              <w:rPr>
                <w:rFonts w:hint="default" w:ascii="Times New Roman" w:hAnsi="Times New Roman" w:eastAsia="宋体" w:cs="Times New Roman"/>
                <w:kern w:val="0"/>
                <w:sz w:val="24"/>
                <w:szCs w:val="24"/>
                <w:highlight w:val="none"/>
              </w:rPr>
              <w:t>、CO、O</w:t>
            </w:r>
            <w:r>
              <w:rPr>
                <w:rFonts w:hint="default" w:ascii="Times New Roman" w:hAnsi="Times New Roman" w:eastAsia="宋体" w:cs="Times New Roman"/>
                <w:kern w:val="0"/>
                <w:sz w:val="24"/>
                <w:szCs w:val="24"/>
                <w:highlight w:val="none"/>
                <w:vertAlign w:val="subscript"/>
              </w:rPr>
              <w:t>3</w:t>
            </w:r>
            <w:r>
              <w:rPr>
                <w:rFonts w:hint="default" w:ascii="Times New Roman" w:hAnsi="Times New Roman" w:eastAsia="宋体" w:cs="Times New Roman"/>
                <w:kern w:val="0"/>
                <w:sz w:val="24"/>
                <w:szCs w:val="24"/>
                <w:highlight w:val="none"/>
              </w:rPr>
              <w:t>的年平均浓度值达到《环境空气质量标准》（GB 3095-20</w:t>
            </w:r>
            <w:r>
              <w:rPr>
                <w:rFonts w:hint="eastAsia" w:cs="Times New Roman"/>
                <w:kern w:val="0"/>
                <w:sz w:val="24"/>
                <w:szCs w:val="24"/>
                <w:highlight w:val="none"/>
                <w:lang w:val="en-US" w:eastAsia="zh-CN"/>
              </w:rPr>
              <w:t>26</w:t>
            </w:r>
            <w:r>
              <w:rPr>
                <w:rFonts w:hint="default" w:ascii="Times New Roman" w:hAnsi="Times New Roman" w:eastAsia="宋体" w:cs="Times New Roman"/>
                <w:kern w:val="0"/>
                <w:sz w:val="24"/>
                <w:szCs w:val="24"/>
                <w:highlight w:val="none"/>
              </w:rPr>
              <w:t>）中过渡阶段二级浓度限值，故本项目所在区域属于达标区。</w:t>
            </w:r>
          </w:p>
          <w:p w14:paraId="7B0B3825">
            <w:pPr>
              <w:pStyle w:val="45"/>
              <w:keepNext w:val="0"/>
              <w:keepLines w:val="0"/>
              <w:pageBreakBefore w:val="0"/>
              <w:kinsoku/>
              <w:wordWrap/>
              <w:overflowPunct/>
              <w:topLinePunct w:val="0"/>
              <w:autoSpaceDE/>
              <w:autoSpaceDN/>
              <w:bidi w:val="0"/>
              <w:adjustRightInd/>
              <w:spacing w:line="360" w:lineRule="auto"/>
              <w:ind w:left="0" w:firstLine="494"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3"/>
                <w:sz w:val="24"/>
                <w:szCs w:val="24"/>
                <w:lang w:eastAsia="zh-CN"/>
              </w:rPr>
              <w:t>（</w:t>
            </w:r>
            <w:r>
              <w:rPr>
                <w:rFonts w:hint="eastAsia" w:ascii="Times New Roman" w:hAnsi="Times New Roman" w:eastAsia="宋体" w:cs="Times New Roman"/>
                <w:b/>
                <w:bCs/>
                <w:spacing w:val="3"/>
                <w:sz w:val="24"/>
                <w:szCs w:val="24"/>
                <w:lang w:val="en-US" w:eastAsia="zh-CN"/>
              </w:rPr>
              <w:t>二</w:t>
            </w:r>
            <w:r>
              <w:rPr>
                <w:rFonts w:hint="eastAsia" w:ascii="Times New Roman" w:hAnsi="Times New Roman" w:eastAsia="宋体" w:cs="Times New Roman"/>
                <w:b/>
                <w:bCs/>
                <w:spacing w:val="3"/>
                <w:sz w:val="24"/>
                <w:szCs w:val="24"/>
                <w:lang w:eastAsia="zh-CN"/>
              </w:rPr>
              <w:t>）</w:t>
            </w:r>
            <w:r>
              <w:rPr>
                <w:rFonts w:hint="default" w:ascii="Times New Roman" w:hAnsi="Times New Roman" w:eastAsia="宋体" w:cs="Times New Roman"/>
                <w:b/>
                <w:bCs/>
                <w:spacing w:val="3"/>
                <w:sz w:val="24"/>
                <w:szCs w:val="24"/>
              </w:rPr>
              <w:t>特征污染物现状补充监测</w:t>
            </w:r>
          </w:p>
          <w:p w14:paraId="450B04C3">
            <w:pPr>
              <w:pStyle w:val="45"/>
              <w:keepNext w:val="0"/>
              <w:keepLines w:val="0"/>
              <w:pageBreakBefore w:val="0"/>
              <w:kinsoku/>
              <w:wordWrap/>
              <w:overflowPunct/>
              <w:topLinePunct w:val="0"/>
              <w:autoSpaceDE/>
              <w:autoSpaceDN/>
              <w:bidi w:val="0"/>
              <w:adjustRightInd/>
              <w:spacing w:line="360" w:lineRule="auto"/>
              <w:ind w:left="0" w:leftChars="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为了解评价区环境空气质量现状，本次评价委托甘肃领越检测技术有限公司对评价区的环境空气质量现状进行监测。</w:t>
            </w:r>
          </w:p>
          <w:p w14:paraId="68E04DDE">
            <w:pPr>
              <w:pStyle w:val="45"/>
              <w:keepNext w:val="0"/>
              <w:keepLines w:val="0"/>
              <w:pageBreakBefore w:val="0"/>
              <w:kinsoku/>
              <w:wordWrap/>
              <w:overflowPunct/>
              <w:topLinePunct w:val="0"/>
              <w:autoSpaceDE/>
              <w:autoSpaceDN/>
              <w:bidi w:val="0"/>
              <w:adjustRightInd/>
              <w:spacing w:line="360" w:lineRule="auto"/>
              <w:ind w:left="0" w:leftChars="0" w:right="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根据工程规模和性质，结合所在地的地形、污染</w:t>
            </w:r>
            <w:r>
              <w:rPr>
                <w:rFonts w:hint="default" w:ascii="Times New Roman" w:hAnsi="Times New Roman" w:eastAsia="宋体" w:cs="Times New Roman"/>
                <w:spacing w:val="-1"/>
                <w:sz w:val="24"/>
                <w:szCs w:val="24"/>
              </w:rPr>
              <w:t>源及环境空气保护</w:t>
            </w:r>
            <w:r>
              <w:rPr>
                <w:rFonts w:hint="default" w:ascii="Times New Roman" w:hAnsi="Times New Roman" w:eastAsia="宋体" w:cs="Times New Roman"/>
                <w:spacing w:val="-2"/>
                <w:sz w:val="24"/>
                <w:szCs w:val="24"/>
              </w:rPr>
              <w:t>敏感目标的布局，本次布点重点考虑项目对主导风向下风向的影响，在</w:t>
            </w:r>
            <w:r>
              <w:rPr>
                <w:rFonts w:hint="default" w:ascii="Times New Roman" w:hAnsi="Times New Roman" w:eastAsia="宋体" w:cs="Times New Roman"/>
                <w:sz w:val="24"/>
                <w:szCs w:val="24"/>
              </w:rPr>
              <w:t>本项目场区下风向布设1</w:t>
            </w:r>
            <w:r>
              <w:rPr>
                <w:rFonts w:hint="default" w:ascii="Times New Roman" w:hAnsi="Times New Roman" w:eastAsia="宋体" w:cs="Times New Roman"/>
                <w:spacing w:val="-45"/>
                <w:sz w:val="24"/>
                <w:szCs w:val="24"/>
              </w:rPr>
              <w:t xml:space="preserve"> </w:t>
            </w:r>
            <w:r>
              <w:rPr>
                <w:rFonts w:hint="default" w:ascii="Times New Roman" w:hAnsi="Times New Roman" w:eastAsia="宋体" w:cs="Times New Roman"/>
                <w:sz w:val="24"/>
                <w:szCs w:val="24"/>
              </w:rPr>
              <w:t>处环境空气质量现状监测点</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pacing w:val="-1"/>
                <w:sz w:val="24"/>
                <w:szCs w:val="24"/>
                <w:lang w:val="en-US" w:eastAsia="zh-CN"/>
              </w:rPr>
              <w:t>监测点位示意图见附图15。</w:t>
            </w:r>
          </w:p>
          <w:p w14:paraId="6A5B5ADA">
            <w:pPr>
              <w:pStyle w:val="45"/>
              <w:keepNext w:val="0"/>
              <w:keepLines w:val="0"/>
              <w:pageBreakBefore w:val="0"/>
              <w:kinsoku/>
              <w:wordWrap/>
              <w:overflowPunct/>
              <w:topLinePunct w:val="0"/>
              <w:autoSpaceDE/>
              <w:autoSpaceDN/>
              <w:bidi w:val="0"/>
              <w:adjustRightInd/>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1）监测项目</w:t>
            </w:r>
          </w:p>
          <w:p w14:paraId="393E13AD">
            <w:pPr>
              <w:pStyle w:val="45"/>
              <w:keepNext w:val="0"/>
              <w:keepLines w:val="0"/>
              <w:pageBreakBefore w:val="0"/>
              <w:kinsoku/>
              <w:wordWrap/>
              <w:overflowPunct/>
              <w:topLinePunct w:val="0"/>
              <w:autoSpaceDE/>
              <w:autoSpaceDN/>
              <w:bidi w:val="0"/>
              <w:adjustRightInd/>
              <w:spacing w:line="360" w:lineRule="auto"/>
              <w:ind w:left="0" w:leftChars="0" w:right="0" w:firstLine="53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3"/>
                <w:sz w:val="24"/>
                <w:szCs w:val="24"/>
              </w:rPr>
              <w:t>监测因子为</w:t>
            </w:r>
            <w:r>
              <w:rPr>
                <w:rFonts w:hint="default" w:ascii="Times New Roman" w:hAnsi="Times New Roman" w:eastAsia="宋体" w:cs="Times New Roman"/>
                <w:sz w:val="24"/>
                <w:szCs w:val="24"/>
              </w:rPr>
              <w:t>TSP</w:t>
            </w:r>
            <w:r>
              <w:rPr>
                <w:rFonts w:hint="default" w:ascii="Times New Roman" w:hAnsi="Times New Roman" w:eastAsia="宋体" w:cs="Times New Roman"/>
                <w:spacing w:val="13"/>
                <w:sz w:val="24"/>
                <w:szCs w:val="24"/>
              </w:rPr>
              <w:t>；</w:t>
            </w:r>
          </w:p>
          <w:p w14:paraId="3FE11702">
            <w:pPr>
              <w:pStyle w:val="45"/>
              <w:keepNext w:val="0"/>
              <w:keepLines w:val="0"/>
              <w:pageBreakBefore w:val="0"/>
              <w:kinsoku/>
              <w:wordWrap/>
              <w:overflowPunct/>
              <w:topLinePunct w:val="0"/>
              <w:autoSpaceDE/>
              <w:autoSpaceDN/>
              <w:bidi w:val="0"/>
              <w:adjustRightInd/>
              <w:spacing w:line="360" w:lineRule="auto"/>
              <w:ind w:left="0" w:leftChars="0" w:right="0" w:firstLine="48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2）监测时间和频次</w:t>
            </w:r>
          </w:p>
          <w:p w14:paraId="6A87CB3A">
            <w:pPr>
              <w:pStyle w:val="45"/>
              <w:keepNext w:val="0"/>
              <w:keepLines w:val="0"/>
              <w:pageBreakBefore w:val="0"/>
              <w:kinsoku/>
              <w:wordWrap/>
              <w:overflowPunct/>
              <w:topLinePunct w:val="0"/>
              <w:autoSpaceDE/>
              <w:autoSpaceDN/>
              <w:bidi w:val="0"/>
              <w:adjustRightInd/>
              <w:spacing w:line="360" w:lineRule="auto"/>
              <w:ind w:left="0" w:leftChars="0" w:right="0" w:firstLine="52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rPr>
              <w:t>2026</w:t>
            </w:r>
            <w:r>
              <w:rPr>
                <w:rFonts w:hint="default" w:ascii="Times New Roman" w:hAnsi="Times New Roman" w:eastAsia="宋体" w:cs="Times New Roman"/>
                <w:spacing w:val="-52"/>
                <w:sz w:val="24"/>
                <w:szCs w:val="24"/>
              </w:rPr>
              <w:t xml:space="preserve"> </w:t>
            </w:r>
            <w:r>
              <w:rPr>
                <w:rFonts w:hint="default" w:ascii="Times New Roman" w:hAnsi="Times New Roman" w:eastAsia="宋体" w:cs="Times New Roman"/>
                <w:spacing w:val="12"/>
                <w:sz w:val="24"/>
                <w:szCs w:val="24"/>
              </w:rPr>
              <w:t>年</w:t>
            </w:r>
            <w:r>
              <w:rPr>
                <w:rFonts w:hint="eastAsia" w:ascii="Times New Roman" w:hAnsi="Times New Roman" w:eastAsia="宋体" w:cs="Times New Roman"/>
                <w:spacing w:val="12"/>
                <w:sz w:val="24"/>
                <w:szCs w:val="24"/>
                <w:lang w:val="en-US" w:eastAsia="zh-CN"/>
              </w:rPr>
              <w:t>5</w:t>
            </w:r>
            <w:r>
              <w:rPr>
                <w:rFonts w:hint="default" w:ascii="Times New Roman" w:hAnsi="Times New Roman" w:eastAsia="宋体" w:cs="Times New Roman"/>
                <w:spacing w:val="12"/>
                <w:sz w:val="24"/>
                <w:szCs w:val="24"/>
              </w:rPr>
              <w:t>月</w:t>
            </w:r>
            <w:r>
              <w:rPr>
                <w:rFonts w:hint="eastAsia" w:ascii="Times New Roman" w:hAnsi="Times New Roman" w:eastAsia="宋体" w:cs="Times New Roman"/>
                <w:spacing w:val="12"/>
                <w:sz w:val="24"/>
                <w:szCs w:val="24"/>
                <w:lang w:val="en-US" w:eastAsia="zh-CN"/>
              </w:rPr>
              <w:t>20日</w:t>
            </w:r>
            <w:r>
              <w:rPr>
                <w:rFonts w:hint="default" w:ascii="Times New Roman" w:hAnsi="Times New Roman" w:eastAsia="宋体" w:cs="Times New Roman"/>
                <w:spacing w:val="12"/>
                <w:sz w:val="24"/>
                <w:szCs w:val="24"/>
              </w:rPr>
              <w:t>—2026</w:t>
            </w:r>
            <w:r>
              <w:rPr>
                <w:rFonts w:hint="default" w:ascii="Times New Roman" w:hAnsi="Times New Roman" w:eastAsia="宋体" w:cs="Times New Roman"/>
                <w:spacing w:val="-54"/>
                <w:sz w:val="24"/>
                <w:szCs w:val="24"/>
              </w:rPr>
              <w:t xml:space="preserve"> </w:t>
            </w:r>
            <w:r>
              <w:rPr>
                <w:rFonts w:hint="default" w:ascii="Times New Roman" w:hAnsi="Times New Roman" w:eastAsia="宋体" w:cs="Times New Roman"/>
                <w:spacing w:val="12"/>
                <w:sz w:val="24"/>
                <w:szCs w:val="24"/>
              </w:rPr>
              <w:t>年</w:t>
            </w:r>
            <w:r>
              <w:rPr>
                <w:rFonts w:hint="eastAsia" w:ascii="Times New Roman" w:hAnsi="Times New Roman" w:eastAsia="宋体" w:cs="Times New Roman"/>
                <w:spacing w:val="12"/>
                <w:sz w:val="24"/>
                <w:szCs w:val="24"/>
                <w:lang w:val="en-US" w:eastAsia="zh-CN"/>
              </w:rPr>
              <w:t>5</w:t>
            </w:r>
            <w:r>
              <w:rPr>
                <w:rFonts w:hint="default" w:ascii="Times New Roman" w:hAnsi="Times New Roman" w:eastAsia="宋体" w:cs="Times New Roman"/>
                <w:spacing w:val="12"/>
                <w:sz w:val="24"/>
                <w:szCs w:val="24"/>
              </w:rPr>
              <w:t>月</w:t>
            </w:r>
            <w:r>
              <w:rPr>
                <w:rFonts w:hint="eastAsia" w:ascii="Times New Roman" w:hAnsi="Times New Roman" w:eastAsia="宋体" w:cs="Times New Roman"/>
                <w:spacing w:val="12"/>
                <w:sz w:val="24"/>
                <w:szCs w:val="24"/>
                <w:lang w:val="en-US" w:eastAsia="zh-CN"/>
              </w:rPr>
              <w:t>22</w:t>
            </w:r>
            <w:r>
              <w:rPr>
                <w:rFonts w:hint="default" w:ascii="Times New Roman" w:hAnsi="Times New Roman" w:eastAsia="宋体" w:cs="Times New Roman"/>
                <w:spacing w:val="12"/>
                <w:sz w:val="24"/>
                <w:szCs w:val="24"/>
              </w:rPr>
              <w:t>日，连续</w:t>
            </w:r>
            <w:r>
              <w:rPr>
                <w:rFonts w:hint="default" w:ascii="Times New Roman" w:hAnsi="Times New Roman" w:eastAsia="宋体" w:cs="Times New Roman"/>
                <w:spacing w:val="11"/>
                <w:sz w:val="24"/>
                <w:szCs w:val="24"/>
              </w:rPr>
              <w:t>监测三天，</w:t>
            </w:r>
            <w:r>
              <w:rPr>
                <w:rFonts w:hint="default" w:ascii="Times New Roman" w:hAnsi="Times New Roman" w:eastAsia="宋体" w:cs="Times New Roman"/>
                <w:sz w:val="24"/>
                <w:szCs w:val="24"/>
              </w:rPr>
              <w:t>TSP</w:t>
            </w:r>
            <w:r>
              <w:rPr>
                <w:rFonts w:hint="default" w:ascii="Times New Roman" w:hAnsi="Times New Roman" w:eastAsia="宋体" w:cs="Times New Roman"/>
                <w:spacing w:val="-54"/>
                <w:sz w:val="24"/>
                <w:szCs w:val="24"/>
              </w:rPr>
              <w:t xml:space="preserve"> </w:t>
            </w:r>
            <w:r>
              <w:rPr>
                <w:rFonts w:hint="default" w:ascii="Times New Roman" w:hAnsi="Times New Roman" w:eastAsia="宋体" w:cs="Times New Roman"/>
                <w:spacing w:val="11"/>
                <w:sz w:val="24"/>
                <w:szCs w:val="24"/>
              </w:rPr>
              <w:t>监测日</w:t>
            </w:r>
            <w:r>
              <w:rPr>
                <w:rFonts w:hint="default" w:ascii="Times New Roman" w:hAnsi="Times New Roman" w:eastAsia="宋体" w:cs="Times New Roman"/>
                <w:sz w:val="24"/>
                <w:szCs w:val="24"/>
              </w:rPr>
              <w:t>均浓度，24</w:t>
            </w:r>
            <w:r>
              <w:rPr>
                <w:rFonts w:hint="default" w:ascii="Times New Roman" w:hAnsi="Times New Roman" w:eastAsia="宋体" w:cs="Times New Roman"/>
                <w:spacing w:val="-53"/>
                <w:sz w:val="24"/>
                <w:szCs w:val="24"/>
              </w:rPr>
              <w:t xml:space="preserve"> </w:t>
            </w:r>
            <w:r>
              <w:rPr>
                <w:rFonts w:hint="default" w:ascii="Times New Roman" w:hAnsi="Times New Roman" w:eastAsia="宋体" w:cs="Times New Roman"/>
                <w:sz w:val="24"/>
                <w:szCs w:val="24"/>
              </w:rPr>
              <w:t>小时连续采样时间；</w:t>
            </w:r>
          </w:p>
          <w:p w14:paraId="7CB5A11C">
            <w:pPr>
              <w:pStyle w:val="22"/>
              <w:keepNext w:val="0"/>
              <w:keepLines w:val="0"/>
              <w:pageBreakBefore w:val="0"/>
              <w:numPr>
                <w:ilvl w:val="0"/>
                <w:numId w:val="12"/>
              </w:numPr>
              <w:kinsoku/>
              <w:wordWrap/>
              <w:overflowPunct/>
              <w:topLinePunct w:val="0"/>
              <w:autoSpaceDE/>
              <w:autoSpaceDN/>
              <w:bidi w:val="0"/>
              <w:adjustRightInd/>
              <w:spacing w:before="0" w:after="0" w:line="360" w:lineRule="auto"/>
              <w:ind w:left="0" w:leftChars="0" w:right="0" w:firstLine="488" w:firstLineChars="200"/>
              <w:textAlignment w:val="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监测结果</w:t>
            </w:r>
          </w:p>
          <w:p w14:paraId="58602F6F">
            <w:pPr>
              <w:pStyle w:val="8"/>
              <w:rPr>
                <w:rFonts w:hint="default" w:ascii="Times New Roman" w:hAnsi="Times New Roman" w:cs="Times New Roman"/>
                <w:sz w:val="21"/>
                <w:szCs w:val="21"/>
                <w:lang w:eastAsia="zh-CN"/>
              </w:rPr>
            </w:pPr>
            <w:r>
              <w:rPr>
                <w:rFonts w:hint="default" w:ascii="Times New Roman" w:hAnsi="Times New Roman" w:cs="Times New Roman"/>
                <w:sz w:val="21"/>
                <w:szCs w:val="21"/>
              </w:rPr>
              <w:t xml:space="preserve">表3- </w:t>
            </w:r>
            <w:r>
              <w:rPr>
                <w:rFonts w:hint="eastAsia" w:cs="Times New Roman"/>
                <w:sz w:val="21"/>
                <w:szCs w:val="21"/>
                <w:lang w:val="en-US" w:eastAsia="zh-CN"/>
              </w:rPr>
              <w:t>6</w:t>
            </w:r>
            <w:r>
              <w:rPr>
                <w:rFonts w:hint="default" w:ascii="Times New Roman" w:hAnsi="Times New Roman" w:cs="Times New Roman"/>
                <w:sz w:val="21"/>
                <w:szCs w:val="21"/>
                <w:lang w:eastAsia="zh-CN"/>
              </w:rPr>
              <w:t xml:space="preserve"> 项目环境空气监测结果</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4"/>
              <w:gridCol w:w="1894"/>
              <w:gridCol w:w="707"/>
              <w:gridCol w:w="1160"/>
              <w:gridCol w:w="1160"/>
              <w:gridCol w:w="760"/>
              <w:gridCol w:w="882"/>
              <w:gridCol w:w="694"/>
            </w:tblGrid>
            <w:tr w14:paraId="6D70A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1" w:type="pct"/>
                  <w:tcBorders>
                    <w:top w:val="single" w:color="000000" w:sz="12" w:space="0"/>
                    <w:tl2br w:val="nil"/>
                  </w:tcBorders>
                  <w:shd w:val="clear" w:color="auto" w:fill="auto"/>
                  <w:vAlign w:val="center"/>
                </w:tcPr>
                <w:p w14:paraId="09CD9A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检测点位</w:t>
                  </w:r>
                </w:p>
              </w:tc>
              <w:tc>
                <w:tcPr>
                  <w:tcW w:w="1179" w:type="pct"/>
                  <w:tcBorders>
                    <w:top w:val="single" w:color="000000" w:sz="12" w:space="0"/>
                  </w:tcBorders>
                  <w:shd w:val="clear" w:color="auto" w:fill="auto"/>
                  <w:vAlign w:val="center"/>
                </w:tcPr>
                <w:p w14:paraId="2FBD82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检测时间</w:t>
                  </w:r>
                </w:p>
              </w:tc>
              <w:tc>
                <w:tcPr>
                  <w:tcW w:w="440" w:type="pct"/>
                  <w:tcBorders>
                    <w:top w:val="single" w:color="000000" w:sz="12" w:space="0"/>
                  </w:tcBorders>
                  <w:shd w:val="clear" w:color="auto" w:fill="auto"/>
                  <w:vAlign w:val="center"/>
                </w:tcPr>
                <w:p w14:paraId="145603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检测项目</w:t>
                  </w:r>
                </w:p>
              </w:tc>
              <w:tc>
                <w:tcPr>
                  <w:tcW w:w="722" w:type="pct"/>
                  <w:tcBorders>
                    <w:top w:val="single" w:color="000000" w:sz="12" w:space="0"/>
                  </w:tcBorders>
                  <w:shd w:val="clear" w:color="auto" w:fill="auto"/>
                  <w:vAlign w:val="center"/>
                </w:tcPr>
                <w:p w14:paraId="42DC2F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检测结果</w:t>
                  </w:r>
                </w:p>
                <w:p w14:paraId="2ABC49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eastAsia="zh-CN"/>
                    </w:rPr>
                  </w:pPr>
                  <w:bookmarkStart w:id="4" w:name="OLE_LINK69"/>
                  <w:r>
                    <w:rPr>
                      <w:rFonts w:hint="default" w:ascii="Times New Roman" w:hAnsi="Times New Roman" w:eastAsia="宋体" w:cs="Times New Roman"/>
                      <w:b w:val="0"/>
                      <w:color w:val="000000"/>
                      <w:sz w:val="21"/>
                      <w:szCs w:val="21"/>
                      <w:lang w:eastAsia="zh-CN"/>
                    </w:rPr>
                    <w:t>（</w:t>
                  </w:r>
                  <w:r>
                    <w:rPr>
                      <w:rFonts w:hint="default" w:ascii="Times New Roman" w:hAnsi="Times New Roman" w:eastAsia="宋体" w:cs="Times New Roman"/>
                      <w:b w:val="0"/>
                      <w:bCs/>
                      <w:color w:val="000000"/>
                      <w:spacing w:val="0"/>
                      <w:position w:val="0"/>
                      <w:sz w:val="21"/>
                      <w:szCs w:val="21"/>
                      <w:lang w:val="en-US" w:eastAsia="zh-CN"/>
                    </w:rPr>
                    <w:t>u</w:t>
                  </w:r>
                  <w:r>
                    <w:rPr>
                      <w:rFonts w:hint="default" w:ascii="Times New Roman" w:hAnsi="Times New Roman" w:eastAsia="宋体" w:cs="Times New Roman"/>
                      <w:b w:val="0"/>
                      <w:bCs/>
                      <w:color w:val="000000"/>
                      <w:spacing w:val="0"/>
                      <w:position w:val="0"/>
                      <w:sz w:val="21"/>
                      <w:szCs w:val="21"/>
                    </w:rPr>
                    <w:t>g/m</w:t>
                  </w:r>
                  <w:r>
                    <w:rPr>
                      <w:rFonts w:hint="default" w:ascii="Times New Roman" w:hAnsi="Times New Roman" w:eastAsia="宋体" w:cs="Times New Roman"/>
                      <w:b w:val="0"/>
                      <w:bCs/>
                      <w:color w:val="000000"/>
                      <w:spacing w:val="0"/>
                      <w:position w:val="0"/>
                      <w:sz w:val="21"/>
                      <w:szCs w:val="21"/>
                      <w:vertAlign w:val="superscript"/>
                    </w:rPr>
                    <w:t>3</w:t>
                  </w:r>
                  <w:r>
                    <w:rPr>
                      <w:rFonts w:hint="default" w:ascii="Times New Roman" w:hAnsi="Times New Roman" w:eastAsia="宋体" w:cs="Times New Roman"/>
                      <w:b w:val="0"/>
                      <w:color w:val="000000"/>
                      <w:sz w:val="21"/>
                      <w:szCs w:val="21"/>
                      <w:lang w:eastAsia="zh-CN"/>
                    </w:rPr>
                    <w:t>）</w:t>
                  </w:r>
                  <w:bookmarkEnd w:id="4"/>
                </w:p>
              </w:tc>
              <w:tc>
                <w:tcPr>
                  <w:tcW w:w="722" w:type="pct"/>
                  <w:tcBorders>
                    <w:top w:val="single" w:color="000000" w:sz="12" w:space="0"/>
                  </w:tcBorders>
                  <w:shd w:val="clear" w:color="auto" w:fill="auto"/>
                  <w:vAlign w:val="center"/>
                </w:tcPr>
                <w:p w14:paraId="2203A3A7">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指数范围</w:t>
                  </w:r>
                </w:p>
                <w:p w14:paraId="1199F9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eastAsia="zh-CN"/>
                    </w:rPr>
                    <w:t>（</w:t>
                  </w:r>
                  <w:r>
                    <w:rPr>
                      <w:rFonts w:hint="default" w:ascii="Times New Roman" w:hAnsi="Times New Roman" w:eastAsia="宋体" w:cs="Times New Roman"/>
                      <w:b w:val="0"/>
                      <w:bCs/>
                      <w:color w:val="000000"/>
                      <w:spacing w:val="0"/>
                      <w:position w:val="0"/>
                      <w:sz w:val="21"/>
                      <w:szCs w:val="21"/>
                      <w:lang w:val="en-US" w:eastAsia="zh-CN"/>
                    </w:rPr>
                    <w:t>u</w:t>
                  </w:r>
                  <w:r>
                    <w:rPr>
                      <w:rFonts w:hint="default" w:ascii="Times New Roman" w:hAnsi="Times New Roman" w:eastAsia="宋体" w:cs="Times New Roman"/>
                      <w:b w:val="0"/>
                      <w:bCs/>
                      <w:color w:val="000000"/>
                      <w:spacing w:val="0"/>
                      <w:position w:val="0"/>
                      <w:sz w:val="21"/>
                      <w:szCs w:val="21"/>
                    </w:rPr>
                    <w:t>g/m</w:t>
                  </w:r>
                  <w:r>
                    <w:rPr>
                      <w:rFonts w:hint="default" w:ascii="Times New Roman" w:hAnsi="Times New Roman" w:eastAsia="宋体" w:cs="Times New Roman"/>
                      <w:b w:val="0"/>
                      <w:bCs/>
                      <w:color w:val="000000"/>
                      <w:spacing w:val="0"/>
                      <w:position w:val="0"/>
                      <w:sz w:val="21"/>
                      <w:szCs w:val="21"/>
                      <w:vertAlign w:val="superscript"/>
                    </w:rPr>
                    <w:t>3</w:t>
                  </w:r>
                  <w:r>
                    <w:rPr>
                      <w:rFonts w:hint="default" w:ascii="Times New Roman" w:hAnsi="Times New Roman" w:eastAsia="宋体" w:cs="Times New Roman"/>
                      <w:b w:val="0"/>
                      <w:color w:val="000000"/>
                      <w:sz w:val="21"/>
                      <w:szCs w:val="21"/>
                      <w:lang w:eastAsia="zh-CN"/>
                    </w:rPr>
                    <w:t>）</w:t>
                  </w:r>
                </w:p>
              </w:tc>
              <w:tc>
                <w:tcPr>
                  <w:tcW w:w="473" w:type="pct"/>
                  <w:tcBorders>
                    <w:top w:val="single" w:color="000000" w:sz="12" w:space="0"/>
                  </w:tcBorders>
                  <w:shd w:val="clear" w:color="auto" w:fill="auto"/>
                  <w:vAlign w:val="center"/>
                </w:tcPr>
                <w:p w14:paraId="043BAE5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标准限值</w:t>
                  </w:r>
                </w:p>
              </w:tc>
              <w:tc>
                <w:tcPr>
                  <w:tcW w:w="549" w:type="pct"/>
                  <w:tcBorders>
                    <w:top w:val="single" w:color="000000" w:sz="12" w:space="0"/>
                  </w:tcBorders>
                  <w:shd w:val="clear" w:color="auto" w:fill="auto"/>
                  <w:vAlign w:val="center"/>
                </w:tcPr>
                <w:p w14:paraId="4A3266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最大占标率</w:t>
                  </w:r>
                </w:p>
              </w:tc>
              <w:tc>
                <w:tcPr>
                  <w:tcW w:w="432" w:type="pct"/>
                  <w:tcBorders>
                    <w:top w:val="single" w:color="000000" w:sz="12" w:space="0"/>
                  </w:tcBorders>
                  <w:shd w:val="clear" w:color="auto" w:fill="auto"/>
                  <w:vAlign w:val="center"/>
                </w:tcPr>
                <w:p w14:paraId="6A0395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达标情况</w:t>
                  </w:r>
                </w:p>
              </w:tc>
            </w:tr>
            <w:tr w14:paraId="2C41D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1" w:type="pct"/>
                  <w:vMerge w:val="restart"/>
                  <w:shd w:val="clear" w:color="auto" w:fill="auto"/>
                  <w:vAlign w:val="center"/>
                </w:tcPr>
                <w:p w14:paraId="5CE90B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1#厂界下风向</w:t>
                  </w:r>
                </w:p>
              </w:tc>
              <w:tc>
                <w:tcPr>
                  <w:tcW w:w="1179" w:type="pct"/>
                  <w:shd w:val="clear" w:color="auto" w:fill="auto"/>
                  <w:vAlign w:val="center"/>
                </w:tcPr>
                <w:p w14:paraId="737B31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bookmarkStart w:id="5" w:name="OLE_LINK34"/>
                  <w:r>
                    <w:rPr>
                      <w:rFonts w:hint="default" w:ascii="Times New Roman" w:hAnsi="Times New Roman" w:eastAsia="宋体" w:cs="Times New Roman"/>
                      <w:b w:val="0"/>
                      <w:color w:val="000000"/>
                      <w:sz w:val="21"/>
                      <w:szCs w:val="21"/>
                    </w:rPr>
                    <w:t>202</w:t>
                  </w:r>
                  <w:r>
                    <w:rPr>
                      <w:rFonts w:hint="eastAsia" w:ascii="Times New Roman" w:hAnsi="Times New Roman" w:eastAsia="宋体" w:cs="Times New Roman"/>
                      <w:b w:val="0"/>
                      <w:color w:val="000000"/>
                      <w:sz w:val="21"/>
                      <w:szCs w:val="21"/>
                      <w:lang w:val="en-US" w:eastAsia="zh-CN"/>
                    </w:rPr>
                    <w:t>6</w:t>
                  </w:r>
                  <w:r>
                    <w:rPr>
                      <w:rFonts w:hint="default" w:ascii="Times New Roman" w:hAnsi="Times New Roman" w:eastAsia="宋体" w:cs="Times New Roman"/>
                      <w:b w:val="0"/>
                      <w:color w:val="000000"/>
                      <w:sz w:val="21"/>
                      <w:szCs w:val="21"/>
                    </w:rPr>
                    <w:t>年</w:t>
                  </w:r>
                  <w:r>
                    <w:rPr>
                      <w:rFonts w:hint="eastAsia" w:ascii="Times New Roman" w:hAnsi="Times New Roman" w:eastAsia="宋体" w:cs="Times New Roman"/>
                      <w:b w:val="0"/>
                      <w:color w:val="000000"/>
                      <w:sz w:val="21"/>
                      <w:szCs w:val="21"/>
                      <w:lang w:val="en-US" w:eastAsia="zh-CN"/>
                    </w:rPr>
                    <w:t>05</w:t>
                  </w:r>
                  <w:r>
                    <w:rPr>
                      <w:rFonts w:hint="default" w:ascii="Times New Roman" w:hAnsi="Times New Roman" w:eastAsia="宋体" w:cs="Times New Roman"/>
                      <w:b w:val="0"/>
                      <w:color w:val="000000"/>
                      <w:sz w:val="21"/>
                      <w:szCs w:val="21"/>
                    </w:rPr>
                    <w:t>月</w:t>
                  </w:r>
                  <w:r>
                    <w:rPr>
                      <w:rFonts w:hint="eastAsia" w:cs="Times New Roman"/>
                      <w:b w:val="0"/>
                      <w:color w:val="000000"/>
                      <w:sz w:val="21"/>
                      <w:szCs w:val="21"/>
                      <w:lang w:val="en-US" w:eastAsia="zh-CN"/>
                    </w:rPr>
                    <w:t>20</w:t>
                  </w:r>
                  <w:r>
                    <w:rPr>
                      <w:rFonts w:hint="default" w:ascii="Times New Roman" w:hAnsi="Times New Roman" w:eastAsia="宋体" w:cs="Times New Roman"/>
                      <w:b w:val="0"/>
                      <w:color w:val="000000"/>
                      <w:sz w:val="21"/>
                      <w:szCs w:val="21"/>
                    </w:rPr>
                    <w:t>日</w:t>
                  </w:r>
                  <w:bookmarkEnd w:id="5"/>
                </w:p>
              </w:tc>
              <w:tc>
                <w:tcPr>
                  <w:tcW w:w="440" w:type="pct"/>
                  <w:vMerge w:val="restart"/>
                  <w:shd w:val="clear" w:color="auto" w:fill="auto"/>
                  <w:vAlign w:val="center"/>
                </w:tcPr>
                <w:p w14:paraId="5825FF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TSP</w:t>
                  </w:r>
                </w:p>
              </w:tc>
              <w:tc>
                <w:tcPr>
                  <w:tcW w:w="722" w:type="pct"/>
                  <w:shd w:val="clear" w:color="auto" w:fill="auto"/>
                  <w:vAlign w:val="center"/>
                </w:tcPr>
                <w:p w14:paraId="44D5CC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115</w:t>
                  </w:r>
                </w:p>
              </w:tc>
              <w:tc>
                <w:tcPr>
                  <w:tcW w:w="722" w:type="pct"/>
                  <w:vMerge w:val="restart"/>
                  <w:shd w:val="clear" w:color="auto" w:fill="auto"/>
                  <w:vAlign w:val="center"/>
                </w:tcPr>
                <w:p w14:paraId="3B4451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103.67</w:t>
                  </w:r>
                </w:p>
              </w:tc>
              <w:tc>
                <w:tcPr>
                  <w:tcW w:w="473" w:type="pct"/>
                  <w:vMerge w:val="restart"/>
                  <w:shd w:val="clear" w:color="auto" w:fill="auto"/>
                  <w:vAlign w:val="center"/>
                </w:tcPr>
                <w:p w14:paraId="2EB58D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300</w:t>
                  </w:r>
                </w:p>
              </w:tc>
              <w:tc>
                <w:tcPr>
                  <w:tcW w:w="549" w:type="pct"/>
                  <w:vMerge w:val="restart"/>
                  <w:shd w:val="clear" w:color="auto" w:fill="auto"/>
                  <w:vAlign w:val="center"/>
                </w:tcPr>
                <w:p w14:paraId="0637C1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34.6</w:t>
                  </w:r>
                  <w:r>
                    <w:rPr>
                      <w:rFonts w:hint="default" w:ascii="Times New Roman" w:hAnsi="Times New Roman" w:eastAsia="宋体" w:cs="Times New Roman"/>
                      <w:b w:val="0"/>
                      <w:color w:val="000000"/>
                      <w:sz w:val="21"/>
                      <w:szCs w:val="21"/>
                      <w:lang w:val="en-US" w:eastAsia="zh-CN"/>
                    </w:rPr>
                    <w:t>%</w:t>
                  </w:r>
                </w:p>
              </w:tc>
              <w:tc>
                <w:tcPr>
                  <w:tcW w:w="432" w:type="pct"/>
                  <w:vMerge w:val="restart"/>
                  <w:shd w:val="clear" w:color="auto" w:fill="auto"/>
                  <w:vAlign w:val="center"/>
                </w:tcPr>
                <w:p w14:paraId="591DBF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达标</w:t>
                  </w:r>
                </w:p>
              </w:tc>
            </w:tr>
            <w:tr w14:paraId="0BB27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1" w:type="pct"/>
                  <w:vMerge w:val="continue"/>
                  <w:shd w:val="clear" w:color="auto" w:fill="auto"/>
                  <w:vAlign w:val="center"/>
                </w:tcPr>
                <w:p w14:paraId="7894A06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c>
                <w:tcPr>
                  <w:tcW w:w="1179" w:type="pct"/>
                  <w:shd w:val="clear" w:color="auto" w:fill="auto"/>
                  <w:vAlign w:val="center"/>
                </w:tcPr>
                <w:p w14:paraId="78DA49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202</w:t>
                  </w:r>
                  <w:r>
                    <w:rPr>
                      <w:rFonts w:hint="eastAsia" w:ascii="Times New Roman" w:hAnsi="Times New Roman" w:eastAsia="宋体" w:cs="Times New Roman"/>
                      <w:b w:val="0"/>
                      <w:color w:val="000000"/>
                      <w:sz w:val="21"/>
                      <w:szCs w:val="21"/>
                      <w:lang w:val="en-US" w:eastAsia="zh-CN"/>
                    </w:rPr>
                    <w:t>6</w:t>
                  </w:r>
                  <w:r>
                    <w:rPr>
                      <w:rFonts w:hint="default" w:ascii="Times New Roman" w:hAnsi="Times New Roman" w:eastAsia="宋体" w:cs="Times New Roman"/>
                      <w:b w:val="0"/>
                      <w:color w:val="000000"/>
                      <w:sz w:val="21"/>
                      <w:szCs w:val="21"/>
                    </w:rPr>
                    <w:t>年</w:t>
                  </w:r>
                  <w:r>
                    <w:rPr>
                      <w:rFonts w:hint="eastAsia" w:ascii="Times New Roman" w:hAnsi="Times New Roman" w:eastAsia="宋体" w:cs="Times New Roman"/>
                      <w:b w:val="0"/>
                      <w:color w:val="000000"/>
                      <w:sz w:val="21"/>
                      <w:szCs w:val="21"/>
                      <w:lang w:val="en-US" w:eastAsia="zh-CN"/>
                    </w:rPr>
                    <w:t>05</w:t>
                  </w:r>
                  <w:r>
                    <w:rPr>
                      <w:rFonts w:hint="default" w:ascii="Times New Roman" w:hAnsi="Times New Roman" w:eastAsia="宋体" w:cs="Times New Roman"/>
                      <w:b w:val="0"/>
                      <w:color w:val="000000"/>
                      <w:sz w:val="21"/>
                      <w:szCs w:val="21"/>
                    </w:rPr>
                    <w:t>月</w:t>
                  </w:r>
                  <w:r>
                    <w:rPr>
                      <w:rFonts w:hint="eastAsia" w:cs="Times New Roman"/>
                      <w:b w:val="0"/>
                      <w:color w:val="000000"/>
                      <w:sz w:val="21"/>
                      <w:szCs w:val="21"/>
                      <w:lang w:val="en-US" w:eastAsia="zh-CN"/>
                    </w:rPr>
                    <w:t>21</w:t>
                  </w:r>
                  <w:r>
                    <w:rPr>
                      <w:rFonts w:hint="default" w:ascii="Times New Roman" w:hAnsi="Times New Roman" w:eastAsia="宋体" w:cs="Times New Roman"/>
                      <w:b w:val="0"/>
                      <w:color w:val="000000"/>
                      <w:sz w:val="21"/>
                      <w:szCs w:val="21"/>
                    </w:rPr>
                    <w:t>日</w:t>
                  </w:r>
                </w:p>
              </w:tc>
              <w:tc>
                <w:tcPr>
                  <w:tcW w:w="440" w:type="pct"/>
                  <w:vMerge w:val="continue"/>
                  <w:shd w:val="clear" w:color="auto" w:fill="auto"/>
                  <w:vAlign w:val="center"/>
                </w:tcPr>
                <w:p w14:paraId="695070D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c>
                <w:tcPr>
                  <w:tcW w:w="722" w:type="pct"/>
                  <w:shd w:val="clear" w:color="auto" w:fill="auto"/>
                  <w:vAlign w:val="center"/>
                </w:tcPr>
                <w:p w14:paraId="4E059B9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92</w:t>
                  </w:r>
                </w:p>
              </w:tc>
              <w:tc>
                <w:tcPr>
                  <w:tcW w:w="722" w:type="pct"/>
                  <w:vMerge w:val="continue"/>
                  <w:shd w:val="clear" w:color="auto" w:fill="auto"/>
                  <w:vAlign w:val="center"/>
                </w:tcPr>
                <w:p w14:paraId="07FC1B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473" w:type="pct"/>
                  <w:vMerge w:val="continue"/>
                  <w:shd w:val="clear" w:color="auto" w:fill="auto"/>
                  <w:vAlign w:val="center"/>
                </w:tcPr>
                <w:p w14:paraId="51BD285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c>
                <w:tcPr>
                  <w:tcW w:w="549" w:type="pct"/>
                  <w:vMerge w:val="continue"/>
                  <w:shd w:val="clear" w:color="auto" w:fill="auto"/>
                  <w:vAlign w:val="center"/>
                </w:tcPr>
                <w:p w14:paraId="36F5E90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c>
                <w:tcPr>
                  <w:tcW w:w="432" w:type="pct"/>
                  <w:vMerge w:val="continue"/>
                  <w:shd w:val="clear" w:color="auto" w:fill="auto"/>
                  <w:vAlign w:val="center"/>
                </w:tcPr>
                <w:p w14:paraId="23704E8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r>
            <w:tr w14:paraId="7BC1D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81" w:type="pct"/>
                  <w:vMerge w:val="continue"/>
                  <w:tcBorders>
                    <w:bottom w:val="single" w:color="000000" w:sz="12" w:space="0"/>
                  </w:tcBorders>
                  <w:shd w:val="clear" w:color="auto" w:fill="auto"/>
                  <w:vAlign w:val="center"/>
                </w:tcPr>
                <w:p w14:paraId="3943B5D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c>
                <w:tcPr>
                  <w:tcW w:w="1179" w:type="pct"/>
                  <w:tcBorders>
                    <w:bottom w:val="single" w:color="000000" w:sz="12" w:space="0"/>
                  </w:tcBorders>
                  <w:shd w:val="clear" w:color="auto" w:fill="auto"/>
                  <w:vAlign w:val="center"/>
                </w:tcPr>
                <w:p w14:paraId="75A4AD8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202</w:t>
                  </w:r>
                  <w:r>
                    <w:rPr>
                      <w:rFonts w:hint="eastAsia" w:ascii="Times New Roman" w:hAnsi="Times New Roman" w:eastAsia="宋体" w:cs="Times New Roman"/>
                      <w:b w:val="0"/>
                      <w:color w:val="000000"/>
                      <w:sz w:val="21"/>
                      <w:szCs w:val="21"/>
                      <w:lang w:val="en-US" w:eastAsia="zh-CN"/>
                    </w:rPr>
                    <w:t>6</w:t>
                  </w:r>
                  <w:r>
                    <w:rPr>
                      <w:rFonts w:hint="default" w:ascii="Times New Roman" w:hAnsi="Times New Roman" w:eastAsia="宋体" w:cs="Times New Roman"/>
                      <w:b w:val="0"/>
                      <w:color w:val="000000"/>
                      <w:sz w:val="21"/>
                      <w:szCs w:val="21"/>
                    </w:rPr>
                    <w:t>年</w:t>
                  </w:r>
                  <w:r>
                    <w:rPr>
                      <w:rFonts w:hint="eastAsia" w:ascii="Times New Roman" w:hAnsi="Times New Roman" w:eastAsia="宋体" w:cs="Times New Roman"/>
                      <w:b w:val="0"/>
                      <w:color w:val="000000"/>
                      <w:sz w:val="21"/>
                      <w:szCs w:val="21"/>
                      <w:lang w:val="en-US" w:eastAsia="zh-CN"/>
                    </w:rPr>
                    <w:t>05</w:t>
                  </w:r>
                  <w:r>
                    <w:rPr>
                      <w:rFonts w:hint="default" w:ascii="Times New Roman" w:hAnsi="Times New Roman" w:eastAsia="宋体" w:cs="Times New Roman"/>
                      <w:b w:val="0"/>
                      <w:color w:val="000000"/>
                      <w:sz w:val="21"/>
                      <w:szCs w:val="21"/>
                    </w:rPr>
                    <w:t>月</w:t>
                  </w:r>
                  <w:r>
                    <w:rPr>
                      <w:rFonts w:hint="eastAsia" w:cs="Times New Roman"/>
                      <w:b w:val="0"/>
                      <w:color w:val="000000"/>
                      <w:sz w:val="21"/>
                      <w:szCs w:val="21"/>
                      <w:lang w:val="en-US" w:eastAsia="zh-CN"/>
                    </w:rPr>
                    <w:t>22</w:t>
                  </w:r>
                  <w:r>
                    <w:rPr>
                      <w:rFonts w:hint="default" w:ascii="Times New Roman" w:hAnsi="Times New Roman" w:eastAsia="宋体" w:cs="Times New Roman"/>
                      <w:b w:val="0"/>
                      <w:color w:val="000000"/>
                      <w:sz w:val="21"/>
                      <w:szCs w:val="21"/>
                    </w:rPr>
                    <w:t>日</w:t>
                  </w:r>
                </w:p>
              </w:tc>
              <w:tc>
                <w:tcPr>
                  <w:tcW w:w="440" w:type="pct"/>
                  <w:vMerge w:val="continue"/>
                  <w:tcBorders>
                    <w:bottom w:val="single" w:color="000000" w:sz="12" w:space="0"/>
                  </w:tcBorders>
                  <w:shd w:val="clear" w:color="auto" w:fill="auto"/>
                  <w:vAlign w:val="center"/>
                </w:tcPr>
                <w:p w14:paraId="49A1465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c>
                <w:tcPr>
                  <w:tcW w:w="722" w:type="pct"/>
                  <w:tcBorders>
                    <w:bottom w:val="single" w:color="000000" w:sz="12" w:space="0"/>
                  </w:tcBorders>
                  <w:shd w:val="clear" w:color="auto" w:fill="auto"/>
                  <w:vAlign w:val="center"/>
                </w:tcPr>
                <w:p w14:paraId="4B146A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104</w:t>
                  </w:r>
                </w:p>
              </w:tc>
              <w:tc>
                <w:tcPr>
                  <w:tcW w:w="722" w:type="pct"/>
                  <w:vMerge w:val="continue"/>
                  <w:tcBorders>
                    <w:bottom w:val="single" w:color="000000" w:sz="12" w:space="0"/>
                  </w:tcBorders>
                  <w:shd w:val="clear" w:color="auto" w:fill="auto"/>
                  <w:vAlign w:val="center"/>
                </w:tcPr>
                <w:p w14:paraId="66566FF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lang w:val="en-US" w:eastAsia="zh-CN"/>
                    </w:rPr>
                  </w:pPr>
                </w:p>
              </w:tc>
              <w:tc>
                <w:tcPr>
                  <w:tcW w:w="473" w:type="pct"/>
                  <w:vMerge w:val="continue"/>
                  <w:tcBorders>
                    <w:bottom w:val="single" w:color="000000" w:sz="12" w:space="0"/>
                  </w:tcBorders>
                  <w:shd w:val="clear" w:color="auto" w:fill="auto"/>
                  <w:vAlign w:val="center"/>
                </w:tcPr>
                <w:p w14:paraId="106AA6B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c>
                <w:tcPr>
                  <w:tcW w:w="549" w:type="pct"/>
                  <w:vMerge w:val="continue"/>
                  <w:tcBorders>
                    <w:bottom w:val="single" w:color="000000" w:sz="12" w:space="0"/>
                  </w:tcBorders>
                  <w:shd w:val="clear" w:color="auto" w:fill="auto"/>
                  <w:vAlign w:val="center"/>
                </w:tcPr>
                <w:p w14:paraId="3891AA0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c>
                <w:tcPr>
                  <w:tcW w:w="432" w:type="pct"/>
                  <w:vMerge w:val="continue"/>
                  <w:tcBorders>
                    <w:bottom w:val="single" w:color="000000" w:sz="12" w:space="0"/>
                  </w:tcBorders>
                  <w:shd w:val="clear" w:color="auto" w:fill="auto"/>
                  <w:vAlign w:val="center"/>
                </w:tcPr>
                <w:p w14:paraId="75FD227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color w:val="000000"/>
                      <w:sz w:val="21"/>
                      <w:szCs w:val="21"/>
                    </w:rPr>
                  </w:pPr>
                </w:p>
              </w:tc>
            </w:tr>
          </w:tbl>
          <w:p w14:paraId="2B9084B3">
            <w:pPr>
              <w:rPr>
                <w:rFonts w:hint="default"/>
                <w:highlight w:val="none"/>
                <w:lang w:eastAsia="zh-CN"/>
              </w:rPr>
            </w:pPr>
          </w:p>
          <w:p w14:paraId="5B19B00D">
            <w:pPr>
              <w:pStyle w:val="45"/>
              <w:keepNext w:val="0"/>
              <w:keepLines w:val="0"/>
              <w:pageBreakBefore w:val="0"/>
              <w:kinsoku/>
              <w:wordWrap/>
              <w:overflowPunct/>
              <w:topLinePunct w:val="0"/>
              <w:autoSpaceDE/>
              <w:autoSpaceDN/>
              <w:bidi w:val="0"/>
              <w:adjustRightInd/>
              <w:spacing w:line="360" w:lineRule="auto"/>
              <w:ind w:left="0" w:leftChars="0" w:right="0" w:firstLine="452" w:firstLineChars="200"/>
              <w:textAlignment w:val="auto"/>
              <w:rPr>
                <w:rFonts w:hint="default" w:ascii="Times New Roman" w:hAnsi="Times New Roman" w:eastAsia="宋体" w:cs="Times New Roman"/>
                <w:b w:val="0"/>
                <w:bCs w:val="0"/>
                <w:spacing w:val="-7"/>
                <w:sz w:val="24"/>
                <w:szCs w:val="24"/>
                <w:highlight w:val="none"/>
              </w:rPr>
            </w:pPr>
            <w:r>
              <w:rPr>
                <w:rFonts w:hint="default" w:ascii="Times New Roman" w:hAnsi="Times New Roman" w:eastAsia="宋体" w:cs="Times New Roman"/>
                <w:b w:val="0"/>
                <w:bCs w:val="0"/>
                <w:spacing w:val="-7"/>
                <w:sz w:val="24"/>
                <w:szCs w:val="24"/>
                <w:highlight w:val="none"/>
                <w:lang w:val="en-US" w:eastAsia="zh-CN"/>
              </w:rPr>
              <w:t>由上表知，本次评价监测期间项目区内TSP日均浓度限值能够满足</w:t>
            </w:r>
            <w:r>
              <w:rPr>
                <w:rFonts w:hint="default" w:ascii="Times New Roman" w:hAnsi="Times New Roman" w:eastAsia="宋体" w:cs="Times New Roman"/>
                <w:b w:val="0"/>
                <w:bCs w:val="0"/>
                <w:kern w:val="0"/>
                <w:sz w:val="24"/>
                <w:szCs w:val="24"/>
                <w:highlight w:val="none"/>
              </w:rPr>
              <w:t>《环境空气质量标准》（GB 3095-20</w:t>
            </w:r>
            <w:r>
              <w:rPr>
                <w:rFonts w:hint="default" w:ascii="Times New Roman" w:hAnsi="Times New Roman" w:eastAsia="宋体" w:cs="Times New Roman"/>
                <w:b w:val="0"/>
                <w:bCs w:val="0"/>
                <w:kern w:val="0"/>
                <w:sz w:val="24"/>
                <w:szCs w:val="24"/>
                <w:highlight w:val="none"/>
                <w:lang w:val="en-US" w:eastAsia="zh-CN"/>
              </w:rPr>
              <w:t>26</w:t>
            </w:r>
            <w:r>
              <w:rPr>
                <w:rFonts w:hint="default" w:ascii="Times New Roman" w:hAnsi="Times New Roman" w:eastAsia="宋体" w:cs="Times New Roman"/>
                <w:b w:val="0"/>
                <w:bCs w:val="0"/>
                <w:kern w:val="0"/>
                <w:sz w:val="24"/>
                <w:szCs w:val="24"/>
                <w:highlight w:val="none"/>
              </w:rPr>
              <w:t>）中过渡阶段二级浓度限值中</w:t>
            </w:r>
            <w:r>
              <w:rPr>
                <w:rFonts w:hint="eastAsia" w:ascii="Times New Roman" w:hAnsi="Times New Roman" w:eastAsia="宋体" w:cs="Times New Roman"/>
                <w:b w:val="0"/>
                <w:bCs w:val="0"/>
                <w:kern w:val="0"/>
                <w:sz w:val="24"/>
                <w:szCs w:val="24"/>
                <w:highlight w:val="none"/>
                <w:lang w:val="en-US" w:eastAsia="zh-CN"/>
              </w:rPr>
              <w:t>的</w:t>
            </w:r>
            <w:r>
              <w:rPr>
                <w:rFonts w:hint="default" w:ascii="Times New Roman" w:hAnsi="Times New Roman" w:eastAsia="宋体" w:cs="Times New Roman"/>
                <w:b w:val="0"/>
                <w:bCs w:val="0"/>
                <w:kern w:val="0"/>
                <w:sz w:val="24"/>
                <w:szCs w:val="24"/>
                <w:highlight w:val="none"/>
              </w:rPr>
              <w:t>标准</w:t>
            </w:r>
            <w:r>
              <w:rPr>
                <w:rFonts w:hint="default" w:ascii="Times New Roman" w:hAnsi="Times New Roman" w:eastAsia="宋体" w:cs="Times New Roman"/>
                <w:b w:val="0"/>
                <w:bCs w:val="0"/>
                <w:spacing w:val="-7"/>
                <w:sz w:val="24"/>
                <w:szCs w:val="24"/>
                <w:highlight w:val="none"/>
                <w:lang w:val="en-US" w:eastAsia="zh-CN"/>
              </w:rPr>
              <w:t>要求，说明项目区环境空气质量较好。</w:t>
            </w:r>
          </w:p>
          <w:p w14:paraId="05A66AD8">
            <w:pPr>
              <w:pStyle w:val="45"/>
              <w:keepNext w:val="0"/>
              <w:keepLines w:val="0"/>
              <w:pageBreakBefore w:val="0"/>
              <w:kinsoku/>
              <w:wordWrap/>
              <w:overflowPunct/>
              <w:topLinePunct w:val="0"/>
              <w:autoSpaceDE/>
              <w:autoSpaceDN/>
              <w:bidi w:val="0"/>
              <w:adjustRightInd/>
              <w:spacing w:line="360" w:lineRule="auto"/>
              <w:ind w:left="0" w:leftChars="0" w:right="0" w:firstLine="45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7"/>
                <w:sz w:val="24"/>
                <w:szCs w:val="24"/>
              </w:rPr>
              <w:t>三、声环境质量现状监测与评价</w:t>
            </w:r>
          </w:p>
          <w:p w14:paraId="46BF01F8">
            <w:pPr>
              <w:pStyle w:val="45"/>
              <w:keepNext w:val="0"/>
              <w:keepLines w:val="0"/>
              <w:pageBreakBefore w:val="0"/>
              <w:kinsoku/>
              <w:wordWrap/>
              <w:overflowPunct/>
              <w:topLinePunct w:val="0"/>
              <w:autoSpaceDE/>
              <w:autoSpaceDN/>
              <w:bidi w:val="0"/>
              <w:adjustRightInd/>
              <w:spacing w:line="360" w:lineRule="auto"/>
              <w:ind w:left="0" w:leftChars="0" w:right="0" w:firstLine="51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本项目矿区及占地范围外周边200m范围内无声环境保护目标，参</w:t>
            </w:r>
            <w:r>
              <w:rPr>
                <w:rFonts w:hint="default" w:ascii="Times New Roman" w:hAnsi="Times New Roman" w:eastAsia="宋体" w:cs="Times New Roman"/>
                <w:spacing w:val="-2"/>
                <w:sz w:val="24"/>
                <w:szCs w:val="24"/>
              </w:rPr>
              <w:t>考《建设项目环境影响报告表编制技术指南（污</w:t>
            </w:r>
            <w:r>
              <w:rPr>
                <w:rFonts w:hint="default" w:ascii="Times New Roman" w:hAnsi="Times New Roman" w:eastAsia="宋体" w:cs="Times New Roman"/>
                <w:spacing w:val="-3"/>
                <w:sz w:val="24"/>
                <w:szCs w:val="24"/>
              </w:rPr>
              <w:t>染影响类）》（试行</w:t>
            </w:r>
            <w:r>
              <w:rPr>
                <w:rFonts w:hint="default" w:ascii="Times New Roman" w:hAnsi="Times New Roman" w:eastAsia="宋体" w:cs="Times New Roman"/>
                <w:spacing w:val="-26"/>
                <w:sz w:val="24"/>
                <w:szCs w:val="24"/>
              </w:rPr>
              <w:t>），</w:t>
            </w:r>
            <w:r>
              <w:rPr>
                <w:rFonts w:hint="default" w:ascii="Times New Roman" w:hAnsi="Times New Roman" w:eastAsia="宋体" w:cs="Times New Roman"/>
                <w:spacing w:val="-1"/>
                <w:sz w:val="24"/>
                <w:szCs w:val="24"/>
              </w:rPr>
              <w:t>可不开展声环境质量现状监测。</w:t>
            </w:r>
          </w:p>
          <w:p w14:paraId="44759BF1">
            <w:pPr>
              <w:pStyle w:val="45"/>
              <w:keepNext w:val="0"/>
              <w:keepLines w:val="0"/>
              <w:pageBreakBefore w:val="0"/>
              <w:kinsoku/>
              <w:wordWrap/>
              <w:overflowPunct/>
              <w:topLinePunct w:val="0"/>
              <w:autoSpaceDE/>
              <w:autoSpaceDN/>
              <w:bidi w:val="0"/>
              <w:adjustRightInd/>
              <w:spacing w:line="360" w:lineRule="auto"/>
              <w:ind w:left="0" w:leftChars="0" w:right="0" w:firstLine="49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lang w:val="en-US" w:eastAsia="zh-CN"/>
              </w:rPr>
              <w:t>四、</w:t>
            </w:r>
            <w:r>
              <w:rPr>
                <w:rFonts w:hint="default" w:ascii="Times New Roman" w:hAnsi="Times New Roman" w:eastAsia="宋体" w:cs="Times New Roman"/>
                <w:b/>
                <w:bCs/>
                <w:spacing w:val="4"/>
                <w:sz w:val="24"/>
                <w:szCs w:val="24"/>
              </w:rPr>
              <w:t>地下水、土壤环境质量现状调查</w:t>
            </w:r>
          </w:p>
          <w:p w14:paraId="6D01BC53">
            <w:pPr>
              <w:pStyle w:val="22"/>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（1）地下水环境质量现状</w:t>
            </w:r>
          </w:p>
          <w:p w14:paraId="4C819444">
            <w:pPr>
              <w:pStyle w:val="45"/>
              <w:keepNext w:val="0"/>
              <w:keepLines w:val="0"/>
              <w:pageBreakBefore w:val="0"/>
              <w:kinsoku/>
              <w:wordWrap/>
              <w:overflowPunct/>
              <w:topLinePunct w:val="0"/>
              <w:autoSpaceDE/>
              <w:autoSpaceDN/>
              <w:bidi w:val="0"/>
              <w:adjustRightInd/>
              <w:spacing w:line="360" w:lineRule="auto"/>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本项目属于</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非金属矿采选中的土砂石开采项目</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，正常情况下不存在地下水与土壤污染途径。根据《环境影响评价技术导则-地下水</w:t>
            </w:r>
            <w:r>
              <w:rPr>
                <w:rFonts w:hint="default" w:ascii="Times New Roman" w:hAnsi="Times New Roman" w:eastAsia="宋体" w:cs="Times New Roman"/>
                <w:spacing w:val="4"/>
                <w:sz w:val="24"/>
                <w:szCs w:val="24"/>
              </w:rPr>
              <w:t>环境》（</w:t>
            </w:r>
            <w:r>
              <w:rPr>
                <w:rFonts w:hint="default" w:ascii="Times New Roman" w:hAnsi="Times New Roman" w:eastAsia="宋体" w:cs="Times New Roman"/>
                <w:sz w:val="24"/>
                <w:szCs w:val="24"/>
              </w:rPr>
              <w:t>HJ</w:t>
            </w:r>
            <w:r>
              <w:rPr>
                <w:rFonts w:hint="default" w:ascii="Times New Roman" w:hAnsi="Times New Roman" w:eastAsia="宋体" w:cs="Times New Roman"/>
                <w:spacing w:val="4"/>
                <w:sz w:val="24"/>
                <w:szCs w:val="24"/>
              </w:rPr>
              <w:t>610-2016）附录，属于Ⅳ类建设项目，可不开展地下水环</w:t>
            </w:r>
            <w:r>
              <w:rPr>
                <w:rFonts w:hint="default" w:ascii="Times New Roman" w:hAnsi="Times New Roman" w:eastAsia="宋体" w:cs="Times New Roman"/>
                <w:spacing w:val="-1"/>
                <w:sz w:val="24"/>
                <w:szCs w:val="24"/>
              </w:rPr>
              <w:t>境影响评价。</w:t>
            </w:r>
          </w:p>
          <w:p w14:paraId="44B5281E">
            <w:pPr>
              <w:pStyle w:val="45"/>
              <w:keepNext w:val="0"/>
              <w:keepLines w:val="0"/>
              <w:pageBreakBefore w:val="0"/>
              <w:kinsoku/>
              <w:wordWrap/>
              <w:overflowPunct/>
              <w:topLinePunct w:val="0"/>
              <w:autoSpaceDE/>
              <w:autoSpaceDN/>
              <w:bidi w:val="0"/>
              <w:adjustRightInd/>
              <w:spacing w:line="360" w:lineRule="auto"/>
              <w:ind w:left="0" w:leftChars="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（2）土壤环境质量现状</w:t>
            </w:r>
          </w:p>
          <w:p w14:paraId="7ECC5E0C">
            <w:pPr>
              <w:pStyle w:val="45"/>
              <w:keepNext w:val="0"/>
              <w:keepLines w:val="0"/>
              <w:pageBreakBefore w:val="0"/>
              <w:kinsoku/>
              <w:wordWrap/>
              <w:overflowPunct/>
              <w:topLinePunct w:val="0"/>
              <w:autoSpaceDE/>
              <w:autoSpaceDN/>
              <w:bidi w:val="0"/>
              <w:adjustRightInd/>
              <w:spacing w:line="360" w:lineRule="auto"/>
              <w:ind w:left="0" w:leftChars="0" w:right="0" w:firstLine="488" w:firstLineChars="200"/>
              <w:textAlignment w:val="auto"/>
              <w:rPr>
                <w:rFonts w:hint="default" w:ascii="Times New Roman" w:hAnsi="Times New Roman" w:eastAsia="宋体" w:cs="Times New Roman"/>
                <w:spacing w:val="-7"/>
                <w:sz w:val="24"/>
                <w:szCs w:val="24"/>
              </w:rPr>
            </w:pPr>
            <w:r>
              <w:rPr>
                <w:rFonts w:hint="default" w:ascii="Times New Roman" w:hAnsi="Times New Roman" w:eastAsia="宋体" w:cs="Times New Roman"/>
                <w:spacing w:val="2"/>
                <w:sz w:val="24"/>
                <w:szCs w:val="24"/>
              </w:rPr>
              <w:t>根据《环境影响评价技术导则—土壤环境（试行）》（</w:t>
            </w:r>
            <w:r>
              <w:rPr>
                <w:rFonts w:hint="default" w:ascii="Times New Roman" w:hAnsi="Times New Roman" w:eastAsia="宋体" w:cs="Times New Roman"/>
                <w:sz w:val="24"/>
                <w:szCs w:val="24"/>
              </w:rPr>
              <w:t>HJ</w:t>
            </w:r>
            <w:r>
              <w:rPr>
                <w:rFonts w:hint="default" w:ascii="Times New Roman" w:hAnsi="Times New Roman" w:eastAsia="宋体" w:cs="Times New Roman"/>
                <w:spacing w:val="2"/>
                <w:sz w:val="24"/>
                <w:szCs w:val="24"/>
              </w:rPr>
              <w:t>964-2</w:t>
            </w:r>
            <w:r>
              <w:rPr>
                <w:rFonts w:hint="default" w:ascii="Times New Roman" w:hAnsi="Times New Roman" w:eastAsia="宋体" w:cs="Times New Roman"/>
                <w:spacing w:val="1"/>
                <w:sz w:val="24"/>
                <w:szCs w:val="24"/>
              </w:rPr>
              <w:t>018）</w:t>
            </w:r>
            <w:r>
              <w:rPr>
                <w:rFonts w:hint="default" w:ascii="Times New Roman" w:hAnsi="Times New Roman" w:eastAsia="宋体" w:cs="Times New Roman"/>
                <w:spacing w:val="-3"/>
                <w:sz w:val="24"/>
                <w:szCs w:val="24"/>
              </w:rPr>
              <w:t>附录A土壤环境影响评价项目类别，本项目属于</w:t>
            </w:r>
            <w:r>
              <w:rPr>
                <w:rFonts w:hint="default" w:ascii="Times New Roman" w:hAnsi="Times New Roman" w:eastAsia="宋体" w:cs="Times New Roman"/>
                <w:color w:val="auto"/>
                <w:spacing w:val="-3"/>
                <w:sz w:val="24"/>
                <w:szCs w:val="24"/>
              </w:rPr>
              <w:t>“采</w:t>
            </w:r>
            <w:r>
              <w:rPr>
                <w:rFonts w:hint="default" w:ascii="Times New Roman" w:hAnsi="Times New Roman" w:eastAsia="宋体" w:cs="Times New Roman"/>
                <w:color w:val="auto"/>
                <w:spacing w:val="-4"/>
                <w:sz w:val="24"/>
                <w:szCs w:val="24"/>
              </w:rPr>
              <w:t>矿业—其他”类别，</w:t>
            </w:r>
            <w:r>
              <w:rPr>
                <w:rFonts w:hint="default" w:ascii="Times New Roman" w:hAnsi="Times New Roman" w:eastAsia="宋体" w:cs="Times New Roman"/>
                <w:spacing w:val="-6"/>
                <w:sz w:val="24"/>
                <w:szCs w:val="24"/>
              </w:rPr>
              <w:t>土壤环境影响评价项目类别为</w:t>
            </w:r>
            <w:r>
              <w:rPr>
                <w:rFonts w:hint="default" w:ascii="Times New Roman" w:hAnsi="Times New Roman" w:eastAsia="宋体" w:cs="Times New Roman"/>
                <w:b w:val="0"/>
                <w:bCs w:val="0"/>
                <w:spacing w:val="-6"/>
                <w:sz w:val="24"/>
                <w:szCs w:val="24"/>
              </w:rPr>
              <w:t>Ⅲ</w:t>
            </w:r>
            <w:r>
              <w:rPr>
                <w:rFonts w:hint="default" w:ascii="Times New Roman" w:hAnsi="Times New Roman" w:eastAsia="宋体" w:cs="Times New Roman"/>
                <w:spacing w:val="-6"/>
                <w:sz w:val="24"/>
                <w:szCs w:val="24"/>
              </w:rPr>
              <w:t>类，具体见表3</w:t>
            </w:r>
            <w:r>
              <w:rPr>
                <w:rFonts w:hint="default" w:ascii="Times New Roman" w:hAnsi="Times New Roman" w:eastAsia="宋体" w:cs="Times New Roman"/>
                <w:spacing w:val="-7"/>
                <w:sz w:val="24"/>
                <w:szCs w:val="24"/>
              </w:rPr>
              <w:t>-7。</w:t>
            </w:r>
          </w:p>
          <w:p w14:paraId="03E0E3EC">
            <w:pPr>
              <w:pStyle w:val="8"/>
              <w:rPr>
                <w:rFonts w:hint="default" w:ascii="Times New Roman" w:hAnsi="Times New Roman" w:cs="Times New Roman"/>
                <w:sz w:val="21"/>
                <w:szCs w:val="21"/>
                <w:lang w:eastAsia="zh-CN"/>
              </w:rPr>
            </w:pPr>
            <w:r>
              <w:rPr>
                <w:rFonts w:hint="default" w:ascii="Times New Roman" w:hAnsi="Times New Roman" w:eastAsia="宋体" w:cs="Times New Roman"/>
                <w:b/>
                <w:bCs/>
                <w:spacing w:val="-5"/>
                <w:sz w:val="21"/>
                <w:szCs w:val="21"/>
              </w:rPr>
              <w:t>表</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b/>
                <w:bCs/>
                <w:spacing w:val="-5"/>
                <w:sz w:val="21"/>
                <w:szCs w:val="21"/>
              </w:rPr>
              <w:t>3-</w:t>
            </w:r>
            <w:r>
              <w:rPr>
                <w:rFonts w:hint="eastAsia" w:ascii="Times New Roman" w:hAnsi="Times New Roman" w:eastAsia="宋体" w:cs="Times New Roman"/>
                <w:b/>
                <w:bCs/>
                <w:spacing w:val="-5"/>
                <w:sz w:val="21"/>
                <w:szCs w:val="21"/>
                <w:lang w:val="en-US" w:eastAsia="zh-CN"/>
              </w:rPr>
              <w:t>7</w:t>
            </w:r>
            <w:r>
              <w:rPr>
                <w:rFonts w:hint="default" w:ascii="Times New Roman" w:hAnsi="Times New Roman" w:eastAsia="宋体" w:cs="Times New Roman"/>
                <w:b/>
                <w:bCs/>
                <w:spacing w:val="35"/>
                <w:sz w:val="21"/>
                <w:szCs w:val="21"/>
              </w:rPr>
              <w:t xml:space="preserve"> </w:t>
            </w:r>
            <w:r>
              <w:rPr>
                <w:rFonts w:hint="eastAsia" w:ascii="Times New Roman" w:hAnsi="Times New Roman" w:eastAsia="宋体" w:cs="Times New Roman"/>
                <w:b/>
                <w:bCs/>
                <w:spacing w:val="35"/>
                <w:sz w:val="21"/>
                <w:szCs w:val="21"/>
                <w:lang w:val="en-US" w:eastAsia="zh-CN"/>
              </w:rPr>
              <w:t xml:space="preserve">  </w:t>
            </w:r>
            <w:r>
              <w:rPr>
                <w:rFonts w:hint="default" w:ascii="Times New Roman" w:hAnsi="Times New Roman" w:cs="Times New Roman"/>
                <w:sz w:val="21"/>
                <w:szCs w:val="21"/>
                <w:lang w:eastAsia="zh-CN"/>
              </w:rPr>
              <w:t>土壤环境影响评价项目类别判据表</w:t>
            </w:r>
          </w:p>
          <w:tbl>
            <w:tblPr>
              <w:tblStyle w:val="46"/>
              <w:tblpPr w:leftFromText="180" w:rightFromText="180" w:vertAnchor="text" w:horzAnchor="page" w:tblpX="161" w:tblpY="187"/>
              <w:tblOverlap w:val="never"/>
              <w:tblW w:w="4901" w:type="pct"/>
              <w:tblInd w:w="0" w:type="dxa"/>
              <w:tblBorders>
                <w:top w:val="single" w:color="000000" w:sz="4" w:space="0"/>
                <w:left w:val="none" w:color="auto" w:sz="0" w:space="0"/>
                <w:bottom w:val="single" w:color="000000" w:sz="4" w:space="0"/>
                <w:right w:val="none" w:color="auto" w:sz="0"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42"/>
              <w:gridCol w:w="1890"/>
              <w:gridCol w:w="3814"/>
              <w:gridCol w:w="648"/>
              <w:gridCol w:w="585"/>
            </w:tblGrid>
            <w:tr w14:paraId="68C9D726">
              <w:tblPrEx>
                <w:tblBorders>
                  <w:top w:val="single" w:color="000000" w:sz="4" w:space="0"/>
                  <w:left w:val="none" w:color="auto" w:sz="0" w:space="0"/>
                  <w:bottom w:val="sing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597" w:type="pct"/>
                  <w:vMerge w:val="restart"/>
                  <w:tcBorders>
                    <w:top w:val="single" w:color="000000" w:sz="12" w:space="0"/>
                    <w:tl2br w:val="nil"/>
                  </w:tcBorders>
                  <w:shd w:val="clear" w:color="auto" w:fill="auto"/>
                  <w:noWrap w:val="0"/>
                  <w:vAlign w:val="center"/>
                </w:tcPr>
                <w:p w14:paraId="191034A8">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行业类别</w:t>
                  </w:r>
                </w:p>
              </w:tc>
              <w:tc>
                <w:tcPr>
                  <w:tcW w:w="4402" w:type="pct"/>
                  <w:gridSpan w:val="4"/>
                  <w:tcBorders>
                    <w:top w:val="single" w:color="000000" w:sz="12" w:space="0"/>
                  </w:tcBorders>
                  <w:shd w:val="clear" w:color="auto" w:fill="auto"/>
                  <w:noWrap w:val="0"/>
                  <w:vAlign w:val="center"/>
                </w:tcPr>
                <w:p w14:paraId="4ADAEA01">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项目类别</w:t>
                  </w:r>
                </w:p>
              </w:tc>
            </w:tr>
            <w:tr w14:paraId="2FBF6FC0">
              <w:tblPrEx>
                <w:tblBorders>
                  <w:top w:val="single" w:color="000000" w:sz="4" w:space="0"/>
                  <w:left w:val="none" w:color="auto" w:sz="0" w:space="0"/>
                  <w:bottom w:val="single" w:color="000000"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273" w:hRule="atLeast"/>
              </w:trPr>
              <w:tc>
                <w:tcPr>
                  <w:tcW w:w="597" w:type="pct"/>
                  <w:vMerge w:val="continue"/>
                  <w:shd w:val="clear" w:color="auto" w:fill="auto"/>
                  <w:noWrap w:val="0"/>
                  <w:vAlign w:val="center"/>
                </w:tcPr>
                <w:p w14:paraId="7CBF2399">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p>
              </w:tc>
              <w:tc>
                <w:tcPr>
                  <w:tcW w:w="1199" w:type="pct"/>
                  <w:shd w:val="clear" w:color="auto" w:fill="auto"/>
                  <w:noWrap w:val="0"/>
                  <w:vAlign w:val="center"/>
                </w:tcPr>
                <w:p w14:paraId="766D7A13">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Ⅰ类</w:t>
                  </w:r>
                </w:p>
              </w:tc>
              <w:tc>
                <w:tcPr>
                  <w:tcW w:w="2420" w:type="pct"/>
                  <w:shd w:val="clear" w:color="auto" w:fill="auto"/>
                  <w:noWrap w:val="0"/>
                  <w:vAlign w:val="center"/>
                </w:tcPr>
                <w:p w14:paraId="4B842417">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Ⅱ类</w:t>
                  </w:r>
                </w:p>
              </w:tc>
              <w:tc>
                <w:tcPr>
                  <w:tcW w:w="411" w:type="pct"/>
                  <w:shd w:val="clear" w:color="auto" w:fill="auto"/>
                  <w:noWrap w:val="0"/>
                  <w:vAlign w:val="center"/>
                </w:tcPr>
                <w:p w14:paraId="00FC59F1">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Ⅲ类</w:t>
                  </w:r>
                </w:p>
              </w:tc>
              <w:tc>
                <w:tcPr>
                  <w:tcW w:w="371" w:type="pct"/>
                  <w:shd w:val="clear" w:color="auto" w:fill="auto"/>
                  <w:noWrap w:val="0"/>
                  <w:vAlign w:val="center"/>
                </w:tcPr>
                <w:p w14:paraId="26799E69">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Ⅳ类</w:t>
                  </w:r>
                </w:p>
              </w:tc>
            </w:tr>
            <w:tr w14:paraId="39EDC32F">
              <w:tblPrEx>
                <w:tblBorders>
                  <w:top w:val="single" w:color="000000" w:sz="4" w:space="0"/>
                  <w:left w:val="none" w:color="auto" w:sz="0" w:space="0"/>
                  <w:bottom w:val="single" w:color="000000" w:sz="4"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trHeight w:val="828" w:hRule="atLeast"/>
              </w:trPr>
              <w:tc>
                <w:tcPr>
                  <w:tcW w:w="597" w:type="pct"/>
                  <w:tcBorders>
                    <w:bottom w:val="single" w:color="000000" w:sz="12" w:space="0"/>
                  </w:tcBorders>
                  <w:shd w:val="clear" w:color="auto" w:fill="auto"/>
                  <w:noWrap w:val="0"/>
                  <w:vAlign w:val="center"/>
                </w:tcPr>
                <w:p w14:paraId="7DD2CCBA">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采矿业</w:t>
                  </w:r>
                </w:p>
              </w:tc>
              <w:tc>
                <w:tcPr>
                  <w:tcW w:w="1199" w:type="pct"/>
                  <w:tcBorders>
                    <w:bottom w:val="single" w:color="000000" w:sz="12" w:space="0"/>
                  </w:tcBorders>
                  <w:shd w:val="clear" w:color="auto" w:fill="auto"/>
                  <w:noWrap w:val="0"/>
                  <w:vAlign w:val="center"/>
                </w:tcPr>
                <w:p w14:paraId="637A6608">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金属矿、石油、页岩油开采</w:t>
                  </w:r>
                </w:p>
              </w:tc>
              <w:tc>
                <w:tcPr>
                  <w:tcW w:w="2420" w:type="pct"/>
                  <w:tcBorders>
                    <w:bottom w:val="single" w:color="000000" w:sz="12" w:space="0"/>
                  </w:tcBorders>
                  <w:shd w:val="clear" w:color="auto" w:fill="auto"/>
                  <w:noWrap w:val="0"/>
                  <w:vAlign w:val="center"/>
                </w:tcPr>
                <w:p w14:paraId="5B531084">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化学矿采选；石棉矿采选；煤 矿采选、天然气开采、页岩气 开采、砂岩气开采、煤层气开采（含净化、液化）</w:t>
                  </w:r>
                </w:p>
              </w:tc>
              <w:tc>
                <w:tcPr>
                  <w:tcW w:w="411" w:type="pct"/>
                  <w:tcBorders>
                    <w:bottom w:val="single" w:color="000000" w:sz="12" w:space="0"/>
                  </w:tcBorders>
                  <w:shd w:val="clear" w:color="auto" w:fill="auto"/>
                  <w:noWrap w:val="0"/>
                  <w:vAlign w:val="center"/>
                </w:tcPr>
                <w:p w14:paraId="01D35CF1">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其他</w:t>
                  </w:r>
                </w:p>
              </w:tc>
              <w:tc>
                <w:tcPr>
                  <w:tcW w:w="371" w:type="pct"/>
                  <w:tcBorders>
                    <w:bottom w:val="single" w:color="000000" w:sz="12" w:space="0"/>
                  </w:tcBorders>
                  <w:shd w:val="clear" w:color="auto" w:fill="auto"/>
                  <w:noWrap w:val="0"/>
                  <w:vAlign w:val="center"/>
                </w:tcPr>
                <w:p w14:paraId="451A0BE4">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p>
              </w:tc>
            </w:tr>
          </w:tbl>
          <w:p w14:paraId="036C220B">
            <w:pPr>
              <w:rPr>
                <w:rFonts w:hint="default"/>
              </w:rPr>
            </w:pPr>
          </w:p>
          <w:p w14:paraId="353D175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本次环评委托甘肃领越检测技术有限公司对项目矿区土壤</w:t>
            </w:r>
            <w:r>
              <w:rPr>
                <w:rFonts w:hint="default" w:ascii="Times New Roman" w:hAnsi="Times New Roman" w:eastAsia="宋体" w:cs="Times New Roman"/>
                <w:spacing w:val="2"/>
                <w:sz w:val="24"/>
                <w:szCs w:val="24"/>
              </w:rPr>
              <w:t>环境质量进行</w:t>
            </w:r>
            <w:r>
              <w:rPr>
                <w:rFonts w:hint="default" w:ascii="Times New Roman" w:hAnsi="Times New Roman" w:eastAsia="宋体" w:cs="Times New Roman"/>
                <w:spacing w:val="-5"/>
                <w:sz w:val="24"/>
                <w:szCs w:val="24"/>
              </w:rPr>
              <w:t>了现状监测。</w:t>
            </w:r>
          </w:p>
          <w:p w14:paraId="76AEAA4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1）监测点位及监测项目</w:t>
            </w:r>
          </w:p>
          <w:p w14:paraId="02F658BE">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土壤环境质量现状监测共布设3个表层样点，监测点位</w:t>
            </w:r>
            <w:r>
              <w:rPr>
                <w:rFonts w:hint="default" w:ascii="Times New Roman" w:hAnsi="Times New Roman" w:eastAsia="宋体" w:cs="Times New Roman"/>
                <w:spacing w:val="1"/>
                <w:sz w:val="24"/>
                <w:szCs w:val="24"/>
              </w:rPr>
              <w:t>及监测项目</w:t>
            </w:r>
            <w:r>
              <w:rPr>
                <w:rFonts w:hint="default" w:ascii="Times New Roman" w:hAnsi="Times New Roman" w:eastAsia="宋体" w:cs="Times New Roman"/>
                <w:spacing w:val="2"/>
                <w:sz w:val="24"/>
                <w:szCs w:val="24"/>
              </w:rPr>
              <w:t>见表3-8；</w:t>
            </w:r>
          </w:p>
          <w:p w14:paraId="68A147CB">
            <w:pPr>
              <w:pStyle w:val="22"/>
              <w:keepNext w:val="0"/>
              <w:keepLines w:val="0"/>
              <w:pageBreakBefore w:val="0"/>
              <w:kinsoku/>
              <w:wordWrap/>
              <w:overflowPunct/>
              <w:topLinePunct w:val="0"/>
              <w:autoSpaceDE/>
              <w:autoSpaceDN/>
              <w:bidi w:val="0"/>
              <w:spacing w:before="0" w:after="0" w:line="360" w:lineRule="auto"/>
              <w:ind w:left="0" w:leftChars="0" w:right="0" w:firstLine="430" w:firstLineChars="200"/>
              <w:jc w:val="center"/>
              <w:textAlignment w:val="auto"/>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表 3-8   土壤环境质量现状监测点位及频次</w:t>
            </w:r>
          </w:p>
          <w:tbl>
            <w:tblPr>
              <w:tblStyle w:val="23"/>
              <w:tblW w:w="795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3"/>
              <w:gridCol w:w="1135"/>
              <w:gridCol w:w="1996"/>
              <w:gridCol w:w="4114"/>
            </w:tblGrid>
            <w:tr w14:paraId="3E76CA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8" w:hRule="atLeast"/>
              </w:trPr>
              <w:tc>
                <w:tcPr>
                  <w:tcW w:w="713" w:type="dxa"/>
                  <w:tcBorders>
                    <w:top w:val="single" w:color="000000" w:sz="12" w:space="0"/>
                    <w:tl2br w:val="nil"/>
                    <w:tr2bl w:val="nil"/>
                  </w:tcBorders>
                  <w:shd w:val="clear" w:color="auto" w:fill="auto"/>
                  <w:noWrap w:val="0"/>
                  <w:vAlign w:val="center"/>
                </w:tcPr>
                <w:p w14:paraId="33A97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编号</w:t>
                  </w:r>
                </w:p>
              </w:tc>
              <w:tc>
                <w:tcPr>
                  <w:tcW w:w="1135" w:type="dxa"/>
                  <w:tcBorders>
                    <w:top w:val="single" w:color="000000" w:sz="12" w:space="0"/>
                    <w:tl2br w:val="nil"/>
                    <w:tr2bl w:val="nil"/>
                  </w:tcBorders>
                  <w:shd w:val="clear" w:color="auto" w:fill="auto"/>
                  <w:noWrap w:val="0"/>
                  <w:vAlign w:val="center"/>
                </w:tcPr>
                <w:p w14:paraId="7EE38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监测点名称</w:t>
                  </w:r>
                </w:p>
              </w:tc>
              <w:tc>
                <w:tcPr>
                  <w:tcW w:w="1996" w:type="dxa"/>
                  <w:tcBorders>
                    <w:top w:val="single" w:color="000000" w:sz="12" w:space="0"/>
                    <w:tl2br w:val="nil"/>
                    <w:tr2bl w:val="nil"/>
                  </w:tcBorders>
                  <w:shd w:val="clear" w:color="auto" w:fill="auto"/>
                  <w:noWrap w:val="0"/>
                  <w:vAlign w:val="center"/>
                </w:tcPr>
                <w:p w14:paraId="1BE440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采样要求</w:t>
                  </w:r>
                </w:p>
              </w:tc>
              <w:tc>
                <w:tcPr>
                  <w:tcW w:w="4114" w:type="dxa"/>
                  <w:tcBorders>
                    <w:top w:val="single" w:color="000000" w:sz="12" w:space="0"/>
                    <w:tl2br w:val="nil"/>
                    <w:tr2bl w:val="nil"/>
                  </w:tcBorders>
                  <w:shd w:val="clear" w:color="auto" w:fill="auto"/>
                  <w:noWrap w:val="0"/>
                  <w:vAlign w:val="center"/>
                </w:tcPr>
                <w:p w14:paraId="06667B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监测项目</w:t>
                  </w:r>
                </w:p>
              </w:tc>
            </w:tr>
            <w:tr w14:paraId="47476B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0" w:hRule="atLeast"/>
              </w:trPr>
              <w:tc>
                <w:tcPr>
                  <w:tcW w:w="713" w:type="dxa"/>
                  <w:tcBorders>
                    <w:tl2br w:val="nil"/>
                    <w:tr2bl w:val="nil"/>
                  </w:tcBorders>
                  <w:shd w:val="clear" w:color="auto" w:fill="auto"/>
                  <w:noWrap w:val="0"/>
                  <w:vAlign w:val="center"/>
                </w:tcPr>
                <w:p w14:paraId="23B561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1</w:t>
                  </w:r>
                  <w:r>
                    <w:rPr>
                      <w:rFonts w:hint="default" w:ascii="Times New Roman" w:hAnsi="Times New Roman" w:cs="Times New Roman"/>
                      <w:b w:val="0"/>
                      <w:color w:val="000000" w:themeColor="text1"/>
                      <w:sz w:val="21"/>
                      <w:szCs w:val="21"/>
                      <w:vertAlign w:val="baseline"/>
                      <w14:textFill>
                        <w14:solidFill>
                          <w14:schemeClr w14:val="tx1"/>
                        </w14:solidFill>
                      </w14:textFill>
                    </w:rPr>
                    <w:t>#</w:t>
                  </w:r>
                </w:p>
              </w:tc>
              <w:tc>
                <w:tcPr>
                  <w:tcW w:w="1135" w:type="dxa"/>
                  <w:tcBorders>
                    <w:tl2br w:val="nil"/>
                    <w:tr2bl w:val="nil"/>
                  </w:tcBorders>
                  <w:shd w:val="clear" w:color="auto" w:fill="auto"/>
                  <w:noWrap w:val="0"/>
                  <w:vAlign w:val="center"/>
                </w:tcPr>
                <w:p w14:paraId="38C85A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eastAsia" w:ascii="宋体" w:hAnsi="宋体" w:cs="宋体"/>
                      <w:b w:val="0"/>
                      <w:color w:val="000000"/>
                      <w:szCs w:val="21"/>
                      <w:lang w:val="en-US" w:eastAsia="zh-CN"/>
                    </w:rPr>
                    <w:t>矿区西北侧</w:t>
                  </w:r>
                </w:p>
              </w:tc>
              <w:tc>
                <w:tcPr>
                  <w:tcW w:w="1996" w:type="dxa"/>
                  <w:tcBorders>
                    <w:tl2br w:val="nil"/>
                    <w:tr2bl w:val="nil"/>
                  </w:tcBorders>
                  <w:shd w:val="clear" w:color="auto" w:fill="auto"/>
                  <w:noWrap w:val="0"/>
                  <w:vAlign w:val="center"/>
                </w:tcPr>
                <w:p w14:paraId="62483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themeColor="text1"/>
                      <w:sz w:val="21"/>
                      <w:szCs w:val="21"/>
                      <w:lang w:eastAsia="zh-CN"/>
                      <w14:textFill>
                        <w14:solidFill>
                          <w14:schemeClr w14:val="tx1"/>
                        </w14:solidFill>
                      </w14:textFill>
                    </w:rPr>
                  </w:pPr>
                  <w:r>
                    <w:rPr>
                      <w:rFonts w:hint="default" w:ascii="Times New Roman" w:hAnsi="Times New Roman" w:cs="Times New Roman"/>
                      <w:b w:val="0"/>
                      <w:color w:val="000000" w:themeColor="text1"/>
                      <w:sz w:val="21"/>
                      <w:szCs w:val="21"/>
                      <w:lang w:val="de-DE"/>
                      <w14:textFill>
                        <w14:solidFill>
                          <w14:schemeClr w14:val="tx1"/>
                        </w14:solidFill>
                      </w14:textFill>
                    </w:rPr>
                    <w:t>表层样</w:t>
                  </w:r>
                  <w:r>
                    <w:rPr>
                      <w:rFonts w:hint="default" w:ascii="Times New Roman" w:hAnsi="Times New Roman" w:cs="Times New Roman"/>
                      <w:b w:val="0"/>
                      <w:color w:val="000000" w:themeColor="text1"/>
                      <w:sz w:val="21"/>
                      <w:szCs w:val="21"/>
                      <w:lang w:val="de-DE" w:eastAsia="zh-CN"/>
                      <w14:textFill>
                        <w14:solidFill>
                          <w14:schemeClr w14:val="tx1"/>
                        </w14:solidFill>
                      </w14:textFill>
                    </w:rPr>
                    <w:t>（</w:t>
                  </w:r>
                  <w:r>
                    <w:rPr>
                      <w:rFonts w:hint="default" w:ascii="Times New Roman" w:hAnsi="Times New Roman" w:cs="Times New Roman"/>
                      <w:b w:val="0"/>
                      <w:color w:val="000000" w:themeColor="text1"/>
                      <w:sz w:val="21"/>
                      <w:szCs w:val="21"/>
                      <w:lang w:val="en-US" w:eastAsia="zh-CN"/>
                      <w14:textFill>
                        <w14:solidFill>
                          <w14:schemeClr w14:val="tx1"/>
                        </w14:solidFill>
                      </w14:textFill>
                    </w:rPr>
                    <w:t>0~0.</w:t>
                  </w:r>
                  <w:r>
                    <w:rPr>
                      <w:rFonts w:hint="eastAsia" w:ascii="Times New Roman" w:hAnsi="Times New Roman" w:cs="Times New Roman"/>
                      <w:b w:val="0"/>
                      <w:color w:val="000000" w:themeColor="text1"/>
                      <w:sz w:val="21"/>
                      <w:szCs w:val="21"/>
                      <w:lang w:val="en-US" w:eastAsia="zh-CN"/>
                      <w14:textFill>
                        <w14:solidFill>
                          <w14:schemeClr w14:val="tx1"/>
                        </w14:solidFill>
                      </w14:textFill>
                    </w:rPr>
                    <w:t>5</w:t>
                  </w:r>
                  <w:r>
                    <w:rPr>
                      <w:rFonts w:hint="default" w:ascii="Times New Roman" w:hAnsi="Times New Roman" w:cs="Times New Roman"/>
                      <w:b w:val="0"/>
                      <w:color w:val="000000" w:themeColor="text1"/>
                      <w:sz w:val="21"/>
                      <w:szCs w:val="21"/>
                      <w:lang w:val="en-US" w:eastAsia="zh-CN"/>
                      <w14:textFill>
                        <w14:solidFill>
                          <w14:schemeClr w14:val="tx1"/>
                        </w14:solidFill>
                      </w14:textFill>
                    </w:rPr>
                    <w:t>m</w:t>
                  </w:r>
                  <w:r>
                    <w:rPr>
                      <w:rFonts w:hint="default" w:ascii="Times New Roman" w:hAnsi="Times New Roman" w:cs="Times New Roman"/>
                      <w:b w:val="0"/>
                      <w:color w:val="000000" w:themeColor="text1"/>
                      <w:sz w:val="21"/>
                      <w:szCs w:val="21"/>
                      <w:lang w:val="de-DE" w:eastAsia="zh-CN"/>
                      <w14:textFill>
                        <w14:solidFill>
                          <w14:schemeClr w14:val="tx1"/>
                        </w14:solidFill>
                      </w14:textFill>
                    </w:rPr>
                    <w:t>）</w:t>
                  </w:r>
                </w:p>
              </w:tc>
              <w:tc>
                <w:tcPr>
                  <w:tcW w:w="4114" w:type="dxa"/>
                  <w:tcBorders>
                    <w:tl2br w:val="nil"/>
                    <w:tr2bl w:val="nil"/>
                  </w:tcBorders>
                  <w:shd w:val="clear" w:color="auto" w:fill="auto"/>
                  <w:noWrap w:val="0"/>
                  <w:vAlign w:val="center"/>
                </w:tcPr>
                <w:p w14:paraId="12B91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pH值、全盐量、石油烃（C10-C40）</w:t>
                  </w:r>
                </w:p>
              </w:tc>
            </w:tr>
            <w:tr w14:paraId="04D1E7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atLeast"/>
              </w:trPr>
              <w:tc>
                <w:tcPr>
                  <w:tcW w:w="713" w:type="dxa"/>
                  <w:tcBorders>
                    <w:tl2br w:val="nil"/>
                    <w:tr2bl w:val="nil"/>
                  </w:tcBorders>
                  <w:shd w:val="clear" w:color="auto" w:fill="auto"/>
                  <w:noWrap w:val="0"/>
                  <w:vAlign w:val="center"/>
                </w:tcPr>
                <w:p w14:paraId="69342F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vertAlign w:val="baseline"/>
                      <w:lang w:val="en-US" w:eastAsia="zh-CN"/>
                      <w14:textFill>
                        <w14:solidFill>
                          <w14:schemeClr w14:val="tx1"/>
                        </w14:solidFill>
                      </w14:textFill>
                    </w:rPr>
                    <w:t>2</w:t>
                  </w:r>
                  <w:r>
                    <w:rPr>
                      <w:rFonts w:hint="default" w:ascii="Times New Roman" w:hAnsi="Times New Roman" w:cs="Times New Roman"/>
                      <w:b w:val="0"/>
                      <w:color w:val="000000" w:themeColor="text1"/>
                      <w:sz w:val="21"/>
                      <w:szCs w:val="21"/>
                      <w:vertAlign w:val="baseline"/>
                      <w14:textFill>
                        <w14:solidFill>
                          <w14:schemeClr w14:val="tx1"/>
                        </w14:solidFill>
                      </w14:textFill>
                    </w:rPr>
                    <w:t>#</w:t>
                  </w:r>
                </w:p>
              </w:tc>
              <w:tc>
                <w:tcPr>
                  <w:tcW w:w="1135" w:type="dxa"/>
                  <w:tcBorders>
                    <w:tl2br w:val="nil"/>
                    <w:tr2bl w:val="nil"/>
                  </w:tcBorders>
                  <w:shd w:val="clear" w:color="auto" w:fill="auto"/>
                  <w:noWrap w:val="0"/>
                  <w:vAlign w:val="center"/>
                </w:tcPr>
                <w:p w14:paraId="34CD7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sz w:val="21"/>
                      <w:szCs w:val="21"/>
                      <w:lang w:val="en-US" w:eastAsia="zh-CN"/>
                    </w:rPr>
                  </w:pPr>
                  <w:r>
                    <w:rPr>
                      <w:rFonts w:hint="default" w:ascii="宋体" w:hAnsi="宋体" w:eastAsia="宋体" w:cs="宋体"/>
                      <w:b w:val="0"/>
                      <w:color w:val="000000"/>
                      <w:szCs w:val="21"/>
                      <w:lang w:val="en-US" w:eastAsia="zh-CN"/>
                    </w:rPr>
                    <w:t>矿区</w:t>
                  </w:r>
                  <w:r>
                    <w:rPr>
                      <w:rFonts w:hint="eastAsia" w:ascii="宋体" w:hAnsi="宋体" w:eastAsia="宋体" w:cs="宋体"/>
                      <w:b w:val="0"/>
                      <w:color w:val="000000"/>
                      <w:szCs w:val="21"/>
                      <w:lang w:val="en-US" w:eastAsia="zh-CN"/>
                    </w:rPr>
                    <w:t>中心</w:t>
                  </w:r>
                </w:p>
              </w:tc>
              <w:tc>
                <w:tcPr>
                  <w:tcW w:w="1996" w:type="dxa"/>
                  <w:tcBorders>
                    <w:tl2br w:val="nil"/>
                    <w:tr2bl w:val="nil"/>
                  </w:tcBorders>
                  <w:shd w:val="clear" w:color="auto" w:fill="auto"/>
                  <w:noWrap w:val="0"/>
                  <w:vAlign w:val="center"/>
                </w:tcPr>
                <w:p w14:paraId="39367A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lang w:val="de-DE"/>
                      <w14:textFill>
                        <w14:solidFill>
                          <w14:schemeClr w14:val="tx1"/>
                        </w14:solidFill>
                      </w14:textFill>
                    </w:rPr>
                  </w:pPr>
                  <w:r>
                    <w:rPr>
                      <w:rFonts w:hint="default" w:ascii="Times New Roman" w:hAnsi="Times New Roman" w:cs="Times New Roman"/>
                      <w:b w:val="0"/>
                      <w:color w:val="000000" w:themeColor="text1"/>
                      <w:sz w:val="21"/>
                      <w:szCs w:val="21"/>
                      <w:lang w:val="de-DE"/>
                      <w14:textFill>
                        <w14:solidFill>
                          <w14:schemeClr w14:val="tx1"/>
                        </w14:solidFill>
                      </w14:textFill>
                    </w:rPr>
                    <w:t>表层样</w:t>
                  </w:r>
                  <w:r>
                    <w:rPr>
                      <w:rFonts w:hint="default" w:ascii="Times New Roman" w:hAnsi="Times New Roman" w:cs="Times New Roman"/>
                      <w:b w:val="0"/>
                      <w:color w:val="000000" w:themeColor="text1"/>
                      <w:sz w:val="21"/>
                      <w:szCs w:val="21"/>
                      <w:lang w:val="de-DE" w:eastAsia="zh-CN"/>
                      <w14:textFill>
                        <w14:solidFill>
                          <w14:schemeClr w14:val="tx1"/>
                        </w14:solidFill>
                      </w14:textFill>
                    </w:rPr>
                    <w:t>（</w:t>
                  </w:r>
                  <w:r>
                    <w:rPr>
                      <w:rFonts w:hint="default" w:ascii="Times New Roman" w:hAnsi="Times New Roman" w:cs="Times New Roman"/>
                      <w:b w:val="0"/>
                      <w:color w:val="000000" w:themeColor="text1"/>
                      <w:sz w:val="21"/>
                      <w:szCs w:val="21"/>
                      <w:lang w:val="en-US" w:eastAsia="zh-CN"/>
                      <w14:textFill>
                        <w14:solidFill>
                          <w14:schemeClr w14:val="tx1"/>
                        </w14:solidFill>
                      </w14:textFill>
                    </w:rPr>
                    <w:t>0~0.</w:t>
                  </w:r>
                  <w:r>
                    <w:rPr>
                      <w:rFonts w:hint="eastAsia" w:ascii="Times New Roman" w:hAnsi="Times New Roman" w:cs="Times New Roman"/>
                      <w:b w:val="0"/>
                      <w:color w:val="000000" w:themeColor="text1"/>
                      <w:sz w:val="21"/>
                      <w:szCs w:val="21"/>
                      <w:lang w:val="en-US" w:eastAsia="zh-CN"/>
                      <w14:textFill>
                        <w14:solidFill>
                          <w14:schemeClr w14:val="tx1"/>
                        </w14:solidFill>
                      </w14:textFill>
                    </w:rPr>
                    <w:t>5</w:t>
                  </w:r>
                  <w:r>
                    <w:rPr>
                      <w:rFonts w:hint="default" w:ascii="Times New Roman" w:hAnsi="Times New Roman" w:cs="Times New Roman"/>
                      <w:b w:val="0"/>
                      <w:color w:val="000000" w:themeColor="text1"/>
                      <w:sz w:val="21"/>
                      <w:szCs w:val="21"/>
                      <w:lang w:val="en-US" w:eastAsia="zh-CN"/>
                      <w14:textFill>
                        <w14:solidFill>
                          <w14:schemeClr w14:val="tx1"/>
                        </w14:solidFill>
                      </w14:textFill>
                    </w:rPr>
                    <w:t>m</w:t>
                  </w:r>
                  <w:r>
                    <w:rPr>
                      <w:rFonts w:hint="default" w:ascii="Times New Roman" w:hAnsi="Times New Roman" w:cs="Times New Roman"/>
                      <w:b w:val="0"/>
                      <w:color w:val="000000" w:themeColor="text1"/>
                      <w:sz w:val="21"/>
                      <w:szCs w:val="21"/>
                      <w:lang w:val="de-DE" w:eastAsia="zh-CN"/>
                      <w14:textFill>
                        <w14:solidFill>
                          <w14:schemeClr w14:val="tx1"/>
                        </w14:solidFill>
                      </w14:textFill>
                    </w:rPr>
                    <w:t>）</w:t>
                  </w:r>
                </w:p>
              </w:tc>
              <w:tc>
                <w:tcPr>
                  <w:tcW w:w="4114" w:type="dxa"/>
                  <w:tcBorders>
                    <w:tl2br w:val="nil"/>
                    <w:tr2bl w:val="nil"/>
                  </w:tcBorders>
                  <w:shd w:val="clear" w:color="auto" w:fill="auto"/>
                  <w:noWrap w:val="0"/>
                  <w:vAlign w:val="center"/>
                </w:tcPr>
                <w:p w14:paraId="6B147F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pH值、全盐量、石油烃（C10-C40）</w:t>
                  </w:r>
                </w:p>
              </w:tc>
            </w:tr>
            <w:tr w14:paraId="4A53F4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7" w:hRule="atLeast"/>
              </w:trPr>
              <w:tc>
                <w:tcPr>
                  <w:tcW w:w="713" w:type="dxa"/>
                  <w:tcBorders>
                    <w:bottom w:val="single" w:color="000000" w:sz="12" w:space="0"/>
                    <w:tl2br w:val="nil"/>
                    <w:tr2bl w:val="nil"/>
                  </w:tcBorders>
                  <w:shd w:val="clear" w:color="auto" w:fill="auto"/>
                  <w:noWrap w:val="0"/>
                  <w:vAlign w:val="center"/>
                </w:tcPr>
                <w:p w14:paraId="5D20B1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vertAlign w:val="baseline"/>
                      <w:lang w:val="en-US" w:eastAsia="zh-CN"/>
                      <w14:textFill>
                        <w14:solidFill>
                          <w14:schemeClr w14:val="tx1"/>
                        </w14:solidFill>
                      </w14:textFill>
                    </w:rPr>
                    <w:t>3</w:t>
                  </w:r>
                  <w:r>
                    <w:rPr>
                      <w:rFonts w:hint="default" w:ascii="Times New Roman" w:hAnsi="Times New Roman" w:cs="Times New Roman"/>
                      <w:b w:val="0"/>
                      <w:color w:val="000000" w:themeColor="text1"/>
                      <w:sz w:val="21"/>
                      <w:szCs w:val="21"/>
                      <w:vertAlign w:val="baseline"/>
                      <w14:textFill>
                        <w14:solidFill>
                          <w14:schemeClr w14:val="tx1"/>
                        </w14:solidFill>
                      </w14:textFill>
                    </w:rPr>
                    <w:t>#</w:t>
                  </w:r>
                </w:p>
              </w:tc>
              <w:tc>
                <w:tcPr>
                  <w:tcW w:w="1135" w:type="dxa"/>
                  <w:tcBorders>
                    <w:bottom w:val="single" w:color="000000" w:sz="12" w:space="0"/>
                    <w:tl2br w:val="nil"/>
                    <w:tr2bl w:val="nil"/>
                  </w:tcBorders>
                  <w:shd w:val="clear" w:color="auto" w:fill="auto"/>
                  <w:noWrap w:val="0"/>
                  <w:vAlign w:val="center"/>
                </w:tcPr>
                <w:p w14:paraId="419D2E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sz w:val="21"/>
                      <w:szCs w:val="21"/>
                      <w:lang w:val="en-US" w:eastAsia="zh-CN"/>
                    </w:rPr>
                  </w:pPr>
                  <w:r>
                    <w:rPr>
                      <w:rFonts w:hint="eastAsia" w:ascii="宋体" w:hAnsi="宋体" w:cs="宋体"/>
                      <w:b w:val="0"/>
                      <w:color w:val="000000"/>
                      <w:szCs w:val="21"/>
                      <w:lang w:val="en-US" w:eastAsia="zh-CN"/>
                    </w:rPr>
                    <w:t>矿区东南侧</w:t>
                  </w:r>
                </w:p>
              </w:tc>
              <w:tc>
                <w:tcPr>
                  <w:tcW w:w="1996" w:type="dxa"/>
                  <w:tcBorders>
                    <w:bottom w:val="single" w:color="000000" w:sz="12" w:space="0"/>
                    <w:tl2br w:val="nil"/>
                    <w:tr2bl w:val="nil"/>
                  </w:tcBorders>
                  <w:shd w:val="clear" w:color="auto" w:fill="auto"/>
                  <w:noWrap w:val="0"/>
                  <w:vAlign w:val="center"/>
                </w:tcPr>
                <w:p w14:paraId="07EEB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lang w:val="de-DE"/>
                      <w14:textFill>
                        <w14:solidFill>
                          <w14:schemeClr w14:val="tx1"/>
                        </w14:solidFill>
                      </w14:textFill>
                    </w:rPr>
                  </w:pPr>
                  <w:r>
                    <w:rPr>
                      <w:rFonts w:hint="default" w:ascii="Times New Roman" w:hAnsi="Times New Roman" w:cs="Times New Roman"/>
                      <w:b w:val="0"/>
                      <w:color w:val="000000" w:themeColor="text1"/>
                      <w:sz w:val="21"/>
                      <w:szCs w:val="21"/>
                      <w:lang w:val="de-DE"/>
                      <w14:textFill>
                        <w14:solidFill>
                          <w14:schemeClr w14:val="tx1"/>
                        </w14:solidFill>
                      </w14:textFill>
                    </w:rPr>
                    <w:t>表层样</w:t>
                  </w:r>
                  <w:r>
                    <w:rPr>
                      <w:rFonts w:hint="default" w:ascii="Times New Roman" w:hAnsi="Times New Roman" w:cs="Times New Roman"/>
                      <w:b w:val="0"/>
                      <w:color w:val="000000" w:themeColor="text1"/>
                      <w:sz w:val="21"/>
                      <w:szCs w:val="21"/>
                      <w:lang w:val="de-DE" w:eastAsia="zh-CN"/>
                      <w14:textFill>
                        <w14:solidFill>
                          <w14:schemeClr w14:val="tx1"/>
                        </w14:solidFill>
                      </w14:textFill>
                    </w:rPr>
                    <w:t>（</w:t>
                  </w:r>
                  <w:r>
                    <w:rPr>
                      <w:rFonts w:hint="default" w:ascii="Times New Roman" w:hAnsi="Times New Roman" w:cs="Times New Roman"/>
                      <w:b w:val="0"/>
                      <w:color w:val="000000" w:themeColor="text1"/>
                      <w:sz w:val="21"/>
                      <w:szCs w:val="21"/>
                      <w:lang w:val="en-US" w:eastAsia="zh-CN"/>
                      <w14:textFill>
                        <w14:solidFill>
                          <w14:schemeClr w14:val="tx1"/>
                        </w14:solidFill>
                      </w14:textFill>
                    </w:rPr>
                    <w:t>0~0.</w:t>
                  </w:r>
                  <w:r>
                    <w:rPr>
                      <w:rFonts w:hint="eastAsia" w:ascii="Times New Roman" w:hAnsi="Times New Roman" w:cs="Times New Roman"/>
                      <w:b w:val="0"/>
                      <w:color w:val="000000" w:themeColor="text1"/>
                      <w:sz w:val="21"/>
                      <w:szCs w:val="21"/>
                      <w:lang w:val="en-US" w:eastAsia="zh-CN"/>
                      <w14:textFill>
                        <w14:solidFill>
                          <w14:schemeClr w14:val="tx1"/>
                        </w14:solidFill>
                      </w14:textFill>
                    </w:rPr>
                    <w:t>5</w:t>
                  </w:r>
                  <w:r>
                    <w:rPr>
                      <w:rFonts w:hint="default" w:ascii="Times New Roman" w:hAnsi="Times New Roman" w:cs="Times New Roman"/>
                      <w:b w:val="0"/>
                      <w:color w:val="000000" w:themeColor="text1"/>
                      <w:sz w:val="21"/>
                      <w:szCs w:val="21"/>
                      <w:lang w:val="en-US" w:eastAsia="zh-CN"/>
                      <w14:textFill>
                        <w14:solidFill>
                          <w14:schemeClr w14:val="tx1"/>
                        </w14:solidFill>
                      </w14:textFill>
                    </w:rPr>
                    <w:t>m</w:t>
                  </w:r>
                  <w:r>
                    <w:rPr>
                      <w:rFonts w:hint="default" w:ascii="Times New Roman" w:hAnsi="Times New Roman" w:cs="Times New Roman"/>
                      <w:b w:val="0"/>
                      <w:color w:val="000000" w:themeColor="text1"/>
                      <w:sz w:val="21"/>
                      <w:szCs w:val="21"/>
                      <w:lang w:val="de-DE" w:eastAsia="zh-CN"/>
                      <w14:textFill>
                        <w14:solidFill>
                          <w14:schemeClr w14:val="tx1"/>
                        </w14:solidFill>
                      </w14:textFill>
                    </w:rPr>
                    <w:t>）</w:t>
                  </w:r>
                </w:p>
              </w:tc>
              <w:tc>
                <w:tcPr>
                  <w:tcW w:w="4114" w:type="dxa"/>
                  <w:tcBorders>
                    <w:bottom w:val="single" w:color="000000" w:sz="12" w:space="0"/>
                    <w:tl2br w:val="nil"/>
                    <w:tr2bl w:val="nil"/>
                  </w:tcBorders>
                  <w:shd w:val="clear" w:color="auto" w:fill="auto"/>
                  <w:noWrap w:val="0"/>
                  <w:vAlign w:val="center"/>
                </w:tcPr>
                <w:p w14:paraId="68F2E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pH值、全盐量、石油烃（C10-C40）</w:t>
                  </w:r>
                </w:p>
              </w:tc>
            </w:tr>
          </w:tbl>
          <w:p w14:paraId="46C0E35B">
            <w:pPr>
              <w:pStyle w:val="45"/>
              <w:spacing w:before="167" w:line="196" w:lineRule="auto"/>
              <w:ind w:firstLine="484" w:firstLineChars="200"/>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2）监测时间及频率</w:t>
            </w:r>
          </w:p>
          <w:p w14:paraId="194D6C01">
            <w:pPr>
              <w:pStyle w:val="45"/>
              <w:spacing w:before="185" w:line="200" w:lineRule="auto"/>
              <w:ind w:left="584"/>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监测1天，取样1</w:t>
            </w:r>
            <w:r>
              <w:rPr>
                <w:rFonts w:hint="default" w:ascii="Times New Roman" w:hAnsi="Times New Roman" w:eastAsia="宋体" w:cs="Times New Roman"/>
                <w:spacing w:val="-52"/>
                <w:sz w:val="24"/>
                <w:szCs w:val="24"/>
              </w:rPr>
              <w:t xml:space="preserve"> </w:t>
            </w:r>
            <w:r>
              <w:rPr>
                <w:rFonts w:hint="default" w:ascii="Times New Roman" w:hAnsi="Times New Roman" w:eastAsia="宋体" w:cs="Times New Roman"/>
                <w:sz w:val="24"/>
                <w:szCs w:val="24"/>
              </w:rPr>
              <w:t>次；</w:t>
            </w:r>
          </w:p>
          <w:p w14:paraId="573C9D78">
            <w:pPr>
              <w:pStyle w:val="45"/>
              <w:spacing w:before="176" w:line="196" w:lineRule="auto"/>
              <w:ind w:left="598"/>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3）监测结果</w:t>
            </w:r>
          </w:p>
          <w:p w14:paraId="5EEAD7FE">
            <w:pPr>
              <w:pStyle w:val="45"/>
              <w:spacing w:before="186" w:line="200" w:lineRule="auto"/>
              <w:ind w:left="584"/>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本项目土壤监测结果见表 3-9。</w:t>
            </w:r>
          </w:p>
          <w:p w14:paraId="3EE1E5CC">
            <w:pPr>
              <w:pStyle w:val="8"/>
              <w:rPr>
                <w:rFonts w:hint="default" w:ascii="Times New Roman" w:hAnsi="Times New Roman" w:eastAsia="宋体" w:cs="Times New Roman"/>
                <w:sz w:val="24"/>
                <w:szCs w:val="24"/>
              </w:rPr>
            </w:pPr>
            <w:r>
              <w:rPr>
                <w:rFonts w:hint="default" w:ascii="Times New Roman" w:hAnsi="Times New Roman" w:cs="Times New Roman"/>
                <w:color w:val="000000" w:themeColor="text1"/>
                <w:sz w:val="21"/>
                <w:szCs w:val="21"/>
                <w14:textFill>
                  <w14:solidFill>
                    <w14:schemeClr w14:val="tx1"/>
                  </w14:solidFill>
                </w14:textFill>
              </w:rPr>
              <w:t xml:space="preserve">表3- </w:t>
            </w:r>
            <w:r>
              <w:rPr>
                <w:rFonts w:hint="eastAsia" w:cs="Times New Roman"/>
                <w:color w:val="000000" w:themeColor="text1"/>
                <w:sz w:val="21"/>
                <w:szCs w:val="21"/>
                <w:lang w:val="en-US" w:eastAsia="zh-CN"/>
                <w14:textFill>
                  <w14:solidFill>
                    <w14:schemeClr w14:val="tx1"/>
                  </w14:solidFill>
                </w14:textFill>
              </w:rPr>
              <w:t>9</w:t>
            </w:r>
            <w:r>
              <w:rPr>
                <w:rFonts w:hint="default" w:ascii="Times New Roman" w:hAnsi="Times New Roman" w:cs="Times New Roman"/>
                <w:color w:val="000000" w:themeColor="text1"/>
                <w:sz w:val="21"/>
                <w:szCs w:val="21"/>
                <w:lang w:eastAsia="zh-CN"/>
                <w14:textFill>
                  <w14:solidFill>
                    <w14:schemeClr w14:val="tx1"/>
                  </w14:solidFill>
                </w14:textFill>
              </w:rPr>
              <w:t xml:space="preserve"> 土壤环境质量现状监测情况</w:t>
            </w:r>
          </w:p>
          <w:tbl>
            <w:tblPr>
              <w:tblStyle w:val="23"/>
              <w:tblW w:w="4996"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14"/>
              <w:gridCol w:w="2100"/>
              <w:gridCol w:w="1385"/>
              <w:gridCol w:w="1256"/>
              <w:gridCol w:w="1577"/>
            </w:tblGrid>
            <w:tr w14:paraId="0C96197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tcBorders>
                    <w:top w:val="single" w:color="000000" w:sz="12" w:space="0"/>
                    <w:left w:val="nil"/>
                    <w:tl2br w:val="nil"/>
                  </w:tcBorders>
                  <w:shd w:val="clear" w:color="auto" w:fill="FFFFFF"/>
                  <w:vAlign w:val="center"/>
                </w:tcPr>
                <w:p w14:paraId="3D979C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点位名称及编号</w:t>
                  </w:r>
                </w:p>
              </w:tc>
              <w:tc>
                <w:tcPr>
                  <w:tcW w:w="1307" w:type="pct"/>
                  <w:tcBorders>
                    <w:top w:val="single" w:color="000000" w:sz="12" w:space="0"/>
                  </w:tcBorders>
                  <w:shd w:val="clear" w:color="auto" w:fill="FFFFFF"/>
                  <w:vAlign w:val="center"/>
                </w:tcPr>
                <w:p w14:paraId="1898ED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监测项目</w:t>
                  </w:r>
                </w:p>
              </w:tc>
              <w:tc>
                <w:tcPr>
                  <w:tcW w:w="862" w:type="pct"/>
                  <w:tcBorders>
                    <w:top w:val="single" w:color="000000" w:sz="12" w:space="0"/>
                  </w:tcBorders>
                  <w:shd w:val="clear" w:color="auto" w:fill="FFFFFF"/>
                  <w:vAlign w:val="center"/>
                </w:tcPr>
                <w:p w14:paraId="71756D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采样时间</w:t>
                  </w:r>
                </w:p>
              </w:tc>
              <w:tc>
                <w:tcPr>
                  <w:tcW w:w="781" w:type="pct"/>
                  <w:tcBorders>
                    <w:top w:val="single" w:color="000000" w:sz="12" w:space="0"/>
                  </w:tcBorders>
                  <w:shd w:val="clear" w:color="auto" w:fill="FFFFFF"/>
                  <w:vAlign w:val="center"/>
                </w:tcPr>
                <w:p w14:paraId="2A5224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计量单位</w:t>
                  </w:r>
                </w:p>
              </w:tc>
              <w:tc>
                <w:tcPr>
                  <w:tcW w:w="981" w:type="pct"/>
                  <w:tcBorders>
                    <w:top w:val="single" w:color="000000" w:sz="12" w:space="0"/>
                    <w:right w:val="nil"/>
                  </w:tcBorders>
                  <w:shd w:val="clear" w:color="auto" w:fill="FFFFFF"/>
                  <w:vAlign w:val="center"/>
                </w:tcPr>
                <w:p w14:paraId="5645F6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检测结果</w:t>
                  </w:r>
                </w:p>
              </w:tc>
            </w:tr>
            <w:tr w14:paraId="3BB61B0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restart"/>
                  <w:tcBorders>
                    <w:left w:val="nil"/>
                  </w:tcBorders>
                  <w:shd w:val="clear" w:color="auto" w:fill="FFFFFF"/>
                  <w:vAlign w:val="center"/>
                </w:tcPr>
                <w:p w14:paraId="7A670C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rPr>
                  </w:pPr>
                  <w:r>
                    <w:rPr>
                      <w:rStyle w:val="53"/>
                      <w:rFonts w:hint="default" w:ascii="Times New Roman" w:hAnsi="Times New Roman" w:eastAsia="宋体" w:cs="Times New Roman"/>
                      <w:b w:val="0"/>
                      <w:color w:val="000000"/>
                      <w:sz w:val="21"/>
                      <w:szCs w:val="21"/>
                      <w:highlight w:val="none"/>
                      <w:lang w:val="en-US" w:eastAsia="zh-CN" w:bidi="ar"/>
                    </w:rPr>
                    <w:t>1#</w:t>
                  </w:r>
                  <w:r>
                    <w:rPr>
                      <w:rStyle w:val="53"/>
                      <w:rFonts w:hint="default" w:ascii="Times New Roman" w:hAnsi="Times New Roman" w:eastAsia="宋体" w:cs="Times New Roman"/>
                      <w:b w:val="0"/>
                      <w:color w:val="000000"/>
                      <w:sz w:val="21"/>
                      <w:szCs w:val="21"/>
                      <w:highlight w:val="none"/>
                      <w:lang w:val="en-US" w:eastAsia="zh-CN" w:bidi="ar"/>
                    </w:rPr>
                    <w:br w:type="textWrapping"/>
                  </w:r>
                  <w:r>
                    <w:rPr>
                      <w:rStyle w:val="53"/>
                      <w:rFonts w:hint="default" w:ascii="Times New Roman" w:hAnsi="Times New Roman" w:eastAsia="宋体" w:cs="Times New Roman"/>
                      <w:b w:val="0"/>
                      <w:color w:val="000000"/>
                      <w:sz w:val="21"/>
                      <w:szCs w:val="21"/>
                      <w:highlight w:val="none"/>
                      <w:lang w:val="en-US" w:eastAsia="zh-CN" w:bidi="ar"/>
                    </w:rPr>
                    <w:t>矿区</w:t>
                  </w:r>
                  <w:r>
                    <w:rPr>
                      <w:rFonts w:hint="eastAsia" w:ascii="宋体" w:hAnsi="宋体" w:cs="宋体"/>
                      <w:b w:val="0"/>
                      <w:color w:val="000000"/>
                      <w:szCs w:val="21"/>
                      <w:highlight w:val="none"/>
                      <w:lang w:val="en-US" w:eastAsia="zh-CN"/>
                    </w:rPr>
                    <w:t>西北侧</w:t>
                  </w:r>
                </w:p>
              </w:tc>
              <w:tc>
                <w:tcPr>
                  <w:tcW w:w="1307" w:type="pct"/>
                  <w:shd w:val="clear" w:color="auto" w:fill="FFFFFF"/>
                  <w:vAlign w:val="center"/>
                </w:tcPr>
                <w:p w14:paraId="39FBB7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pH</w:t>
                  </w:r>
                </w:p>
              </w:tc>
              <w:tc>
                <w:tcPr>
                  <w:tcW w:w="862" w:type="pct"/>
                  <w:vMerge w:val="restart"/>
                  <w:shd w:val="clear" w:color="auto" w:fill="FFFFFF"/>
                  <w:vAlign w:val="center"/>
                </w:tcPr>
                <w:p w14:paraId="5CB168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i w:val="0"/>
                      <w:iCs w:val="0"/>
                      <w:color w:val="000000" w:themeColor="text1"/>
                      <w:sz w:val="21"/>
                      <w:szCs w:val="21"/>
                      <w:highlight w:val="none"/>
                      <w:u w:val="none"/>
                      <w:lang w:val="en-US" w:eastAsia="zh-CN"/>
                      <w14:textFill>
                        <w14:solidFill>
                          <w14:schemeClr w14:val="tx1"/>
                        </w14:solidFill>
                      </w14:textFill>
                    </w:rPr>
                    <w:t>5月20日</w:t>
                  </w:r>
                </w:p>
              </w:tc>
              <w:tc>
                <w:tcPr>
                  <w:tcW w:w="781" w:type="pct"/>
                  <w:shd w:val="clear" w:color="auto" w:fill="FFFFFF"/>
                  <w:vAlign w:val="center"/>
                </w:tcPr>
                <w:p w14:paraId="248682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无量纲</w:t>
                  </w:r>
                </w:p>
              </w:tc>
              <w:tc>
                <w:tcPr>
                  <w:tcW w:w="981" w:type="pct"/>
                  <w:tcBorders>
                    <w:right w:val="nil"/>
                  </w:tcBorders>
                  <w:shd w:val="clear" w:color="auto" w:fill="FFFFFF"/>
                  <w:vAlign w:val="center"/>
                </w:tcPr>
                <w:p w14:paraId="0E5C30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ascii="宋体" w:hAnsi="宋体" w:cs="宋体"/>
                      <w:b w:val="0"/>
                      <w:color w:val="000000"/>
                      <w:szCs w:val="21"/>
                      <w:highlight w:val="none"/>
                      <w:lang w:val="en-US" w:eastAsia="zh-CN"/>
                    </w:rPr>
                    <w:t>8.2</w:t>
                  </w:r>
                </w:p>
              </w:tc>
            </w:tr>
            <w:tr w14:paraId="2B7F747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continue"/>
                  <w:tcBorders>
                    <w:left w:val="nil"/>
                  </w:tcBorders>
                  <w:shd w:val="clear" w:color="auto" w:fill="FFFFFF"/>
                  <w:vAlign w:val="center"/>
                </w:tcPr>
                <w:p w14:paraId="4D65750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1BD2B4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b w:val="0"/>
                      <w:color w:val="000000" w:themeColor="text1"/>
                      <w:sz w:val="21"/>
                      <w:szCs w:val="21"/>
                      <w:highlight w:val="none"/>
                      <w:lang w:val="en-US" w:eastAsia="zh-CN"/>
                      <w14:textFill>
                        <w14:solidFill>
                          <w14:schemeClr w14:val="tx1"/>
                        </w14:solidFill>
                      </w14:textFill>
                    </w:rPr>
                    <w:t>全盐量</w:t>
                  </w:r>
                </w:p>
              </w:tc>
              <w:tc>
                <w:tcPr>
                  <w:tcW w:w="862" w:type="pct"/>
                  <w:vMerge w:val="continue"/>
                  <w:shd w:val="clear" w:color="auto" w:fill="FFFFFF"/>
                  <w:vAlign w:val="center"/>
                </w:tcPr>
                <w:p w14:paraId="6396904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134744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g/kg</w:t>
                  </w:r>
                </w:p>
              </w:tc>
              <w:tc>
                <w:tcPr>
                  <w:tcW w:w="981" w:type="pct"/>
                  <w:tcBorders>
                    <w:right w:val="nil"/>
                  </w:tcBorders>
                  <w:shd w:val="clear" w:color="auto" w:fill="FFFFFF"/>
                  <w:vAlign w:val="center"/>
                </w:tcPr>
                <w:p w14:paraId="695BDE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ascii="宋体" w:hAnsi="宋体" w:cs="宋体"/>
                      <w:b w:val="0"/>
                      <w:color w:val="000000"/>
                      <w:szCs w:val="21"/>
                      <w:highlight w:val="none"/>
                      <w:lang w:val="en-US" w:eastAsia="zh-CN"/>
                    </w:rPr>
                    <w:t>4.92</w:t>
                  </w:r>
                </w:p>
              </w:tc>
            </w:tr>
            <w:tr w14:paraId="1FCCD00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continue"/>
                  <w:tcBorders>
                    <w:left w:val="nil"/>
                  </w:tcBorders>
                  <w:shd w:val="clear" w:color="auto" w:fill="FFFFFF"/>
                  <w:vAlign w:val="center"/>
                </w:tcPr>
                <w:p w14:paraId="2B9F2B07">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709720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石油烃(C10-C40)</w:t>
                  </w:r>
                </w:p>
              </w:tc>
              <w:tc>
                <w:tcPr>
                  <w:tcW w:w="862" w:type="pct"/>
                  <w:vMerge w:val="continue"/>
                  <w:shd w:val="clear" w:color="auto" w:fill="FFFFFF"/>
                  <w:vAlign w:val="center"/>
                </w:tcPr>
                <w:p w14:paraId="589FC18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45B29B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mg/kg</w:t>
                  </w:r>
                </w:p>
              </w:tc>
              <w:tc>
                <w:tcPr>
                  <w:tcW w:w="981" w:type="pct"/>
                  <w:tcBorders>
                    <w:right w:val="nil"/>
                  </w:tcBorders>
                  <w:shd w:val="clear" w:color="auto" w:fill="FFFFFF"/>
                  <w:vAlign w:val="center"/>
                </w:tcPr>
                <w:p w14:paraId="50DE74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val="0"/>
                      <w:i w:val="0"/>
                      <w:iCs w:val="0"/>
                      <w:color w:val="000000" w:themeColor="text1"/>
                      <w:sz w:val="21"/>
                      <w:szCs w:val="21"/>
                      <w:highlight w:val="none"/>
                      <w:u w:val="none"/>
                      <w:lang w:val="en-US"/>
                      <w14:textFill>
                        <w14:solidFill>
                          <w14:schemeClr w14:val="tx1"/>
                        </w14:solidFill>
                      </w14:textFill>
                    </w:rPr>
                    <w:t>未检出</w:t>
                  </w:r>
                </w:p>
              </w:tc>
            </w:tr>
            <w:tr w14:paraId="13E8B22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restart"/>
                  <w:tcBorders>
                    <w:left w:val="nil"/>
                  </w:tcBorders>
                  <w:shd w:val="clear" w:color="auto" w:fill="FFFFFF"/>
                  <w:vAlign w:val="center"/>
                </w:tcPr>
                <w:p w14:paraId="3228F2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lang w:val="en-US"/>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2#</w:t>
                  </w: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br w:type="textWrapping"/>
                  </w: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矿区中心</w:t>
                  </w:r>
                </w:p>
              </w:tc>
              <w:tc>
                <w:tcPr>
                  <w:tcW w:w="1307" w:type="pct"/>
                  <w:shd w:val="clear" w:color="auto" w:fill="FFFFFF"/>
                  <w:vAlign w:val="center"/>
                </w:tcPr>
                <w:p w14:paraId="385DDF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pH</w:t>
                  </w:r>
                </w:p>
              </w:tc>
              <w:tc>
                <w:tcPr>
                  <w:tcW w:w="862" w:type="pct"/>
                  <w:vMerge w:val="continue"/>
                  <w:shd w:val="clear" w:color="auto" w:fill="FFFFFF"/>
                  <w:vAlign w:val="center"/>
                </w:tcPr>
                <w:p w14:paraId="3721EE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01C803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无量纲</w:t>
                  </w:r>
                </w:p>
              </w:tc>
              <w:tc>
                <w:tcPr>
                  <w:tcW w:w="981" w:type="pct"/>
                  <w:tcBorders>
                    <w:right w:val="nil"/>
                  </w:tcBorders>
                  <w:shd w:val="clear" w:color="auto" w:fill="FFFFFF"/>
                  <w:vAlign w:val="center"/>
                </w:tcPr>
                <w:p w14:paraId="1DAFAE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ascii="宋体" w:hAnsi="宋体" w:cs="宋体"/>
                      <w:b w:val="0"/>
                      <w:color w:val="000000"/>
                      <w:szCs w:val="21"/>
                      <w:highlight w:val="none"/>
                      <w:lang w:val="en-US" w:eastAsia="zh-CN"/>
                    </w:rPr>
                    <w:t>7.9</w:t>
                  </w:r>
                </w:p>
              </w:tc>
            </w:tr>
            <w:tr w14:paraId="3233E78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066" w:type="pct"/>
                  <w:vMerge w:val="continue"/>
                  <w:tcBorders>
                    <w:left w:val="nil"/>
                  </w:tcBorders>
                  <w:shd w:val="clear" w:color="auto" w:fill="FFFFFF"/>
                  <w:vAlign w:val="center"/>
                </w:tcPr>
                <w:p w14:paraId="56BEF18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0863D7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b w:val="0"/>
                      <w:color w:val="000000" w:themeColor="text1"/>
                      <w:sz w:val="21"/>
                      <w:szCs w:val="21"/>
                      <w:highlight w:val="none"/>
                      <w:lang w:val="en-US" w:eastAsia="zh-CN"/>
                      <w14:textFill>
                        <w14:solidFill>
                          <w14:schemeClr w14:val="tx1"/>
                        </w14:solidFill>
                      </w14:textFill>
                    </w:rPr>
                    <w:t>全盐量</w:t>
                  </w:r>
                </w:p>
              </w:tc>
              <w:tc>
                <w:tcPr>
                  <w:tcW w:w="862" w:type="pct"/>
                  <w:vMerge w:val="continue"/>
                  <w:shd w:val="clear" w:color="auto" w:fill="FFFFFF"/>
                  <w:vAlign w:val="center"/>
                </w:tcPr>
                <w:p w14:paraId="658B639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5FC89E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g/kg</w:t>
                  </w:r>
                </w:p>
              </w:tc>
              <w:tc>
                <w:tcPr>
                  <w:tcW w:w="981" w:type="pct"/>
                  <w:tcBorders>
                    <w:right w:val="nil"/>
                  </w:tcBorders>
                  <w:shd w:val="clear" w:color="auto" w:fill="FFFFFF"/>
                  <w:vAlign w:val="center"/>
                </w:tcPr>
                <w:p w14:paraId="4E517C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lang w:val="en-US" w:eastAsia="zh-CN"/>
                    </w:rPr>
                  </w:pPr>
                  <w:r>
                    <w:rPr>
                      <w:rFonts w:hint="eastAsia" w:cs="Times New Roman"/>
                      <w:b w:val="0"/>
                      <w:i w:val="0"/>
                      <w:iCs w:val="0"/>
                      <w:color w:val="000000"/>
                      <w:sz w:val="21"/>
                      <w:szCs w:val="21"/>
                      <w:highlight w:val="none"/>
                      <w:u w:val="none"/>
                      <w:lang w:val="en-US" w:eastAsia="zh-CN"/>
                    </w:rPr>
                    <w:t>5.19</w:t>
                  </w:r>
                </w:p>
              </w:tc>
            </w:tr>
            <w:tr w14:paraId="6E3669C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continue"/>
                  <w:tcBorders>
                    <w:left w:val="nil"/>
                  </w:tcBorders>
                  <w:shd w:val="clear" w:color="auto" w:fill="FFFFFF"/>
                  <w:vAlign w:val="center"/>
                </w:tcPr>
                <w:p w14:paraId="19E372F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132F17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石油烃(C10-C40)</w:t>
                  </w:r>
                </w:p>
              </w:tc>
              <w:tc>
                <w:tcPr>
                  <w:tcW w:w="862" w:type="pct"/>
                  <w:vMerge w:val="continue"/>
                  <w:shd w:val="clear" w:color="auto" w:fill="FFFFFF"/>
                  <w:vAlign w:val="center"/>
                </w:tcPr>
                <w:p w14:paraId="512CE5C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66C5FD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mg/kg</w:t>
                  </w:r>
                </w:p>
              </w:tc>
              <w:tc>
                <w:tcPr>
                  <w:tcW w:w="981" w:type="pct"/>
                  <w:tcBorders>
                    <w:right w:val="nil"/>
                  </w:tcBorders>
                  <w:shd w:val="clear" w:color="auto" w:fill="FFFFFF"/>
                  <w:vAlign w:val="center"/>
                </w:tcPr>
                <w:p w14:paraId="753B68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val="0"/>
                      <w:i w:val="0"/>
                      <w:iCs w:val="0"/>
                      <w:color w:val="000000" w:themeColor="text1"/>
                      <w:sz w:val="21"/>
                      <w:szCs w:val="21"/>
                      <w:highlight w:val="none"/>
                      <w:u w:val="none"/>
                      <w:lang w:val="en-US"/>
                      <w14:textFill>
                        <w14:solidFill>
                          <w14:schemeClr w14:val="tx1"/>
                        </w14:solidFill>
                      </w14:textFill>
                    </w:rPr>
                    <w:t>未检出</w:t>
                  </w:r>
                </w:p>
              </w:tc>
            </w:tr>
            <w:tr w14:paraId="6BA3830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066" w:type="pct"/>
                  <w:vMerge w:val="restart"/>
                  <w:tcBorders>
                    <w:left w:val="nil"/>
                  </w:tcBorders>
                  <w:shd w:val="clear" w:color="auto" w:fill="FFFFFF"/>
                  <w:vAlign w:val="center"/>
                </w:tcPr>
                <w:p w14:paraId="32F4A3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rPr>
                  </w:pPr>
                  <w:r>
                    <w:rPr>
                      <w:rStyle w:val="53"/>
                      <w:rFonts w:hint="default" w:ascii="Times New Roman" w:hAnsi="Times New Roman" w:eastAsia="宋体" w:cs="Times New Roman"/>
                      <w:b w:val="0"/>
                      <w:color w:val="000000"/>
                      <w:sz w:val="21"/>
                      <w:szCs w:val="21"/>
                      <w:highlight w:val="none"/>
                      <w:lang w:val="en-US" w:eastAsia="zh-CN" w:bidi="ar"/>
                    </w:rPr>
                    <w:t>3#</w:t>
                  </w:r>
                  <w:r>
                    <w:rPr>
                      <w:rStyle w:val="53"/>
                      <w:rFonts w:hint="default" w:ascii="Times New Roman" w:hAnsi="Times New Roman" w:eastAsia="宋体" w:cs="Times New Roman"/>
                      <w:b w:val="0"/>
                      <w:color w:val="000000"/>
                      <w:sz w:val="21"/>
                      <w:szCs w:val="21"/>
                      <w:highlight w:val="none"/>
                      <w:lang w:val="en-US" w:eastAsia="zh-CN" w:bidi="ar"/>
                    </w:rPr>
                    <w:br w:type="textWrapping"/>
                  </w:r>
                  <w:r>
                    <w:rPr>
                      <w:rStyle w:val="53"/>
                      <w:rFonts w:hint="default" w:ascii="Times New Roman" w:hAnsi="Times New Roman" w:eastAsia="宋体" w:cs="Times New Roman"/>
                      <w:b w:val="0"/>
                      <w:color w:val="000000"/>
                      <w:sz w:val="21"/>
                      <w:szCs w:val="21"/>
                      <w:highlight w:val="none"/>
                      <w:lang w:val="en-US" w:eastAsia="zh-CN" w:bidi="ar"/>
                    </w:rPr>
                    <w:t>矿区</w:t>
                  </w:r>
                  <w:r>
                    <w:rPr>
                      <w:rFonts w:hint="eastAsia" w:ascii="宋体" w:hAnsi="宋体" w:cs="宋体"/>
                      <w:b w:val="0"/>
                      <w:color w:val="000000"/>
                      <w:szCs w:val="21"/>
                      <w:highlight w:val="none"/>
                      <w:lang w:val="en-US" w:eastAsia="zh-CN"/>
                    </w:rPr>
                    <w:t>东南侧</w:t>
                  </w:r>
                </w:p>
              </w:tc>
              <w:tc>
                <w:tcPr>
                  <w:tcW w:w="1307" w:type="pct"/>
                  <w:shd w:val="clear" w:color="auto" w:fill="FFFFFF"/>
                  <w:vAlign w:val="center"/>
                </w:tcPr>
                <w:p w14:paraId="542298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pH</w:t>
                  </w:r>
                </w:p>
              </w:tc>
              <w:tc>
                <w:tcPr>
                  <w:tcW w:w="862" w:type="pct"/>
                  <w:vMerge w:val="continue"/>
                  <w:shd w:val="clear" w:color="auto" w:fill="FFFFFF"/>
                  <w:vAlign w:val="center"/>
                </w:tcPr>
                <w:p w14:paraId="3C849D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7273EE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无量纲</w:t>
                  </w:r>
                </w:p>
              </w:tc>
              <w:tc>
                <w:tcPr>
                  <w:tcW w:w="981" w:type="pct"/>
                  <w:tcBorders>
                    <w:right w:val="nil"/>
                  </w:tcBorders>
                  <w:shd w:val="clear" w:color="auto" w:fill="FFFFFF"/>
                  <w:vAlign w:val="center"/>
                </w:tcPr>
                <w:p w14:paraId="52C151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lang w:val="en-US" w:eastAsia="zh-CN"/>
                    </w:rPr>
                  </w:pPr>
                  <w:r>
                    <w:rPr>
                      <w:rFonts w:hint="eastAsia" w:ascii="宋体" w:hAnsi="宋体" w:cs="宋体"/>
                      <w:b w:val="0"/>
                      <w:color w:val="000000"/>
                      <w:szCs w:val="21"/>
                      <w:highlight w:val="none"/>
                      <w:lang w:val="en-US" w:eastAsia="zh-CN"/>
                    </w:rPr>
                    <w:t>8.3</w:t>
                  </w:r>
                </w:p>
              </w:tc>
            </w:tr>
            <w:tr w14:paraId="2B9656C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066" w:type="pct"/>
                  <w:vMerge w:val="continue"/>
                  <w:tcBorders>
                    <w:left w:val="nil"/>
                  </w:tcBorders>
                  <w:shd w:val="clear" w:color="auto" w:fill="FFFFFF"/>
                  <w:vAlign w:val="center"/>
                </w:tcPr>
                <w:p w14:paraId="39F9258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07C167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Fonts w:hint="default" w:ascii="Times New Roman" w:hAnsi="Times New Roman" w:cs="Times New Roman"/>
                      <w:b w:val="0"/>
                      <w:color w:val="000000" w:themeColor="text1"/>
                      <w:sz w:val="21"/>
                      <w:szCs w:val="21"/>
                      <w:highlight w:val="none"/>
                      <w:lang w:val="en-US" w:eastAsia="zh-CN"/>
                      <w14:textFill>
                        <w14:solidFill>
                          <w14:schemeClr w14:val="tx1"/>
                        </w14:solidFill>
                      </w14:textFill>
                    </w:rPr>
                    <w:t>全盐量</w:t>
                  </w:r>
                </w:p>
              </w:tc>
              <w:tc>
                <w:tcPr>
                  <w:tcW w:w="862" w:type="pct"/>
                  <w:vMerge w:val="continue"/>
                  <w:shd w:val="clear" w:color="auto" w:fill="FFFFFF"/>
                  <w:vAlign w:val="center"/>
                </w:tcPr>
                <w:p w14:paraId="181B014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62480A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g/kg</w:t>
                  </w:r>
                </w:p>
              </w:tc>
              <w:tc>
                <w:tcPr>
                  <w:tcW w:w="981" w:type="pct"/>
                  <w:tcBorders>
                    <w:right w:val="nil"/>
                  </w:tcBorders>
                  <w:shd w:val="clear" w:color="auto" w:fill="FFFFFF"/>
                  <w:vAlign w:val="center"/>
                </w:tcPr>
                <w:p w14:paraId="44F4FF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lang w:val="en-US" w:eastAsia="zh-CN"/>
                    </w:rPr>
                  </w:pPr>
                  <w:r>
                    <w:rPr>
                      <w:rFonts w:hint="eastAsia" w:ascii="宋体" w:hAnsi="宋体" w:eastAsia="宋体" w:cs="宋体"/>
                      <w:b w:val="0"/>
                      <w:color w:val="000000"/>
                      <w:szCs w:val="21"/>
                      <w:highlight w:val="none"/>
                      <w:lang w:val="en-US" w:eastAsia="zh-CN"/>
                    </w:rPr>
                    <w:t>1.88</w:t>
                  </w:r>
                </w:p>
              </w:tc>
            </w:tr>
            <w:tr w14:paraId="0876D59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continue"/>
                  <w:tcBorders>
                    <w:left w:val="nil"/>
                  </w:tcBorders>
                  <w:shd w:val="clear" w:color="auto" w:fill="FFFFFF"/>
                  <w:vAlign w:val="center"/>
                </w:tcPr>
                <w:p w14:paraId="3865CB9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4688B9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石油烃(C10-C40)</w:t>
                  </w:r>
                </w:p>
              </w:tc>
              <w:tc>
                <w:tcPr>
                  <w:tcW w:w="862" w:type="pct"/>
                  <w:vMerge w:val="continue"/>
                  <w:shd w:val="clear" w:color="auto" w:fill="FFFFFF"/>
                  <w:vAlign w:val="center"/>
                </w:tcPr>
                <w:p w14:paraId="6DBE954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0513F5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mg/kg</w:t>
                  </w:r>
                </w:p>
              </w:tc>
              <w:tc>
                <w:tcPr>
                  <w:tcW w:w="981" w:type="pct"/>
                  <w:tcBorders>
                    <w:right w:val="nil"/>
                  </w:tcBorders>
                  <w:shd w:val="clear" w:color="auto" w:fill="FFFFFF"/>
                  <w:vAlign w:val="center"/>
                </w:tcPr>
                <w:p w14:paraId="7E324F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i w:val="0"/>
                      <w:iCs w:val="0"/>
                      <w:color w:val="000000" w:themeColor="text1"/>
                      <w:sz w:val="21"/>
                      <w:szCs w:val="21"/>
                      <w:highlight w:val="none"/>
                      <w:u w:val="none"/>
                      <w:lang w:val="en-US"/>
                      <w14:textFill>
                        <w14:solidFill>
                          <w14:schemeClr w14:val="tx1"/>
                        </w14:solidFill>
                      </w14:textFill>
                    </w:rPr>
                    <w:t>未检出</w:t>
                  </w:r>
                </w:p>
              </w:tc>
            </w:tr>
            <w:tr w14:paraId="79E727E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continue"/>
                  <w:tcBorders>
                    <w:left w:val="nil"/>
                  </w:tcBorders>
                  <w:shd w:val="clear" w:color="auto" w:fill="FFFFFF"/>
                  <w:vAlign w:val="center"/>
                </w:tcPr>
                <w:p w14:paraId="73D9B35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15636265">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pH</w:t>
                  </w:r>
                </w:p>
              </w:tc>
              <w:tc>
                <w:tcPr>
                  <w:tcW w:w="862" w:type="pct"/>
                  <w:vMerge w:val="continue"/>
                  <w:shd w:val="clear" w:color="auto" w:fill="FFFFFF"/>
                  <w:vAlign w:val="center"/>
                </w:tcPr>
                <w:p w14:paraId="3D5AEA6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1FD638A8">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无量纲</w:t>
                  </w:r>
                </w:p>
              </w:tc>
              <w:tc>
                <w:tcPr>
                  <w:tcW w:w="981" w:type="pct"/>
                  <w:tcBorders>
                    <w:right w:val="nil"/>
                  </w:tcBorders>
                  <w:shd w:val="clear" w:color="auto" w:fill="FFFFFF"/>
                  <w:vAlign w:val="center"/>
                </w:tcPr>
                <w:p w14:paraId="73FCFE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ascii="宋体" w:hAnsi="宋体" w:cs="宋体"/>
                      <w:b w:val="0"/>
                      <w:color w:val="000000"/>
                      <w:szCs w:val="21"/>
                      <w:highlight w:val="none"/>
                      <w:lang w:val="en-US" w:eastAsia="zh-CN"/>
                    </w:rPr>
                    <w:t>8.3</w:t>
                  </w:r>
                </w:p>
              </w:tc>
            </w:tr>
            <w:tr w14:paraId="5B43C87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continue"/>
                  <w:tcBorders>
                    <w:left w:val="nil"/>
                  </w:tcBorders>
                  <w:shd w:val="clear" w:color="auto" w:fill="FFFFFF"/>
                  <w:vAlign w:val="center"/>
                </w:tcPr>
                <w:p w14:paraId="619E1C8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3D58D843">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pPr>
                  <w:r>
                    <w:rPr>
                      <w:rFonts w:hint="default" w:ascii="Times New Roman" w:hAnsi="Times New Roman" w:cs="Times New Roman"/>
                      <w:b w:val="0"/>
                      <w:color w:val="000000" w:themeColor="text1"/>
                      <w:sz w:val="21"/>
                      <w:szCs w:val="21"/>
                      <w:highlight w:val="none"/>
                      <w:lang w:val="en-US" w:eastAsia="zh-CN"/>
                      <w14:textFill>
                        <w14:solidFill>
                          <w14:schemeClr w14:val="tx1"/>
                        </w14:solidFill>
                      </w14:textFill>
                    </w:rPr>
                    <w:t>全盐量</w:t>
                  </w:r>
                </w:p>
              </w:tc>
              <w:tc>
                <w:tcPr>
                  <w:tcW w:w="862" w:type="pct"/>
                  <w:vMerge w:val="continue"/>
                  <w:shd w:val="clear" w:color="auto" w:fill="FFFFFF"/>
                  <w:vAlign w:val="center"/>
                </w:tcPr>
                <w:p w14:paraId="65E16998">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6C68208E">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g/kg</w:t>
                  </w:r>
                </w:p>
              </w:tc>
              <w:tc>
                <w:tcPr>
                  <w:tcW w:w="981" w:type="pct"/>
                  <w:tcBorders>
                    <w:right w:val="nil"/>
                  </w:tcBorders>
                  <w:shd w:val="clear" w:color="auto" w:fill="FFFFFF"/>
                  <w:vAlign w:val="center"/>
                </w:tcPr>
                <w:p w14:paraId="167CC6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ascii="宋体" w:hAnsi="宋体" w:eastAsia="宋体" w:cs="宋体"/>
                      <w:b w:val="0"/>
                      <w:color w:val="000000"/>
                      <w:szCs w:val="21"/>
                      <w:highlight w:val="none"/>
                      <w:lang w:val="en-US" w:eastAsia="zh-CN"/>
                    </w:rPr>
                    <w:t>1.97</w:t>
                  </w:r>
                </w:p>
              </w:tc>
            </w:tr>
            <w:tr w14:paraId="76A4E63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 w:hRule="atLeast"/>
              </w:trPr>
              <w:tc>
                <w:tcPr>
                  <w:tcW w:w="1066" w:type="pct"/>
                  <w:vMerge w:val="continue"/>
                  <w:tcBorders>
                    <w:left w:val="nil"/>
                  </w:tcBorders>
                  <w:shd w:val="clear" w:color="auto" w:fill="FFFFFF"/>
                  <w:vAlign w:val="center"/>
                </w:tcPr>
                <w:p w14:paraId="26923C5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1307" w:type="pct"/>
                  <w:shd w:val="clear" w:color="auto" w:fill="FFFFFF"/>
                  <w:vAlign w:val="center"/>
                </w:tcPr>
                <w:p w14:paraId="217D63CD">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石油烃(C10-C40)</w:t>
                  </w:r>
                </w:p>
              </w:tc>
              <w:tc>
                <w:tcPr>
                  <w:tcW w:w="862" w:type="pct"/>
                  <w:vMerge w:val="continue"/>
                  <w:shd w:val="clear" w:color="auto" w:fill="FFFFFF"/>
                  <w:vAlign w:val="center"/>
                </w:tcPr>
                <w:p w14:paraId="4A8739E1">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p>
              </w:tc>
              <w:tc>
                <w:tcPr>
                  <w:tcW w:w="781" w:type="pct"/>
                  <w:shd w:val="clear" w:color="auto" w:fill="FFFFFF"/>
                  <w:vAlign w:val="center"/>
                </w:tcPr>
                <w:p w14:paraId="58B16642">
                  <w:pPr>
                    <w:keepNext w:val="0"/>
                    <w:keepLines w:val="0"/>
                    <w:pageBreakBefore w:val="0"/>
                    <w:widowControl/>
                    <w:suppressLineNumbers w:val="0"/>
                    <w:kinsoku/>
                    <w:wordWrap/>
                    <w:overflowPunct/>
                    <w:topLinePunct w:val="0"/>
                    <w:autoSpaceDE/>
                    <w:autoSpaceDN/>
                    <w:bidi w:val="0"/>
                    <w:adjustRightInd/>
                    <w:snapToGrid/>
                    <w:jc w:val="center"/>
                    <w:textAlignment w:val="cente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pPr>
                  <w:r>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t>mg/kg</w:t>
                  </w:r>
                </w:p>
              </w:tc>
              <w:tc>
                <w:tcPr>
                  <w:tcW w:w="981" w:type="pct"/>
                  <w:tcBorders>
                    <w:right w:val="nil"/>
                  </w:tcBorders>
                  <w:shd w:val="clear" w:color="auto" w:fill="FFFFFF"/>
                  <w:vAlign w:val="center"/>
                </w:tcPr>
                <w:p w14:paraId="6F55D7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b w:val="0"/>
                      <w:i w:val="0"/>
                      <w:iCs w:val="0"/>
                      <w:color w:val="000000" w:themeColor="text1"/>
                      <w:sz w:val="21"/>
                      <w:szCs w:val="21"/>
                      <w:highlight w:val="none"/>
                      <w:u w:val="none"/>
                      <w:lang w:val="en-US"/>
                      <w14:textFill>
                        <w14:solidFill>
                          <w14:schemeClr w14:val="tx1"/>
                        </w14:solidFill>
                      </w14:textFill>
                    </w:rPr>
                    <w:t>未检出</w:t>
                  </w:r>
                </w:p>
              </w:tc>
            </w:tr>
            <w:tr w14:paraId="76D8822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5000" w:type="pct"/>
                  <w:gridSpan w:val="5"/>
                  <w:tcBorders>
                    <w:left w:val="nil"/>
                    <w:bottom w:val="single" w:color="000000" w:sz="12" w:space="0"/>
                    <w:right w:val="nil"/>
                  </w:tcBorders>
                  <w:shd w:val="clear" w:color="auto" w:fill="FFFFFF"/>
                  <w:vAlign w:val="center"/>
                </w:tcPr>
                <w:p w14:paraId="5975BEE0">
                  <w:pPr>
                    <w:keepNext w:val="0"/>
                    <w:keepLines w:val="0"/>
                    <w:widowControl/>
                    <w:suppressLineNumbers w:val="0"/>
                    <w:jc w:val="left"/>
                    <w:rPr>
                      <w:rStyle w:val="53"/>
                      <w:rFonts w:hint="default" w:ascii="Times New Roman" w:hAnsi="Times New Roman" w:eastAsia="宋体" w:cs="Times New Roman"/>
                      <w:b w:val="0"/>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color w:val="000000" w:themeColor="text1"/>
                      <w:kern w:val="0"/>
                      <w:sz w:val="21"/>
                      <w:szCs w:val="21"/>
                      <w:highlight w:val="none"/>
                      <w:lang w:val="en-US" w:eastAsia="zh-CN" w:bidi="ar"/>
                      <w14:textFill>
                        <w14:solidFill>
                          <w14:schemeClr w14:val="tx1"/>
                        </w14:solidFill>
                      </w14:textFill>
                    </w:rPr>
                    <w:t>评价方法：对照附录 D 给出各监测点位土壤盐化、酸化、碱化的级别，统计样本数量、最大值、最小值和均值，并评价均值对应的级别。</w:t>
                  </w:r>
                </w:p>
              </w:tc>
            </w:tr>
          </w:tbl>
          <w:p w14:paraId="4D65C1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根据现状监测结果显示，矿区pH平均值为8.</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，含盐量</w:t>
            </w:r>
            <w:r>
              <w:rPr>
                <w:rFonts w:hint="eastAsia" w:cs="Times New Roman"/>
                <w:color w:val="000000" w:themeColor="text1"/>
                <w:kern w:val="0"/>
                <w:sz w:val="24"/>
                <w:lang w:val="en-US" w:eastAsia="zh-CN"/>
                <w14:textFill>
                  <w14:solidFill>
                    <w14:schemeClr w14:val="tx1"/>
                  </w14:solidFill>
                </w14:textFill>
              </w:rPr>
              <w:t>平均值</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为</w:t>
            </w:r>
            <w:r>
              <w:rPr>
                <w:rFonts w:hint="eastAsia" w:cs="Times New Roman"/>
                <w:color w:val="000000" w:themeColor="text1"/>
                <w:kern w:val="0"/>
                <w:sz w:val="24"/>
                <w:lang w:val="en-US" w:eastAsia="zh-CN"/>
                <w14:textFill>
                  <w14:solidFill>
                    <w14:schemeClr w14:val="tx1"/>
                  </w14:solidFill>
                </w14:textFill>
              </w:rPr>
              <w:t>3.49</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g/kg，石油烃未检出。</w:t>
            </w:r>
          </w:p>
          <w:p w14:paraId="133F41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根据《环境影响评价技术导则—土壤环境（试行）》（HJ964-2018）中附录D土壤酸化、碱化及盐化分级标准，项目区土壤自然背景状况为无酸化或碱化、</w:t>
            </w:r>
            <w:r>
              <w:rPr>
                <w:rFonts w:hint="eastAsia" w:cs="Times New Roman"/>
                <w:color w:val="000000" w:themeColor="text1"/>
                <w:kern w:val="0"/>
                <w:sz w:val="24"/>
                <w:lang w:val="en-US" w:eastAsia="zh-CN"/>
                <w14:textFill>
                  <w14:solidFill>
                    <w14:schemeClr w14:val="tx1"/>
                  </w14:solidFill>
                </w14:textFill>
              </w:rPr>
              <w:t>中</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度盐化。判断依据见表 3-10、表 3-11。</w:t>
            </w:r>
          </w:p>
          <w:p w14:paraId="5FEFBFC5">
            <w:pPr>
              <w:pStyle w:val="8"/>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 xml:space="preserve">表3- </w:t>
            </w:r>
            <w:r>
              <w:rPr>
                <w:rFonts w:hint="eastAsia" w:cs="Times New Roman"/>
                <w:sz w:val="21"/>
                <w:szCs w:val="21"/>
                <w:lang w:val="en-US" w:eastAsia="zh-CN"/>
              </w:rPr>
              <w:t>10</w:t>
            </w:r>
            <w:r>
              <w:rPr>
                <w:rFonts w:hint="default" w:ascii="Times New Roman" w:hAnsi="Times New Roman" w:cs="Times New Roman"/>
                <w:sz w:val="21"/>
                <w:szCs w:val="21"/>
                <w:lang w:eastAsia="zh-CN"/>
              </w:rPr>
              <w:t xml:space="preserve"> 土壤盐化分级标准（摘录）</w:t>
            </w:r>
          </w:p>
          <w:tbl>
            <w:tblPr>
              <w:tblStyle w:val="24"/>
              <w:tblW w:w="857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072"/>
              <w:gridCol w:w="5507"/>
            </w:tblGrid>
            <w:tr w14:paraId="5ACD4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3072" w:type="dxa"/>
                  <w:vMerge w:val="restart"/>
                  <w:tcBorders>
                    <w:top w:val="single" w:color="000000" w:sz="12" w:space="0"/>
                    <w:tl2br w:val="nil"/>
                    <w:tr2bl w:val="nil"/>
                  </w:tcBorders>
                  <w:shd w:val="clear" w:color="auto" w:fill="auto"/>
                  <w:noWrap w:val="0"/>
                  <w:vAlign w:val="center"/>
                </w:tcPr>
                <w:p w14:paraId="72C4D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rPr>
                    <w:t>分级</w:t>
                  </w:r>
                </w:p>
              </w:tc>
              <w:tc>
                <w:tcPr>
                  <w:tcW w:w="5507" w:type="dxa"/>
                  <w:tcBorders>
                    <w:top w:val="single" w:color="000000" w:sz="12" w:space="0"/>
                    <w:tl2br w:val="nil"/>
                    <w:tr2bl w:val="nil"/>
                  </w:tcBorders>
                  <w:shd w:val="clear" w:color="auto" w:fill="auto"/>
                  <w:noWrap w:val="0"/>
                  <w:vAlign w:val="center"/>
                </w:tcPr>
                <w:p w14:paraId="744E6D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土壤含盐量（SSC）/（g/kg）</w:t>
                  </w:r>
                </w:p>
              </w:tc>
            </w:tr>
            <w:tr w14:paraId="754722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3072" w:type="dxa"/>
                  <w:vMerge w:val="continue"/>
                  <w:tcBorders>
                    <w:tl2br w:val="nil"/>
                    <w:tr2bl w:val="nil"/>
                  </w:tcBorders>
                  <w:shd w:val="clear" w:color="auto" w:fill="auto"/>
                  <w:noWrap w:val="0"/>
                  <w:vAlign w:val="center"/>
                </w:tcPr>
                <w:p w14:paraId="0C0E33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p>
              </w:tc>
              <w:tc>
                <w:tcPr>
                  <w:tcW w:w="5507" w:type="dxa"/>
                  <w:tcBorders>
                    <w:tl2br w:val="nil"/>
                    <w:tr2bl w:val="nil"/>
                  </w:tcBorders>
                  <w:shd w:val="clear" w:color="auto" w:fill="auto"/>
                  <w:noWrap w:val="0"/>
                  <w:vAlign w:val="center"/>
                </w:tcPr>
                <w:p w14:paraId="71817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eastAsia="zh-CN"/>
                    </w:rPr>
                    <w:t>干旱</w:t>
                  </w:r>
                  <w:r>
                    <w:rPr>
                      <w:rFonts w:hint="default" w:ascii="Times New Roman" w:hAnsi="Times New Roman" w:eastAsia="宋体" w:cs="Times New Roman"/>
                      <w:b w:val="0"/>
                      <w:color w:val="000000"/>
                      <w:sz w:val="21"/>
                      <w:szCs w:val="21"/>
                    </w:rPr>
                    <w:t>、半</w:t>
                  </w:r>
                  <w:r>
                    <w:rPr>
                      <w:rFonts w:hint="default" w:ascii="Times New Roman" w:hAnsi="Times New Roman" w:eastAsia="宋体" w:cs="Times New Roman"/>
                      <w:b w:val="0"/>
                      <w:color w:val="000000"/>
                      <w:sz w:val="21"/>
                      <w:szCs w:val="21"/>
                      <w:lang w:eastAsia="zh-CN"/>
                    </w:rPr>
                    <w:t>荒漠和荒漠</w:t>
                  </w:r>
                  <w:r>
                    <w:rPr>
                      <w:rFonts w:hint="default" w:ascii="Times New Roman" w:hAnsi="Times New Roman" w:eastAsia="宋体" w:cs="Times New Roman"/>
                      <w:b w:val="0"/>
                      <w:color w:val="000000"/>
                      <w:sz w:val="21"/>
                      <w:szCs w:val="21"/>
                    </w:rPr>
                    <w:t>地区</w:t>
                  </w:r>
                </w:p>
              </w:tc>
            </w:tr>
            <w:tr w14:paraId="30B538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2" w:type="dxa"/>
                  <w:tcBorders>
                    <w:tl2br w:val="nil"/>
                    <w:tr2bl w:val="nil"/>
                  </w:tcBorders>
                  <w:shd w:val="clear" w:color="auto" w:fill="auto"/>
                  <w:noWrap w:val="0"/>
                  <w:vAlign w:val="center"/>
                </w:tcPr>
                <w:p w14:paraId="6C1DC0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未盐化</w:t>
                  </w:r>
                </w:p>
              </w:tc>
              <w:tc>
                <w:tcPr>
                  <w:tcW w:w="5507" w:type="dxa"/>
                  <w:tcBorders>
                    <w:tl2br w:val="nil"/>
                    <w:tr2bl w:val="nil"/>
                  </w:tcBorders>
                  <w:shd w:val="clear" w:color="auto" w:fill="auto"/>
                  <w:noWrap w:val="0"/>
                  <w:vAlign w:val="center"/>
                </w:tcPr>
                <w:p w14:paraId="2A95A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SSC＜</w:t>
                  </w:r>
                  <w:r>
                    <w:rPr>
                      <w:rFonts w:hint="default" w:ascii="Times New Roman" w:hAnsi="Times New Roman" w:eastAsia="宋体" w:cs="Times New Roman"/>
                      <w:b w:val="0"/>
                      <w:color w:val="000000"/>
                      <w:sz w:val="21"/>
                      <w:szCs w:val="21"/>
                      <w:lang w:val="en-US" w:eastAsia="zh-CN"/>
                    </w:rPr>
                    <w:t>2</w:t>
                  </w:r>
                </w:p>
              </w:tc>
            </w:tr>
            <w:tr w14:paraId="31C94D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72" w:type="dxa"/>
                  <w:tcBorders>
                    <w:tl2br w:val="nil"/>
                    <w:tr2bl w:val="nil"/>
                  </w:tcBorders>
                  <w:shd w:val="clear" w:color="auto" w:fill="auto"/>
                  <w:noWrap w:val="0"/>
                  <w:vAlign w:val="center"/>
                </w:tcPr>
                <w:p w14:paraId="76A428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轻度盐化</w:t>
                  </w:r>
                </w:p>
              </w:tc>
              <w:tc>
                <w:tcPr>
                  <w:tcW w:w="5507" w:type="dxa"/>
                  <w:tcBorders>
                    <w:tl2br w:val="nil"/>
                    <w:tr2bl w:val="nil"/>
                  </w:tcBorders>
                  <w:shd w:val="clear" w:color="auto" w:fill="auto"/>
                  <w:noWrap w:val="0"/>
                  <w:vAlign w:val="center"/>
                </w:tcPr>
                <w:p w14:paraId="2C0DE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2</w:t>
                  </w:r>
                  <w:r>
                    <w:rPr>
                      <w:rFonts w:hint="default" w:ascii="Times New Roman" w:hAnsi="Times New Roman" w:eastAsia="宋体" w:cs="Times New Roman"/>
                      <w:b w:val="0"/>
                      <w:color w:val="000000"/>
                      <w:sz w:val="21"/>
                      <w:szCs w:val="21"/>
                    </w:rPr>
                    <w:t>≤SSC＜</w:t>
                  </w:r>
                  <w:r>
                    <w:rPr>
                      <w:rFonts w:hint="default" w:ascii="Times New Roman" w:hAnsi="Times New Roman" w:eastAsia="宋体" w:cs="Times New Roman"/>
                      <w:b w:val="0"/>
                      <w:color w:val="000000"/>
                      <w:sz w:val="21"/>
                      <w:szCs w:val="21"/>
                      <w:lang w:val="en-US" w:eastAsia="zh-CN"/>
                    </w:rPr>
                    <w:t>3</w:t>
                  </w:r>
                </w:p>
              </w:tc>
            </w:tr>
            <w:tr w14:paraId="15A57C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3072" w:type="dxa"/>
                  <w:tcBorders>
                    <w:tl2br w:val="nil"/>
                    <w:tr2bl w:val="nil"/>
                  </w:tcBorders>
                  <w:shd w:val="clear" w:color="auto" w:fill="auto"/>
                  <w:noWrap w:val="0"/>
                  <w:vAlign w:val="center"/>
                </w:tcPr>
                <w:p w14:paraId="3BA98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中度盐化</w:t>
                  </w:r>
                </w:p>
              </w:tc>
              <w:tc>
                <w:tcPr>
                  <w:tcW w:w="5507" w:type="dxa"/>
                  <w:tcBorders>
                    <w:tl2br w:val="nil"/>
                    <w:tr2bl w:val="nil"/>
                  </w:tcBorders>
                  <w:shd w:val="clear" w:color="auto" w:fill="auto"/>
                  <w:noWrap w:val="0"/>
                  <w:vAlign w:val="center"/>
                </w:tcPr>
                <w:p w14:paraId="57672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3</w:t>
                  </w:r>
                  <w:r>
                    <w:rPr>
                      <w:rFonts w:hint="default" w:ascii="Times New Roman" w:hAnsi="Times New Roman" w:eastAsia="宋体" w:cs="Times New Roman"/>
                      <w:b w:val="0"/>
                      <w:color w:val="000000"/>
                      <w:sz w:val="21"/>
                      <w:szCs w:val="21"/>
                    </w:rPr>
                    <w:t>≤SSC＜</w:t>
                  </w:r>
                  <w:r>
                    <w:rPr>
                      <w:rFonts w:hint="default" w:ascii="Times New Roman" w:hAnsi="Times New Roman" w:eastAsia="宋体" w:cs="Times New Roman"/>
                      <w:b w:val="0"/>
                      <w:color w:val="000000"/>
                      <w:sz w:val="21"/>
                      <w:szCs w:val="21"/>
                      <w:lang w:val="en-US" w:eastAsia="zh-CN"/>
                    </w:rPr>
                    <w:t>5</w:t>
                  </w:r>
                </w:p>
              </w:tc>
            </w:tr>
            <w:tr w14:paraId="59C708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3072" w:type="dxa"/>
                  <w:tcBorders>
                    <w:tl2br w:val="nil"/>
                    <w:tr2bl w:val="nil"/>
                  </w:tcBorders>
                  <w:shd w:val="clear" w:color="auto" w:fill="auto"/>
                  <w:noWrap w:val="0"/>
                  <w:vAlign w:val="center"/>
                </w:tcPr>
                <w:p w14:paraId="581ADF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重度盐化</w:t>
                  </w:r>
                </w:p>
              </w:tc>
              <w:tc>
                <w:tcPr>
                  <w:tcW w:w="5507" w:type="dxa"/>
                  <w:tcBorders>
                    <w:tl2br w:val="nil"/>
                    <w:tr2bl w:val="nil"/>
                  </w:tcBorders>
                  <w:shd w:val="clear" w:color="auto" w:fill="auto"/>
                  <w:noWrap w:val="0"/>
                  <w:vAlign w:val="center"/>
                </w:tcPr>
                <w:p w14:paraId="1B49E0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w:t>
                  </w:r>
                  <w:r>
                    <w:rPr>
                      <w:rFonts w:hint="default" w:ascii="Times New Roman" w:hAnsi="Times New Roman" w:eastAsia="宋体" w:cs="Times New Roman"/>
                      <w:b w:val="0"/>
                      <w:color w:val="000000"/>
                      <w:sz w:val="21"/>
                      <w:szCs w:val="21"/>
                    </w:rPr>
                    <w:t>≤SSC＜</w:t>
                  </w:r>
                  <w:r>
                    <w:rPr>
                      <w:rFonts w:hint="default" w:ascii="Times New Roman" w:hAnsi="Times New Roman" w:eastAsia="宋体" w:cs="Times New Roman"/>
                      <w:b w:val="0"/>
                      <w:color w:val="000000"/>
                      <w:sz w:val="21"/>
                      <w:szCs w:val="21"/>
                      <w:lang w:val="en-US" w:eastAsia="zh-CN"/>
                    </w:rPr>
                    <w:t>10</w:t>
                  </w:r>
                </w:p>
              </w:tc>
            </w:tr>
            <w:tr w14:paraId="0627DA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c>
                <w:tcPr>
                  <w:tcW w:w="3072" w:type="dxa"/>
                  <w:tcBorders>
                    <w:tl2br w:val="nil"/>
                    <w:tr2bl w:val="nil"/>
                  </w:tcBorders>
                  <w:shd w:val="clear" w:color="auto" w:fill="auto"/>
                  <w:noWrap w:val="0"/>
                  <w:vAlign w:val="center"/>
                </w:tcPr>
                <w:p w14:paraId="7BF4B0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极重度盐化</w:t>
                  </w:r>
                </w:p>
              </w:tc>
              <w:tc>
                <w:tcPr>
                  <w:tcW w:w="5507" w:type="dxa"/>
                  <w:tcBorders>
                    <w:tl2br w:val="nil"/>
                    <w:tr2bl w:val="nil"/>
                  </w:tcBorders>
                  <w:shd w:val="clear" w:color="auto" w:fill="auto"/>
                  <w:noWrap w:val="0"/>
                  <w:vAlign w:val="center"/>
                </w:tcPr>
                <w:p w14:paraId="5441E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SSC≥</w:t>
                  </w:r>
                  <w:r>
                    <w:rPr>
                      <w:rFonts w:hint="default" w:ascii="Times New Roman" w:hAnsi="Times New Roman" w:eastAsia="宋体" w:cs="Times New Roman"/>
                      <w:b w:val="0"/>
                      <w:color w:val="000000"/>
                      <w:sz w:val="21"/>
                      <w:szCs w:val="21"/>
                      <w:lang w:val="en-US" w:eastAsia="zh-CN"/>
                    </w:rPr>
                    <w:t>10</w:t>
                  </w:r>
                </w:p>
              </w:tc>
            </w:tr>
            <w:tr w14:paraId="2991F4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79" w:type="dxa"/>
                  <w:gridSpan w:val="2"/>
                  <w:tcBorders>
                    <w:bottom w:val="single" w:color="000000" w:sz="12" w:space="0"/>
                    <w:tl2br w:val="nil"/>
                    <w:tr2bl w:val="nil"/>
                  </w:tcBorders>
                  <w:shd w:val="clear" w:color="auto" w:fill="auto"/>
                  <w:noWrap w:val="0"/>
                  <w:vAlign w:val="center"/>
                </w:tcPr>
                <w:p w14:paraId="566CC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rPr>
                    <w:t>注：根据区域自然背景状况适当调整</w:t>
                  </w:r>
                </w:p>
              </w:tc>
            </w:tr>
          </w:tbl>
          <w:p w14:paraId="0D1D9FC9">
            <w:pPr>
              <w:pStyle w:val="8"/>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 xml:space="preserve">表3-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SEQ 表3- \* ARABIC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eastAsia" w:cs="Times New Roman"/>
                <w:sz w:val="21"/>
                <w:szCs w:val="21"/>
                <w:lang w:val="en-US" w:eastAsia="zh-CN"/>
              </w:rPr>
              <w:t>1</w:t>
            </w:r>
            <w:r>
              <w:rPr>
                <w:rFonts w:hint="default" w:ascii="Times New Roman" w:hAnsi="Times New Roman" w:cs="Times New Roman"/>
                <w:sz w:val="21"/>
                <w:szCs w:val="21"/>
                <w:lang w:eastAsia="zh-CN"/>
              </w:rPr>
              <w:t xml:space="preserve"> 土壤酸化、碱化分级标准</w:t>
            </w:r>
          </w:p>
          <w:tbl>
            <w:tblPr>
              <w:tblStyle w:val="24"/>
              <w:tblW w:w="0" w:type="auto"/>
              <w:tblInd w:w="5"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83"/>
              <w:gridCol w:w="4286"/>
            </w:tblGrid>
            <w:tr w14:paraId="71BBF57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tcBorders>
                    <w:top w:val="single" w:color="000000" w:sz="12" w:space="0"/>
                    <w:tl2br w:val="nil"/>
                  </w:tcBorders>
                  <w:shd w:val="clear" w:color="auto" w:fill="auto"/>
                  <w:noWrap w:val="0"/>
                  <w:vAlign w:val="top"/>
                </w:tcPr>
                <w:p w14:paraId="488A5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土壤 pH 值</w:t>
                  </w:r>
                </w:p>
              </w:tc>
              <w:tc>
                <w:tcPr>
                  <w:tcW w:w="4286" w:type="dxa"/>
                  <w:tcBorders>
                    <w:top w:val="single" w:color="000000" w:sz="12" w:space="0"/>
                    <w:right w:val="nil"/>
                  </w:tcBorders>
                  <w:shd w:val="clear" w:color="auto" w:fill="auto"/>
                  <w:noWrap w:val="0"/>
                  <w:vAlign w:val="top"/>
                </w:tcPr>
                <w:p w14:paraId="571A2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土壤酸化、碱化强度</w:t>
                  </w:r>
                </w:p>
              </w:tc>
            </w:tr>
            <w:tr w14:paraId="3846AFE6">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shd w:val="clear" w:color="auto" w:fill="auto"/>
                  <w:noWrap w:val="0"/>
                  <w:vAlign w:val="top"/>
                </w:tcPr>
                <w:p w14:paraId="6727E6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pH＜3.5</w:t>
                  </w:r>
                </w:p>
              </w:tc>
              <w:tc>
                <w:tcPr>
                  <w:tcW w:w="4286" w:type="dxa"/>
                  <w:tcBorders>
                    <w:right w:val="nil"/>
                  </w:tcBorders>
                  <w:shd w:val="clear" w:color="auto" w:fill="auto"/>
                  <w:noWrap w:val="0"/>
                  <w:vAlign w:val="top"/>
                </w:tcPr>
                <w:p w14:paraId="2CFFB5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极重度酸化</w:t>
                  </w:r>
                </w:p>
              </w:tc>
            </w:tr>
            <w:tr w14:paraId="557A48BA">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shd w:val="clear" w:color="auto" w:fill="auto"/>
                  <w:noWrap w:val="0"/>
                  <w:vAlign w:val="top"/>
                </w:tcPr>
                <w:p w14:paraId="55C563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3.5≤pH＜4.0</w:t>
                  </w:r>
                </w:p>
              </w:tc>
              <w:tc>
                <w:tcPr>
                  <w:tcW w:w="4286" w:type="dxa"/>
                  <w:tcBorders>
                    <w:right w:val="nil"/>
                  </w:tcBorders>
                  <w:shd w:val="clear" w:color="auto" w:fill="auto"/>
                  <w:noWrap w:val="0"/>
                  <w:vAlign w:val="top"/>
                </w:tcPr>
                <w:p w14:paraId="063575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重度酸化</w:t>
                  </w:r>
                </w:p>
              </w:tc>
            </w:tr>
            <w:tr w14:paraId="24C47F91">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shd w:val="clear" w:color="auto" w:fill="auto"/>
                  <w:noWrap w:val="0"/>
                  <w:vAlign w:val="top"/>
                </w:tcPr>
                <w:p w14:paraId="56FD2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4.0≤pH＜4.5</w:t>
                  </w:r>
                </w:p>
              </w:tc>
              <w:tc>
                <w:tcPr>
                  <w:tcW w:w="4286" w:type="dxa"/>
                  <w:tcBorders>
                    <w:right w:val="nil"/>
                  </w:tcBorders>
                  <w:shd w:val="clear" w:color="auto" w:fill="auto"/>
                  <w:noWrap w:val="0"/>
                  <w:vAlign w:val="top"/>
                </w:tcPr>
                <w:p w14:paraId="5FD04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eastAsia" w:cs="Times New Roman"/>
                      <w:b w:val="0"/>
                      <w:color w:val="000000"/>
                      <w:sz w:val="21"/>
                      <w:szCs w:val="21"/>
                      <w:lang w:val="en-US" w:eastAsia="zh-CN"/>
                    </w:rPr>
                    <w:t>中</w:t>
                  </w:r>
                  <w:r>
                    <w:rPr>
                      <w:rFonts w:hint="default" w:ascii="Times New Roman" w:hAnsi="Times New Roman" w:eastAsia="宋体" w:cs="Times New Roman"/>
                      <w:b w:val="0"/>
                      <w:color w:val="000000"/>
                      <w:sz w:val="21"/>
                      <w:szCs w:val="21"/>
                    </w:rPr>
                    <w:t>度酸化</w:t>
                  </w:r>
                </w:p>
              </w:tc>
            </w:tr>
            <w:tr w14:paraId="5740EFAF">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shd w:val="clear" w:color="auto" w:fill="auto"/>
                  <w:noWrap w:val="0"/>
                  <w:vAlign w:val="top"/>
                </w:tcPr>
                <w:p w14:paraId="20E69E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4.5≤pH＜5.5</w:t>
                  </w:r>
                </w:p>
              </w:tc>
              <w:tc>
                <w:tcPr>
                  <w:tcW w:w="4286" w:type="dxa"/>
                  <w:tcBorders>
                    <w:right w:val="nil"/>
                  </w:tcBorders>
                  <w:shd w:val="clear" w:color="auto" w:fill="auto"/>
                  <w:noWrap w:val="0"/>
                  <w:vAlign w:val="top"/>
                </w:tcPr>
                <w:p w14:paraId="1E968F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轻度酸化</w:t>
                  </w:r>
                </w:p>
              </w:tc>
            </w:tr>
            <w:tr w14:paraId="5FE7AD30">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shd w:val="clear" w:color="auto" w:fill="auto"/>
                  <w:noWrap w:val="0"/>
                  <w:vAlign w:val="top"/>
                </w:tcPr>
                <w:p w14:paraId="1AA09A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5.5≤pH＜8.5</w:t>
                  </w:r>
                </w:p>
              </w:tc>
              <w:tc>
                <w:tcPr>
                  <w:tcW w:w="4286" w:type="dxa"/>
                  <w:tcBorders>
                    <w:right w:val="nil"/>
                  </w:tcBorders>
                  <w:shd w:val="clear" w:color="auto" w:fill="auto"/>
                  <w:noWrap w:val="0"/>
                  <w:vAlign w:val="top"/>
                </w:tcPr>
                <w:p w14:paraId="595B93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无酸化或碱化</w:t>
                  </w:r>
                </w:p>
              </w:tc>
            </w:tr>
            <w:tr w14:paraId="3FC00075">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shd w:val="clear" w:color="auto" w:fill="auto"/>
                  <w:noWrap w:val="0"/>
                  <w:vAlign w:val="top"/>
                </w:tcPr>
                <w:p w14:paraId="388619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8.5≤pH＜9.0</w:t>
                  </w:r>
                </w:p>
              </w:tc>
              <w:tc>
                <w:tcPr>
                  <w:tcW w:w="4286" w:type="dxa"/>
                  <w:tcBorders>
                    <w:right w:val="nil"/>
                  </w:tcBorders>
                  <w:shd w:val="clear" w:color="auto" w:fill="auto"/>
                  <w:noWrap w:val="0"/>
                  <w:vAlign w:val="top"/>
                </w:tcPr>
                <w:p w14:paraId="46292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轻度碱化</w:t>
                  </w:r>
                </w:p>
              </w:tc>
            </w:tr>
            <w:tr w14:paraId="5550C52B">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shd w:val="clear" w:color="auto" w:fill="auto"/>
                  <w:noWrap w:val="0"/>
                  <w:vAlign w:val="top"/>
                </w:tcPr>
                <w:p w14:paraId="2AF0D4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9.0≤pH＜9.5</w:t>
                  </w:r>
                </w:p>
              </w:tc>
              <w:tc>
                <w:tcPr>
                  <w:tcW w:w="4286" w:type="dxa"/>
                  <w:tcBorders>
                    <w:right w:val="nil"/>
                  </w:tcBorders>
                  <w:shd w:val="clear" w:color="auto" w:fill="auto"/>
                  <w:noWrap w:val="0"/>
                  <w:vAlign w:val="top"/>
                </w:tcPr>
                <w:p w14:paraId="504B8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中度碱化</w:t>
                  </w:r>
                </w:p>
              </w:tc>
            </w:tr>
            <w:tr w14:paraId="51146F03">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283" w:type="dxa"/>
                  <w:shd w:val="clear" w:color="auto" w:fill="auto"/>
                  <w:noWrap w:val="0"/>
                  <w:vAlign w:val="top"/>
                </w:tcPr>
                <w:p w14:paraId="49A877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9.5≤pH＜10.0</w:t>
                  </w:r>
                </w:p>
              </w:tc>
              <w:tc>
                <w:tcPr>
                  <w:tcW w:w="4286" w:type="dxa"/>
                  <w:tcBorders>
                    <w:right w:val="nil"/>
                  </w:tcBorders>
                  <w:shd w:val="clear" w:color="auto" w:fill="auto"/>
                  <w:noWrap w:val="0"/>
                  <w:vAlign w:val="top"/>
                </w:tcPr>
                <w:p w14:paraId="10E131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重度碱化</w:t>
                  </w:r>
                </w:p>
              </w:tc>
            </w:tr>
            <w:tr w14:paraId="26EC7B52">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3" w:type="dxa"/>
                  <w:shd w:val="clear" w:color="auto" w:fill="auto"/>
                  <w:noWrap w:val="0"/>
                  <w:vAlign w:val="top"/>
                </w:tcPr>
                <w:p w14:paraId="3318C3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pH≥10.0</w:t>
                  </w:r>
                </w:p>
              </w:tc>
              <w:tc>
                <w:tcPr>
                  <w:tcW w:w="4286" w:type="dxa"/>
                  <w:tcBorders>
                    <w:right w:val="nil"/>
                  </w:tcBorders>
                  <w:shd w:val="clear" w:color="auto" w:fill="auto"/>
                  <w:noWrap w:val="0"/>
                  <w:vAlign w:val="top"/>
                </w:tcPr>
                <w:p w14:paraId="21D91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极重度碱化</w:t>
                  </w:r>
                </w:p>
              </w:tc>
            </w:tr>
            <w:tr w14:paraId="06A987A2">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8569" w:type="dxa"/>
                  <w:gridSpan w:val="2"/>
                  <w:tcBorders>
                    <w:bottom w:val="single" w:color="000000" w:sz="12" w:space="0"/>
                    <w:right w:val="nil"/>
                  </w:tcBorders>
                  <w:shd w:val="clear" w:color="auto" w:fill="auto"/>
                  <w:noWrap w:val="0"/>
                  <w:vAlign w:val="top"/>
                </w:tcPr>
                <w:p w14:paraId="094BF8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18"/>
                      <w:szCs w:val="18"/>
                    </w:rPr>
                    <w:t>注：土壤酸化、碱化强度指受人为影响后呈现的土壤 pH 值，可根据区域自然环境背景状况适当调整</w:t>
                  </w:r>
                </w:p>
              </w:tc>
            </w:tr>
          </w:tbl>
          <w:p w14:paraId="2880D52A">
            <w:pPr>
              <w:pStyle w:val="22"/>
              <w:keepNext w:val="0"/>
              <w:keepLines w:val="0"/>
              <w:pageBreakBefore w:val="0"/>
              <w:kinsoku/>
              <w:wordWrap/>
              <w:overflowPunct/>
              <w:topLinePunct w:val="0"/>
              <w:autoSpaceDE/>
              <w:autoSpaceDN/>
              <w:bidi w:val="0"/>
              <w:spacing w:before="0" w:after="0" w:line="360" w:lineRule="auto"/>
              <w:ind w:left="0" w:leftChars="0" w:right="0" w:firstLine="0" w:firstLineChars="0"/>
              <w:textAlignment w:val="auto"/>
              <w:rPr>
                <w:rFonts w:hint="default" w:ascii="Times New Roman" w:hAnsi="Times New Roman" w:eastAsia="宋体" w:cs="Times New Roman"/>
                <w:kern w:val="0"/>
                <w:sz w:val="24"/>
                <w:szCs w:val="24"/>
              </w:rPr>
            </w:pPr>
          </w:p>
        </w:tc>
      </w:tr>
      <w:tr w14:paraId="751C2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904" w:type="dxa"/>
            <w:noWrap w:val="0"/>
            <w:vAlign w:val="center"/>
          </w:tcPr>
          <w:p w14:paraId="09BFE7D1">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bCs/>
                <w:sz w:val="24"/>
                <w:szCs w:val="24"/>
              </w:rPr>
              <w:t>与项目有关的原有环境污染和生态破坏问题</w:t>
            </w:r>
          </w:p>
        </w:tc>
        <w:tc>
          <w:tcPr>
            <w:tcW w:w="8253" w:type="dxa"/>
            <w:noWrap w:val="0"/>
            <w:vAlign w:val="center"/>
          </w:tcPr>
          <w:p w14:paraId="3A852B8D">
            <w:pPr>
              <w:pStyle w:val="22"/>
              <w:keepNext w:val="0"/>
              <w:keepLines w:val="0"/>
              <w:pageBreakBefore w:val="0"/>
              <w:numPr>
                <w:ilvl w:val="0"/>
                <w:numId w:val="0"/>
              </w:numPr>
              <w:kinsoku/>
              <w:wordWrap/>
              <w:overflowPunct/>
              <w:topLinePunct w:val="0"/>
              <w:autoSpaceDE/>
              <w:autoSpaceDN/>
              <w:bidi w:val="0"/>
              <w:spacing w:before="0" w:after="0" w:line="360" w:lineRule="auto"/>
              <w:ind w:right="0" w:rightChars="0"/>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1、矿业权沿革</w:t>
            </w:r>
          </w:p>
          <w:p w14:paraId="17980A54">
            <w:pPr>
              <w:pStyle w:val="22"/>
              <w:keepNext w:val="0"/>
              <w:keepLines w:val="0"/>
              <w:pageBreakBefore w:val="0"/>
              <w:numPr>
                <w:ilvl w:val="0"/>
                <w:numId w:val="0"/>
              </w:numPr>
              <w:kinsoku/>
              <w:wordWrap/>
              <w:overflowPunct/>
              <w:topLinePunct w:val="0"/>
              <w:autoSpaceDE/>
              <w:autoSpaceDN/>
              <w:bidi w:val="0"/>
              <w:spacing w:before="0" w:after="0" w:line="360" w:lineRule="auto"/>
              <w:ind w:right="0" w:rightChars="0" w:firstLine="480" w:firstLineChars="200"/>
              <w:textAlignment w:val="auto"/>
              <w:rPr>
                <w:rFonts w:hint="default" w:ascii="Times New Roman" w:hAnsi="Times New Roman" w:eastAsia="宋体" w:cs="Times New Roman"/>
                <w:kern w:val="0"/>
                <w:sz w:val="24"/>
                <w:szCs w:val="24"/>
              </w:rPr>
            </w:pPr>
            <w:r>
              <w:rPr>
                <w:rFonts w:hint="eastAsia" w:ascii="Times New Roman" w:hAnsi="Times New Roman" w:cs="Times New Roman"/>
                <w:b w:val="0"/>
                <w:bCs w:val="0"/>
                <w:kern w:val="0"/>
                <w:sz w:val="24"/>
                <w:szCs w:val="24"/>
                <w:lang w:val="en-US" w:eastAsia="zh-CN"/>
              </w:rPr>
              <w:t>“甘肃惠临实业发展有限公司临泽县凹凸棒石粘土矿”位于甘肃省张掖市临泽县板桥镇，属于新建露天开采非金属矿山。矿权人为甘肃惠临实业发展有限公司，该矿山原采矿权人为甘肃凯西生态环境工程有限公司，甘肃凯西生态环境工程有限公司临泽县凹凸棒石粘土矿自2011年9月取得采矿证以来，零星开采，自2020年以后，矿山一直处于停产状态，目前矿山未开采，因采矿权到期，申请采矿权延续，采矿许可证（C6207002011097130117694）有效期至2022年9月5日，现已到期。</w:t>
            </w:r>
          </w:p>
          <w:p w14:paraId="55D5663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kern w:val="0"/>
                <w:sz w:val="24"/>
                <w:szCs w:val="24"/>
                <w:lang w:val="en-US" w:eastAsia="zh-CN"/>
              </w:rPr>
            </w:pPr>
            <w:r>
              <w:rPr>
                <w:rFonts w:hint="eastAsia" w:cs="Times New Roman"/>
                <w:b/>
                <w:bCs/>
                <w:kern w:val="0"/>
                <w:sz w:val="24"/>
                <w:szCs w:val="24"/>
                <w:lang w:val="en-US" w:eastAsia="zh-CN"/>
              </w:rPr>
              <w:t>2</w:t>
            </w:r>
            <w:r>
              <w:rPr>
                <w:rFonts w:hint="default" w:ascii="Times New Roman" w:hAnsi="Times New Roman" w:eastAsia="宋体" w:cs="Times New Roman"/>
                <w:b/>
                <w:bCs/>
                <w:kern w:val="0"/>
                <w:sz w:val="24"/>
                <w:szCs w:val="24"/>
                <w:lang w:val="en-US" w:eastAsia="zh-CN"/>
              </w:rPr>
              <w:t>、矿区开采现状</w:t>
            </w:r>
          </w:p>
          <w:p w14:paraId="4CA2AC44">
            <w:pPr>
              <w:pStyle w:val="22"/>
              <w:keepNext w:val="0"/>
              <w:keepLines w:val="0"/>
              <w:pageBreakBefore w:val="0"/>
              <w:numPr>
                <w:ilvl w:val="0"/>
                <w:numId w:val="0"/>
              </w:numPr>
              <w:kinsoku/>
              <w:wordWrap/>
              <w:overflowPunct/>
              <w:topLinePunct w:val="0"/>
              <w:autoSpaceDE/>
              <w:autoSpaceDN/>
              <w:bidi w:val="0"/>
              <w:spacing w:before="0" w:after="0" w:line="360" w:lineRule="auto"/>
              <w:ind w:right="0" w:rightChars="0"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原甘肃凯西生态环境工程有限公司临泽县凹凸棒石粘土矿于2005年开工建设，在这之前，矿区范围内就进行过零星开采，形成了部分采空区。截止甘肃惠临实业发展有限公司取得采矿权之前，由于价值市场低迷，原矿价格低，市场需求量少等的原因，该矿一直生产不连续，断续生产。截止该矿停产前累计在矿区内形成了4处采坑。</w:t>
            </w:r>
          </w:p>
          <w:p w14:paraId="2C3CCD21">
            <w:pPr>
              <w:pStyle w:val="22"/>
              <w:keepNext w:val="0"/>
              <w:keepLines w:val="0"/>
              <w:pageBreakBefore w:val="0"/>
              <w:kinsoku/>
              <w:wordWrap/>
              <w:overflowPunct/>
              <w:topLinePunct w:val="0"/>
              <w:autoSpaceDE/>
              <w:autoSpaceDN/>
              <w:bidi w:val="0"/>
              <w:spacing w:before="0" w:after="0" w:line="360" w:lineRule="auto"/>
              <w:ind w:left="0" w:leftChars="0" w:right="0"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原甘肃凯西生态环境工程有限公司临泽县凹凸棒石粘土矿采用露天开采，挖掘机挖掘开采的方式进行开采，其中位于矿区北中部2#拐点处的1号采坑为最大，形成的采坑西北至东南方向最大长度约1120m，西南至东北方向最大宽度约270m，采坑最深约9m，平均深度约3.8m，该采坑境界13.01万m</w:t>
            </w:r>
            <w:r>
              <w:rPr>
                <w:rFonts w:hint="eastAsia" w:ascii="Times New Roman" w:hAnsi="Times New Roman" w:eastAsia="宋体" w:cs="Times New Roman"/>
                <w:kern w:val="0"/>
                <w:sz w:val="24"/>
                <w:szCs w:val="24"/>
                <w:vertAlign w:val="superscript"/>
                <w:lang w:val="en-US" w:eastAsia="zh-CN"/>
              </w:rPr>
              <w:t>2</w:t>
            </w:r>
            <w:r>
              <w:rPr>
                <w:rFonts w:hint="default" w:ascii="Times New Roman" w:hAnsi="Times New Roman" w:eastAsia="宋体" w:cs="Times New Roman"/>
                <w:kern w:val="0"/>
                <w:sz w:val="24"/>
                <w:szCs w:val="24"/>
              </w:rPr>
              <w:t>，累计采出矿石约47.28万m</w:t>
            </w:r>
            <w:r>
              <w:rPr>
                <w:rFonts w:hint="eastAsia" w:ascii="Times New Roman" w:hAnsi="Times New Roman" w:eastAsia="宋体" w:cs="Times New Roman"/>
                <w:kern w:val="0"/>
                <w:sz w:val="24"/>
                <w:szCs w:val="24"/>
                <w:vertAlign w:val="superscript"/>
                <w:lang w:val="en-US" w:eastAsia="zh-CN"/>
              </w:rPr>
              <w:t>3</w:t>
            </w:r>
            <w:r>
              <w:rPr>
                <w:rFonts w:hint="default" w:ascii="Times New Roman" w:hAnsi="Times New Roman" w:eastAsia="宋体" w:cs="Times New Roman"/>
                <w:kern w:val="0"/>
                <w:sz w:val="24"/>
                <w:szCs w:val="24"/>
              </w:rPr>
              <w:t>。形成的分层台阶高度约2.5m。位于矿区中部的2#采坑上部境界面积约2260m²，采坑深度3.5m。位于矿区南侧的3#采坑位于3#拐点处，采坑上部境界面积约54000m</w:t>
            </w:r>
            <w:r>
              <w:rPr>
                <w:rFonts w:hint="eastAsia" w:ascii="Times New Roman" w:hAnsi="Times New Roman" w:eastAsia="宋体" w:cs="Times New Roman"/>
                <w:kern w:val="0"/>
                <w:sz w:val="24"/>
                <w:szCs w:val="24"/>
                <w:vertAlign w:val="superscript"/>
                <w:lang w:val="en-US" w:eastAsia="zh-CN"/>
              </w:rPr>
              <w:t>2</w:t>
            </w:r>
            <w:r>
              <w:rPr>
                <w:rFonts w:hint="default" w:ascii="Times New Roman" w:hAnsi="Times New Roman" w:eastAsia="宋体" w:cs="Times New Roman"/>
                <w:kern w:val="0"/>
                <w:sz w:val="24"/>
                <w:szCs w:val="24"/>
              </w:rPr>
              <w:t>，局部延伸至矿区以外，采坑深度1.5m；位于矿区南侧的4#采坑位于4#拐点位置，该采坑上部境界面积约75200m²，采坑大部分位于矿区以外，采坑深度2.0m。</w:t>
            </w:r>
          </w:p>
          <w:p w14:paraId="610BCB17">
            <w:pPr>
              <w:pStyle w:val="22"/>
              <w:keepNext w:val="0"/>
              <w:keepLines w:val="0"/>
              <w:pageBreakBefore w:val="0"/>
              <w:kinsoku/>
              <w:wordWrap/>
              <w:overflowPunct/>
              <w:topLinePunct w:val="0"/>
              <w:autoSpaceDE/>
              <w:autoSpaceDN/>
              <w:bidi w:val="0"/>
              <w:spacing w:before="0" w:after="0" w:line="360" w:lineRule="auto"/>
              <w:ind w:left="0" w:leftChars="0" w:right="0" w:firstLine="0" w:firstLineChars="0"/>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3、恢复情况</w:t>
            </w:r>
          </w:p>
          <w:p w14:paraId="0EAEEF83">
            <w:pPr>
              <w:pStyle w:val="22"/>
              <w:keepNext w:val="0"/>
              <w:keepLines w:val="0"/>
              <w:pageBreakBefore w:val="0"/>
              <w:kinsoku/>
              <w:wordWrap/>
              <w:overflowPunct/>
              <w:topLinePunct w:val="0"/>
              <w:autoSpaceDE/>
              <w:autoSpaceDN/>
              <w:bidi w:val="0"/>
              <w:spacing w:before="0" w:after="0" w:line="360" w:lineRule="auto"/>
              <w:ind w:left="0" w:leftChars="0" w:right="0"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矿区位于正北山北麓，总体地势由北东向西南倾斜，海拔1420m～1500m。属浅切割的低中山区。区内沟谷开阔，多呈近南北向或北西-南东向延伸，沟谷内无常年性流水。设计人员对现场进行了勘查，重点对露天采场、采矿平台、矿山道路及周边情况进行了查勘。已形成的部分采坑内边坡个别地点有浮石没有清理彻底，未发现明显的边坡滑坡迹象。露天开采区域外的其他区域地表正常。在矿区中部的2#采坑东南侧形成的原有排土场已进行了恢复治理。根据2025年省环保督察组督查过程中反馈的问题，甘肃惠临实业发展有限公司于2025年9月将矿区内的3#、4#采坑进行了回填，对1#、2#采坑进行了局部回填。</w:t>
            </w:r>
          </w:p>
          <w:p w14:paraId="3EB8D5CB">
            <w:pPr>
              <w:pStyle w:val="22"/>
              <w:keepNext w:val="0"/>
              <w:keepLines w:val="0"/>
              <w:pageBreakBefore w:val="0"/>
              <w:kinsoku/>
              <w:wordWrap/>
              <w:overflowPunct/>
              <w:topLinePunct w:val="0"/>
              <w:autoSpaceDE/>
              <w:autoSpaceDN/>
              <w:bidi w:val="0"/>
              <w:spacing w:before="0" w:after="0" w:line="360" w:lineRule="auto"/>
              <w:ind w:left="0" w:leftChars="0" w:right="0" w:firstLine="480" w:firstLineChars="200"/>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项目所在区经多年生态恢复原有环境污染问题已得到基本改善。因此，原矿区现不存在与项目有关的原有环境污染和生态破坏问题。</w:t>
            </w:r>
          </w:p>
          <w:p w14:paraId="3E12B0C9">
            <w:pPr>
              <w:pStyle w:val="62"/>
              <w:keepNext w:val="0"/>
              <w:keepLines w:val="0"/>
              <w:pageBreakBefore w:val="0"/>
              <w:widowControl w:val="0"/>
              <w:numPr>
                <w:ilvl w:val="0"/>
                <w:numId w:val="0"/>
              </w:numPr>
              <w:tabs>
                <w:tab w:val="left" w:pos="1926"/>
              </w:tabs>
              <w:kinsoku/>
              <w:wordWrap/>
              <w:overflowPunct/>
              <w:topLinePunct w:val="0"/>
              <w:autoSpaceDE/>
              <w:autoSpaceDN/>
              <w:bidi w:val="0"/>
              <w:adjustRightInd w:val="0"/>
              <w:snapToGrid w:val="0"/>
              <w:textAlignment w:val="auto"/>
              <w:rPr>
                <w:rFonts w:hint="eastAsia"/>
                <w:b/>
                <w:bCs/>
                <w:color w:val="auto"/>
                <w:spacing w:val="0"/>
                <w:kern w:val="0"/>
                <w:sz w:val="24"/>
                <w:szCs w:val="24"/>
                <w:highlight w:val="none"/>
                <w:lang w:val="en-US" w:eastAsia="zh-CN"/>
              </w:rPr>
            </w:pPr>
            <w:r>
              <w:rPr>
                <w:rFonts w:hint="eastAsia"/>
                <w:b/>
                <w:bCs/>
                <w:color w:val="auto"/>
                <w:spacing w:val="0"/>
                <w:kern w:val="0"/>
                <w:sz w:val="24"/>
                <w:szCs w:val="24"/>
                <w:highlight w:val="none"/>
                <w:lang w:val="en-US" w:eastAsia="zh-CN"/>
              </w:rPr>
              <w:t>4、污染物排放</w:t>
            </w:r>
          </w:p>
          <w:p w14:paraId="59167B20">
            <w:pPr>
              <w:pStyle w:val="62"/>
              <w:keepNext w:val="0"/>
              <w:keepLines w:val="0"/>
              <w:pageBreakBefore w:val="0"/>
              <w:widowControl w:val="0"/>
              <w:numPr>
                <w:ilvl w:val="0"/>
                <w:numId w:val="0"/>
              </w:numPr>
              <w:tabs>
                <w:tab w:val="left" w:pos="1926"/>
              </w:tabs>
              <w:kinsoku/>
              <w:wordWrap/>
              <w:overflowPunct/>
              <w:topLinePunct w:val="0"/>
              <w:autoSpaceDE/>
              <w:autoSpaceDN/>
              <w:bidi w:val="0"/>
              <w:adjustRightInd w:val="0"/>
              <w:snapToGrid w:val="0"/>
              <w:ind w:firstLine="480" w:firstLineChars="200"/>
              <w:textAlignment w:val="auto"/>
              <w:rPr>
                <w:rFonts w:hint="eastAsia"/>
                <w:b w:val="0"/>
                <w:bCs w:val="0"/>
                <w:color w:val="auto"/>
                <w:spacing w:val="0"/>
                <w:kern w:val="0"/>
                <w:sz w:val="24"/>
                <w:szCs w:val="24"/>
                <w:highlight w:val="none"/>
                <w:lang w:val="en-US" w:eastAsia="zh-CN"/>
              </w:rPr>
            </w:pPr>
            <w:r>
              <w:rPr>
                <w:rFonts w:hint="eastAsia"/>
                <w:b w:val="0"/>
                <w:bCs w:val="0"/>
                <w:color w:val="auto"/>
                <w:spacing w:val="0"/>
                <w:kern w:val="0"/>
                <w:sz w:val="24"/>
                <w:szCs w:val="24"/>
                <w:highlight w:val="none"/>
                <w:lang w:val="en-US" w:eastAsia="zh-CN"/>
              </w:rPr>
              <w:t>原有工程项目为登记管理，</w:t>
            </w:r>
            <w:r>
              <w:rPr>
                <w:rFonts w:hint="default" w:eastAsia="宋体"/>
                <w:b w:val="0"/>
                <w:bCs w:val="0"/>
                <w:color w:val="auto"/>
                <w:spacing w:val="0"/>
                <w:kern w:val="2"/>
                <w:sz w:val="24"/>
                <w:szCs w:val="24"/>
                <w:highlight w:val="none"/>
                <w:lang w:val="en-US" w:eastAsia="zh-CN"/>
              </w:rPr>
              <w:t>未发生环境污染事件，当地生态环境主管部门未接到相关环境污染投诉事件。</w:t>
            </w:r>
            <w:r>
              <w:rPr>
                <w:rFonts w:hint="eastAsia"/>
                <w:b w:val="0"/>
                <w:bCs w:val="0"/>
                <w:color w:val="auto"/>
                <w:spacing w:val="0"/>
                <w:kern w:val="0"/>
                <w:sz w:val="24"/>
                <w:szCs w:val="24"/>
                <w:highlight w:val="none"/>
                <w:lang w:val="en-US" w:eastAsia="zh-CN"/>
              </w:rPr>
              <w:t>现阶段已停产，矿区无废气、废水、噪声、固废产生。</w:t>
            </w:r>
          </w:p>
          <w:p w14:paraId="3B2995C9">
            <w:pPr>
              <w:pStyle w:val="62"/>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Times New Roman" w:hAnsi="Times New Roman" w:eastAsia="宋体" w:cs="Times New Roman"/>
                <w:b/>
                <w:bCs/>
                <w:color w:val="auto"/>
                <w:spacing w:val="0"/>
                <w:kern w:val="2"/>
                <w:sz w:val="24"/>
                <w:szCs w:val="24"/>
                <w:highlight w:val="none"/>
                <w:lang w:val="en-US" w:eastAsia="zh-CN"/>
              </w:rPr>
            </w:pPr>
            <w:r>
              <w:rPr>
                <w:rFonts w:hint="eastAsia" w:ascii="Times New Roman" w:hAnsi="Times New Roman" w:cs="Times New Roman"/>
                <w:b/>
                <w:bCs/>
                <w:color w:val="auto"/>
                <w:spacing w:val="0"/>
                <w:kern w:val="0"/>
                <w:sz w:val="24"/>
                <w:szCs w:val="24"/>
                <w:highlight w:val="none"/>
                <w:lang w:val="en-US" w:eastAsia="zh-CN"/>
              </w:rPr>
              <w:t>5</w:t>
            </w:r>
            <w:r>
              <w:rPr>
                <w:rFonts w:hint="default" w:ascii="Times New Roman" w:hAnsi="Times New Roman" w:cs="Times New Roman"/>
                <w:b/>
                <w:bCs/>
                <w:color w:val="auto"/>
                <w:spacing w:val="0"/>
                <w:kern w:val="0"/>
                <w:sz w:val="24"/>
                <w:szCs w:val="24"/>
                <w:highlight w:val="none"/>
                <w:lang w:val="en-US" w:eastAsia="zh-CN"/>
              </w:rPr>
              <w:t>、主要环境问题及</w:t>
            </w:r>
            <w:r>
              <w:rPr>
                <w:rFonts w:hint="default" w:ascii="Times New Roman" w:hAnsi="Times New Roman" w:cs="Times New Roman"/>
                <w:b/>
                <w:bCs/>
                <w:color w:val="auto"/>
                <w:spacing w:val="0"/>
                <w:kern w:val="2"/>
                <w:sz w:val="24"/>
                <w:szCs w:val="24"/>
                <w:highlight w:val="none"/>
                <w:lang w:val="en-US" w:eastAsia="zh-CN"/>
              </w:rPr>
              <w:t>措施</w:t>
            </w:r>
          </w:p>
          <w:p w14:paraId="0AE17955">
            <w:pPr>
              <w:pStyle w:val="62"/>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spacing w:val="0"/>
                <w:kern w:val="0"/>
                <w:sz w:val="24"/>
                <w:szCs w:val="24"/>
                <w:highlight w:val="none"/>
                <w:lang w:val="en-US" w:eastAsia="zh-CN"/>
              </w:rPr>
            </w:pPr>
            <w:r>
              <w:rPr>
                <w:rFonts w:hint="default" w:ascii="Times New Roman" w:hAnsi="Times New Roman" w:eastAsia="宋体" w:cs="Times New Roman"/>
                <w:b w:val="0"/>
                <w:bCs w:val="0"/>
                <w:color w:val="auto"/>
                <w:spacing w:val="0"/>
                <w:kern w:val="0"/>
                <w:sz w:val="24"/>
                <w:szCs w:val="24"/>
                <w:highlight w:val="none"/>
                <w:lang w:val="en-US" w:eastAsia="zh-CN"/>
              </w:rPr>
              <w:t>现有</w:t>
            </w:r>
            <w:r>
              <w:rPr>
                <w:rFonts w:hint="eastAsia" w:ascii="Times New Roman" w:hAnsi="Times New Roman" w:eastAsia="宋体" w:cs="Times New Roman"/>
                <w:b w:val="0"/>
                <w:bCs w:val="0"/>
                <w:color w:val="auto"/>
                <w:spacing w:val="0"/>
                <w:kern w:val="0"/>
                <w:sz w:val="24"/>
                <w:szCs w:val="24"/>
                <w:highlight w:val="none"/>
                <w:lang w:val="en-US" w:eastAsia="zh-CN"/>
              </w:rPr>
              <w:t>环境问题及整改措施</w:t>
            </w:r>
            <w:r>
              <w:rPr>
                <w:rFonts w:hint="default" w:ascii="Times New Roman" w:hAnsi="Times New Roman" w:eastAsia="宋体" w:cs="Times New Roman"/>
                <w:b w:val="0"/>
                <w:bCs w:val="0"/>
                <w:color w:val="auto"/>
                <w:spacing w:val="0"/>
                <w:kern w:val="0"/>
                <w:sz w:val="24"/>
                <w:szCs w:val="24"/>
                <w:highlight w:val="none"/>
                <w:lang w:val="en-US" w:eastAsia="zh-CN"/>
              </w:rPr>
              <w:t>见</w:t>
            </w:r>
            <w:r>
              <w:rPr>
                <w:rFonts w:hint="eastAsia" w:ascii="Times New Roman" w:hAnsi="Times New Roman" w:cs="Times New Roman"/>
                <w:b w:val="0"/>
                <w:bCs w:val="0"/>
                <w:color w:val="auto"/>
                <w:spacing w:val="0"/>
                <w:kern w:val="0"/>
                <w:sz w:val="24"/>
                <w:szCs w:val="24"/>
                <w:highlight w:val="none"/>
                <w:lang w:val="en-US" w:eastAsia="zh-CN"/>
              </w:rPr>
              <w:t>下</w:t>
            </w:r>
            <w:r>
              <w:rPr>
                <w:rFonts w:hint="default" w:ascii="Times New Roman" w:hAnsi="Times New Roman" w:eastAsia="宋体" w:cs="Times New Roman"/>
                <w:b w:val="0"/>
                <w:bCs w:val="0"/>
                <w:color w:val="auto"/>
                <w:spacing w:val="0"/>
                <w:kern w:val="0"/>
                <w:sz w:val="24"/>
                <w:szCs w:val="24"/>
                <w:highlight w:val="none"/>
                <w:lang w:val="en-US" w:eastAsia="zh-CN"/>
              </w:rPr>
              <w:t>表。</w:t>
            </w:r>
          </w:p>
          <w:p w14:paraId="08A15106">
            <w:pPr>
              <w:pStyle w:val="62"/>
              <w:keepNext w:val="0"/>
              <w:keepLines w:val="0"/>
              <w:pageBreakBefore w:val="0"/>
              <w:widowControl w:val="0"/>
              <w:numPr>
                <w:ilvl w:val="0"/>
                <w:numId w:val="0"/>
              </w:numP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pacing w:val="0"/>
                <w:kern w:val="0"/>
                <w:sz w:val="21"/>
                <w:szCs w:val="21"/>
                <w:highlight w:val="none"/>
                <w:lang w:val="en-US" w:eastAsia="zh-CN"/>
              </w:rPr>
            </w:pPr>
            <w:r>
              <w:rPr>
                <w:rFonts w:hint="default" w:ascii="Times New Roman" w:hAnsi="Times New Roman" w:eastAsia="宋体" w:cs="Times New Roman"/>
                <w:b/>
                <w:bCs/>
                <w:color w:val="auto"/>
                <w:spacing w:val="0"/>
                <w:kern w:val="0"/>
                <w:sz w:val="21"/>
                <w:szCs w:val="21"/>
                <w:highlight w:val="none"/>
                <w:lang w:val="en-US" w:eastAsia="zh-CN"/>
              </w:rPr>
              <w:t>表3-</w:t>
            </w:r>
            <w:r>
              <w:rPr>
                <w:rFonts w:hint="eastAsia" w:ascii="Times New Roman" w:hAnsi="Times New Roman" w:cs="Times New Roman"/>
                <w:b/>
                <w:bCs/>
                <w:color w:val="auto"/>
                <w:spacing w:val="0"/>
                <w:kern w:val="0"/>
                <w:sz w:val="21"/>
                <w:szCs w:val="21"/>
                <w:highlight w:val="none"/>
                <w:lang w:val="en-US" w:eastAsia="zh-CN"/>
              </w:rPr>
              <w:t>12</w:t>
            </w:r>
            <w:r>
              <w:rPr>
                <w:rFonts w:hint="default" w:ascii="Times New Roman" w:hAnsi="Times New Roman" w:eastAsia="宋体" w:cs="Times New Roman"/>
                <w:b/>
                <w:bCs/>
                <w:color w:val="auto"/>
                <w:spacing w:val="0"/>
                <w:kern w:val="0"/>
                <w:sz w:val="21"/>
                <w:szCs w:val="21"/>
                <w:highlight w:val="none"/>
                <w:lang w:val="en-US" w:eastAsia="zh-CN"/>
              </w:rPr>
              <w:t>项目现存环境问题及</w:t>
            </w:r>
            <w:r>
              <w:rPr>
                <w:rFonts w:hint="eastAsia" w:ascii="Times New Roman" w:hAnsi="Times New Roman" w:eastAsia="宋体" w:cs="Times New Roman"/>
                <w:b/>
                <w:bCs/>
                <w:color w:val="auto"/>
                <w:spacing w:val="0"/>
                <w:kern w:val="0"/>
                <w:sz w:val="21"/>
                <w:szCs w:val="21"/>
                <w:highlight w:val="none"/>
                <w:lang w:val="en-US" w:eastAsia="zh-CN"/>
              </w:rPr>
              <w:t>整改</w:t>
            </w:r>
            <w:r>
              <w:rPr>
                <w:rFonts w:hint="default" w:ascii="Times New Roman" w:hAnsi="Times New Roman" w:eastAsia="宋体" w:cs="Times New Roman"/>
                <w:b/>
                <w:bCs/>
                <w:color w:val="auto"/>
                <w:spacing w:val="0"/>
                <w:kern w:val="0"/>
                <w:sz w:val="21"/>
                <w:szCs w:val="21"/>
                <w:highlight w:val="none"/>
                <w:lang w:val="en-US" w:eastAsia="zh-CN"/>
              </w:rPr>
              <w:t>措施</w:t>
            </w:r>
          </w:p>
          <w:tbl>
            <w:tblPr>
              <w:tblStyle w:val="24"/>
              <w:tblW w:w="80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8"/>
              <w:gridCol w:w="3450"/>
              <w:gridCol w:w="3809"/>
            </w:tblGrid>
            <w:tr w14:paraId="6C07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8" w:type="dxa"/>
                  <w:tcBorders>
                    <w:top w:val="single" w:color="000000" w:sz="4" w:space="0"/>
                    <w:left w:val="nil"/>
                    <w:tl2br w:val="nil"/>
                  </w:tcBorders>
                  <w:shd w:val="clear" w:color="auto" w:fill="auto"/>
                  <w:vAlign w:val="center"/>
                </w:tcPr>
                <w:p w14:paraId="3AAC0500">
                  <w:pPr>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bCs/>
                      <w:color w:val="000000"/>
                      <w:kern w:val="2"/>
                      <w:sz w:val="21"/>
                      <w:szCs w:val="21"/>
                      <w:highlight w:val="none"/>
                    </w:rPr>
                    <w:t>类别</w:t>
                  </w:r>
                </w:p>
              </w:tc>
              <w:tc>
                <w:tcPr>
                  <w:tcW w:w="3450" w:type="dxa"/>
                  <w:tcBorders>
                    <w:top w:val="single" w:color="000000" w:sz="4" w:space="0"/>
                  </w:tcBorders>
                  <w:shd w:val="clear" w:color="auto" w:fill="auto"/>
                  <w:vAlign w:val="center"/>
                </w:tcPr>
                <w:p w14:paraId="0AD0643C">
                  <w:pPr>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bCs/>
                      <w:color w:val="000000"/>
                      <w:kern w:val="2"/>
                      <w:sz w:val="21"/>
                      <w:szCs w:val="21"/>
                      <w:highlight w:val="none"/>
                    </w:rPr>
                    <w:t>存在问题</w:t>
                  </w:r>
                </w:p>
              </w:tc>
              <w:tc>
                <w:tcPr>
                  <w:tcW w:w="3809" w:type="dxa"/>
                  <w:tcBorders>
                    <w:top w:val="single" w:color="000000" w:sz="4" w:space="0"/>
                    <w:right w:val="nil"/>
                  </w:tcBorders>
                  <w:shd w:val="clear" w:color="auto" w:fill="auto"/>
                  <w:vAlign w:val="center"/>
                </w:tcPr>
                <w:p w14:paraId="3958B2A5">
                  <w:pPr>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整改要求</w:t>
                  </w:r>
                </w:p>
              </w:tc>
            </w:tr>
            <w:tr w14:paraId="6FDF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778" w:type="dxa"/>
                  <w:tcBorders>
                    <w:left w:val="nil"/>
                  </w:tcBorders>
                  <w:shd w:val="clear" w:color="auto" w:fill="auto"/>
                  <w:vAlign w:val="center"/>
                </w:tcPr>
                <w:p w14:paraId="396C039F">
                  <w:pPr>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生态</w:t>
                  </w:r>
                </w:p>
              </w:tc>
              <w:tc>
                <w:tcPr>
                  <w:tcW w:w="3450" w:type="dxa"/>
                  <w:shd w:val="clear" w:color="auto" w:fill="auto"/>
                  <w:vAlign w:val="center"/>
                </w:tcPr>
                <w:p w14:paraId="444E4B2D">
                  <w:pPr>
                    <w:keepNext w:val="0"/>
                    <w:keepLines w:val="0"/>
                    <w:widowControl/>
                    <w:suppressLineNumbers w:val="0"/>
                    <w:jc w:val="left"/>
                    <w:rPr>
                      <w:rFonts w:hint="default" w:ascii="Times New Roman" w:hAnsi="Times New Roman" w:eastAsia="宋体" w:cs="Times New Roman"/>
                      <w:b w:val="0"/>
                      <w:color w:val="000000"/>
                      <w:sz w:val="21"/>
                      <w:szCs w:val="21"/>
                      <w:lang w:val="en-US"/>
                    </w:rPr>
                  </w:pPr>
                  <w:r>
                    <w:rPr>
                      <w:rFonts w:hint="default" w:ascii="Times New Roman" w:hAnsi="Times New Roman" w:eastAsia="宋体" w:cs="Times New Roman"/>
                      <w:b w:val="0"/>
                      <w:color w:val="000000"/>
                      <w:kern w:val="0"/>
                      <w:sz w:val="21"/>
                      <w:szCs w:val="21"/>
                      <w:lang w:val="en-US" w:eastAsia="zh-CN" w:bidi="ar"/>
                    </w:rPr>
                    <w:t>1.已成型采坑内部边坡局部残留浮石未彻底清理，存在坠石、边坡局部失稳的安全及生态风险</w:t>
                  </w:r>
                  <w:r>
                    <w:rPr>
                      <w:rFonts w:hint="eastAsia" w:ascii="Times New Roman" w:hAnsi="Times New Roman" w:eastAsia="宋体" w:cs="Times New Roman"/>
                      <w:b w:val="0"/>
                      <w:color w:val="000000"/>
                      <w:kern w:val="0"/>
                      <w:sz w:val="21"/>
                      <w:szCs w:val="21"/>
                      <w:lang w:val="en-US" w:eastAsia="zh-CN" w:bidi="ar"/>
                    </w:rPr>
                    <w:t>；</w:t>
                  </w:r>
                </w:p>
                <w:p w14:paraId="23D3687E">
                  <w:pPr>
                    <w:keepNext w:val="0"/>
                    <w:keepLines w:val="0"/>
                    <w:widowControl/>
                    <w:suppressLineNumbers w:val="0"/>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2.仅完成3#、4#采坑整体回填，1#、2#采坑仅实施局部回填，未完成全面回填整治</w:t>
                  </w:r>
                  <w:r>
                    <w:rPr>
                      <w:rFonts w:hint="eastAsia" w:ascii="Times New Roman" w:hAnsi="Times New Roman" w:eastAsia="宋体" w:cs="Times New Roman"/>
                      <w:b w:val="0"/>
                      <w:color w:val="000000"/>
                      <w:kern w:val="0"/>
                      <w:sz w:val="21"/>
                      <w:szCs w:val="21"/>
                      <w:lang w:val="en-US" w:eastAsia="zh-CN" w:bidi="ar"/>
                    </w:rPr>
                    <w:t>；</w:t>
                  </w:r>
                </w:p>
                <w:p w14:paraId="7C7CCEF9">
                  <w:pPr>
                    <w:keepNext w:val="0"/>
                    <w:keepLines w:val="0"/>
                    <w:widowControl/>
                    <w:suppressLineNumbers w:val="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kern w:val="0"/>
                      <w:sz w:val="21"/>
                      <w:szCs w:val="21"/>
                      <w:lang w:val="en-US" w:eastAsia="zh-CN" w:bidi="ar"/>
                    </w:rPr>
                    <w:t>3.除已治理的原有排土场外，采坑区域未开展系统性生态修复、植被恢复工作，地表裸露问题依然存在</w:t>
                  </w:r>
                  <w:r>
                    <w:rPr>
                      <w:rFonts w:hint="eastAsia" w:ascii="Times New Roman" w:hAnsi="Times New Roman" w:eastAsia="宋体" w:cs="Times New Roman"/>
                      <w:b w:val="0"/>
                      <w:color w:val="000000"/>
                      <w:kern w:val="0"/>
                      <w:sz w:val="21"/>
                      <w:szCs w:val="21"/>
                      <w:lang w:val="en-US" w:eastAsia="zh-CN" w:bidi="ar"/>
                    </w:rPr>
                    <w:t>。</w:t>
                  </w:r>
                </w:p>
              </w:tc>
              <w:tc>
                <w:tcPr>
                  <w:tcW w:w="3809" w:type="dxa"/>
                  <w:tcBorders>
                    <w:right w:val="nil"/>
                  </w:tcBorders>
                  <w:shd w:val="clear" w:color="auto" w:fill="auto"/>
                  <w:vAlign w:val="center"/>
                </w:tcPr>
                <w:p w14:paraId="2CA2F2EE">
                  <w:pPr>
                    <w:keepNext w:val="0"/>
                    <w:keepLines w:val="0"/>
                    <w:widowControl/>
                    <w:suppressLineNumbers w:val="0"/>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1.全面清理各采坑边坡残留浮石，修整边坡坡度，加固不稳定坡面，消除边坡安全隐患</w:t>
                  </w:r>
                  <w:r>
                    <w:rPr>
                      <w:rFonts w:hint="eastAsia" w:ascii="Times New Roman" w:hAnsi="Times New Roman" w:eastAsia="宋体" w:cs="Times New Roman"/>
                      <w:b w:val="0"/>
                      <w:color w:val="000000"/>
                      <w:kern w:val="0"/>
                      <w:sz w:val="21"/>
                      <w:szCs w:val="21"/>
                      <w:lang w:val="en-US" w:eastAsia="zh-CN" w:bidi="ar"/>
                    </w:rPr>
                    <w:t>；</w:t>
                  </w:r>
                </w:p>
                <w:p w14:paraId="210D4D69">
                  <w:pPr>
                    <w:keepNext w:val="0"/>
                    <w:keepLines w:val="0"/>
                    <w:widowControl/>
                    <w:suppressLineNumbers w:val="0"/>
                    <w:jc w:val="left"/>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2.对1#、2#采坑剩余区域开展完整回填作业</w:t>
                  </w:r>
                  <w:r>
                    <w:rPr>
                      <w:rFonts w:hint="eastAsia" w:ascii="Times New Roman" w:hAnsi="Times New Roman" w:eastAsia="宋体" w:cs="Times New Roman"/>
                      <w:b w:val="0"/>
                      <w:color w:val="000000"/>
                      <w:kern w:val="0"/>
                      <w:sz w:val="21"/>
                      <w:szCs w:val="21"/>
                      <w:lang w:val="en-US" w:eastAsia="zh-CN" w:bidi="ar"/>
                    </w:rPr>
                    <w:t>；</w:t>
                  </w:r>
                </w:p>
                <w:p w14:paraId="4D005CE3">
                  <w:pPr>
                    <w:keepNext w:val="0"/>
                    <w:keepLines w:val="0"/>
                    <w:widowControl/>
                    <w:suppressLineNumbers w:val="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kern w:val="0"/>
                      <w:sz w:val="21"/>
                      <w:szCs w:val="21"/>
                      <w:lang w:val="en-US" w:eastAsia="zh-CN" w:bidi="ar"/>
                    </w:rPr>
                    <w:t>3.对回填后的采坑、矿山道路、闲置场地等裸露区域统一开展土地平整、覆土、植被种植等生态修复工程</w:t>
                  </w:r>
                  <w:r>
                    <w:rPr>
                      <w:rFonts w:hint="eastAsia" w:ascii="Times New Roman" w:hAnsi="Times New Roman" w:eastAsia="宋体" w:cs="Times New Roman"/>
                      <w:b w:val="0"/>
                      <w:color w:val="000000"/>
                      <w:kern w:val="0"/>
                      <w:sz w:val="21"/>
                      <w:szCs w:val="21"/>
                      <w:lang w:val="en-US" w:eastAsia="zh-CN" w:bidi="ar"/>
                    </w:rPr>
                    <w:t>。</w:t>
                  </w:r>
                </w:p>
              </w:tc>
            </w:tr>
            <w:tr w14:paraId="7F9D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778" w:type="dxa"/>
                  <w:tcBorders>
                    <w:left w:val="nil"/>
                  </w:tcBorders>
                  <w:shd w:val="clear" w:color="auto" w:fill="auto"/>
                  <w:vAlign w:val="center"/>
                </w:tcPr>
                <w:p w14:paraId="665840C3">
                  <w:pPr>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kern w:val="2"/>
                      <w:sz w:val="21"/>
                      <w:szCs w:val="21"/>
                      <w:highlight w:val="none"/>
                    </w:rPr>
                    <w:t>废气</w:t>
                  </w:r>
                </w:p>
              </w:tc>
              <w:tc>
                <w:tcPr>
                  <w:tcW w:w="3450" w:type="dxa"/>
                  <w:shd w:val="clear" w:color="auto" w:fill="auto"/>
                  <w:vAlign w:val="center"/>
                </w:tcPr>
                <w:p w14:paraId="4BB0F5DB">
                  <w:pPr>
                    <w:keepNext w:val="0"/>
                    <w:keepLines w:val="0"/>
                    <w:widowControl/>
                    <w:suppressLineNumbers w:val="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kern w:val="0"/>
                      <w:sz w:val="21"/>
                      <w:szCs w:val="21"/>
                      <w:lang w:val="en-US" w:eastAsia="zh-CN" w:bidi="ar"/>
                    </w:rPr>
                    <w:t>矿区现阶段已停产，无废气产生</w:t>
                  </w:r>
                  <w:r>
                    <w:rPr>
                      <w:rFonts w:hint="eastAsia" w:ascii="Times New Roman" w:hAnsi="Times New Roman" w:eastAsia="宋体" w:cs="Times New Roman"/>
                      <w:b w:val="0"/>
                      <w:color w:val="000000"/>
                      <w:kern w:val="0"/>
                      <w:sz w:val="21"/>
                      <w:szCs w:val="21"/>
                      <w:lang w:val="en-US" w:eastAsia="zh-CN" w:bidi="ar"/>
                    </w:rPr>
                    <w:t>.</w:t>
                  </w:r>
                </w:p>
              </w:tc>
              <w:tc>
                <w:tcPr>
                  <w:tcW w:w="3809" w:type="dxa"/>
                  <w:tcBorders>
                    <w:right w:val="nil"/>
                  </w:tcBorders>
                  <w:shd w:val="clear" w:color="auto" w:fill="auto"/>
                  <w:vAlign w:val="center"/>
                </w:tcPr>
                <w:p w14:paraId="60D235AA">
                  <w:pPr>
                    <w:keepNext w:val="0"/>
                    <w:keepLines w:val="0"/>
                    <w:widowControl/>
                    <w:suppressLineNumbers w:val="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kern w:val="0"/>
                      <w:sz w:val="21"/>
                      <w:szCs w:val="21"/>
                      <w:lang w:val="en-US" w:eastAsia="zh-CN" w:bidi="ar"/>
                    </w:rPr>
                    <w:t>明确开采、装卸、运输等环节的无组织排放管控措施，配套建设降尘</w:t>
                  </w:r>
                </w:p>
              </w:tc>
            </w:tr>
            <w:tr w14:paraId="79D1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778" w:type="dxa"/>
                  <w:tcBorders>
                    <w:left w:val="nil"/>
                  </w:tcBorders>
                  <w:shd w:val="clear" w:color="auto" w:fill="auto"/>
                  <w:vAlign w:val="center"/>
                </w:tcPr>
                <w:p w14:paraId="42076FE6">
                  <w:pPr>
                    <w:jc w:val="center"/>
                    <w:rPr>
                      <w:rFonts w:hint="default" w:ascii="Times New Roman" w:hAnsi="Times New Roman" w:eastAsia="宋体" w:cs="Times New Roman"/>
                      <w:b w:val="0"/>
                      <w:color w:val="000000"/>
                      <w:kern w:val="2"/>
                      <w:sz w:val="21"/>
                      <w:szCs w:val="21"/>
                      <w:highlight w:val="none"/>
                    </w:rPr>
                  </w:pPr>
                  <w:r>
                    <w:rPr>
                      <w:rFonts w:hint="default" w:ascii="Times New Roman" w:hAnsi="Times New Roman" w:eastAsia="宋体" w:cs="Times New Roman"/>
                      <w:b w:val="0"/>
                      <w:color w:val="000000"/>
                      <w:kern w:val="2"/>
                      <w:sz w:val="21"/>
                      <w:szCs w:val="21"/>
                      <w:highlight w:val="none"/>
                    </w:rPr>
                    <w:t>固废处理</w:t>
                  </w:r>
                </w:p>
              </w:tc>
              <w:tc>
                <w:tcPr>
                  <w:tcW w:w="3450" w:type="dxa"/>
                  <w:shd w:val="clear" w:color="auto" w:fill="auto"/>
                  <w:vAlign w:val="center"/>
                </w:tcPr>
                <w:p w14:paraId="3A1BF24E">
                  <w:pPr>
                    <w:keepNext w:val="0"/>
                    <w:keepLines w:val="0"/>
                    <w:widowControl/>
                    <w:suppressLineNumbers w:val="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kern w:val="0"/>
                      <w:sz w:val="21"/>
                      <w:szCs w:val="21"/>
                      <w:lang w:val="en-US" w:eastAsia="zh-CN" w:bidi="ar"/>
                    </w:rPr>
                    <w:t>矿区现有采坑开挖产生的土石方未规范处置，存在随意堆存的情况</w:t>
                  </w:r>
                </w:p>
              </w:tc>
              <w:tc>
                <w:tcPr>
                  <w:tcW w:w="3809" w:type="dxa"/>
                  <w:tcBorders>
                    <w:right w:val="nil"/>
                  </w:tcBorders>
                  <w:shd w:val="clear" w:color="auto" w:fill="auto"/>
                  <w:vAlign w:val="center"/>
                </w:tcPr>
                <w:p w14:paraId="71145308">
                  <w:pPr>
                    <w:keepNext w:val="0"/>
                    <w:keepLines w:val="0"/>
                    <w:widowControl/>
                    <w:suppressLineNumbers w:val="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kern w:val="0"/>
                      <w:sz w:val="21"/>
                      <w:szCs w:val="21"/>
                      <w:lang w:val="en-US" w:eastAsia="zh-CN" w:bidi="ar"/>
                    </w:rPr>
                    <w:t>对矿区内现有堆存的土石方进行全面清理，</w:t>
                  </w:r>
                  <w:r>
                    <w:rPr>
                      <w:rFonts w:hint="eastAsia" w:ascii="Times New Roman" w:hAnsi="Times New Roman" w:eastAsia="宋体" w:cs="Times New Roman"/>
                      <w:b w:val="0"/>
                      <w:color w:val="000000"/>
                      <w:kern w:val="0"/>
                      <w:sz w:val="21"/>
                      <w:szCs w:val="21"/>
                      <w:lang w:val="en-US" w:eastAsia="zh-CN" w:bidi="ar"/>
                    </w:rPr>
                    <w:t>用于</w:t>
                  </w:r>
                  <w:r>
                    <w:rPr>
                      <w:rFonts w:ascii="宋体" w:hAnsi="宋体" w:eastAsia="宋体" w:cs="宋体"/>
                      <w:color w:val="000000"/>
                      <w:spacing w:val="0"/>
                      <w:kern w:val="0"/>
                      <w:position w:val="0"/>
                      <w:sz w:val="20"/>
                      <w:szCs w:val="20"/>
                      <w:lang w:val="en-US" w:eastAsia="zh-CN" w:bidi="ar"/>
                    </w:rPr>
                    <w:t>形成的采坑回填</w:t>
                  </w:r>
                  <w:r>
                    <w:rPr>
                      <w:rFonts w:hint="eastAsia" w:ascii="宋体" w:hAnsi="宋体" w:eastAsia="宋体" w:cs="宋体"/>
                      <w:color w:val="000000"/>
                      <w:spacing w:val="0"/>
                      <w:kern w:val="0"/>
                      <w:position w:val="0"/>
                      <w:sz w:val="20"/>
                      <w:szCs w:val="20"/>
                      <w:lang w:val="en-US" w:eastAsia="zh-CN" w:bidi="ar"/>
                    </w:rPr>
                    <w:t>。</w:t>
                  </w:r>
                </w:p>
              </w:tc>
            </w:tr>
            <w:tr w14:paraId="68669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778" w:type="dxa"/>
                  <w:tcBorders>
                    <w:left w:val="nil"/>
                    <w:bottom w:val="single" w:color="000000" w:sz="4" w:space="0"/>
                  </w:tcBorders>
                  <w:shd w:val="clear" w:color="auto" w:fill="auto"/>
                  <w:vAlign w:val="center"/>
                </w:tcPr>
                <w:p w14:paraId="20F03835">
                  <w:pPr>
                    <w:jc w:val="center"/>
                    <w:rPr>
                      <w:rFonts w:hint="default" w:ascii="Times New Roman" w:hAnsi="Times New Roman" w:eastAsia="宋体" w:cs="Times New Roman"/>
                      <w:b w:val="0"/>
                      <w:color w:val="000000"/>
                      <w:kern w:val="2"/>
                      <w:sz w:val="21"/>
                      <w:szCs w:val="21"/>
                      <w:highlight w:val="none"/>
                    </w:rPr>
                  </w:pPr>
                  <w:r>
                    <w:rPr>
                      <w:rFonts w:hint="default" w:ascii="Times New Roman" w:hAnsi="Times New Roman" w:eastAsia="宋体" w:cs="Times New Roman"/>
                      <w:b w:val="0"/>
                      <w:color w:val="000000"/>
                      <w:kern w:val="2"/>
                      <w:sz w:val="21"/>
                      <w:szCs w:val="21"/>
                      <w:highlight w:val="none"/>
                    </w:rPr>
                    <w:t>环境管理</w:t>
                  </w:r>
                </w:p>
              </w:tc>
              <w:tc>
                <w:tcPr>
                  <w:tcW w:w="3450" w:type="dxa"/>
                  <w:tcBorders>
                    <w:bottom w:val="single" w:color="000000" w:sz="4" w:space="0"/>
                  </w:tcBorders>
                  <w:shd w:val="clear" w:color="auto" w:fill="auto"/>
                  <w:vAlign w:val="center"/>
                </w:tcPr>
                <w:p w14:paraId="451BA949">
                  <w:pPr>
                    <w:keepNext w:val="0"/>
                    <w:keepLines w:val="0"/>
                    <w:widowControl/>
                    <w:suppressLineNumbers w:val="0"/>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未完善矿区环境管理制度，无专项的环保应急预案，环境应急处置能力不足</w:t>
                  </w:r>
                </w:p>
                <w:p w14:paraId="23AADF9E">
                  <w:pPr>
                    <w:jc w:val="left"/>
                    <w:rPr>
                      <w:rFonts w:hint="default" w:ascii="Times New Roman" w:hAnsi="Times New Roman" w:eastAsia="宋体" w:cs="Times New Roman"/>
                      <w:b w:val="0"/>
                      <w:color w:val="000000"/>
                      <w:sz w:val="21"/>
                      <w:szCs w:val="21"/>
                      <w:vertAlign w:val="baseline"/>
                      <w:lang w:val="en-US" w:eastAsia="zh-CN"/>
                    </w:rPr>
                  </w:pPr>
                </w:p>
              </w:tc>
              <w:tc>
                <w:tcPr>
                  <w:tcW w:w="3809" w:type="dxa"/>
                  <w:tcBorders>
                    <w:bottom w:val="single" w:color="000000" w:sz="4" w:space="0"/>
                    <w:right w:val="nil"/>
                  </w:tcBorders>
                  <w:shd w:val="clear" w:color="auto" w:fill="auto"/>
                  <w:vAlign w:val="center"/>
                </w:tcPr>
                <w:p w14:paraId="5A2E71B4">
                  <w:pPr>
                    <w:keepNext w:val="0"/>
                    <w:keepLines w:val="0"/>
                    <w:widowControl/>
                    <w:suppressLineNumbers w:val="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kern w:val="0"/>
                      <w:sz w:val="21"/>
                      <w:szCs w:val="21"/>
                      <w:lang w:val="en-US" w:eastAsia="zh-CN" w:bidi="ar"/>
                    </w:rPr>
                    <w:t>完善矿区环境管理制度，编制突发环境事件应急预案，配套建设应急物资储备，定期开展应急演练</w:t>
                  </w:r>
                </w:p>
              </w:tc>
            </w:tr>
          </w:tbl>
          <w:p w14:paraId="338CFF7E">
            <w:pPr>
              <w:pStyle w:val="22"/>
              <w:keepNext w:val="0"/>
              <w:keepLines w:val="0"/>
              <w:pageBreakBefore w:val="0"/>
              <w:kinsoku/>
              <w:wordWrap/>
              <w:overflowPunct/>
              <w:topLinePunct w:val="0"/>
              <w:autoSpaceDE/>
              <w:autoSpaceDN/>
              <w:bidi w:val="0"/>
              <w:spacing w:before="0" w:after="0" w:line="360" w:lineRule="auto"/>
              <w:ind w:left="0" w:leftChars="0" w:right="0" w:firstLine="0" w:firstLineChars="0"/>
              <w:textAlignment w:val="auto"/>
              <w:rPr>
                <w:rFonts w:hint="default" w:ascii="Times New Roman" w:hAnsi="Times New Roman" w:eastAsia="宋体" w:cs="Times New Roman"/>
                <w:kern w:val="0"/>
                <w:sz w:val="24"/>
                <w:szCs w:val="24"/>
              </w:rPr>
            </w:pPr>
          </w:p>
        </w:tc>
      </w:tr>
      <w:tr w14:paraId="0F9CC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04" w:type="dxa"/>
            <w:noWrap w:val="0"/>
            <w:vAlign w:val="center"/>
          </w:tcPr>
          <w:p w14:paraId="134A8576">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生态环境保护目标</w:t>
            </w:r>
          </w:p>
        </w:tc>
        <w:tc>
          <w:tcPr>
            <w:tcW w:w="8253" w:type="dxa"/>
            <w:noWrap w:val="0"/>
            <w:vAlign w:val="center"/>
          </w:tcPr>
          <w:p w14:paraId="19FCABCB">
            <w:pPr>
              <w:pStyle w:val="45"/>
              <w:keepNext w:val="0"/>
              <w:keepLines w:val="0"/>
              <w:pageBreakBefore w:val="0"/>
              <w:numPr>
                <w:ilvl w:val="0"/>
                <w:numId w:val="13"/>
              </w:numPr>
              <w:kinsoku/>
              <w:wordWrap/>
              <w:overflowPunct/>
              <w:topLinePunct w:val="0"/>
              <w:autoSpaceDE/>
              <w:autoSpaceDN/>
              <w:bidi w:val="0"/>
              <w:adjustRightInd/>
              <w:spacing w:line="360" w:lineRule="auto"/>
              <w:ind w:left="0" w:right="0" w:firstLine="486" w:firstLineChars="200"/>
              <w:textAlignment w:val="auto"/>
              <w:rPr>
                <w:rFonts w:hint="default" w:ascii="Times New Roman" w:hAnsi="Times New Roman" w:eastAsia="宋体" w:cs="Times New Roman"/>
                <w:b/>
                <w:bCs/>
                <w:spacing w:val="1"/>
                <w:sz w:val="24"/>
                <w:szCs w:val="24"/>
              </w:rPr>
            </w:pPr>
            <w:r>
              <w:rPr>
                <w:rFonts w:hint="default" w:ascii="Times New Roman" w:hAnsi="Times New Roman" w:eastAsia="宋体" w:cs="Times New Roman"/>
                <w:b/>
                <w:bCs/>
                <w:spacing w:val="1"/>
                <w:sz w:val="24"/>
                <w:szCs w:val="24"/>
              </w:rPr>
              <w:t>环境空气保护目标</w:t>
            </w:r>
          </w:p>
          <w:p w14:paraId="5D0D66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highlight w:val="none"/>
                <w:lang w:val="en-US" w:eastAsia="zh-CN" w:bidi="ar-SA"/>
              </w:rPr>
            </w:pPr>
            <w:r>
              <w:rPr>
                <w:rFonts w:hint="default" w:ascii="Times New Roman" w:hAnsi="Times New Roman" w:eastAsia="宋体" w:cs="Times New Roman"/>
                <w:kern w:val="0"/>
                <w:sz w:val="24"/>
                <w:szCs w:val="24"/>
                <w:highlight w:val="none"/>
                <w:lang w:val="en-US" w:eastAsia="zh-CN" w:bidi="ar-SA"/>
              </w:rPr>
              <w:t>本项目位于</w:t>
            </w:r>
            <w:r>
              <w:rPr>
                <w:rFonts w:hint="eastAsia" w:cs="Times New Roman"/>
                <w:kern w:val="0"/>
                <w:sz w:val="24"/>
                <w:szCs w:val="24"/>
                <w:highlight w:val="none"/>
                <w:lang w:val="en-US" w:eastAsia="zh-CN" w:bidi="ar-SA"/>
              </w:rPr>
              <w:t>张掖市临泽县板桥镇</w:t>
            </w:r>
            <w:r>
              <w:rPr>
                <w:rFonts w:hint="default" w:ascii="Times New Roman" w:hAnsi="Times New Roman" w:eastAsia="宋体" w:cs="Times New Roman"/>
                <w:kern w:val="0"/>
                <w:sz w:val="24"/>
                <w:szCs w:val="24"/>
                <w:highlight w:val="none"/>
                <w:lang w:val="en-US" w:eastAsia="zh-CN" w:bidi="ar-SA"/>
              </w:rPr>
              <w:t>，根据现场调查，矿区四侧皆为</w:t>
            </w:r>
            <w:r>
              <w:rPr>
                <w:rFonts w:hint="eastAsia" w:cs="Times New Roman"/>
                <w:kern w:val="0"/>
                <w:sz w:val="24"/>
                <w:szCs w:val="24"/>
                <w:highlight w:val="none"/>
                <w:lang w:val="en-US" w:eastAsia="zh-CN" w:bidi="ar-SA"/>
              </w:rPr>
              <w:t>荒山，</w:t>
            </w:r>
            <w:r>
              <w:rPr>
                <w:rFonts w:hint="default" w:ascii="Times New Roman" w:hAnsi="Times New Roman" w:eastAsia="宋体" w:cs="Times New Roman"/>
                <w:sz w:val="24"/>
                <w:szCs w:val="24"/>
                <w:highlight w:val="none"/>
              </w:rPr>
              <w:t>项目矿区范围内无自然保护区、风景名胜区、居住区和农村地区中人群较集中的区域</w:t>
            </w:r>
            <w:r>
              <w:rPr>
                <w:rFonts w:hint="eastAsia" w:cs="Times New Roman"/>
                <w:sz w:val="24"/>
                <w:szCs w:val="24"/>
                <w:highlight w:val="none"/>
                <w:lang w:val="en-US" w:eastAsia="zh-CN"/>
              </w:rPr>
              <w:t>详</w:t>
            </w:r>
            <w:r>
              <w:rPr>
                <w:rFonts w:hint="eastAsia" w:cs="Times New Roman"/>
                <w:color w:val="auto"/>
                <w:sz w:val="24"/>
                <w:szCs w:val="24"/>
                <w:highlight w:val="none"/>
                <w:lang w:val="en-US" w:eastAsia="zh-CN"/>
              </w:rPr>
              <w:t>见附件5</w:t>
            </w:r>
            <w:r>
              <w:rPr>
                <w:rFonts w:hint="default" w:ascii="Times New Roman" w:hAnsi="Times New Roman" w:eastAsia="宋体" w:cs="Times New Roman"/>
                <w:kern w:val="0"/>
                <w:sz w:val="24"/>
                <w:szCs w:val="24"/>
                <w:highlight w:val="none"/>
                <w:lang w:val="en-US" w:eastAsia="zh-CN" w:bidi="ar-SA"/>
              </w:rPr>
              <w:t>：</w:t>
            </w:r>
          </w:p>
          <w:p w14:paraId="73105C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（1）大气环境</w:t>
            </w:r>
          </w:p>
          <w:p w14:paraId="0FAF8061">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1.1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大气环境影响评价工作等级的确定</w:t>
            </w:r>
          </w:p>
          <w:p w14:paraId="4B388EDA">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77BA07D8">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Pmax及D10%的确定</w:t>
            </w:r>
          </w:p>
          <w:p w14:paraId="06865A26">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依据《环境影响评价技术导则 大气环境》(HJ2.2-20</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8)中最大地面浓度占标率Pi定义如下：</w:t>
            </w:r>
          </w:p>
          <w:p w14:paraId="0597C7A3">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m:oMathPara>
              <m:oMath>
                <m:sSub>
                  <m:sSubP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SubPr>
                  <m:e>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P</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e>
                  <m:sub>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i</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ub>
                </m:sSub>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m:t>
                </m:r>
                <m:f>
                  <m:fP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fPr>
                  <m:num>
                    <m:sSub>
                      <m:sSubP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SubPr>
                      <m:e>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C</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e>
                      <m:sub>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i</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ub>
                    </m:sSub>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num>
                  <m:den>
                    <m:sSub>
                      <m:sSubP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SubPr>
                      <m:e>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C</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e>
                      <m:sub>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0i</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ub>
                    </m:sSub>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den>
                </m:f>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×100%</m:t>
                </m:r>
              </m:oMath>
            </m:oMathPara>
          </w:p>
          <w:p w14:paraId="059A13ED">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m:oMath>
              <m:sSub>
                <m:sSubP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SubPr>
                <m:e>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P</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e>
                <m:sub>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i</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ub>
              </m:sSub>
            </m:oMath>
            <w:r>
              <w:rPr>
                <w:rFonts w:hint="default" w:ascii="Times New Roman" w:hAnsi="Times New Roman" w:eastAsia="宋体" w:cs="Times New Roman"/>
                <w:color w:val="000000" w:themeColor="text1"/>
                <w:kern w:val="0"/>
                <w:sz w:val="24"/>
                <w:lang w:val="en-US" w:eastAsia="zh-CN"/>
                <w14:textFill>
                  <w14:solidFill>
                    <w14:schemeClr w14:val="tx1"/>
                  </w14:solidFill>
                </w14:textFill>
              </w:rPr>
              <w:t xml:space="preserve"> ——第i个污染物的最大地面空气质量浓度 占标率，%；</w:t>
            </w:r>
          </w:p>
          <w:p w14:paraId="5EBF03EF">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m:oMath>
              <m:sSub>
                <m:sSubP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SubPr>
                <m:e>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C</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e>
                <m:sub>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i</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ub>
              </m:sSub>
            </m:oMath>
            <w:r>
              <w:rPr>
                <w:rFonts w:hint="default" w:ascii="Times New Roman" w:hAnsi="Times New Roman" w:eastAsia="宋体" w:cs="Times New Roman"/>
                <w:color w:val="000000" w:themeColor="text1"/>
                <w:kern w:val="0"/>
                <w:sz w:val="24"/>
                <w:lang w:val="en-US" w:eastAsia="zh-CN"/>
                <w14:textFill>
                  <w14:solidFill>
                    <w14:schemeClr w14:val="tx1"/>
                  </w14:solidFill>
                </w14:textFill>
              </w:rPr>
              <w:t>——采用估算模型计算出的第i个污染物的最大1h地面空气质量浓度，μg/m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14:paraId="27CEA79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m:oMath>
              <m:sSub>
                <m:sSubP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SubPr>
                <m:e>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C</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e>
                <m:sub>
                  <m:r>
                    <m:rPr>
                      <m:sty m:val="p"/>
                    </m:rPr>
                    <w:rPr>
                      <w:rFonts w:hint="default" w:ascii="Cambria Math" w:hAnsi="Cambria Math" w:eastAsia="宋体" w:cs="Times New Roman"/>
                      <w:color w:val="000000" w:themeColor="text1"/>
                      <w:kern w:val="0"/>
                      <w:sz w:val="24"/>
                      <w:lang w:val="en-US" w:eastAsia="zh-CN"/>
                      <w14:textFill>
                        <w14:solidFill>
                          <w14:schemeClr w14:val="tx1"/>
                        </w14:solidFill>
                      </w14:textFill>
                    </w:rPr>
                    <m:t>0i</m:t>
                  </m:r>
                  <m:ctrlPr>
                    <w:rPr>
                      <w:rFonts w:hint="default" w:ascii="Cambria Math" w:hAnsi="Cambria Math" w:eastAsia="宋体" w:cs="Times New Roman"/>
                      <w:color w:val="000000" w:themeColor="text1"/>
                      <w:kern w:val="0"/>
                      <w:sz w:val="24"/>
                      <w:lang w:val="en-US" w:eastAsia="zh-CN"/>
                      <w14:textFill>
                        <w14:solidFill>
                          <w14:schemeClr w14:val="tx1"/>
                        </w14:solidFill>
                      </w14:textFill>
                    </w:rPr>
                  </m:ctrlPr>
                </m:sub>
              </m:sSub>
            </m:oMath>
            <w:r>
              <w:rPr>
                <w:rFonts w:hint="default" w:ascii="Times New Roman" w:hAnsi="Times New Roman" w:eastAsia="宋体" w:cs="Times New Roman"/>
                <w:color w:val="000000" w:themeColor="text1"/>
                <w:kern w:val="0"/>
                <w:sz w:val="24"/>
                <w:lang w:val="en-US" w:eastAsia="zh-CN"/>
                <w14:textFill>
                  <w14:solidFill>
                    <w14:schemeClr w14:val="tx1"/>
                  </w14:solidFill>
                </w14:textFill>
              </w:rPr>
              <w:t>——第i个污染物的环境空气质量浓度标准，μg/m</w:t>
            </w:r>
            <w:r>
              <w:rPr>
                <w:rFonts w:hint="default" w:ascii="Times New Roman" w:hAnsi="Times New Roman" w:eastAsia="宋体" w:cs="Times New Roman"/>
                <w:color w:val="000000" w:themeColor="text1"/>
                <w:kern w:val="0"/>
                <w:sz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w:t>
            </w:r>
          </w:p>
          <w:p w14:paraId="5B2D096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评价等级判别表</w:t>
            </w:r>
          </w:p>
          <w:p w14:paraId="1EB505DD">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评价等级按下表的分级判据进行划分</w:t>
            </w:r>
          </w:p>
          <w:p w14:paraId="4BE3186D">
            <w:pPr>
              <w:pStyle w:val="8"/>
              <w:rPr>
                <w:rFonts w:hint="eastAsia" w:eastAsia="宋体"/>
                <w:sz w:val="21"/>
                <w:szCs w:val="21"/>
                <w:lang w:eastAsia="zh-CN"/>
              </w:rPr>
            </w:pPr>
            <w:r>
              <w:rPr>
                <w:sz w:val="21"/>
                <w:szCs w:val="21"/>
              </w:rPr>
              <w:t xml:space="preserve">表3- </w:t>
            </w:r>
            <w:r>
              <w:rPr>
                <w:rFonts w:hint="eastAsia"/>
                <w:sz w:val="21"/>
                <w:szCs w:val="21"/>
                <w:lang w:val="en-US" w:eastAsia="zh-CN"/>
              </w:rPr>
              <w:t>13</w:t>
            </w:r>
            <w:r>
              <w:rPr>
                <w:rFonts w:hint="eastAsia"/>
                <w:sz w:val="21"/>
                <w:szCs w:val="21"/>
                <w:lang w:eastAsia="zh-CN"/>
              </w:rPr>
              <w:t xml:space="preserve"> 评价等级判别表</w:t>
            </w:r>
          </w:p>
          <w:tbl>
            <w:tblPr>
              <w:tblStyle w:val="2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13"/>
              <w:gridCol w:w="4014"/>
            </w:tblGrid>
            <w:tr w14:paraId="7FD5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trPr>
              <w:tc>
                <w:tcPr>
                  <w:tcW w:w="2500" w:type="pct"/>
                  <w:tcBorders>
                    <w:top w:val="single" w:color="000000" w:sz="12" w:space="0"/>
                    <w:left w:val="nil"/>
                    <w:tl2br w:val="nil"/>
                  </w:tcBorders>
                  <w:shd w:val="clear" w:color="auto" w:fill="auto"/>
                  <w:vAlign w:val="center"/>
                </w:tcPr>
                <w:p w14:paraId="3B6DCDB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t>评价工作等级</w:t>
                  </w:r>
                </w:p>
              </w:tc>
              <w:tc>
                <w:tcPr>
                  <w:tcW w:w="2500" w:type="pct"/>
                  <w:tcBorders>
                    <w:top w:val="single" w:color="000000" w:sz="12" w:space="0"/>
                    <w:right w:val="nil"/>
                  </w:tcBorders>
                  <w:shd w:val="clear" w:color="auto" w:fill="auto"/>
                  <w:vAlign w:val="center"/>
                </w:tcPr>
                <w:p w14:paraId="392CA0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t>评价工作分级判据</w:t>
                  </w:r>
                </w:p>
              </w:tc>
            </w:tr>
            <w:tr w14:paraId="11C1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1" w:hRule="atLeast"/>
              </w:trPr>
              <w:tc>
                <w:tcPr>
                  <w:tcW w:w="2500" w:type="pct"/>
                  <w:tcBorders>
                    <w:left w:val="nil"/>
                  </w:tcBorders>
                  <w:shd w:val="clear" w:color="auto" w:fill="auto"/>
                  <w:vAlign w:val="center"/>
                </w:tcPr>
                <w:p w14:paraId="79B38FB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t>一级评价</w:t>
                  </w:r>
                </w:p>
              </w:tc>
              <w:tc>
                <w:tcPr>
                  <w:tcW w:w="2500" w:type="pct"/>
                  <w:tcBorders>
                    <w:right w:val="nil"/>
                  </w:tcBorders>
                  <w:shd w:val="clear" w:color="auto" w:fill="auto"/>
                  <w:vAlign w:val="center"/>
                </w:tcPr>
                <w:p w14:paraId="5798E27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t>Pmax≧10%</w:t>
                  </w:r>
                </w:p>
              </w:tc>
            </w:tr>
            <w:tr w14:paraId="42554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trPr>
              <w:tc>
                <w:tcPr>
                  <w:tcW w:w="2500" w:type="pct"/>
                  <w:tcBorders>
                    <w:left w:val="nil"/>
                  </w:tcBorders>
                  <w:shd w:val="clear" w:color="auto" w:fill="auto"/>
                  <w:vAlign w:val="center"/>
                </w:tcPr>
                <w:p w14:paraId="05F2FC5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t>二级评价</w:t>
                  </w:r>
                </w:p>
              </w:tc>
              <w:tc>
                <w:tcPr>
                  <w:tcW w:w="2500" w:type="pct"/>
                  <w:tcBorders>
                    <w:right w:val="nil"/>
                  </w:tcBorders>
                  <w:shd w:val="clear" w:color="auto" w:fill="auto"/>
                  <w:vAlign w:val="center"/>
                </w:tcPr>
                <w:p w14:paraId="2088B21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t>1%≦Pmax&lt;10%</w:t>
                  </w:r>
                </w:p>
              </w:tc>
            </w:tr>
            <w:tr w14:paraId="4F39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1" w:hRule="atLeast"/>
              </w:trPr>
              <w:tc>
                <w:tcPr>
                  <w:tcW w:w="2500" w:type="pct"/>
                  <w:tcBorders>
                    <w:left w:val="nil"/>
                    <w:bottom w:val="single" w:color="000000" w:sz="12" w:space="0"/>
                  </w:tcBorders>
                  <w:shd w:val="clear" w:color="auto" w:fill="auto"/>
                  <w:vAlign w:val="center"/>
                </w:tcPr>
                <w:p w14:paraId="00F7991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t>三级评价</w:t>
                  </w:r>
                </w:p>
              </w:tc>
              <w:tc>
                <w:tcPr>
                  <w:tcW w:w="2500" w:type="pct"/>
                  <w:tcBorders>
                    <w:bottom w:val="single" w:color="000000" w:sz="12" w:space="0"/>
                    <w:right w:val="nil"/>
                  </w:tcBorders>
                  <w:shd w:val="clear" w:color="auto" w:fill="auto"/>
                  <w:vAlign w:val="center"/>
                </w:tcPr>
                <w:p w14:paraId="45C9110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1"/>
                      <w:szCs w:val="21"/>
                      <w:lang w:val="en-US" w:eastAsia="zh-CN"/>
                      <w14:textFill>
                        <w14:solidFill>
                          <w14:schemeClr w14:val="tx1"/>
                        </w14:solidFill>
                      </w14:textFill>
                    </w:rPr>
                    <w:t>Pmax&lt;1%</w:t>
                  </w:r>
                </w:p>
              </w:tc>
            </w:tr>
          </w:tbl>
          <w:p w14:paraId="57779E5A">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污染物评价标准</w:t>
            </w:r>
          </w:p>
          <w:p w14:paraId="6DFA579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污染物评价标准和来源见下表。</w:t>
            </w:r>
          </w:p>
          <w:p w14:paraId="7C18BC75">
            <w:pPr>
              <w:pStyle w:val="8"/>
              <w:rPr>
                <w:rFonts w:hint="eastAsia" w:eastAsia="宋体"/>
                <w:sz w:val="21"/>
                <w:szCs w:val="21"/>
                <w:lang w:eastAsia="zh-CN"/>
              </w:rPr>
            </w:pPr>
            <w:r>
              <w:rPr>
                <w:sz w:val="21"/>
                <w:szCs w:val="21"/>
              </w:rPr>
              <w:t xml:space="preserve">表3- </w:t>
            </w:r>
            <w:r>
              <w:rPr>
                <w:rFonts w:hint="eastAsia"/>
                <w:sz w:val="21"/>
                <w:szCs w:val="21"/>
                <w:lang w:val="en-US" w:eastAsia="zh-CN"/>
              </w:rPr>
              <w:t>14</w:t>
            </w:r>
            <w:r>
              <w:rPr>
                <w:rFonts w:hint="eastAsia"/>
                <w:sz w:val="21"/>
                <w:szCs w:val="21"/>
                <w:lang w:eastAsia="zh-CN"/>
              </w:rPr>
              <w:t xml:space="preserve"> 污染物评价标准</w:t>
            </w:r>
          </w:p>
          <w:tbl>
            <w:tblPr>
              <w:tblStyle w:val="23"/>
              <w:tblW w:w="7997" w:type="dxa"/>
              <w:tblInd w:w="0" w:type="dxa"/>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3"/>
              <w:gridCol w:w="902"/>
              <w:gridCol w:w="902"/>
              <w:gridCol w:w="2297"/>
              <w:gridCol w:w="2763"/>
            </w:tblGrid>
            <w:tr w14:paraId="6306D6A1">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PrEx>
              <w:trPr>
                <w:trHeight w:val="675" w:hRule="atLeast"/>
              </w:trPr>
              <w:tc>
                <w:tcPr>
                  <w:tcW w:w="1133" w:type="dxa"/>
                  <w:tcBorders>
                    <w:top w:val="single" w:color="000000" w:sz="12" w:space="0"/>
                    <w:left w:val="nil"/>
                    <w:tl2br w:val="nil"/>
                  </w:tcBorders>
                  <w:shd w:val="clear" w:color="auto" w:fill="FFFFFF"/>
                  <w:vAlign w:val="center"/>
                </w:tcPr>
                <w:p w14:paraId="3B4CDBBB">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污染物名称</w:t>
                  </w:r>
                </w:p>
              </w:tc>
              <w:tc>
                <w:tcPr>
                  <w:tcW w:w="902" w:type="dxa"/>
                  <w:tcBorders>
                    <w:top w:val="single" w:color="000000" w:sz="12" w:space="0"/>
                  </w:tcBorders>
                  <w:shd w:val="clear" w:color="auto" w:fill="FFFFFF"/>
                  <w:vAlign w:val="center"/>
                </w:tcPr>
                <w:p w14:paraId="04A465E8">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功能区</w:t>
                  </w:r>
                </w:p>
              </w:tc>
              <w:tc>
                <w:tcPr>
                  <w:tcW w:w="902" w:type="dxa"/>
                  <w:tcBorders>
                    <w:top w:val="single" w:color="000000" w:sz="12" w:space="0"/>
                  </w:tcBorders>
                  <w:shd w:val="clear" w:color="auto" w:fill="FFFFFF"/>
                  <w:vAlign w:val="center"/>
                </w:tcPr>
                <w:p w14:paraId="0A27A23E">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取值时间</w:t>
                  </w:r>
                </w:p>
              </w:tc>
              <w:tc>
                <w:tcPr>
                  <w:tcW w:w="2297" w:type="dxa"/>
                  <w:tcBorders>
                    <w:top w:val="single" w:color="000000" w:sz="12" w:space="0"/>
                  </w:tcBorders>
                  <w:shd w:val="clear" w:color="auto" w:fill="FFFFFF"/>
                  <w:vAlign w:val="center"/>
                </w:tcPr>
                <w:p w14:paraId="4C4A349F">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标准值</w:t>
                  </w:r>
                  <w:r>
                    <w:rPr>
                      <w:rFonts w:hint="eastAsia" w:cs="Times New Roman"/>
                      <w:b w:val="0"/>
                      <w:color w:val="000000"/>
                      <w:sz w:val="21"/>
                      <w:szCs w:val="21"/>
                      <w:lang w:eastAsia="zh-CN"/>
                    </w:rPr>
                    <w:t>（</w:t>
                  </w:r>
                  <w:r>
                    <w:rPr>
                      <w:rFonts w:hint="default" w:ascii="Times New Roman" w:hAnsi="Times New Roman" w:eastAsia="宋体" w:cs="Times New Roman"/>
                      <w:b w:val="0"/>
                      <w:color w:val="000000"/>
                      <w:sz w:val="21"/>
                      <w:szCs w:val="21"/>
                    </w:rPr>
                    <w:t>μg/m³</w:t>
                  </w:r>
                  <w:r>
                    <w:rPr>
                      <w:rFonts w:hint="eastAsia" w:cs="Times New Roman"/>
                      <w:b w:val="0"/>
                      <w:color w:val="000000"/>
                      <w:sz w:val="21"/>
                      <w:szCs w:val="21"/>
                      <w:lang w:eastAsia="zh-CN"/>
                    </w:rPr>
                    <w:t>）</w:t>
                  </w:r>
                </w:p>
              </w:tc>
              <w:tc>
                <w:tcPr>
                  <w:tcW w:w="2763" w:type="dxa"/>
                  <w:tcBorders>
                    <w:top w:val="single" w:color="000000" w:sz="12" w:space="0"/>
                    <w:right w:val="nil"/>
                  </w:tcBorders>
                  <w:shd w:val="clear" w:color="auto" w:fill="FFFFFF"/>
                  <w:vAlign w:val="center"/>
                </w:tcPr>
                <w:p w14:paraId="33722F17">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标准来源</w:t>
                  </w:r>
                </w:p>
              </w:tc>
            </w:tr>
            <w:tr w14:paraId="2B4981EE">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9" w:hRule="atLeast"/>
              </w:trPr>
              <w:tc>
                <w:tcPr>
                  <w:tcW w:w="1133" w:type="dxa"/>
                  <w:tcBorders>
                    <w:left w:val="nil"/>
                    <w:bottom w:val="single" w:color="000000" w:sz="12" w:space="0"/>
                  </w:tcBorders>
                  <w:shd w:val="clear" w:color="auto" w:fill="FFFFFF"/>
                  <w:vAlign w:val="center"/>
                </w:tcPr>
                <w:p w14:paraId="5448862B">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TSP</w:t>
                  </w:r>
                </w:p>
              </w:tc>
              <w:tc>
                <w:tcPr>
                  <w:tcW w:w="902" w:type="dxa"/>
                  <w:tcBorders>
                    <w:bottom w:val="single" w:color="000000" w:sz="12" w:space="0"/>
                  </w:tcBorders>
                  <w:shd w:val="clear" w:color="auto" w:fill="FFFFFF"/>
                  <w:vAlign w:val="center"/>
                </w:tcPr>
                <w:p w14:paraId="1B59189B">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二类限区</w:t>
                  </w:r>
                </w:p>
              </w:tc>
              <w:tc>
                <w:tcPr>
                  <w:tcW w:w="902" w:type="dxa"/>
                  <w:tcBorders>
                    <w:bottom w:val="single" w:color="000000" w:sz="12" w:space="0"/>
                  </w:tcBorders>
                  <w:shd w:val="clear" w:color="auto" w:fill="FFFFFF"/>
                  <w:vAlign w:val="center"/>
                </w:tcPr>
                <w:p w14:paraId="64D61227">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日均</w:t>
                  </w:r>
                </w:p>
              </w:tc>
              <w:tc>
                <w:tcPr>
                  <w:tcW w:w="2297" w:type="dxa"/>
                  <w:tcBorders>
                    <w:bottom w:val="single" w:color="000000" w:sz="12" w:space="0"/>
                  </w:tcBorders>
                  <w:shd w:val="clear" w:color="auto" w:fill="FFFFFF"/>
                  <w:vAlign w:val="center"/>
                </w:tcPr>
                <w:p w14:paraId="0C79EAED">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300.0</w:t>
                  </w:r>
                </w:p>
              </w:tc>
              <w:tc>
                <w:tcPr>
                  <w:tcW w:w="2763" w:type="dxa"/>
                  <w:tcBorders>
                    <w:bottom w:val="single" w:color="000000" w:sz="12" w:space="0"/>
                    <w:right w:val="nil"/>
                  </w:tcBorders>
                  <w:shd w:val="clear" w:color="auto" w:fill="FFFFFF"/>
                  <w:vAlign w:val="center"/>
                </w:tcPr>
                <w:p w14:paraId="75679702">
                  <w:pPr>
                    <w:jc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sz w:val="21"/>
                      <w:szCs w:val="21"/>
                    </w:rPr>
                    <w:t>环境空气质量标准(GB 3095-2026)</w:t>
                  </w:r>
                </w:p>
              </w:tc>
            </w:tr>
          </w:tbl>
          <w:p w14:paraId="66B7A64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1.2</w:t>
            </w:r>
            <w:r>
              <w:rPr>
                <w:rFonts w:hint="default" w:cs="Times New Roman"/>
                <w:color w:val="000000" w:themeColor="text1"/>
                <w:kern w:val="0"/>
                <w:sz w:val="24"/>
                <w:lang w:val="en-US" w:eastAsia="zh-CN"/>
                <w14:textFill>
                  <w14:solidFill>
                    <w14:schemeClr w14:val="tx1"/>
                  </w14:solidFill>
                </w14:textFill>
              </w:rPr>
              <w:t>污染源参数</w:t>
            </w:r>
          </w:p>
          <w:p w14:paraId="5B8659B1">
            <w:pPr>
              <w:pStyle w:val="8"/>
              <w:rPr>
                <w:rFonts w:hint="eastAsia" w:eastAsia="宋体"/>
                <w:sz w:val="21"/>
                <w:szCs w:val="21"/>
                <w:lang w:eastAsia="zh-CN"/>
              </w:rPr>
            </w:pPr>
            <w:r>
              <w:rPr>
                <w:sz w:val="21"/>
                <w:szCs w:val="21"/>
              </w:rPr>
              <w:t xml:space="preserve">表3- </w:t>
            </w:r>
            <w:r>
              <w:rPr>
                <w:rFonts w:hint="eastAsia"/>
                <w:sz w:val="21"/>
                <w:szCs w:val="21"/>
                <w:lang w:val="en-US" w:eastAsia="zh-CN"/>
              </w:rPr>
              <w:t>15</w:t>
            </w:r>
            <w:r>
              <w:rPr>
                <w:rFonts w:hint="eastAsia"/>
                <w:sz w:val="21"/>
                <w:szCs w:val="21"/>
                <w:lang w:eastAsia="zh-CN"/>
              </w:rPr>
              <w:t xml:space="preserve"> 主要废气污染源参数一览表(矩形面源)</w:t>
            </w:r>
          </w:p>
          <w:tbl>
            <w:tblPr>
              <w:tblStyle w:val="23"/>
              <w:tblW w:w="7937" w:type="dxa"/>
              <w:tblInd w:w="0" w:type="dxa"/>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4"/>
              <w:gridCol w:w="1444"/>
              <w:gridCol w:w="994"/>
              <w:gridCol w:w="673"/>
              <w:gridCol w:w="892"/>
              <w:gridCol w:w="1006"/>
              <w:gridCol w:w="781"/>
              <w:gridCol w:w="1233"/>
            </w:tblGrid>
            <w:tr w14:paraId="3C8C5D54">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14" w:type="dxa"/>
                  <w:vMerge w:val="restart"/>
                  <w:tcBorders>
                    <w:top w:val="single" w:color="000000" w:sz="12" w:space="0"/>
                    <w:left w:val="nil"/>
                    <w:tl2br w:val="nil"/>
                  </w:tcBorders>
                  <w:shd w:val="clear" w:color="auto" w:fill="auto"/>
                  <w:vAlign w:val="center"/>
                </w:tcPr>
                <w:p w14:paraId="409F38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污染源名称</w:t>
                  </w:r>
                </w:p>
              </w:tc>
              <w:tc>
                <w:tcPr>
                  <w:tcW w:w="2438" w:type="dxa"/>
                  <w:gridSpan w:val="2"/>
                  <w:tcBorders>
                    <w:top w:val="single" w:color="000000" w:sz="12" w:space="0"/>
                  </w:tcBorders>
                  <w:shd w:val="clear" w:color="auto" w:fill="auto"/>
                  <w:vAlign w:val="center"/>
                </w:tcPr>
                <w:p w14:paraId="65D539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坐标(°)</w:t>
                  </w:r>
                </w:p>
              </w:tc>
              <w:tc>
                <w:tcPr>
                  <w:tcW w:w="673" w:type="dxa"/>
                  <w:vMerge w:val="restart"/>
                  <w:tcBorders>
                    <w:top w:val="single" w:color="000000" w:sz="12" w:space="0"/>
                  </w:tcBorders>
                  <w:shd w:val="clear" w:color="auto" w:fill="auto"/>
                  <w:vAlign w:val="center"/>
                </w:tcPr>
                <w:p w14:paraId="0634ED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海拔高度(m)</w:t>
                  </w:r>
                </w:p>
              </w:tc>
              <w:tc>
                <w:tcPr>
                  <w:tcW w:w="2679" w:type="dxa"/>
                  <w:gridSpan w:val="3"/>
                  <w:tcBorders>
                    <w:top w:val="single" w:color="000000" w:sz="12" w:space="0"/>
                  </w:tcBorders>
                  <w:shd w:val="clear" w:color="auto" w:fill="auto"/>
                  <w:vAlign w:val="center"/>
                </w:tcPr>
                <w:p w14:paraId="1D1236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矩形面源</w:t>
                  </w:r>
                </w:p>
              </w:tc>
              <w:tc>
                <w:tcPr>
                  <w:tcW w:w="1233" w:type="dxa"/>
                  <w:tcBorders>
                    <w:top w:val="single" w:color="000000" w:sz="12" w:space="0"/>
                    <w:right w:val="nil"/>
                  </w:tcBorders>
                  <w:shd w:val="clear" w:color="auto" w:fill="auto"/>
                  <w:vAlign w:val="center"/>
                </w:tcPr>
                <w:p w14:paraId="5699B0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污染物排放速率(kg/h)</w:t>
                  </w:r>
                </w:p>
              </w:tc>
            </w:tr>
            <w:tr w14:paraId="75F75EE9">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14" w:type="dxa"/>
                  <w:vMerge w:val="continue"/>
                  <w:tcBorders>
                    <w:left w:val="nil"/>
                  </w:tcBorders>
                  <w:shd w:val="clear" w:color="auto" w:fill="auto"/>
                  <w:vAlign w:val="center"/>
                </w:tcPr>
                <w:p w14:paraId="5A3B72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p>
              </w:tc>
              <w:tc>
                <w:tcPr>
                  <w:tcW w:w="1444" w:type="dxa"/>
                  <w:shd w:val="clear" w:color="auto" w:fill="auto"/>
                  <w:vAlign w:val="center"/>
                </w:tcPr>
                <w:p w14:paraId="0E2BF7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经度</w:t>
                  </w:r>
                </w:p>
              </w:tc>
              <w:tc>
                <w:tcPr>
                  <w:tcW w:w="994" w:type="dxa"/>
                  <w:shd w:val="clear" w:color="auto" w:fill="auto"/>
                  <w:vAlign w:val="center"/>
                </w:tcPr>
                <w:p w14:paraId="2890B11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纬度</w:t>
                  </w:r>
                </w:p>
              </w:tc>
              <w:tc>
                <w:tcPr>
                  <w:tcW w:w="673" w:type="dxa"/>
                  <w:vMerge w:val="continue"/>
                  <w:shd w:val="clear" w:color="auto" w:fill="auto"/>
                  <w:vAlign w:val="center"/>
                </w:tcPr>
                <w:p w14:paraId="434756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p>
              </w:tc>
              <w:tc>
                <w:tcPr>
                  <w:tcW w:w="892" w:type="dxa"/>
                  <w:shd w:val="clear" w:color="auto" w:fill="auto"/>
                  <w:vAlign w:val="center"/>
                </w:tcPr>
                <w:p w14:paraId="65EA75D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长度(m)</w:t>
                  </w:r>
                </w:p>
              </w:tc>
              <w:tc>
                <w:tcPr>
                  <w:tcW w:w="1006" w:type="dxa"/>
                  <w:shd w:val="clear" w:color="auto" w:fill="auto"/>
                  <w:vAlign w:val="center"/>
                </w:tcPr>
                <w:p w14:paraId="6F0709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宽度(m)</w:t>
                  </w:r>
                </w:p>
              </w:tc>
              <w:tc>
                <w:tcPr>
                  <w:tcW w:w="781" w:type="dxa"/>
                  <w:shd w:val="clear" w:color="auto" w:fill="auto"/>
                  <w:vAlign w:val="center"/>
                </w:tcPr>
                <w:p w14:paraId="5994BF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有效高度(m)</w:t>
                  </w:r>
                </w:p>
              </w:tc>
              <w:tc>
                <w:tcPr>
                  <w:tcW w:w="1233" w:type="dxa"/>
                  <w:tcBorders>
                    <w:right w:val="nil"/>
                  </w:tcBorders>
                  <w:shd w:val="clear" w:color="auto" w:fill="auto"/>
                  <w:vAlign w:val="center"/>
                </w:tcPr>
                <w:p w14:paraId="3D7FCD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TSP</w:t>
                  </w:r>
                </w:p>
              </w:tc>
            </w:tr>
            <w:tr w14:paraId="6A947BB6">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14" w:type="dxa"/>
                  <w:tcBorders>
                    <w:left w:val="nil"/>
                  </w:tcBorders>
                  <w:shd w:val="clear" w:color="auto" w:fill="auto"/>
                  <w:vAlign w:val="center"/>
                </w:tcPr>
                <w:p w14:paraId="52142C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排土场</w:t>
                  </w:r>
                </w:p>
              </w:tc>
              <w:tc>
                <w:tcPr>
                  <w:tcW w:w="1444" w:type="dxa"/>
                  <w:shd w:val="clear" w:color="auto" w:fill="auto"/>
                  <w:vAlign w:val="center"/>
                </w:tcPr>
                <w:p w14:paraId="6B6FAF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100.27662</w:t>
                  </w:r>
                </w:p>
              </w:tc>
              <w:tc>
                <w:tcPr>
                  <w:tcW w:w="994" w:type="dxa"/>
                  <w:shd w:val="clear" w:color="auto" w:fill="auto"/>
                  <w:vAlign w:val="center"/>
                </w:tcPr>
                <w:p w14:paraId="7F4F870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39.35665</w:t>
                  </w:r>
                </w:p>
              </w:tc>
              <w:tc>
                <w:tcPr>
                  <w:tcW w:w="673" w:type="dxa"/>
                  <w:shd w:val="clear" w:color="auto" w:fill="auto"/>
                  <w:vAlign w:val="center"/>
                </w:tcPr>
                <w:p w14:paraId="1C9A62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1428.00</w:t>
                  </w:r>
                </w:p>
              </w:tc>
              <w:tc>
                <w:tcPr>
                  <w:tcW w:w="892" w:type="dxa"/>
                  <w:shd w:val="clear" w:color="auto" w:fill="auto"/>
                  <w:vAlign w:val="center"/>
                </w:tcPr>
                <w:p w14:paraId="1137A5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238.84</w:t>
                  </w:r>
                </w:p>
              </w:tc>
              <w:tc>
                <w:tcPr>
                  <w:tcW w:w="1006" w:type="dxa"/>
                  <w:shd w:val="clear" w:color="auto" w:fill="auto"/>
                  <w:vAlign w:val="center"/>
                </w:tcPr>
                <w:p w14:paraId="6D8BA0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278.00</w:t>
                  </w:r>
                </w:p>
              </w:tc>
              <w:tc>
                <w:tcPr>
                  <w:tcW w:w="781" w:type="dxa"/>
                  <w:shd w:val="clear" w:color="auto" w:fill="auto"/>
                  <w:vAlign w:val="center"/>
                </w:tcPr>
                <w:p w14:paraId="3CE7D2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10.00</w:t>
                  </w:r>
                </w:p>
              </w:tc>
              <w:tc>
                <w:tcPr>
                  <w:tcW w:w="1233" w:type="dxa"/>
                  <w:tcBorders>
                    <w:right w:val="nil"/>
                  </w:tcBorders>
                  <w:shd w:val="clear" w:color="auto" w:fill="auto"/>
                  <w:vAlign w:val="center"/>
                </w:tcPr>
                <w:p w14:paraId="26DB1D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0.7500000</w:t>
                  </w:r>
                </w:p>
              </w:tc>
            </w:tr>
            <w:tr w14:paraId="09F6DD2B">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14" w:type="dxa"/>
                  <w:tcBorders>
                    <w:left w:val="nil"/>
                  </w:tcBorders>
                  <w:shd w:val="clear" w:color="auto" w:fill="auto"/>
                  <w:vAlign w:val="center"/>
                </w:tcPr>
                <w:p w14:paraId="7B26DC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堆矿场</w:t>
                  </w:r>
                </w:p>
              </w:tc>
              <w:tc>
                <w:tcPr>
                  <w:tcW w:w="1444" w:type="dxa"/>
                  <w:shd w:val="clear" w:color="auto" w:fill="auto"/>
                  <w:vAlign w:val="center"/>
                </w:tcPr>
                <w:p w14:paraId="651838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100.2828</w:t>
                  </w:r>
                </w:p>
              </w:tc>
              <w:tc>
                <w:tcPr>
                  <w:tcW w:w="994" w:type="dxa"/>
                  <w:shd w:val="clear" w:color="auto" w:fill="auto"/>
                  <w:vAlign w:val="center"/>
                </w:tcPr>
                <w:p w14:paraId="7D36449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39.351407</w:t>
                  </w:r>
                </w:p>
              </w:tc>
              <w:tc>
                <w:tcPr>
                  <w:tcW w:w="673" w:type="dxa"/>
                  <w:shd w:val="clear" w:color="auto" w:fill="auto"/>
                  <w:vAlign w:val="center"/>
                </w:tcPr>
                <w:p w14:paraId="6AF7955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1423.00</w:t>
                  </w:r>
                </w:p>
              </w:tc>
              <w:tc>
                <w:tcPr>
                  <w:tcW w:w="892" w:type="dxa"/>
                  <w:shd w:val="clear" w:color="auto" w:fill="auto"/>
                  <w:vAlign w:val="center"/>
                </w:tcPr>
                <w:p w14:paraId="21D3123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27.76</w:t>
                  </w:r>
                </w:p>
              </w:tc>
              <w:tc>
                <w:tcPr>
                  <w:tcW w:w="1006" w:type="dxa"/>
                  <w:shd w:val="clear" w:color="auto" w:fill="auto"/>
                  <w:vAlign w:val="center"/>
                </w:tcPr>
                <w:p w14:paraId="6C41C9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38.27</w:t>
                  </w:r>
                </w:p>
              </w:tc>
              <w:tc>
                <w:tcPr>
                  <w:tcW w:w="781" w:type="dxa"/>
                  <w:shd w:val="clear" w:color="auto" w:fill="auto"/>
                  <w:vAlign w:val="center"/>
                </w:tcPr>
                <w:p w14:paraId="08DB43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10.00</w:t>
                  </w:r>
                </w:p>
              </w:tc>
              <w:tc>
                <w:tcPr>
                  <w:tcW w:w="1233" w:type="dxa"/>
                  <w:tcBorders>
                    <w:right w:val="nil"/>
                  </w:tcBorders>
                  <w:shd w:val="clear" w:color="auto" w:fill="auto"/>
                  <w:vAlign w:val="center"/>
                </w:tcPr>
                <w:p w14:paraId="70A48AD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0.1800000</w:t>
                  </w:r>
                </w:p>
              </w:tc>
            </w:tr>
            <w:tr w14:paraId="58809264">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14" w:type="dxa"/>
                  <w:tcBorders>
                    <w:left w:val="nil"/>
                    <w:bottom w:val="single" w:color="000000" w:sz="12" w:space="0"/>
                  </w:tcBorders>
                  <w:shd w:val="clear" w:color="auto" w:fill="auto"/>
                  <w:vAlign w:val="center"/>
                </w:tcPr>
                <w:p w14:paraId="1D3CDA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露天开采区</w:t>
                  </w:r>
                </w:p>
              </w:tc>
              <w:tc>
                <w:tcPr>
                  <w:tcW w:w="1444" w:type="dxa"/>
                  <w:tcBorders>
                    <w:bottom w:val="single" w:color="000000" w:sz="12" w:space="0"/>
                  </w:tcBorders>
                  <w:shd w:val="clear" w:color="auto" w:fill="auto"/>
                  <w:vAlign w:val="center"/>
                </w:tcPr>
                <w:p w14:paraId="5A0F92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100.287955</w:t>
                  </w:r>
                </w:p>
              </w:tc>
              <w:tc>
                <w:tcPr>
                  <w:tcW w:w="994" w:type="dxa"/>
                  <w:tcBorders>
                    <w:bottom w:val="single" w:color="000000" w:sz="12" w:space="0"/>
                  </w:tcBorders>
                  <w:shd w:val="clear" w:color="auto" w:fill="auto"/>
                  <w:vAlign w:val="center"/>
                </w:tcPr>
                <w:p w14:paraId="3F7CFE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39.350026</w:t>
                  </w:r>
                </w:p>
              </w:tc>
              <w:tc>
                <w:tcPr>
                  <w:tcW w:w="673" w:type="dxa"/>
                  <w:tcBorders>
                    <w:bottom w:val="single" w:color="000000" w:sz="12" w:space="0"/>
                  </w:tcBorders>
                  <w:shd w:val="clear" w:color="auto" w:fill="auto"/>
                  <w:vAlign w:val="center"/>
                </w:tcPr>
                <w:p w14:paraId="44AEBE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1442.00</w:t>
                  </w:r>
                </w:p>
              </w:tc>
              <w:tc>
                <w:tcPr>
                  <w:tcW w:w="892" w:type="dxa"/>
                  <w:tcBorders>
                    <w:bottom w:val="single" w:color="000000" w:sz="12" w:space="0"/>
                  </w:tcBorders>
                  <w:shd w:val="clear" w:color="auto" w:fill="auto"/>
                  <w:vAlign w:val="center"/>
                </w:tcPr>
                <w:p w14:paraId="7D3399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280.23</w:t>
                  </w:r>
                </w:p>
              </w:tc>
              <w:tc>
                <w:tcPr>
                  <w:tcW w:w="1006" w:type="dxa"/>
                  <w:tcBorders>
                    <w:bottom w:val="single" w:color="000000" w:sz="12" w:space="0"/>
                  </w:tcBorders>
                  <w:shd w:val="clear" w:color="auto" w:fill="auto"/>
                  <w:vAlign w:val="center"/>
                </w:tcPr>
                <w:p w14:paraId="78A497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3657.58</w:t>
                  </w:r>
                </w:p>
              </w:tc>
              <w:tc>
                <w:tcPr>
                  <w:tcW w:w="781" w:type="dxa"/>
                  <w:tcBorders>
                    <w:bottom w:val="single" w:color="000000" w:sz="12" w:space="0"/>
                  </w:tcBorders>
                  <w:shd w:val="clear" w:color="auto" w:fill="auto"/>
                  <w:vAlign w:val="center"/>
                </w:tcPr>
                <w:p w14:paraId="194B97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10.00</w:t>
                  </w:r>
                </w:p>
              </w:tc>
              <w:tc>
                <w:tcPr>
                  <w:tcW w:w="1233" w:type="dxa"/>
                  <w:tcBorders>
                    <w:bottom w:val="single" w:color="000000" w:sz="12" w:space="0"/>
                    <w:right w:val="nil"/>
                  </w:tcBorders>
                  <w:shd w:val="clear" w:color="auto" w:fill="auto"/>
                  <w:vAlign w:val="center"/>
                </w:tcPr>
                <w:p w14:paraId="504A2C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0.5100000</w:t>
                  </w:r>
                </w:p>
              </w:tc>
            </w:tr>
          </w:tbl>
          <w:p w14:paraId="158C341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jc w:val="left"/>
              <w:textAlignment w:val="auto"/>
              <w:rPr>
                <w:rFonts w:hint="default" w:ascii="Times New Roman" w:hAnsi="Times New Roman" w:eastAsia="宋体" w:cs="Times New Roman"/>
                <w:b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4"/>
                <w:szCs w:val="24"/>
                <w:lang w:val="en-US" w:eastAsia="zh-CN"/>
                <w14:textFill>
                  <w14:solidFill>
                    <w14:schemeClr w14:val="tx1"/>
                  </w14:solidFill>
                </w14:textFill>
              </w:rPr>
              <w:t xml:space="preserve"> 1.3项目参数</w:t>
            </w:r>
          </w:p>
          <w:p w14:paraId="2FCF562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 xml:space="preserve"> 估算模式所用参数见表</w:t>
            </w:r>
          </w:p>
          <w:p w14:paraId="13A5676C">
            <w:pPr>
              <w:pStyle w:val="8"/>
              <w:rPr>
                <w:rFonts w:hint="eastAsia" w:eastAsia="宋体"/>
                <w:sz w:val="21"/>
                <w:szCs w:val="21"/>
                <w:lang w:eastAsia="zh-CN"/>
              </w:rPr>
            </w:pPr>
            <w:r>
              <w:rPr>
                <w:sz w:val="21"/>
                <w:szCs w:val="21"/>
              </w:rPr>
              <w:t xml:space="preserve">表3- </w:t>
            </w:r>
            <w:r>
              <w:rPr>
                <w:rFonts w:hint="eastAsia"/>
                <w:sz w:val="21"/>
                <w:szCs w:val="21"/>
                <w:lang w:val="en-US" w:eastAsia="zh-CN"/>
              </w:rPr>
              <w:t>16</w:t>
            </w:r>
            <w:r>
              <w:rPr>
                <w:rFonts w:hint="eastAsia"/>
                <w:sz w:val="21"/>
                <w:szCs w:val="21"/>
                <w:lang w:eastAsia="zh-CN"/>
              </w:rPr>
              <w:t xml:space="preserve"> 估算模型参数表</w:t>
            </w:r>
          </w:p>
          <w:tbl>
            <w:tblPr>
              <w:tblStyle w:val="23"/>
              <w:tblW w:w="7959" w:type="dxa"/>
              <w:tblInd w:w="0" w:type="dxa"/>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74"/>
              <w:gridCol w:w="2484"/>
              <w:gridCol w:w="3501"/>
            </w:tblGrid>
            <w:tr w14:paraId="58E51A6D">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58" w:type="dxa"/>
                  <w:gridSpan w:val="2"/>
                  <w:tcBorders>
                    <w:top w:val="single" w:color="000000" w:sz="12" w:space="0"/>
                    <w:left w:val="nil"/>
                    <w:tl2br w:val="nil"/>
                  </w:tcBorders>
                  <w:shd w:val="clear" w:color="auto" w:fill="auto"/>
                  <w:vAlign w:val="center"/>
                </w:tcPr>
                <w:p w14:paraId="2B9C09E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参数</w:t>
                  </w:r>
                </w:p>
              </w:tc>
              <w:tc>
                <w:tcPr>
                  <w:tcW w:w="3501" w:type="dxa"/>
                  <w:tcBorders>
                    <w:top w:val="single" w:color="000000" w:sz="12" w:space="0"/>
                    <w:right w:val="nil"/>
                  </w:tcBorders>
                  <w:shd w:val="clear" w:color="auto" w:fill="auto"/>
                  <w:vAlign w:val="center"/>
                </w:tcPr>
                <w:p w14:paraId="347C263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取值</w:t>
                  </w:r>
                </w:p>
              </w:tc>
            </w:tr>
            <w:tr w14:paraId="604EF860">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1974" w:type="dxa"/>
                  <w:vMerge w:val="restart"/>
                  <w:tcBorders>
                    <w:left w:val="nil"/>
                  </w:tcBorders>
                  <w:shd w:val="clear" w:color="auto" w:fill="auto"/>
                  <w:vAlign w:val="center"/>
                </w:tcPr>
                <w:p w14:paraId="7132B3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城市/农村选项</w:t>
                  </w:r>
                </w:p>
              </w:tc>
              <w:tc>
                <w:tcPr>
                  <w:tcW w:w="2484" w:type="dxa"/>
                  <w:shd w:val="clear" w:color="auto" w:fill="auto"/>
                  <w:vAlign w:val="center"/>
                </w:tcPr>
                <w:p w14:paraId="2FBE18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城市/农村</w:t>
                  </w:r>
                </w:p>
              </w:tc>
              <w:tc>
                <w:tcPr>
                  <w:tcW w:w="3501" w:type="dxa"/>
                  <w:tcBorders>
                    <w:right w:val="nil"/>
                  </w:tcBorders>
                  <w:shd w:val="clear" w:color="auto" w:fill="auto"/>
                  <w:vAlign w:val="center"/>
                </w:tcPr>
                <w:p w14:paraId="7B53DE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农村</w:t>
                  </w:r>
                </w:p>
              </w:tc>
            </w:tr>
            <w:tr w14:paraId="555F59F0">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1974" w:type="dxa"/>
                  <w:vMerge w:val="continue"/>
                  <w:tcBorders>
                    <w:left w:val="nil"/>
                  </w:tcBorders>
                  <w:shd w:val="clear" w:color="auto" w:fill="auto"/>
                  <w:vAlign w:val="center"/>
                </w:tcPr>
                <w:p w14:paraId="4255C5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p>
              </w:tc>
              <w:tc>
                <w:tcPr>
                  <w:tcW w:w="2484" w:type="dxa"/>
                  <w:shd w:val="clear" w:color="auto" w:fill="auto"/>
                  <w:vAlign w:val="center"/>
                </w:tcPr>
                <w:p w14:paraId="7581F9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人口数(城市人口数)</w:t>
                  </w:r>
                </w:p>
              </w:tc>
              <w:tc>
                <w:tcPr>
                  <w:tcW w:w="3501" w:type="dxa"/>
                  <w:tcBorders>
                    <w:right w:val="nil"/>
                  </w:tcBorders>
                  <w:shd w:val="clear" w:color="auto" w:fill="auto"/>
                  <w:vAlign w:val="center"/>
                </w:tcPr>
                <w:p w14:paraId="2F9F4B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w:t>
                  </w:r>
                </w:p>
              </w:tc>
            </w:tr>
            <w:tr w14:paraId="22D543F2">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58" w:type="dxa"/>
                  <w:gridSpan w:val="2"/>
                  <w:tcBorders>
                    <w:left w:val="nil"/>
                  </w:tcBorders>
                  <w:shd w:val="clear" w:color="auto" w:fill="auto"/>
                  <w:vAlign w:val="center"/>
                </w:tcPr>
                <w:p w14:paraId="02E78A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最高环境温度</w:t>
                  </w:r>
                </w:p>
              </w:tc>
              <w:tc>
                <w:tcPr>
                  <w:tcW w:w="3501" w:type="dxa"/>
                  <w:tcBorders>
                    <w:right w:val="nil"/>
                  </w:tcBorders>
                  <w:shd w:val="clear" w:color="auto" w:fill="auto"/>
                  <w:vAlign w:val="center"/>
                </w:tcPr>
                <w:p w14:paraId="27E607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39.8</w:t>
                  </w:r>
                </w:p>
              </w:tc>
            </w:tr>
            <w:tr w14:paraId="2A35F8F4">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4458" w:type="dxa"/>
                  <w:gridSpan w:val="2"/>
                  <w:tcBorders>
                    <w:left w:val="nil"/>
                  </w:tcBorders>
                  <w:shd w:val="clear" w:color="auto" w:fill="auto"/>
                  <w:vAlign w:val="center"/>
                </w:tcPr>
                <w:p w14:paraId="57E2F2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最低环境温度</w:t>
                  </w:r>
                </w:p>
              </w:tc>
              <w:tc>
                <w:tcPr>
                  <w:tcW w:w="3501" w:type="dxa"/>
                  <w:tcBorders>
                    <w:right w:val="nil"/>
                  </w:tcBorders>
                  <w:shd w:val="clear" w:color="auto" w:fill="auto"/>
                  <w:vAlign w:val="center"/>
                </w:tcPr>
                <w:p w14:paraId="57CC4C6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-28.7</w:t>
                  </w:r>
                </w:p>
              </w:tc>
            </w:tr>
            <w:tr w14:paraId="51B2489D">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458" w:type="dxa"/>
                  <w:gridSpan w:val="2"/>
                  <w:tcBorders>
                    <w:left w:val="nil"/>
                  </w:tcBorders>
                  <w:shd w:val="clear" w:color="auto" w:fill="auto"/>
                  <w:vAlign w:val="center"/>
                </w:tcPr>
                <w:p w14:paraId="69B73A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土地利用类型</w:t>
                  </w:r>
                </w:p>
              </w:tc>
              <w:tc>
                <w:tcPr>
                  <w:tcW w:w="3501" w:type="dxa"/>
                  <w:tcBorders>
                    <w:right w:val="nil"/>
                  </w:tcBorders>
                  <w:shd w:val="clear" w:color="auto" w:fill="auto"/>
                  <w:vAlign w:val="center"/>
                </w:tcPr>
                <w:p w14:paraId="00DBEF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荒漠</w:t>
                  </w:r>
                </w:p>
              </w:tc>
            </w:tr>
            <w:tr w14:paraId="082B973C">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4458" w:type="dxa"/>
                  <w:gridSpan w:val="2"/>
                  <w:tcBorders>
                    <w:left w:val="nil"/>
                  </w:tcBorders>
                  <w:shd w:val="clear" w:color="auto" w:fill="auto"/>
                  <w:vAlign w:val="center"/>
                </w:tcPr>
                <w:p w14:paraId="64F495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区域湿度条件</w:t>
                  </w:r>
                </w:p>
              </w:tc>
              <w:tc>
                <w:tcPr>
                  <w:tcW w:w="3501" w:type="dxa"/>
                  <w:tcBorders>
                    <w:right w:val="nil"/>
                  </w:tcBorders>
                  <w:shd w:val="clear" w:color="auto" w:fill="auto"/>
                  <w:vAlign w:val="center"/>
                </w:tcPr>
                <w:p w14:paraId="5A5A2A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干燥</w:t>
                  </w:r>
                </w:p>
              </w:tc>
            </w:tr>
            <w:tr w14:paraId="5FC213BC">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974" w:type="dxa"/>
                  <w:vMerge w:val="restart"/>
                  <w:tcBorders>
                    <w:left w:val="nil"/>
                  </w:tcBorders>
                  <w:shd w:val="clear" w:color="auto" w:fill="auto"/>
                  <w:vAlign w:val="center"/>
                </w:tcPr>
                <w:p w14:paraId="5CBA5C0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是否考虑地形</w:t>
                  </w:r>
                </w:p>
              </w:tc>
              <w:tc>
                <w:tcPr>
                  <w:tcW w:w="2484" w:type="dxa"/>
                  <w:shd w:val="clear" w:color="auto" w:fill="auto"/>
                  <w:vAlign w:val="center"/>
                </w:tcPr>
                <w:p w14:paraId="2A2B84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考虑地形</w:t>
                  </w:r>
                </w:p>
              </w:tc>
              <w:tc>
                <w:tcPr>
                  <w:tcW w:w="3501" w:type="dxa"/>
                  <w:tcBorders>
                    <w:right w:val="nil"/>
                  </w:tcBorders>
                  <w:shd w:val="clear" w:color="auto" w:fill="auto"/>
                  <w:vAlign w:val="center"/>
                </w:tcPr>
                <w:p w14:paraId="795236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否</w:t>
                  </w:r>
                </w:p>
              </w:tc>
            </w:tr>
            <w:tr w14:paraId="6C55B0BD">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1974" w:type="dxa"/>
                  <w:vMerge w:val="continue"/>
                  <w:tcBorders>
                    <w:left w:val="nil"/>
                  </w:tcBorders>
                  <w:shd w:val="clear" w:color="auto" w:fill="auto"/>
                  <w:vAlign w:val="center"/>
                </w:tcPr>
                <w:p w14:paraId="603202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p>
              </w:tc>
              <w:tc>
                <w:tcPr>
                  <w:tcW w:w="2484" w:type="dxa"/>
                  <w:shd w:val="clear" w:color="auto" w:fill="auto"/>
                  <w:vAlign w:val="center"/>
                </w:tcPr>
                <w:p w14:paraId="4B9A28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地形数据分辨率(m)</w:t>
                  </w:r>
                </w:p>
              </w:tc>
              <w:tc>
                <w:tcPr>
                  <w:tcW w:w="3501" w:type="dxa"/>
                  <w:tcBorders>
                    <w:right w:val="nil"/>
                  </w:tcBorders>
                  <w:shd w:val="clear" w:color="auto" w:fill="auto"/>
                  <w:vAlign w:val="center"/>
                </w:tcPr>
                <w:p w14:paraId="53D096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w:t>
                  </w:r>
                </w:p>
              </w:tc>
            </w:tr>
            <w:tr w14:paraId="5F1DDFDE">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1974" w:type="dxa"/>
                  <w:vMerge w:val="restart"/>
                  <w:tcBorders>
                    <w:left w:val="nil"/>
                  </w:tcBorders>
                  <w:shd w:val="clear" w:color="auto" w:fill="auto"/>
                  <w:vAlign w:val="center"/>
                </w:tcPr>
                <w:p w14:paraId="2BEA9C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是否考虑岸线熏烟</w:t>
                  </w:r>
                </w:p>
              </w:tc>
              <w:tc>
                <w:tcPr>
                  <w:tcW w:w="2484" w:type="dxa"/>
                  <w:shd w:val="clear" w:color="auto" w:fill="auto"/>
                  <w:vAlign w:val="center"/>
                </w:tcPr>
                <w:p w14:paraId="4F4A75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考虑岸线熏烟</w:t>
                  </w:r>
                </w:p>
              </w:tc>
              <w:tc>
                <w:tcPr>
                  <w:tcW w:w="3501" w:type="dxa"/>
                  <w:tcBorders>
                    <w:right w:val="nil"/>
                  </w:tcBorders>
                  <w:shd w:val="clear" w:color="auto" w:fill="auto"/>
                  <w:vAlign w:val="center"/>
                </w:tcPr>
                <w:p w14:paraId="155C974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否</w:t>
                  </w:r>
                </w:p>
              </w:tc>
            </w:tr>
            <w:tr w14:paraId="157864B4">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974" w:type="dxa"/>
                  <w:vMerge w:val="continue"/>
                  <w:tcBorders>
                    <w:left w:val="nil"/>
                  </w:tcBorders>
                  <w:shd w:val="clear" w:color="auto" w:fill="auto"/>
                  <w:vAlign w:val="center"/>
                </w:tcPr>
                <w:p w14:paraId="42C54A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p>
              </w:tc>
              <w:tc>
                <w:tcPr>
                  <w:tcW w:w="2484" w:type="dxa"/>
                  <w:shd w:val="clear" w:color="auto" w:fill="auto"/>
                  <w:vAlign w:val="center"/>
                </w:tcPr>
                <w:p w14:paraId="7A7E24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岸线距离/m</w:t>
                  </w:r>
                </w:p>
              </w:tc>
              <w:tc>
                <w:tcPr>
                  <w:tcW w:w="3501" w:type="dxa"/>
                  <w:tcBorders>
                    <w:right w:val="nil"/>
                  </w:tcBorders>
                  <w:shd w:val="clear" w:color="auto" w:fill="auto"/>
                  <w:vAlign w:val="center"/>
                </w:tcPr>
                <w:p w14:paraId="478DDC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w:t>
                  </w:r>
                </w:p>
              </w:tc>
            </w:tr>
            <w:tr w14:paraId="487CCFA6">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1974" w:type="dxa"/>
                  <w:vMerge w:val="continue"/>
                  <w:tcBorders>
                    <w:left w:val="nil"/>
                    <w:bottom w:val="single" w:color="000000" w:sz="12" w:space="0"/>
                  </w:tcBorders>
                  <w:shd w:val="clear" w:color="auto" w:fill="auto"/>
                  <w:vAlign w:val="center"/>
                </w:tcPr>
                <w:p w14:paraId="42A77B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p>
              </w:tc>
              <w:tc>
                <w:tcPr>
                  <w:tcW w:w="2484" w:type="dxa"/>
                  <w:tcBorders>
                    <w:bottom w:val="single" w:color="000000" w:sz="12" w:space="0"/>
                  </w:tcBorders>
                  <w:shd w:val="clear" w:color="auto" w:fill="auto"/>
                  <w:vAlign w:val="center"/>
                </w:tcPr>
                <w:p w14:paraId="696ED1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岸线方向/°</w:t>
                  </w:r>
                </w:p>
              </w:tc>
              <w:tc>
                <w:tcPr>
                  <w:tcW w:w="3501" w:type="dxa"/>
                  <w:tcBorders>
                    <w:bottom w:val="single" w:color="000000" w:sz="12" w:space="0"/>
                    <w:right w:val="nil"/>
                  </w:tcBorders>
                  <w:shd w:val="clear" w:color="auto" w:fill="auto"/>
                  <w:vAlign w:val="center"/>
                </w:tcPr>
                <w:p w14:paraId="450B19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w:t>
                  </w:r>
                </w:p>
              </w:tc>
            </w:tr>
          </w:tbl>
          <w:p w14:paraId="5CFBD56A">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1.4</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评价工作等级确定</w:t>
            </w:r>
          </w:p>
          <w:p w14:paraId="709A4227">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000000" w:themeColor="text1"/>
                <w:kern w:val="0"/>
                <w:sz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lang w:val="en-US" w:eastAsia="zh-CN"/>
                <w14:textFill>
                  <w14:solidFill>
                    <w14:schemeClr w14:val="tx1"/>
                  </w14:solidFill>
                </w14:textFill>
              </w:rPr>
              <w:t>本项目所有污染源的正常排放的污染物的Pmax和D10%预测结果如下:</w:t>
            </w:r>
          </w:p>
          <w:p w14:paraId="2F0202E9">
            <w:pPr>
              <w:pStyle w:val="8"/>
              <w:rPr>
                <w:rFonts w:hint="eastAsia" w:eastAsia="宋体"/>
                <w:sz w:val="21"/>
                <w:szCs w:val="21"/>
                <w:lang w:eastAsia="zh-CN"/>
              </w:rPr>
            </w:pPr>
            <w:r>
              <w:rPr>
                <w:sz w:val="21"/>
                <w:szCs w:val="21"/>
              </w:rPr>
              <w:t xml:space="preserve">表3- </w:t>
            </w:r>
            <w:r>
              <w:rPr>
                <w:rFonts w:hint="eastAsia"/>
                <w:sz w:val="21"/>
                <w:szCs w:val="21"/>
                <w:lang w:val="en-US" w:eastAsia="zh-CN"/>
              </w:rPr>
              <w:t xml:space="preserve">17 </w:t>
            </w:r>
            <w:r>
              <w:rPr>
                <w:rFonts w:hint="eastAsia"/>
                <w:sz w:val="21"/>
                <w:szCs w:val="21"/>
                <w:lang w:eastAsia="zh-CN"/>
              </w:rPr>
              <w:t xml:space="preserve"> Pmax和D10%预测和计算结果一览表</w:t>
            </w:r>
          </w:p>
          <w:tbl>
            <w:tblPr>
              <w:tblStyle w:val="23"/>
              <w:tblW w:w="8018" w:type="dxa"/>
              <w:tblInd w:w="0" w:type="dxa"/>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2"/>
              <w:gridCol w:w="899"/>
              <w:gridCol w:w="1723"/>
              <w:gridCol w:w="2068"/>
              <w:gridCol w:w="1511"/>
              <w:gridCol w:w="905"/>
            </w:tblGrid>
            <w:tr w14:paraId="58708EC9">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12" w:type="dxa"/>
                  <w:tcBorders>
                    <w:top w:val="single" w:color="000000" w:sz="12" w:space="0"/>
                    <w:left w:val="nil"/>
                    <w:tl2br w:val="nil"/>
                  </w:tcBorders>
                  <w:shd w:val="clear" w:color="auto" w:fill="auto"/>
                  <w:vAlign w:val="center"/>
                </w:tcPr>
                <w:p w14:paraId="7382CB78">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污染源名称</w:t>
                  </w:r>
                </w:p>
              </w:tc>
              <w:tc>
                <w:tcPr>
                  <w:tcW w:w="899" w:type="dxa"/>
                  <w:tcBorders>
                    <w:top w:val="single" w:color="000000" w:sz="12" w:space="0"/>
                  </w:tcBorders>
                  <w:shd w:val="clear" w:color="auto" w:fill="auto"/>
                  <w:vAlign w:val="center"/>
                </w:tcPr>
                <w:p w14:paraId="6083B810">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评价因子</w:t>
                  </w:r>
                </w:p>
              </w:tc>
              <w:tc>
                <w:tcPr>
                  <w:tcW w:w="1723" w:type="dxa"/>
                  <w:tcBorders>
                    <w:top w:val="single" w:color="000000" w:sz="12" w:space="0"/>
                  </w:tcBorders>
                  <w:shd w:val="clear" w:color="auto" w:fill="auto"/>
                  <w:vAlign w:val="center"/>
                </w:tcPr>
                <w:p w14:paraId="3E5AE685">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评价标准(μg/m³)</w:t>
                  </w:r>
                </w:p>
              </w:tc>
              <w:tc>
                <w:tcPr>
                  <w:tcW w:w="2068" w:type="dxa"/>
                  <w:tcBorders>
                    <w:top w:val="single" w:color="000000" w:sz="12" w:space="0"/>
                  </w:tcBorders>
                  <w:shd w:val="clear" w:color="auto" w:fill="auto"/>
                  <w:vAlign w:val="center"/>
                </w:tcPr>
                <w:p w14:paraId="056B062F">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Cmax(μg/m³)</w:t>
                  </w:r>
                </w:p>
              </w:tc>
              <w:tc>
                <w:tcPr>
                  <w:tcW w:w="1511" w:type="dxa"/>
                  <w:tcBorders>
                    <w:top w:val="single" w:color="000000" w:sz="12" w:space="0"/>
                  </w:tcBorders>
                  <w:shd w:val="clear" w:color="auto" w:fill="auto"/>
                  <w:vAlign w:val="center"/>
                </w:tcPr>
                <w:p w14:paraId="4F600D48">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Pmax(%)</w:t>
                  </w:r>
                </w:p>
              </w:tc>
              <w:tc>
                <w:tcPr>
                  <w:tcW w:w="905" w:type="dxa"/>
                  <w:tcBorders>
                    <w:top w:val="single" w:color="000000" w:sz="12" w:space="0"/>
                    <w:right w:val="nil"/>
                  </w:tcBorders>
                  <w:shd w:val="clear" w:color="auto" w:fill="auto"/>
                  <w:vAlign w:val="center"/>
                </w:tcPr>
                <w:p w14:paraId="0E942D4A">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D10%(m)</w:t>
                  </w:r>
                </w:p>
              </w:tc>
            </w:tr>
            <w:tr w14:paraId="06755903">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912" w:type="dxa"/>
                  <w:tcBorders>
                    <w:left w:val="nil"/>
                  </w:tcBorders>
                  <w:shd w:val="clear" w:color="auto" w:fill="auto"/>
                  <w:vAlign w:val="center"/>
                </w:tcPr>
                <w:p w14:paraId="11231B6D">
                  <w:pPr>
                    <w:jc w:val="both"/>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排土场</w:t>
                  </w:r>
                </w:p>
              </w:tc>
              <w:tc>
                <w:tcPr>
                  <w:tcW w:w="899" w:type="dxa"/>
                  <w:shd w:val="clear" w:color="auto" w:fill="auto"/>
                  <w:vAlign w:val="center"/>
                </w:tcPr>
                <w:p w14:paraId="5CB5F01B">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TSP</w:t>
                  </w:r>
                </w:p>
              </w:tc>
              <w:tc>
                <w:tcPr>
                  <w:tcW w:w="1723" w:type="dxa"/>
                  <w:shd w:val="clear" w:color="auto" w:fill="auto"/>
                  <w:vAlign w:val="center"/>
                </w:tcPr>
                <w:p w14:paraId="38C811CB">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900.0</w:t>
                  </w:r>
                </w:p>
              </w:tc>
              <w:tc>
                <w:tcPr>
                  <w:tcW w:w="2068" w:type="dxa"/>
                  <w:shd w:val="clear" w:color="auto" w:fill="auto"/>
                  <w:vAlign w:val="center"/>
                </w:tcPr>
                <w:p w14:paraId="428F109B">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67.0350000</w:t>
                  </w:r>
                </w:p>
              </w:tc>
              <w:tc>
                <w:tcPr>
                  <w:tcW w:w="1511" w:type="dxa"/>
                  <w:shd w:val="clear" w:color="auto" w:fill="auto"/>
                  <w:vAlign w:val="center"/>
                </w:tcPr>
                <w:p w14:paraId="723A8D0C">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7.4483000</w:t>
                  </w:r>
                </w:p>
              </w:tc>
              <w:tc>
                <w:tcPr>
                  <w:tcW w:w="905" w:type="dxa"/>
                  <w:tcBorders>
                    <w:right w:val="nil"/>
                  </w:tcBorders>
                  <w:shd w:val="clear" w:color="auto" w:fill="auto"/>
                  <w:vAlign w:val="center"/>
                </w:tcPr>
                <w:p w14:paraId="33807F19">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w:t>
                  </w:r>
                </w:p>
              </w:tc>
            </w:tr>
            <w:tr w14:paraId="02FEA7DE">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912" w:type="dxa"/>
                  <w:tcBorders>
                    <w:left w:val="nil"/>
                  </w:tcBorders>
                  <w:shd w:val="clear" w:color="auto" w:fill="auto"/>
                  <w:vAlign w:val="center"/>
                </w:tcPr>
                <w:p w14:paraId="6EF40CC3">
                  <w:pPr>
                    <w:jc w:val="both"/>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堆矿场</w:t>
                  </w:r>
                </w:p>
              </w:tc>
              <w:tc>
                <w:tcPr>
                  <w:tcW w:w="899" w:type="dxa"/>
                  <w:shd w:val="clear" w:color="auto" w:fill="auto"/>
                  <w:vAlign w:val="center"/>
                </w:tcPr>
                <w:p w14:paraId="6FFF065C">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TSP</w:t>
                  </w:r>
                </w:p>
              </w:tc>
              <w:tc>
                <w:tcPr>
                  <w:tcW w:w="1723" w:type="dxa"/>
                  <w:shd w:val="clear" w:color="auto" w:fill="auto"/>
                  <w:vAlign w:val="center"/>
                </w:tcPr>
                <w:p w14:paraId="7F1F606B">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900.0</w:t>
                  </w:r>
                </w:p>
              </w:tc>
              <w:tc>
                <w:tcPr>
                  <w:tcW w:w="2068" w:type="dxa"/>
                  <w:shd w:val="clear" w:color="auto" w:fill="auto"/>
                  <w:vAlign w:val="center"/>
                </w:tcPr>
                <w:p w14:paraId="5AA11E5C">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85.4490000</w:t>
                  </w:r>
                </w:p>
              </w:tc>
              <w:tc>
                <w:tcPr>
                  <w:tcW w:w="1511" w:type="dxa"/>
                  <w:shd w:val="clear" w:color="auto" w:fill="auto"/>
                  <w:vAlign w:val="center"/>
                </w:tcPr>
                <w:p w14:paraId="1433E4AF">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9.4943000</w:t>
                  </w:r>
                </w:p>
              </w:tc>
              <w:tc>
                <w:tcPr>
                  <w:tcW w:w="905" w:type="dxa"/>
                  <w:tcBorders>
                    <w:right w:val="nil"/>
                  </w:tcBorders>
                  <w:shd w:val="clear" w:color="auto" w:fill="auto"/>
                  <w:vAlign w:val="center"/>
                </w:tcPr>
                <w:p w14:paraId="3ADE4112">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w:t>
                  </w:r>
                </w:p>
              </w:tc>
            </w:tr>
            <w:tr w14:paraId="582EC9E6">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7" w:hRule="atLeast"/>
              </w:trPr>
              <w:tc>
                <w:tcPr>
                  <w:tcW w:w="912" w:type="dxa"/>
                  <w:tcBorders>
                    <w:left w:val="nil"/>
                    <w:bottom w:val="single" w:color="000000" w:sz="12" w:space="0"/>
                  </w:tcBorders>
                  <w:shd w:val="clear" w:color="auto" w:fill="auto"/>
                  <w:vAlign w:val="center"/>
                </w:tcPr>
                <w:p w14:paraId="48D89D16">
                  <w:pPr>
                    <w:jc w:val="both"/>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露天开采区</w:t>
                  </w:r>
                </w:p>
              </w:tc>
              <w:tc>
                <w:tcPr>
                  <w:tcW w:w="899" w:type="dxa"/>
                  <w:tcBorders>
                    <w:bottom w:val="single" w:color="000000" w:sz="12" w:space="0"/>
                  </w:tcBorders>
                  <w:shd w:val="clear" w:color="auto" w:fill="auto"/>
                  <w:vAlign w:val="center"/>
                </w:tcPr>
                <w:p w14:paraId="1D6B2E4A">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TSP</w:t>
                  </w:r>
                </w:p>
              </w:tc>
              <w:tc>
                <w:tcPr>
                  <w:tcW w:w="1723" w:type="dxa"/>
                  <w:tcBorders>
                    <w:bottom w:val="single" w:color="000000" w:sz="12" w:space="0"/>
                  </w:tcBorders>
                  <w:shd w:val="clear" w:color="auto" w:fill="auto"/>
                  <w:vAlign w:val="center"/>
                </w:tcPr>
                <w:p w14:paraId="5D84242C">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900.0</w:t>
                  </w:r>
                </w:p>
              </w:tc>
              <w:tc>
                <w:tcPr>
                  <w:tcW w:w="2068" w:type="dxa"/>
                  <w:tcBorders>
                    <w:bottom w:val="single" w:color="000000" w:sz="12" w:space="0"/>
                  </w:tcBorders>
                  <w:shd w:val="clear" w:color="auto" w:fill="auto"/>
                  <w:vAlign w:val="center"/>
                </w:tcPr>
                <w:p w14:paraId="7DDBAF7F">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22.4800000</w:t>
                  </w:r>
                </w:p>
              </w:tc>
              <w:tc>
                <w:tcPr>
                  <w:tcW w:w="1511" w:type="dxa"/>
                  <w:tcBorders>
                    <w:bottom w:val="single" w:color="000000" w:sz="12" w:space="0"/>
                  </w:tcBorders>
                  <w:shd w:val="clear" w:color="auto" w:fill="auto"/>
                  <w:vAlign w:val="center"/>
                </w:tcPr>
                <w:p w14:paraId="10CE4307">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2.4978000</w:t>
                  </w:r>
                </w:p>
              </w:tc>
              <w:tc>
                <w:tcPr>
                  <w:tcW w:w="905" w:type="dxa"/>
                  <w:tcBorders>
                    <w:bottom w:val="single" w:color="000000" w:sz="12" w:space="0"/>
                    <w:right w:val="nil"/>
                  </w:tcBorders>
                  <w:shd w:val="clear" w:color="auto" w:fill="auto"/>
                  <w:vAlign w:val="center"/>
                </w:tcPr>
                <w:p w14:paraId="00192078">
                  <w:pPr>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w:t>
                  </w:r>
                </w:p>
              </w:tc>
            </w:tr>
          </w:tbl>
          <w:p w14:paraId="5094B7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本项目Pmax最大值出现为矩形面源排放的TSPPmax值为9.4943%，Cmax为85.449μg/m³，。根据《环境影响评价技术导则 大气环境》（HJ2.2-2018）分级判据，确定本项目大气环境影响评价工作等级为二级。</w:t>
            </w:r>
          </w:p>
          <w:p w14:paraId="024B50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cs="Times New Roman"/>
                <w:color w:val="auto"/>
                <w:sz w:val="24"/>
                <w:highlight w:val="none"/>
              </w:rPr>
              <w:t>本次</w:t>
            </w:r>
            <w:r>
              <w:rPr>
                <w:rFonts w:hint="eastAsia" w:cs="Times New Roman"/>
                <w:color w:val="auto"/>
                <w:sz w:val="24"/>
                <w:highlight w:val="none"/>
                <w:lang w:val="en-US" w:eastAsia="zh-CN"/>
              </w:rPr>
              <w:t>大气</w:t>
            </w:r>
            <w:r>
              <w:rPr>
                <w:rFonts w:hint="default" w:ascii="Times New Roman" w:hAnsi="Times New Roman" w:cs="Times New Roman"/>
                <w:color w:val="auto"/>
                <w:sz w:val="24"/>
                <w:highlight w:val="none"/>
              </w:rPr>
              <w:t>环境影响评价范围以项目厂址为中心区域，外延</w:t>
            </w:r>
            <w:r>
              <w:rPr>
                <w:rFonts w:hint="eastAsia" w:cs="Times New Roman"/>
                <w:color w:val="auto"/>
                <w:sz w:val="24"/>
                <w:highlight w:val="none"/>
                <w:lang w:val="en-US" w:eastAsia="zh-CN"/>
              </w:rPr>
              <w:t>2500</w:t>
            </w:r>
            <w:r>
              <w:rPr>
                <w:rFonts w:hint="default" w:ascii="Times New Roman" w:hAnsi="Times New Roman" w:cs="Times New Roman"/>
                <w:color w:val="auto"/>
                <w:sz w:val="24"/>
                <w:highlight w:val="none"/>
              </w:rPr>
              <w:t>的矩形区域作为大气环境影响评价范围，</w:t>
            </w:r>
            <w:r>
              <w:rPr>
                <w:rFonts w:hint="eastAsia" w:cs="Times New Roman"/>
                <w:color w:val="auto"/>
                <w:sz w:val="24"/>
                <w:highlight w:val="none"/>
                <w:lang w:val="en-US" w:eastAsia="zh-CN"/>
              </w:rPr>
              <w:t>即边长5km的矩形</w:t>
            </w:r>
            <w:r>
              <w:rPr>
                <w:rFonts w:hint="default" w:ascii="Times New Roman" w:hAnsi="Times New Roman" w:cs="Times New Roman"/>
                <w:color w:val="auto"/>
                <w:sz w:val="24"/>
                <w:highlight w:val="none"/>
              </w:rPr>
              <w:t>区域</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sz w:val="24"/>
                <w:szCs w:val="24"/>
                <w:highlight w:val="none"/>
              </w:rPr>
              <w:t>大气环境保护目标见</w:t>
            </w:r>
            <w:r>
              <w:rPr>
                <w:rFonts w:hint="eastAsia" w:cs="Times New Roman"/>
                <w:sz w:val="24"/>
                <w:szCs w:val="24"/>
                <w:highlight w:val="none"/>
                <w:lang w:val="en-US" w:eastAsia="zh-CN"/>
              </w:rPr>
              <w:t>下表及</w:t>
            </w:r>
            <w:r>
              <w:rPr>
                <w:rFonts w:hint="default" w:ascii="Times New Roman" w:hAnsi="Times New Roman" w:eastAsia="宋体" w:cs="Times New Roman"/>
                <w:sz w:val="24"/>
                <w:szCs w:val="24"/>
                <w:highlight w:val="none"/>
              </w:rPr>
              <w:t>附图</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sz w:val="24"/>
                <w:szCs w:val="24"/>
                <w:highlight w:val="none"/>
              </w:rPr>
              <w:t>。</w:t>
            </w:r>
          </w:p>
          <w:p w14:paraId="06183ABB">
            <w:pPr>
              <w:pStyle w:val="8"/>
              <w:rPr>
                <w:rFonts w:hint="eastAsia" w:eastAsia="宋体"/>
                <w:sz w:val="21"/>
                <w:szCs w:val="21"/>
                <w:lang w:eastAsia="zh-CN"/>
              </w:rPr>
            </w:pPr>
            <w:r>
              <w:rPr>
                <w:sz w:val="21"/>
                <w:szCs w:val="21"/>
              </w:rPr>
              <w:t xml:space="preserve">表3- </w:t>
            </w:r>
            <w:r>
              <w:rPr>
                <w:rFonts w:hint="eastAsia"/>
                <w:sz w:val="21"/>
                <w:szCs w:val="21"/>
                <w:lang w:val="en-US" w:eastAsia="zh-CN"/>
              </w:rPr>
              <w:t>18</w:t>
            </w:r>
            <w:r>
              <w:rPr>
                <w:rFonts w:hint="eastAsia"/>
                <w:sz w:val="21"/>
                <w:szCs w:val="21"/>
                <w:lang w:eastAsia="zh-CN"/>
              </w:rPr>
              <w:t xml:space="preserve"> 本项目大气环境保护目标一览表</w:t>
            </w:r>
          </w:p>
          <w:tbl>
            <w:tblPr>
              <w:tblStyle w:val="24"/>
              <w:tblW w:w="49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292"/>
              <w:gridCol w:w="1261"/>
              <w:gridCol w:w="713"/>
              <w:gridCol w:w="1246"/>
              <w:gridCol w:w="796"/>
              <w:gridCol w:w="874"/>
              <w:gridCol w:w="880"/>
            </w:tblGrid>
            <w:tr w14:paraId="6064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561" w:type="pct"/>
                  <w:vMerge w:val="restart"/>
                  <w:tcBorders>
                    <w:top w:val="single" w:color="000000" w:sz="12" w:space="0"/>
                    <w:left w:val="nil"/>
                    <w:tl2br w:val="nil"/>
                  </w:tcBorders>
                  <w:shd w:val="clear" w:color="auto" w:fill="FFFFFF"/>
                  <w:vAlign w:val="center"/>
                </w:tcPr>
                <w:p w14:paraId="6C86FB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名称</w:t>
                  </w:r>
                </w:p>
              </w:tc>
              <w:tc>
                <w:tcPr>
                  <w:tcW w:w="1604" w:type="pct"/>
                  <w:gridSpan w:val="2"/>
                  <w:tcBorders>
                    <w:top w:val="single" w:color="000000" w:sz="12" w:space="0"/>
                  </w:tcBorders>
                  <w:shd w:val="clear" w:color="auto" w:fill="FFFFFF"/>
                  <w:vAlign w:val="center"/>
                </w:tcPr>
                <w:p w14:paraId="1A63AA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坐标</w:t>
                  </w:r>
                </w:p>
              </w:tc>
              <w:tc>
                <w:tcPr>
                  <w:tcW w:w="448" w:type="pct"/>
                  <w:vMerge w:val="restart"/>
                  <w:tcBorders>
                    <w:top w:val="single" w:color="000000" w:sz="12" w:space="0"/>
                  </w:tcBorders>
                  <w:shd w:val="clear" w:color="auto" w:fill="FFFFFF"/>
                  <w:vAlign w:val="center"/>
                </w:tcPr>
                <w:p w14:paraId="7A433E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保护对象</w:t>
                  </w:r>
                </w:p>
              </w:tc>
              <w:tc>
                <w:tcPr>
                  <w:tcW w:w="783" w:type="pct"/>
                  <w:vMerge w:val="restart"/>
                  <w:tcBorders>
                    <w:top w:val="single" w:color="000000" w:sz="12" w:space="0"/>
                  </w:tcBorders>
                  <w:shd w:val="clear" w:color="auto" w:fill="FFFFFF"/>
                  <w:vAlign w:val="center"/>
                </w:tcPr>
                <w:p w14:paraId="0CD69A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保护内</w:t>
                  </w:r>
                </w:p>
                <w:p w14:paraId="3AFFC0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容</w:t>
                  </w:r>
                </w:p>
              </w:tc>
              <w:tc>
                <w:tcPr>
                  <w:tcW w:w="500" w:type="pct"/>
                  <w:vMerge w:val="restart"/>
                  <w:tcBorders>
                    <w:top w:val="single" w:color="000000" w:sz="12" w:space="0"/>
                  </w:tcBorders>
                  <w:shd w:val="clear" w:color="auto" w:fill="FFFFFF"/>
                  <w:vAlign w:val="center"/>
                </w:tcPr>
                <w:p w14:paraId="4455AD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环境</w:t>
                  </w:r>
                </w:p>
                <w:p w14:paraId="799901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功能</w:t>
                  </w:r>
                </w:p>
                <w:p w14:paraId="5E4734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区</w:t>
                  </w:r>
                </w:p>
              </w:tc>
              <w:tc>
                <w:tcPr>
                  <w:tcW w:w="549" w:type="pct"/>
                  <w:vMerge w:val="restart"/>
                  <w:tcBorders>
                    <w:top w:val="single" w:color="000000" w:sz="12" w:space="0"/>
                  </w:tcBorders>
                  <w:shd w:val="clear" w:color="auto" w:fill="FFFFFF"/>
                  <w:vAlign w:val="center"/>
                </w:tcPr>
                <w:p w14:paraId="715514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相对</w:t>
                  </w:r>
                </w:p>
                <w:p w14:paraId="3F5CFC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厂址</w:t>
                  </w:r>
                </w:p>
                <w:p w14:paraId="52054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方位</w:t>
                  </w:r>
                </w:p>
              </w:tc>
              <w:tc>
                <w:tcPr>
                  <w:tcW w:w="553" w:type="pct"/>
                  <w:vMerge w:val="restart"/>
                  <w:tcBorders>
                    <w:top w:val="single" w:color="000000" w:sz="12" w:space="0"/>
                    <w:right w:val="nil"/>
                  </w:tcBorders>
                  <w:shd w:val="clear" w:color="auto" w:fill="FFFFFF"/>
                  <w:vAlign w:val="center"/>
                </w:tcPr>
                <w:p w14:paraId="3F8643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相对厂</w:t>
                  </w:r>
                </w:p>
                <w:p w14:paraId="6E995A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界距离</w:t>
                  </w:r>
                </w:p>
                <w:p w14:paraId="718957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r>
                    <w:rPr>
                      <w:rFonts w:hint="default" w:ascii="Times New Roman" w:hAnsi="Times New Roman" w:eastAsia="宋体" w:cs="Times New Roman"/>
                      <w:b w:val="0"/>
                      <w:color w:val="000000"/>
                      <w:sz w:val="21"/>
                      <w:szCs w:val="21"/>
                      <w:vertAlign w:val="baseline"/>
                      <w:lang w:eastAsia="zh-CN"/>
                    </w:rPr>
                    <w:t>/m</w:t>
                  </w:r>
                </w:p>
              </w:tc>
            </w:tr>
            <w:tr w14:paraId="76E1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61" w:type="pct"/>
                  <w:vMerge w:val="continue"/>
                  <w:tcBorders>
                    <w:left w:val="nil"/>
                  </w:tcBorders>
                  <w:shd w:val="clear" w:color="auto" w:fill="FFFFFF"/>
                  <w:vAlign w:val="center"/>
                </w:tcPr>
                <w:p w14:paraId="048B4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p>
              </w:tc>
              <w:tc>
                <w:tcPr>
                  <w:tcW w:w="812" w:type="pct"/>
                  <w:shd w:val="clear" w:color="auto" w:fill="FFFFFF"/>
                  <w:vAlign w:val="center"/>
                </w:tcPr>
                <w:p w14:paraId="30DA50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X</w:t>
                  </w:r>
                </w:p>
              </w:tc>
              <w:tc>
                <w:tcPr>
                  <w:tcW w:w="792" w:type="pct"/>
                  <w:shd w:val="clear" w:color="auto" w:fill="FFFFFF"/>
                  <w:vAlign w:val="center"/>
                </w:tcPr>
                <w:p w14:paraId="6D8DCC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Y</w:t>
                  </w:r>
                </w:p>
              </w:tc>
              <w:tc>
                <w:tcPr>
                  <w:tcW w:w="448" w:type="pct"/>
                  <w:vMerge w:val="continue"/>
                  <w:shd w:val="clear" w:color="auto" w:fill="FFFFFF"/>
                  <w:vAlign w:val="center"/>
                </w:tcPr>
                <w:p w14:paraId="06D280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p>
              </w:tc>
              <w:tc>
                <w:tcPr>
                  <w:tcW w:w="783" w:type="pct"/>
                  <w:vMerge w:val="continue"/>
                  <w:shd w:val="clear" w:color="auto" w:fill="FFFFFF"/>
                  <w:vAlign w:val="center"/>
                </w:tcPr>
                <w:p w14:paraId="15ED62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p>
              </w:tc>
              <w:tc>
                <w:tcPr>
                  <w:tcW w:w="500" w:type="pct"/>
                  <w:vMerge w:val="continue"/>
                  <w:shd w:val="clear" w:color="auto" w:fill="FFFFFF"/>
                  <w:vAlign w:val="center"/>
                </w:tcPr>
                <w:p w14:paraId="45A316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p>
              </w:tc>
              <w:tc>
                <w:tcPr>
                  <w:tcW w:w="549" w:type="pct"/>
                  <w:vMerge w:val="continue"/>
                  <w:shd w:val="clear" w:color="auto" w:fill="FFFFFF"/>
                  <w:vAlign w:val="center"/>
                </w:tcPr>
                <w:p w14:paraId="505DD3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p>
              </w:tc>
              <w:tc>
                <w:tcPr>
                  <w:tcW w:w="553" w:type="pct"/>
                  <w:vMerge w:val="continue"/>
                  <w:tcBorders>
                    <w:right w:val="nil"/>
                  </w:tcBorders>
                  <w:shd w:val="clear" w:color="auto" w:fill="FFFFFF"/>
                  <w:vAlign w:val="center"/>
                </w:tcPr>
                <w:p w14:paraId="4DEBA9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eastAsia="zh-CN"/>
                    </w:rPr>
                  </w:pPr>
                </w:p>
              </w:tc>
            </w:tr>
            <w:tr w14:paraId="2CC7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61" w:type="pct"/>
                  <w:tcBorders>
                    <w:left w:val="nil"/>
                  </w:tcBorders>
                  <w:shd w:val="clear" w:color="auto" w:fill="FFFFFF"/>
                  <w:vAlign w:val="center"/>
                </w:tcPr>
                <w:p w14:paraId="0378B866">
                  <w:pPr>
                    <w:keepNext w:val="0"/>
                    <w:keepLines w:val="0"/>
                    <w:widowControl/>
                    <w:suppressLineNumbers w:val="0"/>
                    <w:jc w:val="center"/>
                    <w:rPr>
                      <w:rFonts w:hint="default" w:ascii="Times New Roman" w:hAnsi="Times New Roman" w:eastAsia="宋体" w:cs="Times New Roman"/>
                      <w:b w:val="0"/>
                      <w:color w:val="000000"/>
                      <w:kern w:val="2"/>
                      <w:sz w:val="21"/>
                      <w:szCs w:val="21"/>
                      <w:vertAlign w:val="baseline"/>
                      <w:lang w:val="en-US" w:eastAsia="zh-CN" w:bidi="ar-SA"/>
                    </w:rPr>
                  </w:pPr>
                  <w:r>
                    <w:rPr>
                      <w:rFonts w:hint="eastAsia" w:cs="Times New Roman"/>
                      <w:b w:val="0"/>
                      <w:color w:val="000000"/>
                      <w:kern w:val="2"/>
                      <w:sz w:val="21"/>
                      <w:szCs w:val="21"/>
                      <w:vertAlign w:val="baseline"/>
                      <w:lang w:val="en-US" w:eastAsia="zh-CN" w:bidi="ar-SA"/>
                    </w:rPr>
                    <w:t>西湾村</w:t>
                  </w:r>
                </w:p>
              </w:tc>
              <w:tc>
                <w:tcPr>
                  <w:tcW w:w="812" w:type="pct"/>
                  <w:shd w:val="clear" w:color="auto" w:fill="FFFFFF"/>
                  <w:vAlign w:val="center"/>
                </w:tcPr>
                <w:p w14:paraId="26C7CCE9">
                  <w:pPr>
                    <w:keepNext w:val="0"/>
                    <w:keepLines w:val="0"/>
                    <w:widowControl/>
                    <w:suppressLineNumbers w:val="0"/>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100.28622866</w:t>
                  </w:r>
                </w:p>
              </w:tc>
              <w:tc>
                <w:tcPr>
                  <w:tcW w:w="792" w:type="pct"/>
                  <w:shd w:val="clear" w:color="auto" w:fill="FFFFFF"/>
                  <w:vAlign w:val="center"/>
                </w:tcPr>
                <w:p w14:paraId="4E2C51F2">
                  <w:pPr>
                    <w:keepNext w:val="0"/>
                    <w:keepLines w:val="0"/>
                    <w:widowControl/>
                    <w:suppressLineNumbers w:val="0"/>
                    <w:jc w:val="center"/>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kern w:val="2"/>
                      <w:sz w:val="21"/>
                      <w:szCs w:val="21"/>
                      <w:vertAlign w:val="baseline"/>
                      <w:lang w:val="en-US" w:eastAsia="zh-CN" w:bidi="ar-SA"/>
                    </w:rPr>
                    <w:t>39.33072905</w:t>
                  </w:r>
                </w:p>
              </w:tc>
              <w:tc>
                <w:tcPr>
                  <w:tcW w:w="448" w:type="pct"/>
                  <w:shd w:val="clear" w:color="auto" w:fill="FFFFFF"/>
                  <w:vAlign w:val="center"/>
                </w:tcPr>
                <w:p w14:paraId="4E66DE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居民</w:t>
                  </w:r>
                </w:p>
              </w:tc>
              <w:tc>
                <w:tcPr>
                  <w:tcW w:w="783" w:type="pct"/>
                  <w:shd w:val="clear" w:color="auto" w:fill="FFFFFF"/>
                  <w:vAlign w:val="center"/>
                </w:tcPr>
                <w:p w14:paraId="0CCC49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kern w:val="2"/>
                      <w:sz w:val="21"/>
                      <w:szCs w:val="21"/>
                      <w:vertAlign w:val="baseline"/>
                      <w:lang w:val="en-US" w:eastAsia="zh-CN" w:bidi="ar-SA"/>
                    </w:rPr>
                  </w:pPr>
                  <w:r>
                    <w:rPr>
                      <w:rFonts w:hint="eastAsia" w:cs="Times New Roman"/>
                      <w:b w:val="0"/>
                      <w:color w:val="000000"/>
                      <w:kern w:val="2"/>
                      <w:sz w:val="21"/>
                      <w:szCs w:val="21"/>
                      <w:vertAlign w:val="baseline"/>
                      <w:lang w:val="en-US" w:eastAsia="zh-CN" w:bidi="ar-SA"/>
                    </w:rPr>
                    <w:t>约68人</w:t>
                  </w:r>
                </w:p>
              </w:tc>
              <w:tc>
                <w:tcPr>
                  <w:tcW w:w="500" w:type="pct"/>
                  <w:shd w:val="clear" w:color="auto" w:fill="FFFFFF"/>
                  <w:vAlign w:val="center"/>
                </w:tcPr>
                <w:p w14:paraId="76D452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二类区</w:t>
                  </w:r>
                </w:p>
              </w:tc>
              <w:tc>
                <w:tcPr>
                  <w:tcW w:w="549" w:type="pct"/>
                  <w:shd w:val="clear" w:color="auto" w:fill="FFFFFF"/>
                  <w:vAlign w:val="center"/>
                </w:tcPr>
                <w:p w14:paraId="551E62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kern w:val="2"/>
                      <w:sz w:val="21"/>
                      <w:szCs w:val="21"/>
                      <w:vertAlign w:val="baseline"/>
                      <w:lang w:val="en-US" w:eastAsia="zh-CN" w:bidi="ar-SA"/>
                    </w:rPr>
                  </w:pPr>
                  <w:r>
                    <w:rPr>
                      <w:rFonts w:hint="eastAsia" w:cs="Times New Roman"/>
                      <w:b w:val="0"/>
                      <w:color w:val="000000"/>
                      <w:kern w:val="2"/>
                      <w:sz w:val="21"/>
                      <w:szCs w:val="21"/>
                      <w:vertAlign w:val="baseline"/>
                      <w:lang w:val="en-US" w:eastAsia="zh-CN" w:bidi="ar-SA"/>
                    </w:rPr>
                    <w:t>sw</w:t>
                  </w:r>
                </w:p>
              </w:tc>
              <w:tc>
                <w:tcPr>
                  <w:tcW w:w="553" w:type="pct"/>
                  <w:tcBorders>
                    <w:right w:val="nil"/>
                  </w:tcBorders>
                  <w:shd w:val="clear" w:color="auto" w:fill="FFFFFF"/>
                  <w:vAlign w:val="center"/>
                </w:tcPr>
                <w:p w14:paraId="34E27D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color w:val="000000"/>
                      <w:kern w:val="2"/>
                      <w:sz w:val="21"/>
                      <w:szCs w:val="21"/>
                      <w:vertAlign w:val="baseline"/>
                      <w:lang w:val="en-US" w:eastAsia="zh-CN" w:bidi="ar-SA"/>
                    </w:rPr>
                  </w:pPr>
                  <w:r>
                    <w:rPr>
                      <w:rFonts w:hint="eastAsia" w:cs="Times New Roman"/>
                      <w:b w:val="0"/>
                      <w:color w:val="000000"/>
                      <w:kern w:val="2"/>
                      <w:sz w:val="21"/>
                      <w:szCs w:val="21"/>
                      <w:vertAlign w:val="baseline"/>
                      <w:lang w:val="en-US" w:eastAsia="zh-CN" w:bidi="ar-SA"/>
                    </w:rPr>
                    <w:t>1744</w:t>
                  </w:r>
                </w:p>
              </w:tc>
            </w:tr>
          </w:tbl>
          <w:p w14:paraId="508921E3">
            <w:pPr>
              <w:pStyle w:val="45"/>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lang w:val="en-US" w:eastAsia="zh-CN"/>
              </w:rPr>
              <w:t>2、</w:t>
            </w:r>
            <w:r>
              <w:rPr>
                <w:rFonts w:hint="default" w:ascii="Times New Roman" w:hAnsi="Times New Roman" w:eastAsia="宋体" w:cs="Times New Roman"/>
                <w:b/>
                <w:bCs/>
                <w:spacing w:val="1"/>
                <w:sz w:val="24"/>
                <w:szCs w:val="24"/>
              </w:rPr>
              <w:t>声环境保护目标</w:t>
            </w:r>
          </w:p>
          <w:p w14:paraId="367749BC">
            <w:pPr>
              <w:pStyle w:val="45"/>
              <w:keepNext w:val="0"/>
              <w:keepLines w:val="0"/>
              <w:pageBreakBefore w:val="0"/>
              <w:kinsoku/>
              <w:wordWrap/>
              <w:overflowPunct/>
              <w:topLinePunct w:val="0"/>
              <w:autoSpaceDE/>
              <w:autoSpaceDN/>
              <w:bidi w:val="0"/>
              <w:adjustRightInd/>
              <w:spacing w:line="360" w:lineRule="auto"/>
              <w:ind w:left="0" w:right="0" w:firstLine="49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根据《环境影响评价技术导则</w:t>
            </w:r>
            <w:r>
              <w:rPr>
                <w:rFonts w:hint="default" w:ascii="Times New Roman" w:hAnsi="Times New Roman" w:eastAsia="宋体" w:cs="Times New Roman"/>
                <w:spacing w:val="60"/>
                <w:w w:val="101"/>
                <w:sz w:val="24"/>
                <w:szCs w:val="24"/>
              </w:rPr>
              <w:t xml:space="preserve"> </w:t>
            </w:r>
            <w:r>
              <w:rPr>
                <w:rFonts w:hint="default" w:ascii="Times New Roman" w:hAnsi="Times New Roman" w:eastAsia="宋体" w:cs="Times New Roman"/>
                <w:spacing w:val="3"/>
                <w:sz w:val="24"/>
                <w:szCs w:val="24"/>
              </w:rPr>
              <w:t>声环境》（</w:t>
            </w:r>
            <w:r>
              <w:rPr>
                <w:rFonts w:hint="default" w:ascii="Times New Roman" w:hAnsi="Times New Roman" w:eastAsia="宋体" w:cs="Times New Roman"/>
                <w:sz w:val="24"/>
                <w:szCs w:val="24"/>
              </w:rPr>
              <w:t>HJ</w:t>
            </w:r>
            <w:r>
              <w:rPr>
                <w:rFonts w:hint="default" w:ascii="Times New Roman" w:hAnsi="Times New Roman" w:eastAsia="宋体" w:cs="Times New Roman"/>
                <w:spacing w:val="3"/>
                <w:sz w:val="24"/>
                <w:szCs w:val="24"/>
              </w:rPr>
              <w:t>2.4-2021</w:t>
            </w:r>
            <w:r>
              <w:rPr>
                <w:rFonts w:hint="eastAsia" w:ascii="Times New Roman" w:hAnsi="Times New Roman" w:eastAsia="宋体" w:cs="Times New Roman"/>
                <w:spacing w:val="-52"/>
                <w:sz w:val="24"/>
                <w:szCs w:val="24"/>
                <w:lang w:eastAsia="zh-CN"/>
              </w:rPr>
              <w:t>）</w:t>
            </w:r>
            <w:r>
              <w:rPr>
                <w:rFonts w:hint="default" w:ascii="Times New Roman" w:hAnsi="Times New Roman" w:eastAsia="宋体" w:cs="Times New Roman"/>
                <w:spacing w:val="3"/>
                <w:sz w:val="24"/>
                <w:szCs w:val="24"/>
              </w:rPr>
              <w:t>项目位</w:t>
            </w:r>
            <w:r>
              <w:rPr>
                <w:rFonts w:hint="default" w:ascii="Times New Roman" w:hAnsi="Times New Roman" w:eastAsia="宋体" w:cs="Times New Roman"/>
                <w:sz w:val="24"/>
                <w:szCs w:val="24"/>
              </w:rPr>
              <w:t>于声环境2类区，评价等级为二级评价，</w:t>
            </w:r>
            <w:r>
              <w:rPr>
                <w:rFonts w:hint="default" w:ascii="Times New Roman" w:hAnsi="Times New Roman" w:eastAsia="宋体" w:cs="Times New Roman"/>
                <w:spacing w:val="-48"/>
                <w:sz w:val="24"/>
                <w:szCs w:val="24"/>
              </w:rPr>
              <w:t xml:space="preserve"> </w:t>
            </w:r>
            <w:r>
              <w:rPr>
                <w:rFonts w:hint="default" w:ascii="Times New Roman" w:hAnsi="Times New Roman" w:eastAsia="宋体" w:cs="Times New Roman"/>
                <w:sz w:val="24"/>
                <w:szCs w:val="24"/>
              </w:rPr>
              <w:t>因此</w:t>
            </w:r>
            <w:r>
              <w:rPr>
                <w:rFonts w:hint="default" w:ascii="Times New Roman" w:hAnsi="Times New Roman" w:eastAsia="宋体" w:cs="Times New Roman"/>
                <w:spacing w:val="-1"/>
                <w:sz w:val="24"/>
                <w:szCs w:val="24"/>
              </w:rPr>
              <w:t>，项目声环境评价范围为</w:t>
            </w:r>
            <w:r>
              <w:rPr>
                <w:rFonts w:hint="default" w:ascii="Times New Roman" w:hAnsi="Times New Roman" w:eastAsia="宋体" w:cs="Times New Roman"/>
                <w:spacing w:val="8"/>
                <w:sz w:val="24"/>
                <w:szCs w:val="24"/>
              </w:rPr>
              <w:t>矿权范围外扩200</w:t>
            </w:r>
            <w:r>
              <w:rPr>
                <w:rFonts w:hint="eastAsia" w:ascii="Times New Roman" w:hAnsi="Times New Roman" w:eastAsia="宋体" w:cs="Times New Roman"/>
                <w:spacing w:val="8"/>
                <w:sz w:val="24"/>
                <w:szCs w:val="24"/>
                <w:lang w:val="en-US" w:eastAsia="zh-CN"/>
              </w:rPr>
              <w:t>m</w:t>
            </w:r>
            <w:r>
              <w:rPr>
                <w:rFonts w:hint="default" w:ascii="Times New Roman" w:hAnsi="Times New Roman" w:eastAsia="宋体" w:cs="Times New Roman"/>
                <w:spacing w:val="8"/>
                <w:sz w:val="24"/>
                <w:szCs w:val="24"/>
              </w:rPr>
              <w:t>范围。根据现场踏看并结合影像，矿权外200m范</w:t>
            </w:r>
            <w:r>
              <w:rPr>
                <w:rFonts w:hint="default" w:ascii="Times New Roman" w:hAnsi="Times New Roman" w:eastAsia="宋体" w:cs="Times New Roman"/>
                <w:spacing w:val="-3"/>
                <w:sz w:val="24"/>
                <w:szCs w:val="24"/>
              </w:rPr>
              <w:t>围不存在声环境保护目标。</w:t>
            </w:r>
          </w:p>
          <w:p w14:paraId="04832979">
            <w:pPr>
              <w:pStyle w:val="45"/>
              <w:keepNext w:val="0"/>
              <w:keepLines w:val="0"/>
              <w:pageBreakBefore w:val="0"/>
              <w:kinsoku/>
              <w:wordWrap/>
              <w:overflowPunct/>
              <w:topLinePunct w:val="0"/>
              <w:autoSpaceDE/>
              <w:autoSpaceDN/>
              <w:bidi w:val="0"/>
              <w:adjustRightInd/>
              <w:spacing w:line="360" w:lineRule="auto"/>
              <w:ind w:left="0" w:right="0" w:firstLine="49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3、土壤环境保护目标</w:t>
            </w:r>
          </w:p>
          <w:p w14:paraId="7EB8D398">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pacing w:val="0"/>
                <w:kern w:val="0"/>
                <w:position w:val="0"/>
                <w:sz w:val="24"/>
              </w:rPr>
            </w:pPr>
            <w:r>
              <w:rPr>
                <w:rFonts w:hint="default" w:ascii="Times New Roman" w:hAnsi="Times New Roman" w:eastAsia="宋体" w:cs="Times New Roman"/>
                <w:color w:val="auto"/>
                <w:spacing w:val="0"/>
                <w:kern w:val="0"/>
                <w:position w:val="0"/>
                <w:sz w:val="24"/>
              </w:rPr>
              <w:t>根据《环境影响评价技术导则—土壤环境（试行）》（HJ964-2018）附录A土壤环境影响评价项目类别，本项目属于“采矿业—其他”类别，土壤环境影响评价项目类别为Ⅲ类，详见表</w:t>
            </w:r>
            <w:r>
              <w:rPr>
                <w:rFonts w:hint="default" w:ascii="Times New Roman" w:hAnsi="Times New Roman" w:eastAsia="宋体" w:cs="Times New Roman"/>
                <w:color w:val="auto"/>
                <w:spacing w:val="0"/>
                <w:kern w:val="0"/>
                <w:position w:val="0"/>
                <w:sz w:val="24"/>
                <w:lang w:val="en-US" w:eastAsia="zh-CN"/>
              </w:rPr>
              <w:t>3-</w:t>
            </w:r>
            <w:r>
              <w:rPr>
                <w:rFonts w:hint="eastAsia" w:ascii="Times New Roman" w:hAnsi="Times New Roman" w:eastAsia="宋体" w:cs="Times New Roman"/>
                <w:color w:val="auto"/>
                <w:spacing w:val="0"/>
                <w:kern w:val="0"/>
                <w:position w:val="0"/>
                <w:sz w:val="24"/>
                <w:lang w:val="en-US" w:eastAsia="zh-CN"/>
              </w:rPr>
              <w:t>1</w:t>
            </w:r>
            <w:r>
              <w:rPr>
                <w:rFonts w:hint="eastAsia" w:cs="Times New Roman"/>
                <w:color w:val="auto"/>
                <w:spacing w:val="0"/>
                <w:kern w:val="0"/>
                <w:position w:val="0"/>
                <w:sz w:val="24"/>
                <w:lang w:val="en-US" w:eastAsia="zh-CN"/>
              </w:rPr>
              <w:t>9</w:t>
            </w:r>
            <w:r>
              <w:rPr>
                <w:rFonts w:hint="default" w:ascii="Times New Roman" w:hAnsi="Times New Roman" w:eastAsia="宋体" w:cs="Times New Roman"/>
                <w:color w:val="auto"/>
                <w:spacing w:val="0"/>
                <w:kern w:val="0"/>
                <w:position w:val="0"/>
                <w:sz w:val="24"/>
              </w:rPr>
              <w:t>。</w:t>
            </w:r>
          </w:p>
          <w:p w14:paraId="298F1D60">
            <w:pPr>
              <w:pStyle w:val="8"/>
              <w:rPr>
                <w:rFonts w:hint="default" w:ascii="Times New Roman" w:hAnsi="Times New Roman" w:eastAsia="宋体" w:cs="Times New Roman"/>
                <w:color w:val="auto"/>
                <w:spacing w:val="0"/>
                <w:kern w:val="0"/>
                <w:position w:val="0"/>
                <w:sz w:val="24"/>
              </w:rPr>
            </w:pPr>
            <w:r>
              <w:rPr>
                <w:rFonts w:hint="default" w:ascii="Times New Roman" w:hAnsi="Times New Roman" w:cs="Times New Roman"/>
                <w:sz w:val="21"/>
                <w:szCs w:val="21"/>
              </w:rPr>
              <w:t xml:space="preserve">表3- </w:t>
            </w:r>
            <w:r>
              <w:rPr>
                <w:rFonts w:hint="eastAsia" w:ascii="Times New Roman" w:hAnsi="Times New Roman" w:cs="Times New Roman"/>
                <w:sz w:val="21"/>
                <w:szCs w:val="21"/>
                <w:lang w:val="en-US" w:eastAsia="zh-CN"/>
              </w:rPr>
              <w:t>1</w:t>
            </w:r>
            <w:r>
              <w:rPr>
                <w:rFonts w:hint="eastAsia" w:cs="Times New Roman"/>
                <w:sz w:val="21"/>
                <w:szCs w:val="21"/>
                <w:lang w:val="en-US" w:eastAsia="zh-CN"/>
              </w:rPr>
              <w:t>9</w:t>
            </w:r>
            <w:r>
              <w:rPr>
                <w:rFonts w:hint="default" w:ascii="Times New Roman" w:hAnsi="Times New Roman" w:cs="Times New Roman"/>
                <w:sz w:val="21"/>
                <w:szCs w:val="21"/>
                <w:lang w:eastAsia="zh-CN"/>
              </w:rPr>
              <w:t xml:space="preserve"> 土壤环境影响评价项目类别判据表</w:t>
            </w:r>
          </w:p>
          <w:tbl>
            <w:tblPr>
              <w:tblStyle w:val="46"/>
              <w:tblpPr w:leftFromText="180" w:rightFromText="180" w:vertAnchor="text" w:horzAnchor="page" w:tblpXSpec="center" w:tblpY="284"/>
              <w:tblOverlap w:val="never"/>
              <w:tblW w:w="4914" w:type="pct"/>
              <w:jc w:val="center"/>
              <w:tblBorders>
                <w:top w:val="single" w:color="000000" w:sz="4" w:space="0"/>
                <w:left w:val="none" w:color="auto" w:sz="0" w:space="0"/>
                <w:bottom w:val="sing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44"/>
              <w:gridCol w:w="1894"/>
              <w:gridCol w:w="3824"/>
              <w:gridCol w:w="649"/>
              <w:gridCol w:w="588"/>
            </w:tblGrid>
            <w:tr w14:paraId="1273CD01">
              <w:tblPrEx>
                <w:tblBorders>
                  <w:top w:val="single" w:color="000000" w:sz="4" w:space="0"/>
                  <w:left w:val="none" w:color="auto" w:sz="0" w:space="0"/>
                  <w:bottom w:val="sing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97" w:type="pct"/>
                  <w:vMerge w:val="restart"/>
                  <w:tcBorders>
                    <w:top w:val="single" w:color="000000" w:sz="12" w:space="0"/>
                    <w:tl2br w:val="nil"/>
                  </w:tcBorders>
                  <w:shd w:val="clear" w:color="auto" w:fill="FFFFFF"/>
                  <w:noWrap w:val="0"/>
                  <w:vAlign w:val="center"/>
                </w:tcPr>
                <w:p w14:paraId="16FD1364">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行业类别</w:t>
                  </w:r>
                </w:p>
              </w:tc>
              <w:tc>
                <w:tcPr>
                  <w:tcW w:w="4402" w:type="pct"/>
                  <w:gridSpan w:val="4"/>
                  <w:tcBorders>
                    <w:top w:val="single" w:color="000000" w:sz="12" w:space="0"/>
                  </w:tcBorders>
                  <w:shd w:val="clear" w:color="auto" w:fill="FFFFFF"/>
                  <w:noWrap w:val="0"/>
                  <w:vAlign w:val="center"/>
                </w:tcPr>
                <w:p w14:paraId="08A36AC9">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项目类别</w:t>
                  </w:r>
                </w:p>
              </w:tc>
            </w:tr>
            <w:tr w14:paraId="60E807C2">
              <w:tblPrEx>
                <w:tblBorders>
                  <w:top w:val="single" w:color="000000" w:sz="4" w:space="0"/>
                  <w:left w:val="none" w:color="auto" w:sz="0" w:space="0"/>
                  <w:bottom w:val="sing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6" w:hRule="atLeast"/>
                <w:jc w:val="center"/>
              </w:trPr>
              <w:tc>
                <w:tcPr>
                  <w:tcW w:w="597" w:type="pct"/>
                  <w:vMerge w:val="continue"/>
                  <w:shd w:val="clear" w:color="auto" w:fill="FFFFFF"/>
                  <w:noWrap w:val="0"/>
                  <w:vAlign w:val="center"/>
                </w:tcPr>
                <w:p w14:paraId="0195B97F">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p>
              </w:tc>
              <w:tc>
                <w:tcPr>
                  <w:tcW w:w="1198" w:type="pct"/>
                  <w:shd w:val="clear" w:color="auto" w:fill="FFFFFF"/>
                  <w:noWrap w:val="0"/>
                  <w:vAlign w:val="center"/>
                </w:tcPr>
                <w:p w14:paraId="71E21583">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Ⅰ类</w:t>
                  </w:r>
                </w:p>
              </w:tc>
              <w:tc>
                <w:tcPr>
                  <w:tcW w:w="2420" w:type="pct"/>
                  <w:shd w:val="clear" w:color="auto" w:fill="FFFFFF"/>
                  <w:noWrap w:val="0"/>
                  <w:vAlign w:val="center"/>
                </w:tcPr>
                <w:p w14:paraId="0CEC0E9F">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Ⅱ类</w:t>
                  </w:r>
                </w:p>
              </w:tc>
              <w:tc>
                <w:tcPr>
                  <w:tcW w:w="410" w:type="pct"/>
                  <w:shd w:val="clear" w:color="auto" w:fill="FFFFFF"/>
                  <w:noWrap w:val="0"/>
                  <w:vAlign w:val="center"/>
                </w:tcPr>
                <w:p w14:paraId="35F1E44A">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Ⅲ类</w:t>
                  </w:r>
                </w:p>
              </w:tc>
              <w:tc>
                <w:tcPr>
                  <w:tcW w:w="372" w:type="pct"/>
                  <w:shd w:val="clear" w:color="auto" w:fill="FFFFFF"/>
                  <w:noWrap w:val="0"/>
                  <w:vAlign w:val="center"/>
                </w:tcPr>
                <w:p w14:paraId="5B909EC8">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Ⅳ类</w:t>
                  </w:r>
                </w:p>
              </w:tc>
            </w:tr>
            <w:tr w14:paraId="0828A66B">
              <w:tblPrEx>
                <w:tblBorders>
                  <w:top w:val="single" w:color="000000" w:sz="4" w:space="0"/>
                  <w:left w:val="none" w:color="auto" w:sz="0" w:space="0"/>
                  <w:bottom w:val="sing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8" w:hRule="atLeast"/>
                <w:jc w:val="center"/>
              </w:trPr>
              <w:tc>
                <w:tcPr>
                  <w:tcW w:w="597" w:type="pct"/>
                  <w:tcBorders>
                    <w:bottom w:val="single" w:color="000000" w:sz="12" w:space="0"/>
                  </w:tcBorders>
                  <w:shd w:val="clear" w:color="auto" w:fill="FFFFFF"/>
                  <w:noWrap w:val="0"/>
                  <w:vAlign w:val="center"/>
                </w:tcPr>
                <w:p w14:paraId="4336D01A">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采矿业</w:t>
                  </w:r>
                </w:p>
              </w:tc>
              <w:tc>
                <w:tcPr>
                  <w:tcW w:w="1198" w:type="pct"/>
                  <w:tcBorders>
                    <w:bottom w:val="single" w:color="000000" w:sz="12" w:space="0"/>
                  </w:tcBorders>
                  <w:shd w:val="clear" w:color="auto" w:fill="FFFFFF"/>
                  <w:noWrap w:val="0"/>
                  <w:vAlign w:val="center"/>
                </w:tcPr>
                <w:p w14:paraId="72568432">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金属矿、石油、页岩油开采</w:t>
                  </w:r>
                </w:p>
              </w:tc>
              <w:tc>
                <w:tcPr>
                  <w:tcW w:w="2420" w:type="pct"/>
                  <w:tcBorders>
                    <w:bottom w:val="single" w:color="000000" w:sz="12" w:space="0"/>
                  </w:tcBorders>
                  <w:shd w:val="clear" w:color="auto" w:fill="FFFFFF"/>
                  <w:noWrap w:val="0"/>
                  <w:vAlign w:val="center"/>
                </w:tcPr>
                <w:p w14:paraId="03B977C9">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化学矿采选；石棉矿采选；煤 矿采选、天然气开采、页岩气开采、砂岩气开采、煤层气开采（含净化、液化）</w:t>
                  </w:r>
                </w:p>
              </w:tc>
              <w:tc>
                <w:tcPr>
                  <w:tcW w:w="410" w:type="pct"/>
                  <w:tcBorders>
                    <w:bottom w:val="single" w:color="000000" w:sz="12" w:space="0"/>
                  </w:tcBorders>
                  <w:shd w:val="clear" w:color="auto" w:fill="FFFFFF"/>
                  <w:noWrap w:val="0"/>
                  <w:vAlign w:val="center"/>
                </w:tcPr>
                <w:p w14:paraId="337B91DD">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其他</w:t>
                  </w:r>
                </w:p>
              </w:tc>
              <w:tc>
                <w:tcPr>
                  <w:tcW w:w="372" w:type="pct"/>
                  <w:tcBorders>
                    <w:bottom w:val="single" w:color="000000" w:sz="12" w:space="0"/>
                  </w:tcBorders>
                  <w:shd w:val="clear" w:color="auto" w:fill="FFFFFF"/>
                  <w:noWrap w:val="0"/>
                  <w:vAlign w:val="center"/>
                </w:tcPr>
                <w:p w14:paraId="655E36FF">
                  <w:pPr>
                    <w:keepNext w:val="0"/>
                    <w:keepLines w:val="0"/>
                    <w:pageBreakBefore w:val="0"/>
                    <w:widowControl w:val="0"/>
                    <w:kinsoku/>
                    <w:wordWrap/>
                    <w:overflowPunct/>
                    <w:topLinePunct w:val="0"/>
                    <w:autoSpaceDE/>
                    <w:autoSpaceDN/>
                    <w:bidi w:val="0"/>
                    <w:adjustRightInd/>
                    <w:snapToGrid/>
                    <w:spacing w:line="240" w:lineRule="auto"/>
                    <w:ind w:left="0" w:right="114" w:firstLine="0" w:firstLineChars="0"/>
                    <w:jc w:val="center"/>
                    <w:textAlignment w:val="auto"/>
                    <w:rPr>
                      <w:rFonts w:hint="default" w:ascii="Times New Roman" w:hAnsi="Times New Roman" w:eastAsia="宋体" w:cs="Times New Roman"/>
                      <w:b w:val="0"/>
                      <w:color w:val="000000"/>
                      <w:spacing w:val="0"/>
                      <w:sz w:val="21"/>
                      <w:szCs w:val="21"/>
                    </w:rPr>
                  </w:pPr>
                </w:p>
              </w:tc>
            </w:tr>
          </w:tbl>
          <w:p w14:paraId="0A6361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t>根据</w:t>
            </w:r>
            <w:r>
              <w:rPr>
                <w:rFonts w:hint="eastAsia" w:cs="Times New Roman"/>
                <w:b w:val="0"/>
                <w:bCs w:val="0"/>
                <w:color w:val="000000" w:themeColor="text1"/>
                <w:kern w:val="0"/>
                <w:sz w:val="24"/>
                <w:szCs w:val="24"/>
                <w:lang w:val="en-US" w:eastAsia="zh-CN" w:bidi="ar-SA"/>
                <w14:textFill>
                  <w14:solidFill>
                    <w14:schemeClr w14:val="tx1"/>
                  </w14:solidFill>
                </w14:textFill>
              </w:rPr>
              <w:t>上述土壤环境现状分析</w:t>
            </w:r>
            <w:r>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t>，该地区土壤属</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无酸化或碱化、</w:t>
            </w:r>
            <w:r>
              <w:rPr>
                <w:rFonts w:hint="eastAsia" w:cs="Times New Roman"/>
                <w:color w:val="000000" w:themeColor="text1"/>
                <w:kern w:val="0"/>
                <w:sz w:val="24"/>
                <w:lang w:val="en-US" w:eastAsia="zh-CN"/>
                <w14:textFill>
                  <w14:solidFill>
                    <w14:schemeClr w14:val="tx1"/>
                  </w14:solidFill>
                </w14:textFill>
              </w:rPr>
              <w:t>中</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度盐</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化</w:t>
            </w:r>
            <w:r>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t>，根据《环境影响评价技术导则 土壤环境（试行）》（HJ 964-2018）生态影响类敏感程度分级表，本项目敏感程度属</w:t>
            </w:r>
            <w:r>
              <w:rPr>
                <w:rFonts w:hint="eastAsia" w:cs="Times New Roman"/>
                <w:b w:val="0"/>
                <w:bCs w:val="0"/>
                <w:color w:val="000000" w:themeColor="text1"/>
                <w:kern w:val="0"/>
                <w:sz w:val="24"/>
                <w:szCs w:val="24"/>
                <w:lang w:val="en-US" w:eastAsia="zh-CN" w:bidi="ar-SA"/>
                <w14:textFill>
                  <w14:solidFill>
                    <w14:schemeClr w14:val="tx1"/>
                  </w14:solidFill>
                </w14:textFill>
              </w:rPr>
              <w:t>于不</w:t>
            </w:r>
            <w:r>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t>敏感</w:t>
            </w:r>
            <w:r>
              <w:rPr>
                <w:rFonts w:hint="eastAsia" w:cs="Times New Roman"/>
                <w:b w:val="0"/>
                <w:bCs w:val="0"/>
                <w:color w:val="000000" w:themeColor="text1"/>
                <w:kern w:val="0"/>
                <w:sz w:val="24"/>
                <w:szCs w:val="24"/>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0"/>
                <w:sz w:val="24"/>
                <w:szCs w:val="24"/>
                <w:lang w:val="en-US" w:eastAsia="zh-CN" w:bidi="ar-SA"/>
                <w14:textFill>
                  <w14:solidFill>
                    <w14:schemeClr w14:val="tx1"/>
                  </w14:solidFill>
                </w14:textFill>
              </w:rPr>
              <w:t>判定依据见下表。</w:t>
            </w:r>
          </w:p>
          <w:p w14:paraId="31287736">
            <w:pPr>
              <w:pStyle w:val="8"/>
              <w:rPr>
                <w:rFonts w:hint="eastAsia" w:eastAsia="宋体"/>
                <w:color w:val="000000" w:themeColor="text1"/>
                <w:sz w:val="21"/>
                <w:szCs w:val="21"/>
                <w:lang w:eastAsia="zh-CN"/>
                <w14:textFill>
                  <w14:solidFill>
                    <w14:schemeClr w14:val="tx1"/>
                  </w14:solidFill>
                </w14:textFill>
              </w:rPr>
            </w:pPr>
            <w:r>
              <w:rPr>
                <w:color w:val="000000" w:themeColor="text1"/>
                <w:sz w:val="21"/>
                <w:szCs w:val="21"/>
                <w14:textFill>
                  <w14:solidFill>
                    <w14:schemeClr w14:val="tx1"/>
                  </w14:solidFill>
                </w14:textFill>
              </w:rPr>
              <w:t>表3-</w:t>
            </w:r>
            <w:r>
              <w:rPr>
                <w:rFonts w:hint="eastAsia"/>
                <w:color w:val="000000" w:themeColor="text1"/>
                <w:sz w:val="21"/>
                <w:szCs w:val="21"/>
                <w:lang w:val="en-US" w:eastAsia="zh-CN"/>
                <w14:textFill>
                  <w14:solidFill>
                    <w14:schemeClr w14:val="tx1"/>
                  </w14:solidFill>
                </w14:textFill>
              </w:rPr>
              <w:t>20</w:t>
            </w:r>
            <w:r>
              <w:rPr>
                <w:rFonts w:hint="eastAsia"/>
                <w:color w:val="000000" w:themeColor="text1"/>
                <w:sz w:val="21"/>
                <w:szCs w:val="21"/>
                <w:lang w:eastAsia="zh-CN"/>
                <w14:textFill>
                  <w14:solidFill>
                    <w14:schemeClr w14:val="tx1"/>
                  </w14:solidFill>
                </w14:textFill>
              </w:rPr>
              <w:t xml:space="preserve"> 生态影响类敏感程度分级表</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3997"/>
              <w:gridCol w:w="1496"/>
              <w:gridCol w:w="1407"/>
            </w:tblGrid>
            <w:tr w14:paraId="29D0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restart"/>
                  <w:tcBorders>
                    <w:top w:val="single" w:color="000000" w:sz="12" w:space="0"/>
                    <w:left w:val="nil"/>
                    <w:tl2br w:val="nil"/>
                  </w:tcBorders>
                  <w:noWrap w:val="0"/>
                  <w:vAlign w:val="center"/>
                </w:tcPr>
                <w:p w14:paraId="6238266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敏感程度</w:t>
                  </w:r>
                </w:p>
              </w:tc>
              <w:tc>
                <w:tcPr>
                  <w:tcW w:w="4298" w:type="pct"/>
                  <w:gridSpan w:val="3"/>
                  <w:tcBorders>
                    <w:top w:val="single" w:color="000000" w:sz="12" w:space="0"/>
                    <w:right w:val="nil"/>
                  </w:tcBorders>
                  <w:noWrap w:val="0"/>
                  <w:vAlign w:val="center"/>
                </w:tcPr>
                <w:p w14:paraId="67E3482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判别依据</w:t>
                  </w:r>
                </w:p>
              </w:tc>
            </w:tr>
            <w:tr w14:paraId="2F02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vMerge w:val="continue"/>
                  <w:tcBorders>
                    <w:left w:val="nil"/>
                  </w:tcBorders>
                  <w:noWrap w:val="0"/>
                  <w:vAlign w:val="center"/>
                </w:tcPr>
                <w:p w14:paraId="4411F2A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490" w:type="pct"/>
                  <w:noWrap w:val="0"/>
                  <w:vAlign w:val="center"/>
                </w:tcPr>
                <w:p w14:paraId="5213F3B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盐化</w:t>
                  </w:r>
                </w:p>
              </w:tc>
              <w:tc>
                <w:tcPr>
                  <w:tcW w:w="932" w:type="pct"/>
                  <w:noWrap w:val="0"/>
                  <w:vAlign w:val="center"/>
                </w:tcPr>
                <w:p w14:paraId="39D9380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酸化</w:t>
                  </w:r>
                </w:p>
              </w:tc>
              <w:tc>
                <w:tcPr>
                  <w:tcW w:w="874" w:type="pct"/>
                  <w:tcBorders>
                    <w:right w:val="nil"/>
                  </w:tcBorders>
                  <w:noWrap w:val="0"/>
                  <w:vAlign w:val="center"/>
                </w:tcPr>
                <w:p w14:paraId="701FD61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碱化</w:t>
                  </w:r>
                </w:p>
              </w:tc>
            </w:tr>
            <w:tr w14:paraId="5A86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tcBorders>
                    <w:left w:val="nil"/>
                  </w:tcBorders>
                  <w:noWrap w:val="0"/>
                  <w:vAlign w:val="center"/>
                </w:tcPr>
                <w:p w14:paraId="7614883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敏感</w:t>
                  </w:r>
                </w:p>
              </w:tc>
              <w:tc>
                <w:tcPr>
                  <w:tcW w:w="2490" w:type="pct"/>
                  <w:noWrap w:val="0"/>
                  <w:vAlign w:val="center"/>
                </w:tcPr>
                <w:p w14:paraId="62E202C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建设项目所在地干燥度a＞2.5且常年地下水位平均埋深＜1.5m的地势平坦区域；或土壤含盐量＞4g/kg的区域</w:t>
                  </w:r>
                </w:p>
              </w:tc>
              <w:tc>
                <w:tcPr>
                  <w:tcW w:w="932" w:type="pct"/>
                  <w:noWrap w:val="0"/>
                  <w:vAlign w:val="center"/>
                </w:tcPr>
                <w:p w14:paraId="2682DE9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pH≤4.5</w:t>
                  </w:r>
                </w:p>
              </w:tc>
              <w:tc>
                <w:tcPr>
                  <w:tcW w:w="874" w:type="pct"/>
                  <w:tcBorders>
                    <w:right w:val="nil"/>
                  </w:tcBorders>
                  <w:noWrap w:val="0"/>
                  <w:vAlign w:val="center"/>
                </w:tcPr>
                <w:p w14:paraId="720C042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pH≥9.0</w:t>
                  </w:r>
                </w:p>
              </w:tc>
            </w:tr>
            <w:tr w14:paraId="5360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tcBorders>
                    <w:left w:val="nil"/>
                  </w:tcBorders>
                  <w:noWrap w:val="0"/>
                  <w:vAlign w:val="center"/>
                </w:tcPr>
                <w:p w14:paraId="31E1644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较敏感</w:t>
                  </w:r>
                </w:p>
              </w:tc>
              <w:tc>
                <w:tcPr>
                  <w:tcW w:w="2490" w:type="pct"/>
                  <w:noWrap w:val="0"/>
                  <w:vAlign w:val="center"/>
                </w:tcPr>
                <w:p w14:paraId="4C80445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建设项目所在地干燥度＞2.5 且常年地下水位平均埋深≥1.5 m 的，或 1.8＜干燥度≤2.5 且常年地下水位平均埋深＜1.8 m 的地势平坦区域；建设项目所在地干燥度＞2.5或常年地下水位平均埋深＜1.5m的平原区；或2g/kg＜土壤含盐量≤4g/kg的区域</w:t>
                  </w:r>
                </w:p>
              </w:tc>
              <w:tc>
                <w:tcPr>
                  <w:tcW w:w="932" w:type="pct"/>
                  <w:noWrap w:val="0"/>
                  <w:vAlign w:val="center"/>
                </w:tcPr>
                <w:p w14:paraId="1548D64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4.5＜pH≤5.5</w:t>
                  </w:r>
                </w:p>
              </w:tc>
              <w:tc>
                <w:tcPr>
                  <w:tcW w:w="874" w:type="pct"/>
                  <w:tcBorders>
                    <w:right w:val="nil"/>
                  </w:tcBorders>
                  <w:noWrap w:val="0"/>
                  <w:vAlign w:val="center"/>
                </w:tcPr>
                <w:p w14:paraId="38CBE3E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8.5≤pH＜9.0</w:t>
                  </w:r>
                </w:p>
              </w:tc>
            </w:tr>
            <w:tr w14:paraId="1830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pct"/>
                  <w:tcBorders>
                    <w:left w:val="nil"/>
                    <w:bottom w:val="single" w:color="000000" w:sz="12" w:space="0"/>
                  </w:tcBorders>
                  <w:noWrap w:val="0"/>
                  <w:vAlign w:val="center"/>
                </w:tcPr>
                <w:p w14:paraId="00C7F0F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不敏感</w:t>
                  </w:r>
                </w:p>
              </w:tc>
              <w:tc>
                <w:tcPr>
                  <w:tcW w:w="2490" w:type="pct"/>
                  <w:tcBorders>
                    <w:bottom w:val="single" w:color="000000" w:sz="12" w:space="0"/>
                  </w:tcBorders>
                  <w:noWrap w:val="0"/>
                  <w:vAlign w:val="center"/>
                </w:tcPr>
                <w:p w14:paraId="1503FA3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其他</w:t>
                  </w:r>
                </w:p>
              </w:tc>
              <w:tc>
                <w:tcPr>
                  <w:tcW w:w="1807" w:type="pct"/>
                  <w:gridSpan w:val="2"/>
                  <w:tcBorders>
                    <w:bottom w:val="single" w:color="000000" w:sz="12" w:space="0"/>
                    <w:right w:val="nil"/>
                  </w:tcBorders>
                  <w:noWrap w:val="0"/>
                  <w:vAlign w:val="center"/>
                </w:tcPr>
                <w:p w14:paraId="0F4D2EC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5.5＜pH＜8.5</w:t>
                  </w:r>
                </w:p>
              </w:tc>
            </w:tr>
          </w:tbl>
          <w:p w14:paraId="5A2B762D">
            <w:pPr>
              <w:pStyle w:val="62"/>
              <w:keepNext w:val="0"/>
              <w:keepLines w:val="0"/>
              <w:pageBreakBefore w:val="0"/>
              <w:widowControl w:val="0"/>
              <w:kinsoku/>
              <w:wordWrap/>
              <w:overflowPunct/>
              <w:topLinePunct w:val="0"/>
              <w:autoSpaceDE/>
              <w:autoSpaceDN/>
              <w:bidi w:val="0"/>
              <w:adjustRightInd/>
              <w:snapToGrid/>
              <w:ind w:left="0" w:leftChars="0" w:firstLine="54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根据《环境影响评价技术导则 土壤环境（试行）》（HJ 964-2018）中生态影响类评价工作等级划分依据，本项目</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所在地土壤质量现状为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Ⅲ类</w:t>
            </w:r>
            <w:r>
              <w:rPr>
                <w:rFonts w:hint="eastAsia" w:cs="Times New Roman"/>
                <w:color w:val="000000" w:themeColor="text1"/>
                <w:kern w:val="2"/>
                <w:sz w:val="24"/>
                <w:szCs w:val="24"/>
                <w:lang w:val="en-US" w:eastAsia="zh-CN" w:bidi="ar-SA"/>
                <w14:textFill>
                  <w14:solidFill>
                    <w14:schemeClr w14:val="tx1"/>
                  </w14:solidFill>
                </w14:textFill>
              </w:rPr>
              <w:t>—不</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敏感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可不开展土壤环境影响评价工作</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。划分依据见下表。</w:t>
            </w:r>
          </w:p>
          <w:p w14:paraId="79BBC66D">
            <w:pPr>
              <w:pStyle w:val="8"/>
              <w:rPr>
                <w:rFonts w:hint="eastAsia" w:eastAsia="宋体"/>
                <w:color w:val="000000" w:themeColor="text1"/>
                <w:lang w:eastAsia="zh-CN"/>
                <w14:textFill>
                  <w14:solidFill>
                    <w14:schemeClr w14:val="tx1"/>
                  </w14:solidFill>
                </w14:textFill>
              </w:rPr>
            </w:pPr>
            <w:r>
              <w:rPr>
                <w:color w:val="000000" w:themeColor="text1"/>
                <w:sz w:val="21"/>
                <w:szCs w:val="21"/>
                <w14:textFill>
                  <w14:solidFill>
                    <w14:schemeClr w14:val="tx1"/>
                  </w14:solidFill>
                </w14:textFill>
              </w:rPr>
              <w:t>表3-</w:t>
            </w:r>
            <w:r>
              <w:rPr>
                <w:rFonts w:hint="eastAsia"/>
                <w:color w:val="000000" w:themeColor="text1"/>
                <w:sz w:val="21"/>
                <w:szCs w:val="21"/>
                <w:lang w:val="en-US" w:eastAsia="zh-CN"/>
                <w14:textFill>
                  <w14:solidFill>
                    <w14:schemeClr w14:val="tx1"/>
                  </w14:solidFill>
                </w14:textFill>
              </w:rPr>
              <w:t>21</w:t>
            </w:r>
            <w:r>
              <w:rPr>
                <w:rFonts w:hint="eastAsia"/>
                <w:color w:val="000000" w:themeColor="text1"/>
                <w:sz w:val="21"/>
                <w:szCs w:val="21"/>
                <w:lang w:eastAsia="zh-CN"/>
                <w14:textFill>
                  <w14:solidFill>
                    <w14:schemeClr w14:val="tx1"/>
                  </w14:solidFill>
                </w14:textFill>
              </w:rPr>
              <w:t xml:space="preserve"> </w:t>
            </w:r>
            <w:r>
              <w:rPr>
                <w:rFonts w:hint="eastAsia"/>
                <w:color w:val="000000" w:themeColor="text1"/>
                <w:sz w:val="21"/>
                <w:szCs w:val="21"/>
                <w:lang w:val="en-US" w:eastAsia="zh-CN"/>
                <w14:textFill>
                  <w14:solidFill>
                    <w14:schemeClr w14:val="tx1"/>
                  </w14:solidFill>
                </w14:textFill>
              </w:rPr>
              <w:t xml:space="preserve">  </w:t>
            </w:r>
            <w:r>
              <w:rPr>
                <w:rFonts w:hint="eastAsia"/>
                <w:color w:val="000000" w:themeColor="text1"/>
                <w:sz w:val="21"/>
                <w:szCs w:val="21"/>
                <w:lang w:eastAsia="zh-CN"/>
                <w14:textFill>
                  <w14:solidFill>
                    <w14:schemeClr w14:val="tx1"/>
                  </w14:solidFill>
                </w14:textFill>
              </w:rPr>
              <w:t>生态影响类评价工作等级划分表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0"/>
              <w:gridCol w:w="1613"/>
              <w:gridCol w:w="1828"/>
              <w:gridCol w:w="1423"/>
            </w:tblGrid>
            <w:tr w14:paraId="7ACD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969" w:type="pct"/>
                  <w:tcBorders>
                    <w:top w:val="single" w:color="000000" w:sz="12" w:space="0"/>
                    <w:left w:val="nil"/>
                    <w:tl2br w:val="nil"/>
                  </w:tcBorders>
                  <w:noWrap w:val="0"/>
                  <w:vAlign w:val="center"/>
                </w:tcPr>
                <w:p w14:paraId="35BB5E1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559435</wp:posOffset>
                            </wp:positionH>
                            <wp:positionV relativeFrom="paragraph">
                              <wp:posOffset>12065</wp:posOffset>
                            </wp:positionV>
                            <wp:extent cx="1404620" cy="434975"/>
                            <wp:effectExtent l="1270" t="4445" r="3810" b="17780"/>
                            <wp:wrapNone/>
                            <wp:docPr id="3" name="直接连接符 3"/>
                            <wp:cNvGraphicFramePr/>
                            <a:graphic xmlns:a="http://schemas.openxmlformats.org/drawingml/2006/main">
                              <a:graphicData uri="http://schemas.microsoft.com/office/word/2010/wordprocessingShape">
                                <wps:wsp>
                                  <wps:cNvCnPr/>
                                  <wps:spPr>
                                    <a:xfrm>
                                      <a:off x="0" y="0"/>
                                      <a:ext cx="1404620" cy="434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4.05pt;margin-top:0.95pt;height:34.25pt;width:110.6pt;z-index:251664384;mso-width-relative:page;mso-height-relative:page;" filled="f" stroked="t" coordsize="21600,21600" o:gfxdata="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8tIfzVAAAABwEAAA8AAAAAAAAAAQAgAAAAIgAAAGRycy9kb3ducmV2LnhtbFBL&#10;AQIUABQAAAAIAIdO4kC/Vs9M+QEAAOkDAAAOAAAAAAAAAAEAIAAAACQBAABkcnMvZTJvRG9jLnht&#10;bFBLBQYAAAAABgAGAFkBAACPBQAAAAA=&#10;">
                            <v:fill on="f" focussize="0,0"/>
                            <v:stroke color="#000000" joinstyle="round"/>
                            <v:imagedata o:title=""/>
                            <o:lock v:ext="edit" aspectratio="f"/>
                          </v:line>
                        </w:pict>
                      </mc:Fallback>
                    </mc:AlternateContent>
                  </w:r>
                  <w:r>
                    <w:rPr>
                      <w:rFonts w:hint="default" w:ascii="Times New Roman" w:hAnsi="Times New Roman" w:eastAsia="宋体" w:cs="Times New Roman"/>
                      <w:color w:val="000000" w:themeColor="text1"/>
                      <w:sz w:val="21"/>
                      <w:szCs w:val="21"/>
                      <w:lang w:val="en-US" w:eastAsia="zh-CN"/>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-52070</wp:posOffset>
                            </wp:positionH>
                            <wp:positionV relativeFrom="paragraph">
                              <wp:posOffset>67310</wp:posOffset>
                            </wp:positionV>
                            <wp:extent cx="1047115" cy="24955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047115" cy="249555"/>
                                    </a:xfrm>
                                    <a:prstGeom prst="rect">
                                      <a:avLst/>
                                    </a:prstGeom>
                                    <a:noFill/>
                                    <a:ln>
                                      <a:noFill/>
                                    </a:ln>
                                  </wps:spPr>
                                  <wps:txbx>
                                    <w:txbxContent>
                                      <w:p w14:paraId="659230A5">
                                        <w:pPr>
                                          <w:ind w:left="0" w:leftChars="0" w:firstLine="0" w:firstLineChars="0"/>
                                          <w:rPr>
                                            <w:rFonts w:hint="eastAsia" w:eastAsia="宋体"/>
                                            <w:sz w:val="21"/>
                                            <w:szCs w:val="21"/>
                                            <w:lang w:val="en-US" w:eastAsia="zh-CN"/>
                                          </w:rPr>
                                        </w:pPr>
                                        <w:r>
                                          <w:rPr>
                                            <w:rFonts w:hint="eastAsia"/>
                                            <w:sz w:val="21"/>
                                            <w:szCs w:val="21"/>
                                            <w:lang w:val="en-US" w:eastAsia="zh-CN"/>
                                          </w:rPr>
                                          <w:t>评价工作等级</w:t>
                                        </w:r>
                                      </w:p>
                                    </w:txbxContent>
                                  </wps:txbx>
                                  <wps:bodyPr upright="1"/>
                                </wps:wsp>
                              </a:graphicData>
                            </a:graphic>
                          </wp:anchor>
                        </w:drawing>
                      </mc:Choice>
                      <mc:Fallback>
                        <w:pict>
                          <v:shape id="_x0000_s1026" o:spid="_x0000_s1026" o:spt="202" type="#_x0000_t202" style="position:absolute;left:0pt;margin-left:-4.1pt;margin-top:5.3pt;height:19.65pt;width:82.45pt;z-index:251666432;mso-width-relative:page;mso-height-relative:page;" filled="f" stroked="f" coordsize="21600,21600" o:gfxdata="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P8PM1gAA&#10;AAgBAAAPAAAAAAAAAAEAIAAAACIAAABkcnMvZG93bnJldi54bWxQSwECFAAUAAAACACHTuJA7Xsp&#10;z64BAABQAwAADgAAAAAAAAABACAAAAAlAQAAZHJzL2Uyb0RvYy54bWxQSwUGAAAAAAYABgBZAQAA&#10;RQUAAAAA&#10;">
                            <v:fill on="f" focussize="0,0"/>
                            <v:stroke on="f"/>
                            <v:imagedata o:title=""/>
                            <o:lock v:ext="edit" aspectratio="f"/>
                            <v:textbox>
                              <w:txbxContent>
                                <w:p w14:paraId="659230A5">
                                  <w:pPr>
                                    <w:ind w:left="0" w:leftChars="0" w:firstLine="0" w:firstLineChars="0"/>
                                    <w:rPr>
                                      <w:rFonts w:hint="eastAsia" w:eastAsia="宋体"/>
                                      <w:sz w:val="21"/>
                                      <w:szCs w:val="21"/>
                                      <w:lang w:val="en-US" w:eastAsia="zh-CN"/>
                                    </w:rPr>
                                  </w:pPr>
                                  <w:r>
                                    <w:rPr>
                                      <w:rFonts w:hint="eastAsia"/>
                                      <w:sz w:val="21"/>
                                      <w:szCs w:val="21"/>
                                      <w:lang w:val="en-US" w:eastAsia="zh-CN"/>
                                    </w:rPr>
                                    <w:t>评价工作等级</w:t>
                                  </w:r>
                                </w:p>
                              </w:txbxContent>
                            </v:textbox>
                          </v:shape>
                        </w:pict>
                      </mc:Fallback>
                    </mc:AlternateContent>
                  </w:r>
                  <w:r>
                    <w:rPr>
                      <w:rFonts w:hint="default" w:ascii="Times New Roman" w:hAnsi="Times New Roman" w:eastAsia="宋体" w:cs="Times New Roman"/>
                      <w:color w:val="000000" w:themeColor="text1"/>
                      <w:sz w:val="21"/>
                      <w:szCs w:val="21"/>
                      <w:lang w:val="en-US" w:eastAsia="zh-CN"/>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-60325</wp:posOffset>
                            </wp:positionH>
                            <wp:positionV relativeFrom="paragraph">
                              <wp:posOffset>264795</wp:posOffset>
                            </wp:positionV>
                            <wp:extent cx="1047115" cy="24955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047115" cy="249555"/>
                                    </a:xfrm>
                                    <a:prstGeom prst="rect">
                                      <a:avLst/>
                                    </a:prstGeom>
                                    <a:noFill/>
                                    <a:ln>
                                      <a:noFill/>
                                    </a:ln>
                                  </wps:spPr>
                                  <wps:txbx>
                                    <w:txbxContent>
                                      <w:p w14:paraId="62099127">
                                        <w:pPr>
                                          <w:ind w:left="0" w:leftChars="0" w:firstLine="0" w:firstLineChars="0"/>
                                          <w:rPr>
                                            <w:rFonts w:hint="default" w:eastAsia="宋体"/>
                                            <w:sz w:val="21"/>
                                            <w:szCs w:val="21"/>
                                            <w:lang w:val="en-US" w:eastAsia="zh-CN"/>
                                          </w:rPr>
                                        </w:pPr>
                                        <w:r>
                                          <w:rPr>
                                            <w:rFonts w:hint="eastAsia" w:eastAsia="宋体"/>
                                            <w:sz w:val="21"/>
                                            <w:szCs w:val="21"/>
                                            <w:lang w:val="en-US" w:eastAsia="zh-CN"/>
                                          </w:rPr>
                                          <w:t>敏感程度</w:t>
                                        </w:r>
                                      </w:p>
                                    </w:txbxContent>
                                  </wps:txbx>
                                  <wps:bodyPr upright="1"/>
                                </wps:wsp>
                              </a:graphicData>
                            </a:graphic>
                          </wp:anchor>
                        </w:drawing>
                      </mc:Choice>
                      <mc:Fallback>
                        <w:pict>
                          <v:shape id="_x0000_s1026" o:spid="_x0000_s1026" o:spt="202" type="#_x0000_t202" style="position:absolute;left:0pt;margin-left:-4.75pt;margin-top:20.85pt;height:19.65pt;width:82.45pt;z-index:251667456;mso-width-relative:page;mso-height-relative:page;" filled="f" stroked="f" coordsize="21600,21600" o:gfxdata="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UR7L/WAAAA&#10;CAEAAA8AAAAAAAAAAQAgAAAAIgAAAGRycy9kb3ducmV2LnhtbFBLAQIUABQAAAAIAIdO4kC83iEy&#10;rQEAAFADAAAOAAAAAAAAAAEAIAAAACUBAABkcnMvZTJvRG9jLnhtbFBLBQYAAAAABgAGAFkBAABE&#10;BQAAAAA=&#10;">
                            <v:fill on="f" focussize="0,0"/>
                            <v:stroke on="f"/>
                            <v:imagedata o:title=""/>
                            <o:lock v:ext="edit" aspectratio="f"/>
                            <v:textbox>
                              <w:txbxContent>
                                <w:p w14:paraId="62099127">
                                  <w:pPr>
                                    <w:ind w:left="0" w:leftChars="0" w:firstLine="0" w:firstLineChars="0"/>
                                    <w:rPr>
                                      <w:rFonts w:hint="default" w:eastAsia="宋体"/>
                                      <w:sz w:val="21"/>
                                      <w:szCs w:val="21"/>
                                      <w:lang w:val="en-US" w:eastAsia="zh-CN"/>
                                    </w:rPr>
                                  </w:pPr>
                                  <w:r>
                                    <w:rPr>
                                      <w:rFonts w:hint="eastAsia" w:eastAsia="宋体"/>
                                      <w:sz w:val="21"/>
                                      <w:szCs w:val="21"/>
                                      <w:lang w:val="en-US" w:eastAsia="zh-CN"/>
                                    </w:rPr>
                                    <w:t>敏感程度</w:t>
                                  </w:r>
                                </w:p>
                              </w:txbxContent>
                            </v:textbox>
                          </v:shape>
                        </w:pict>
                      </mc:Fallback>
                    </mc:AlternateContent>
                  </w:r>
                  <w:r>
                    <w:rPr>
                      <w:rFonts w:hint="default" w:ascii="Times New Roman" w:hAnsi="Times New Roman" w:eastAsia="宋体" w:cs="Times New Roman"/>
                      <w:color w:val="000000" w:themeColor="text1"/>
                      <w:sz w:val="21"/>
                      <w:szCs w:val="21"/>
                      <w:lang w:val="en-US" w:eastAsia="zh-CN"/>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-72390</wp:posOffset>
                            </wp:positionH>
                            <wp:positionV relativeFrom="paragraph">
                              <wp:posOffset>255270</wp:posOffset>
                            </wp:positionV>
                            <wp:extent cx="2036445" cy="198120"/>
                            <wp:effectExtent l="635" t="4445" r="1270" b="6985"/>
                            <wp:wrapNone/>
                            <wp:docPr id="20" name="直接连接符 20"/>
                            <wp:cNvGraphicFramePr/>
                            <a:graphic xmlns:a="http://schemas.openxmlformats.org/drawingml/2006/main">
                              <a:graphicData uri="http://schemas.microsoft.com/office/word/2010/wordprocessingShape">
                                <wps:wsp>
                                  <wps:cNvCnPr/>
                                  <wps:spPr>
                                    <a:xfrm>
                                      <a:off x="0" y="0"/>
                                      <a:ext cx="2036445" cy="1981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7pt;margin-top:20.1pt;height:15.6pt;width:160.35pt;z-index:251665408;mso-width-relative:page;mso-height-relative:page;" filled="f" stroked="t" coordsize="21600,21600" o:gfxdata="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5dRB1wAAAAkBAAAPAAAAAAAAAAEAIAAAACIAAABkcnMvZG93bnJldi54&#10;bWxQSwECFAAUAAAACACHTuJAvykwlPsBAADrAwAADgAAAAAAAAABACAAAAAmAQAAZHJzL2Uyb0Rv&#10;Yy54bWxQSwUGAAAAAAYABgBZAQAAkwUAAAAA&#10;">
                            <v:fill on="f" focussize="0,0"/>
                            <v:stroke color="#000000" joinstyle="round"/>
                            <v:imagedata o:title=""/>
                            <o:lock v:ext="edit" aspectratio="f"/>
                          </v:line>
                        </w:pict>
                      </mc:Fallback>
                    </mc:AlternateContent>
                  </w:r>
                  <w:r>
                    <w:rPr>
                      <w:rFonts w:hint="eastAsia"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1005" w:type="pct"/>
                  <w:tcBorders>
                    <w:top w:val="single" w:color="000000" w:sz="12" w:space="0"/>
                  </w:tcBorders>
                  <w:noWrap w:val="0"/>
                  <w:vAlign w:val="center"/>
                </w:tcPr>
                <w:p w14:paraId="4400703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Ⅰ类</w:t>
                  </w:r>
                </w:p>
              </w:tc>
              <w:tc>
                <w:tcPr>
                  <w:tcW w:w="1139" w:type="pct"/>
                  <w:tcBorders>
                    <w:top w:val="single" w:color="000000" w:sz="12" w:space="0"/>
                  </w:tcBorders>
                  <w:noWrap w:val="0"/>
                  <w:vAlign w:val="center"/>
                </w:tcPr>
                <w:p w14:paraId="3F0BD2E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Ⅱ类</w:t>
                  </w:r>
                </w:p>
              </w:tc>
              <w:tc>
                <w:tcPr>
                  <w:tcW w:w="885" w:type="pct"/>
                  <w:tcBorders>
                    <w:top w:val="single" w:color="000000" w:sz="12" w:space="0"/>
                    <w:right w:val="nil"/>
                  </w:tcBorders>
                  <w:noWrap w:val="0"/>
                  <w:vAlign w:val="center"/>
                </w:tcPr>
                <w:p w14:paraId="54C1BAF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Ⅲ类</w:t>
                  </w:r>
                </w:p>
              </w:tc>
            </w:tr>
            <w:tr w14:paraId="70CB4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69" w:type="pct"/>
                  <w:tcBorders>
                    <w:left w:val="nil"/>
                  </w:tcBorders>
                  <w:noWrap w:val="0"/>
                  <w:vAlign w:val="center"/>
                </w:tcPr>
                <w:p w14:paraId="28ED20D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敏感</w:t>
                  </w:r>
                </w:p>
              </w:tc>
              <w:tc>
                <w:tcPr>
                  <w:tcW w:w="1005" w:type="pct"/>
                  <w:noWrap w:val="0"/>
                  <w:vAlign w:val="center"/>
                </w:tcPr>
                <w:p w14:paraId="07AE82A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一级</w:t>
                  </w:r>
                </w:p>
              </w:tc>
              <w:tc>
                <w:tcPr>
                  <w:tcW w:w="1139" w:type="pct"/>
                  <w:noWrap w:val="0"/>
                  <w:vAlign w:val="center"/>
                </w:tcPr>
                <w:p w14:paraId="0649703E">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w:t>
                  </w:r>
                </w:p>
              </w:tc>
              <w:tc>
                <w:tcPr>
                  <w:tcW w:w="885" w:type="pct"/>
                  <w:tcBorders>
                    <w:right w:val="nil"/>
                  </w:tcBorders>
                  <w:noWrap w:val="0"/>
                  <w:vAlign w:val="center"/>
                </w:tcPr>
                <w:p w14:paraId="72B26205">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三级</w:t>
                  </w:r>
                </w:p>
              </w:tc>
            </w:tr>
            <w:tr w14:paraId="6421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pct"/>
                  <w:tcBorders>
                    <w:left w:val="nil"/>
                  </w:tcBorders>
                  <w:noWrap w:val="0"/>
                  <w:vAlign w:val="center"/>
                </w:tcPr>
                <w:p w14:paraId="7D9F55A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较敏感</w:t>
                  </w:r>
                </w:p>
              </w:tc>
              <w:tc>
                <w:tcPr>
                  <w:tcW w:w="1005" w:type="pct"/>
                  <w:noWrap w:val="0"/>
                  <w:vAlign w:val="center"/>
                </w:tcPr>
                <w:p w14:paraId="4BEAA7A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w:t>
                  </w:r>
                </w:p>
              </w:tc>
              <w:tc>
                <w:tcPr>
                  <w:tcW w:w="1139" w:type="pct"/>
                  <w:noWrap w:val="0"/>
                  <w:vAlign w:val="center"/>
                </w:tcPr>
                <w:p w14:paraId="427DFE23">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w:t>
                  </w:r>
                </w:p>
              </w:tc>
              <w:tc>
                <w:tcPr>
                  <w:tcW w:w="885" w:type="pct"/>
                  <w:tcBorders>
                    <w:right w:val="nil"/>
                  </w:tcBorders>
                  <w:noWrap w:val="0"/>
                  <w:vAlign w:val="center"/>
                </w:tcPr>
                <w:p w14:paraId="774B81E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三级</w:t>
                  </w:r>
                </w:p>
              </w:tc>
            </w:tr>
            <w:tr w14:paraId="5AF3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9" w:type="pct"/>
                  <w:tcBorders>
                    <w:left w:val="nil"/>
                  </w:tcBorders>
                  <w:noWrap w:val="0"/>
                  <w:vAlign w:val="center"/>
                </w:tcPr>
                <w:p w14:paraId="3E3BD2F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不敏感</w:t>
                  </w:r>
                </w:p>
              </w:tc>
              <w:tc>
                <w:tcPr>
                  <w:tcW w:w="1005" w:type="pct"/>
                  <w:noWrap w:val="0"/>
                  <w:vAlign w:val="center"/>
                </w:tcPr>
                <w:p w14:paraId="50D2AF9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二级</w:t>
                  </w:r>
                </w:p>
              </w:tc>
              <w:tc>
                <w:tcPr>
                  <w:tcW w:w="1139" w:type="pct"/>
                  <w:noWrap w:val="0"/>
                  <w:vAlign w:val="center"/>
                </w:tcPr>
                <w:p w14:paraId="1BB33C7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三级</w:t>
                  </w:r>
                </w:p>
              </w:tc>
              <w:tc>
                <w:tcPr>
                  <w:tcW w:w="885" w:type="pct"/>
                  <w:tcBorders>
                    <w:right w:val="nil"/>
                  </w:tcBorders>
                  <w:noWrap w:val="0"/>
                  <w:vAlign w:val="center"/>
                </w:tcPr>
                <w:p w14:paraId="48441F82">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1477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left w:val="nil"/>
                    <w:bottom w:val="single" w:color="000000" w:sz="12" w:space="0"/>
                    <w:right w:val="nil"/>
                  </w:tcBorders>
                  <w:noWrap w:val="0"/>
                  <w:vAlign w:val="center"/>
                </w:tcPr>
                <w:p w14:paraId="48D8A65B">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注：“-”表示可不开展土壤环境影响评价工作。</w:t>
                  </w:r>
                </w:p>
              </w:tc>
            </w:tr>
          </w:tbl>
          <w:p w14:paraId="06EF054E">
            <w:pPr>
              <w:pStyle w:val="45"/>
              <w:keepNext w:val="0"/>
              <w:keepLines w:val="0"/>
              <w:pageBreakBefore w:val="0"/>
              <w:kinsoku/>
              <w:wordWrap/>
              <w:overflowPunct/>
              <w:topLinePunct w:val="0"/>
              <w:autoSpaceDE/>
              <w:autoSpaceDN/>
              <w:bidi w:val="0"/>
              <w:adjustRightInd/>
              <w:spacing w:line="360" w:lineRule="auto"/>
              <w:ind w:left="0" w:right="0" w:firstLine="49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4、生态环境保护目标</w:t>
            </w:r>
          </w:p>
          <w:p w14:paraId="7400DF8A">
            <w:pPr>
              <w:pStyle w:val="45"/>
              <w:keepNext w:val="0"/>
              <w:keepLines w:val="0"/>
              <w:pageBreakBefore w:val="0"/>
              <w:kinsoku/>
              <w:wordWrap/>
              <w:overflowPunct/>
              <w:topLinePunct w:val="0"/>
              <w:autoSpaceDE/>
              <w:autoSpaceDN/>
              <w:bidi w:val="0"/>
              <w:adjustRightInd/>
              <w:spacing w:line="360" w:lineRule="auto"/>
              <w:ind w:left="0" w:right="0" w:firstLine="476"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spacing w:val="-1"/>
                <w:sz w:val="24"/>
                <w:szCs w:val="24"/>
              </w:rPr>
              <w:t>项目矿山为新建矿山，</w:t>
            </w:r>
            <w:bookmarkStart w:id="7" w:name="_GoBack"/>
            <w:bookmarkEnd w:id="7"/>
            <w:r>
              <w:rPr>
                <w:rFonts w:hint="default" w:ascii="Times New Roman" w:hAnsi="Times New Roman" w:eastAsia="宋体" w:cs="Times New Roman"/>
                <w:spacing w:val="-1"/>
                <w:sz w:val="24"/>
                <w:szCs w:val="24"/>
              </w:rPr>
              <w:t>四周为荒山，无国家公园</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pacing w:val="-2"/>
                <w:sz w:val="24"/>
                <w:szCs w:val="24"/>
              </w:rPr>
              <w:t>自然保护区、风</w:t>
            </w:r>
            <w:r>
              <w:rPr>
                <w:rFonts w:hint="default" w:ascii="Times New Roman" w:hAnsi="Times New Roman" w:eastAsia="宋体" w:cs="Times New Roman"/>
                <w:sz w:val="24"/>
                <w:szCs w:val="24"/>
              </w:rPr>
              <w:t>景名胜区、世界文化和自然遗产地</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海洋特别保护区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pacing w:val="-1"/>
                <w:sz w:val="24"/>
                <w:szCs w:val="24"/>
              </w:rPr>
              <w:t>饮用水水源保护区、生态保护红线管控范围、基本草原、重要水生生物</w:t>
            </w:r>
            <w:r>
              <w:rPr>
                <w:rFonts w:hint="default" w:ascii="Times New Roman" w:hAnsi="Times New Roman" w:eastAsia="宋体" w:cs="Times New Roman"/>
                <w:spacing w:val="-2"/>
                <w:sz w:val="24"/>
                <w:szCs w:val="24"/>
              </w:rPr>
              <w:t>的自然产卵场、</w:t>
            </w:r>
            <w:r>
              <w:rPr>
                <w:rFonts w:hint="default" w:ascii="Times New Roman" w:hAnsi="Times New Roman" w:eastAsia="宋体" w:cs="Times New Roman"/>
                <w:spacing w:val="1"/>
                <w:sz w:val="24"/>
                <w:szCs w:val="24"/>
              </w:rPr>
              <w:t>索饵场、越冬场和洄游通道、沙化土地封禁</w:t>
            </w:r>
            <w:r>
              <w:rPr>
                <w:rFonts w:hint="default" w:ascii="Times New Roman" w:hAnsi="Times New Roman" w:eastAsia="宋体" w:cs="Times New Roman"/>
                <w:sz w:val="24"/>
                <w:szCs w:val="24"/>
              </w:rPr>
              <w:t>保护区等需要特殊保护的生</w:t>
            </w:r>
            <w:r>
              <w:rPr>
                <w:rFonts w:hint="default" w:ascii="Times New Roman" w:hAnsi="Times New Roman" w:eastAsia="宋体" w:cs="Times New Roman"/>
                <w:spacing w:val="-1"/>
                <w:sz w:val="24"/>
                <w:szCs w:val="24"/>
              </w:rPr>
              <w:t>态环境敏感目标分布。</w:t>
            </w:r>
          </w:p>
        </w:tc>
      </w:tr>
      <w:tr w14:paraId="03860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04" w:type="dxa"/>
            <w:noWrap w:val="0"/>
            <w:vAlign w:val="center"/>
          </w:tcPr>
          <w:p w14:paraId="70DD779B">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评价</w:t>
            </w:r>
          </w:p>
          <w:p w14:paraId="0E9CDDF2">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标准</w:t>
            </w:r>
          </w:p>
        </w:tc>
        <w:tc>
          <w:tcPr>
            <w:tcW w:w="8253" w:type="dxa"/>
            <w:noWrap w:val="0"/>
            <w:vAlign w:val="center"/>
          </w:tcPr>
          <w:p w14:paraId="03A964C3">
            <w:pPr>
              <w:pStyle w:val="45"/>
              <w:keepNext w:val="0"/>
              <w:keepLines w:val="0"/>
              <w:pageBreakBefore w:val="0"/>
              <w:widowControl w:val="0"/>
              <w:kinsoku/>
              <w:wordWrap/>
              <w:overflowPunct/>
              <w:topLinePunct w:val="0"/>
              <w:autoSpaceDE/>
              <w:autoSpaceDN/>
              <w:bidi w:val="0"/>
              <w:spacing w:line="360" w:lineRule="auto"/>
              <w:ind w:left="0" w:right="0" w:firstLine="486" w:firstLineChars="200"/>
              <w:textAlignment w:val="auto"/>
              <w:rPr>
                <w:rFonts w:hint="default" w:ascii="Times New Roman" w:hAnsi="Times New Roman" w:eastAsia="宋体" w:cs="Times New Roman"/>
                <w:spacing w:val="-5"/>
                <w:sz w:val="24"/>
                <w:szCs w:val="24"/>
              </w:rPr>
            </w:pPr>
            <w:r>
              <w:rPr>
                <w:rFonts w:hint="default" w:ascii="Times New Roman" w:hAnsi="Times New Roman" w:eastAsia="宋体" w:cs="Times New Roman"/>
                <w:b/>
                <w:bCs/>
                <w:spacing w:val="1"/>
                <w:sz w:val="24"/>
                <w:szCs w:val="24"/>
              </w:rPr>
              <w:t>1、环境质量标准</w:t>
            </w:r>
          </w:p>
          <w:p w14:paraId="5607017E">
            <w:pPr>
              <w:pStyle w:val="45"/>
              <w:keepNext w:val="0"/>
              <w:keepLines w:val="0"/>
              <w:pageBreakBefore w:val="0"/>
              <w:widowControl w:val="0"/>
              <w:kinsoku/>
              <w:wordWrap/>
              <w:overflowPunct/>
              <w:topLinePunct w:val="0"/>
              <w:autoSpaceDE/>
              <w:autoSpaceDN/>
              <w:bidi w:val="0"/>
              <w:spacing w:line="360" w:lineRule="auto"/>
              <w:ind w:left="0" w:right="0" w:firstLine="46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（1）环境空气</w:t>
            </w:r>
          </w:p>
          <w:p w14:paraId="3A87F1BE">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环境空气质量评价执行《环境空气质量标准》（</w:t>
            </w:r>
            <w:r>
              <w:rPr>
                <w:rFonts w:hint="default" w:ascii="Times New Roman" w:hAnsi="Times New Roman" w:eastAsia="宋体" w:cs="Times New Roman"/>
                <w:spacing w:val="-1"/>
                <w:sz w:val="24"/>
                <w:szCs w:val="24"/>
                <w:highlight w:val="none"/>
              </w:rPr>
              <w:t>GB 3095-20</w:t>
            </w:r>
            <w:r>
              <w:rPr>
                <w:rFonts w:hint="default" w:ascii="Times New Roman" w:hAnsi="Times New Roman" w:eastAsia="宋体" w:cs="Times New Roman"/>
                <w:spacing w:val="-1"/>
                <w:sz w:val="24"/>
                <w:szCs w:val="24"/>
                <w:highlight w:val="none"/>
                <w:lang w:val="en-US" w:eastAsia="zh-CN"/>
              </w:rPr>
              <w:t>26</w:t>
            </w:r>
            <w:r>
              <w:rPr>
                <w:rFonts w:hint="default" w:ascii="Times New Roman" w:hAnsi="Times New Roman" w:eastAsia="宋体" w:cs="Times New Roman"/>
                <w:spacing w:val="-1"/>
                <w:sz w:val="24"/>
                <w:szCs w:val="24"/>
                <w:highlight w:val="none"/>
              </w:rPr>
              <w:t>）中</w:t>
            </w:r>
            <w:r>
              <w:rPr>
                <w:rFonts w:hint="eastAsia" w:ascii="Times New Roman" w:hAnsi="Times New Roman" w:eastAsia="宋体" w:cs="Times New Roman"/>
                <w:spacing w:val="-1"/>
                <w:sz w:val="24"/>
                <w:szCs w:val="24"/>
                <w:highlight w:val="none"/>
                <w:lang w:val="en-US" w:eastAsia="zh-CN"/>
              </w:rPr>
              <w:t>二级标准极限</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详见表3-</w:t>
            </w:r>
            <w:r>
              <w:rPr>
                <w:rFonts w:hint="eastAsia" w:ascii="Times New Roman" w:hAnsi="Times New Roman" w:eastAsia="宋体" w:cs="Times New Roman"/>
                <w:spacing w:val="-3"/>
                <w:sz w:val="24"/>
                <w:szCs w:val="24"/>
                <w:lang w:val="en-US" w:eastAsia="zh-CN"/>
              </w:rPr>
              <w:t>22</w:t>
            </w:r>
            <w:r>
              <w:rPr>
                <w:rFonts w:hint="default" w:ascii="Times New Roman" w:hAnsi="Times New Roman" w:eastAsia="宋体" w:cs="Times New Roman"/>
                <w:spacing w:val="-3"/>
                <w:sz w:val="24"/>
                <w:szCs w:val="24"/>
              </w:rPr>
              <w:t>。</w:t>
            </w:r>
          </w:p>
          <w:p w14:paraId="11E27645">
            <w:pPr>
              <w:keepNext w:val="0"/>
              <w:keepLines w:val="0"/>
              <w:pageBreakBefore w:val="0"/>
              <w:widowControl w:val="0"/>
              <w:kinsoku/>
              <w:wordWrap/>
              <w:overflowPunct/>
              <w:topLinePunct w:val="0"/>
              <w:autoSpaceDE/>
              <w:autoSpaceDN/>
              <w:bidi w:val="0"/>
              <w:adjustRightInd w:val="0"/>
              <w:snapToGrid w:val="0"/>
              <w:spacing w:line="360" w:lineRule="auto"/>
              <w:ind w:left="0" w:right="0" w:firstLine="418" w:firstLineChars="200"/>
              <w:jc w:val="center"/>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b/>
                <w:bCs/>
                <w:spacing w:val="-1"/>
                <w:sz w:val="21"/>
                <w:szCs w:val="21"/>
              </w:rPr>
              <w:t>表3-</w:t>
            </w:r>
            <w:r>
              <w:rPr>
                <w:rFonts w:hint="eastAsia" w:cs="Times New Roman"/>
                <w:b/>
                <w:bCs/>
                <w:spacing w:val="-1"/>
                <w:sz w:val="21"/>
                <w:szCs w:val="21"/>
                <w:lang w:val="en-US" w:eastAsia="zh-CN"/>
              </w:rPr>
              <w:t>22</w:t>
            </w:r>
            <w:r>
              <w:rPr>
                <w:rFonts w:hint="eastAsia" w:ascii="Times New Roman" w:hAnsi="Times New Roman" w:eastAsia="宋体" w:cs="Times New Roman"/>
                <w:b/>
                <w:bCs/>
                <w:spacing w:val="-1"/>
                <w:sz w:val="21"/>
                <w:szCs w:val="21"/>
                <w:lang w:val="en-US" w:eastAsia="zh-CN"/>
              </w:rPr>
              <w:t xml:space="preserve">  </w:t>
            </w:r>
            <w:r>
              <w:rPr>
                <w:rFonts w:hint="default" w:ascii="Times New Roman" w:hAnsi="Times New Roman" w:eastAsia="宋体" w:cs="Times New Roman"/>
                <w:b/>
                <w:bCs/>
                <w:spacing w:val="-1"/>
                <w:sz w:val="21"/>
                <w:szCs w:val="21"/>
              </w:rPr>
              <w:t>《环境空气质量标准》（GB3095-20</w:t>
            </w:r>
            <w:r>
              <w:rPr>
                <w:rFonts w:hint="eastAsia" w:cs="Times New Roman"/>
                <w:b/>
                <w:bCs/>
                <w:spacing w:val="-1"/>
                <w:sz w:val="21"/>
                <w:szCs w:val="21"/>
                <w:lang w:val="en-US" w:eastAsia="zh-CN"/>
              </w:rPr>
              <w:t>26</w:t>
            </w:r>
            <w:r>
              <w:rPr>
                <w:rFonts w:hint="default" w:ascii="Times New Roman" w:hAnsi="Times New Roman" w:eastAsia="宋体" w:cs="Times New Roman"/>
                <w:b/>
                <w:bCs/>
                <w:spacing w:val="-2"/>
                <w:sz w:val="21"/>
                <w:szCs w:val="21"/>
              </w:rPr>
              <w:t>）二级标准</w:t>
            </w:r>
          </w:p>
          <w:tbl>
            <w:tblPr>
              <w:tblStyle w:val="24"/>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004"/>
              <w:gridCol w:w="2004"/>
              <w:gridCol w:w="2005"/>
            </w:tblGrid>
            <w:tr w14:paraId="7DC1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004" w:type="dxa"/>
                  <w:tcBorders>
                    <w:top w:val="single" w:color="000000" w:sz="12" w:space="0"/>
                    <w:left w:val="nil"/>
                    <w:tl2br w:val="nil"/>
                  </w:tcBorders>
                  <w:noWrap w:val="0"/>
                  <w:vAlign w:val="center"/>
                </w:tcPr>
                <w:p w14:paraId="17860842">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污染物名称</w:t>
                  </w:r>
                </w:p>
              </w:tc>
              <w:tc>
                <w:tcPr>
                  <w:tcW w:w="2004" w:type="dxa"/>
                  <w:tcBorders>
                    <w:top w:val="single" w:color="000000" w:sz="12" w:space="0"/>
                  </w:tcBorders>
                  <w:noWrap w:val="0"/>
                  <w:vAlign w:val="center"/>
                </w:tcPr>
                <w:p w14:paraId="6DD9C459">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取值时间</w:t>
                  </w:r>
                </w:p>
              </w:tc>
              <w:tc>
                <w:tcPr>
                  <w:tcW w:w="2004" w:type="dxa"/>
                  <w:tcBorders>
                    <w:top w:val="single" w:color="000000" w:sz="12" w:space="0"/>
                  </w:tcBorders>
                  <w:noWrap w:val="0"/>
                  <w:vAlign w:val="center"/>
                </w:tcPr>
                <w:p w14:paraId="7750BA4B">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lang w:val="en-US" w:eastAsia="zh-CN"/>
                    </w:rPr>
                    <w:t>二级</w:t>
                  </w:r>
                  <w:r>
                    <w:rPr>
                      <w:rFonts w:hint="default"/>
                      <w:b w:val="0"/>
                      <w:color w:val="000000"/>
                      <w:sz w:val="21"/>
                      <w:szCs w:val="21"/>
                    </w:rPr>
                    <w:t>浓度限值</w:t>
                  </w:r>
                </w:p>
              </w:tc>
              <w:tc>
                <w:tcPr>
                  <w:tcW w:w="2005" w:type="dxa"/>
                  <w:tcBorders>
                    <w:top w:val="single" w:color="000000" w:sz="12" w:space="0"/>
                    <w:right w:val="nil"/>
                  </w:tcBorders>
                  <w:noWrap w:val="0"/>
                  <w:vAlign w:val="center"/>
                </w:tcPr>
                <w:p w14:paraId="6F3404A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lang w:val="en-US" w:eastAsia="zh-CN"/>
                    </w:rPr>
                    <w:t>单位</w:t>
                  </w:r>
                </w:p>
              </w:tc>
            </w:tr>
            <w:tr w14:paraId="73968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restart"/>
                  <w:tcBorders>
                    <w:left w:val="nil"/>
                  </w:tcBorders>
                  <w:noWrap w:val="0"/>
                  <w:vAlign w:val="center"/>
                </w:tcPr>
                <w:p w14:paraId="517E5B0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SO</w:t>
                  </w:r>
                  <w:r>
                    <w:rPr>
                      <w:rFonts w:hint="default"/>
                      <w:b w:val="0"/>
                      <w:color w:val="000000"/>
                      <w:sz w:val="21"/>
                      <w:szCs w:val="21"/>
                      <w:vertAlign w:val="subscript"/>
                    </w:rPr>
                    <w:t>2</w:t>
                  </w:r>
                </w:p>
              </w:tc>
              <w:tc>
                <w:tcPr>
                  <w:tcW w:w="2004" w:type="dxa"/>
                  <w:noWrap w:val="0"/>
                  <w:vAlign w:val="center"/>
                </w:tcPr>
                <w:p w14:paraId="5A841AB4">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1小时平均</w:t>
                  </w:r>
                </w:p>
              </w:tc>
              <w:tc>
                <w:tcPr>
                  <w:tcW w:w="2004" w:type="dxa"/>
                  <w:noWrap w:val="0"/>
                  <w:vAlign w:val="center"/>
                </w:tcPr>
                <w:p w14:paraId="368AD18E">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rPr>
                    <w:t>500</w:t>
                  </w:r>
                </w:p>
              </w:tc>
              <w:tc>
                <w:tcPr>
                  <w:tcW w:w="2005" w:type="dxa"/>
                  <w:vMerge w:val="restart"/>
                  <w:tcBorders>
                    <w:right w:val="nil"/>
                  </w:tcBorders>
                  <w:noWrap w:val="0"/>
                  <w:vAlign w:val="center"/>
                </w:tcPr>
                <w:p w14:paraId="331B4C02">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μg/m</w:t>
                  </w:r>
                  <w:r>
                    <w:rPr>
                      <w:rFonts w:hint="default"/>
                      <w:b w:val="0"/>
                      <w:color w:val="000000"/>
                      <w:sz w:val="21"/>
                      <w:szCs w:val="21"/>
                      <w:vertAlign w:val="superscript"/>
                    </w:rPr>
                    <w:t>3</w:t>
                  </w:r>
                </w:p>
                <w:p w14:paraId="2F859730">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0698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continue"/>
                  <w:tcBorders>
                    <w:left w:val="nil"/>
                  </w:tcBorders>
                  <w:noWrap w:val="0"/>
                  <w:vAlign w:val="center"/>
                </w:tcPr>
                <w:p w14:paraId="2F8F834B">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2004" w:type="dxa"/>
                  <w:noWrap w:val="0"/>
                  <w:vAlign w:val="center"/>
                </w:tcPr>
                <w:p w14:paraId="236FFE9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日平均</w:t>
                  </w:r>
                </w:p>
              </w:tc>
              <w:tc>
                <w:tcPr>
                  <w:tcW w:w="2004" w:type="dxa"/>
                  <w:noWrap w:val="0"/>
                  <w:vAlign w:val="center"/>
                </w:tcPr>
                <w:p w14:paraId="30D9AAB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rPr>
                    <w:t>150</w:t>
                  </w:r>
                </w:p>
              </w:tc>
              <w:tc>
                <w:tcPr>
                  <w:tcW w:w="2005" w:type="dxa"/>
                  <w:vMerge w:val="continue"/>
                  <w:tcBorders>
                    <w:right w:val="nil"/>
                  </w:tcBorders>
                  <w:noWrap w:val="0"/>
                  <w:vAlign w:val="center"/>
                </w:tcPr>
                <w:p w14:paraId="53B98994">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10BF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continue"/>
                  <w:tcBorders>
                    <w:left w:val="nil"/>
                  </w:tcBorders>
                  <w:noWrap w:val="0"/>
                  <w:vAlign w:val="center"/>
                </w:tcPr>
                <w:p w14:paraId="0AFF1D79">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2004" w:type="dxa"/>
                  <w:noWrap w:val="0"/>
                  <w:vAlign w:val="center"/>
                </w:tcPr>
                <w:p w14:paraId="4999DF0A">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年平均</w:t>
                  </w:r>
                </w:p>
              </w:tc>
              <w:tc>
                <w:tcPr>
                  <w:tcW w:w="2004" w:type="dxa"/>
                  <w:noWrap w:val="0"/>
                  <w:vAlign w:val="center"/>
                </w:tcPr>
                <w:p w14:paraId="0DB13C5E">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rPr>
                    <w:t>60</w:t>
                  </w:r>
                </w:p>
              </w:tc>
              <w:tc>
                <w:tcPr>
                  <w:tcW w:w="2005" w:type="dxa"/>
                  <w:vMerge w:val="continue"/>
                  <w:tcBorders>
                    <w:right w:val="nil"/>
                  </w:tcBorders>
                  <w:noWrap w:val="0"/>
                  <w:vAlign w:val="center"/>
                </w:tcPr>
                <w:p w14:paraId="612739AC">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7939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restart"/>
                  <w:tcBorders>
                    <w:left w:val="nil"/>
                  </w:tcBorders>
                  <w:noWrap w:val="0"/>
                  <w:vAlign w:val="center"/>
                </w:tcPr>
                <w:p w14:paraId="3D5F09A0">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NO</w:t>
                  </w:r>
                  <w:r>
                    <w:rPr>
                      <w:rFonts w:hint="default"/>
                      <w:b w:val="0"/>
                      <w:color w:val="000000"/>
                      <w:sz w:val="21"/>
                      <w:szCs w:val="21"/>
                      <w:vertAlign w:val="subscript"/>
                    </w:rPr>
                    <w:t>2</w:t>
                  </w:r>
                </w:p>
              </w:tc>
              <w:tc>
                <w:tcPr>
                  <w:tcW w:w="2004" w:type="dxa"/>
                  <w:noWrap w:val="0"/>
                  <w:vAlign w:val="center"/>
                </w:tcPr>
                <w:p w14:paraId="28FC68DC">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rPr>
                    <w:t>1小时平均</w:t>
                  </w:r>
                </w:p>
              </w:tc>
              <w:tc>
                <w:tcPr>
                  <w:tcW w:w="2004" w:type="dxa"/>
                  <w:noWrap w:val="0"/>
                  <w:vAlign w:val="center"/>
                </w:tcPr>
                <w:p w14:paraId="625A7F97">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lang w:val="en-US" w:eastAsia="zh-CN"/>
                    </w:rPr>
                    <w:t>200</w:t>
                  </w:r>
                </w:p>
              </w:tc>
              <w:tc>
                <w:tcPr>
                  <w:tcW w:w="2005" w:type="dxa"/>
                  <w:vMerge w:val="continue"/>
                  <w:tcBorders>
                    <w:right w:val="nil"/>
                  </w:tcBorders>
                  <w:noWrap w:val="0"/>
                  <w:vAlign w:val="center"/>
                </w:tcPr>
                <w:p w14:paraId="680D090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1B73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continue"/>
                  <w:tcBorders>
                    <w:left w:val="nil"/>
                  </w:tcBorders>
                  <w:noWrap w:val="0"/>
                  <w:vAlign w:val="center"/>
                </w:tcPr>
                <w:p w14:paraId="31E2C229">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2004" w:type="dxa"/>
                  <w:noWrap w:val="0"/>
                  <w:vAlign w:val="center"/>
                </w:tcPr>
                <w:p w14:paraId="1ABBA751">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rPr>
                    <w:t>日平均</w:t>
                  </w:r>
                </w:p>
              </w:tc>
              <w:tc>
                <w:tcPr>
                  <w:tcW w:w="0" w:type="auto"/>
                  <w:noWrap w:val="0"/>
                  <w:vAlign w:val="center"/>
                </w:tcPr>
                <w:p w14:paraId="65551CE0">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lang w:val="en-US" w:eastAsia="zh-CN"/>
                    </w:rPr>
                    <w:t>80</w:t>
                  </w:r>
                </w:p>
              </w:tc>
              <w:tc>
                <w:tcPr>
                  <w:tcW w:w="2005" w:type="dxa"/>
                  <w:vMerge w:val="continue"/>
                  <w:tcBorders>
                    <w:right w:val="nil"/>
                  </w:tcBorders>
                  <w:noWrap w:val="0"/>
                  <w:vAlign w:val="center"/>
                </w:tcPr>
                <w:p w14:paraId="7654F471">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4119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continue"/>
                  <w:tcBorders>
                    <w:left w:val="nil"/>
                  </w:tcBorders>
                  <w:noWrap w:val="0"/>
                  <w:vAlign w:val="center"/>
                </w:tcPr>
                <w:p w14:paraId="41BFFC5B">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2004" w:type="dxa"/>
                  <w:noWrap w:val="0"/>
                  <w:vAlign w:val="center"/>
                </w:tcPr>
                <w:p w14:paraId="1042F02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年平均</w:t>
                  </w:r>
                </w:p>
              </w:tc>
              <w:tc>
                <w:tcPr>
                  <w:tcW w:w="0" w:type="auto"/>
                  <w:noWrap w:val="0"/>
                  <w:vAlign w:val="center"/>
                </w:tcPr>
                <w:p w14:paraId="6BCAB009">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lang w:val="en-US" w:eastAsia="zh-CN"/>
                    </w:rPr>
                    <w:t>40</w:t>
                  </w:r>
                </w:p>
              </w:tc>
              <w:tc>
                <w:tcPr>
                  <w:tcW w:w="2005" w:type="dxa"/>
                  <w:vMerge w:val="continue"/>
                  <w:tcBorders>
                    <w:right w:val="nil"/>
                  </w:tcBorders>
                  <w:noWrap w:val="0"/>
                  <w:vAlign w:val="center"/>
                </w:tcPr>
                <w:p w14:paraId="64E4BE34">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2772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restart"/>
                  <w:tcBorders>
                    <w:left w:val="nil"/>
                  </w:tcBorders>
                  <w:noWrap w:val="0"/>
                  <w:vAlign w:val="center"/>
                </w:tcPr>
                <w:p w14:paraId="254FCF84">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PM</w:t>
                  </w:r>
                  <w:r>
                    <w:rPr>
                      <w:rFonts w:hint="default"/>
                      <w:b w:val="0"/>
                      <w:color w:val="000000"/>
                      <w:sz w:val="21"/>
                      <w:szCs w:val="21"/>
                      <w:vertAlign w:val="subscript"/>
                    </w:rPr>
                    <w:t>10</w:t>
                  </w:r>
                </w:p>
              </w:tc>
              <w:tc>
                <w:tcPr>
                  <w:tcW w:w="2004" w:type="dxa"/>
                  <w:noWrap w:val="0"/>
                  <w:vAlign w:val="center"/>
                </w:tcPr>
                <w:p w14:paraId="3B9B03A4">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rPr>
                    <w:t>日平均</w:t>
                  </w:r>
                </w:p>
              </w:tc>
              <w:tc>
                <w:tcPr>
                  <w:tcW w:w="0" w:type="auto"/>
                  <w:noWrap w:val="0"/>
                  <w:vAlign w:val="center"/>
                </w:tcPr>
                <w:p w14:paraId="071A903C">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rPr>
                    <w:t>1</w:t>
                  </w:r>
                  <w:r>
                    <w:rPr>
                      <w:rFonts w:hint="eastAsia"/>
                      <w:b w:val="0"/>
                      <w:color w:val="000000"/>
                      <w:sz w:val="21"/>
                      <w:szCs w:val="21"/>
                      <w:lang w:val="en-US" w:eastAsia="zh-CN"/>
                    </w:rPr>
                    <w:t>2</w:t>
                  </w:r>
                  <w:r>
                    <w:rPr>
                      <w:rFonts w:hint="default"/>
                      <w:b w:val="0"/>
                      <w:color w:val="000000"/>
                      <w:sz w:val="21"/>
                      <w:szCs w:val="21"/>
                    </w:rPr>
                    <w:t>0</w:t>
                  </w:r>
                </w:p>
              </w:tc>
              <w:tc>
                <w:tcPr>
                  <w:tcW w:w="2005" w:type="dxa"/>
                  <w:vMerge w:val="continue"/>
                  <w:tcBorders>
                    <w:right w:val="nil"/>
                  </w:tcBorders>
                  <w:noWrap w:val="0"/>
                  <w:vAlign w:val="center"/>
                </w:tcPr>
                <w:p w14:paraId="5F11717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2309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continue"/>
                  <w:tcBorders>
                    <w:left w:val="nil"/>
                  </w:tcBorders>
                  <w:noWrap w:val="0"/>
                  <w:vAlign w:val="center"/>
                </w:tcPr>
                <w:p w14:paraId="1B4B5B3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2004" w:type="dxa"/>
                  <w:noWrap w:val="0"/>
                  <w:vAlign w:val="center"/>
                </w:tcPr>
                <w:p w14:paraId="6E76A591">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rPr>
                    <w:t>年平均</w:t>
                  </w:r>
                </w:p>
              </w:tc>
              <w:tc>
                <w:tcPr>
                  <w:tcW w:w="0" w:type="auto"/>
                  <w:noWrap w:val="0"/>
                  <w:vAlign w:val="center"/>
                </w:tcPr>
                <w:p w14:paraId="60C4D33D">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eastAsia"/>
                      <w:b w:val="0"/>
                      <w:color w:val="000000"/>
                      <w:sz w:val="21"/>
                      <w:szCs w:val="21"/>
                      <w:lang w:val="en-US" w:eastAsia="zh-CN"/>
                    </w:rPr>
                    <w:t>6</w:t>
                  </w:r>
                  <w:r>
                    <w:rPr>
                      <w:rFonts w:hint="default"/>
                      <w:b w:val="0"/>
                      <w:color w:val="000000"/>
                      <w:sz w:val="21"/>
                      <w:szCs w:val="21"/>
                    </w:rPr>
                    <w:t>0</w:t>
                  </w:r>
                </w:p>
              </w:tc>
              <w:tc>
                <w:tcPr>
                  <w:tcW w:w="2005" w:type="dxa"/>
                  <w:vMerge w:val="continue"/>
                  <w:tcBorders>
                    <w:right w:val="nil"/>
                  </w:tcBorders>
                  <w:noWrap w:val="0"/>
                  <w:vAlign w:val="center"/>
                </w:tcPr>
                <w:p w14:paraId="1A04636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5215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restart"/>
                  <w:tcBorders>
                    <w:left w:val="nil"/>
                  </w:tcBorders>
                  <w:noWrap w:val="0"/>
                  <w:vAlign w:val="center"/>
                </w:tcPr>
                <w:p w14:paraId="73EC5B1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PM</w:t>
                  </w:r>
                  <w:r>
                    <w:rPr>
                      <w:rFonts w:hint="default"/>
                      <w:b w:val="0"/>
                      <w:color w:val="000000"/>
                      <w:sz w:val="21"/>
                      <w:szCs w:val="21"/>
                      <w:vertAlign w:val="subscript"/>
                    </w:rPr>
                    <w:t>2.5</w:t>
                  </w:r>
                </w:p>
              </w:tc>
              <w:tc>
                <w:tcPr>
                  <w:tcW w:w="2004" w:type="dxa"/>
                  <w:noWrap w:val="0"/>
                  <w:vAlign w:val="center"/>
                </w:tcPr>
                <w:p w14:paraId="56FA9740">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rPr>
                    <w:t>日平均</w:t>
                  </w:r>
                </w:p>
              </w:tc>
              <w:tc>
                <w:tcPr>
                  <w:tcW w:w="0" w:type="auto"/>
                  <w:noWrap w:val="0"/>
                  <w:vAlign w:val="center"/>
                </w:tcPr>
                <w:p w14:paraId="645DF6F3">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eastAsia"/>
                      <w:b w:val="0"/>
                      <w:color w:val="000000"/>
                      <w:sz w:val="21"/>
                      <w:szCs w:val="21"/>
                      <w:lang w:val="en-US" w:eastAsia="zh-CN"/>
                    </w:rPr>
                    <w:t>60</w:t>
                  </w:r>
                </w:p>
              </w:tc>
              <w:tc>
                <w:tcPr>
                  <w:tcW w:w="2005" w:type="dxa"/>
                  <w:vMerge w:val="continue"/>
                  <w:tcBorders>
                    <w:right w:val="nil"/>
                  </w:tcBorders>
                  <w:noWrap w:val="0"/>
                  <w:vAlign w:val="center"/>
                </w:tcPr>
                <w:p w14:paraId="04093662">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4015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continue"/>
                  <w:tcBorders>
                    <w:left w:val="nil"/>
                  </w:tcBorders>
                  <w:noWrap w:val="0"/>
                  <w:vAlign w:val="center"/>
                </w:tcPr>
                <w:p w14:paraId="1F17A640">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2004" w:type="dxa"/>
                  <w:noWrap w:val="0"/>
                  <w:vAlign w:val="center"/>
                </w:tcPr>
                <w:p w14:paraId="7637D7F4">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rPr>
                    <w:t>年平均</w:t>
                  </w:r>
                </w:p>
              </w:tc>
              <w:tc>
                <w:tcPr>
                  <w:tcW w:w="0" w:type="auto"/>
                  <w:noWrap w:val="0"/>
                  <w:vAlign w:val="center"/>
                </w:tcPr>
                <w:p w14:paraId="7E271F2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color w:val="000000"/>
                      <w:sz w:val="21"/>
                      <w:szCs w:val="21"/>
                      <w:lang w:val="en-US" w:eastAsia="zh-CN"/>
                    </w:rPr>
                  </w:pPr>
                  <w:r>
                    <w:rPr>
                      <w:rFonts w:hint="default"/>
                      <w:b w:val="0"/>
                      <w:color w:val="000000"/>
                      <w:sz w:val="21"/>
                      <w:szCs w:val="21"/>
                    </w:rPr>
                    <w:t>3</w:t>
                  </w:r>
                  <w:r>
                    <w:rPr>
                      <w:rFonts w:hint="eastAsia"/>
                      <w:b w:val="0"/>
                      <w:color w:val="000000"/>
                      <w:sz w:val="21"/>
                      <w:szCs w:val="21"/>
                      <w:lang w:val="en-US" w:eastAsia="zh-CN"/>
                    </w:rPr>
                    <w:t>0</w:t>
                  </w:r>
                </w:p>
              </w:tc>
              <w:tc>
                <w:tcPr>
                  <w:tcW w:w="2005" w:type="dxa"/>
                  <w:vMerge w:val="continue"/>
                  <w:tcBorders>
                    <w:right w:val="nil"/>
                  </w:tcBorders>
                  <w:noWrap w:val="0"/>
                  <w:vAlign w:val="center"/>
                </w:tcPr>
                <w:p w14:paraId="2A6760F1">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6FE3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restart"/>
                  <w:tcBorders>
                    <w:left w:val="nil"/>
                  </w:tcBorders>
                  <w:noWrap w:val="0"/>
                  <w:vAlign w:val="center"/>
                </w:tcPr>
                <w:p w14:paraId="2E6EFD8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CO</w:t>
                  </w:r>
                </w:p>
              </w:tc>
              <w:tc>
                <w:tcPr>
                  <w:tcW w:w="2004" w:type="dxa"/>
                  <w:noWrap w:val="0"/>
                  <w:vAlign w:val="center"/>
                </w:tcPr>
                <w:p w14:paraId="3EB8043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rPr>
                    <w:t>1小时平均</w:t>
                  </w:r>
                </w:p>
              </w:tc>
              <w:tc>
                <w:tcPr>
                  <w:tcW w:w="0" w:type="auto"/>
                  <w:noWrap w:val="0"/>
                  <w:vAlign w:val="center"/>
                </w:tcPr>
                <w:p w14:paraId="3AC6944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ascii="Times New Roman" w:hAnsi="Times New Roman" w:eastAsia="宋体" w:cs="Times New Roman"/>
                      <w:b w:val="0"/>
                      <w:i w:val="0"/>
                      <w:iCs w:val="0"/>
                      <w:color w:val="000000"/>
                      <w:kern w:val="0"/>
                      <w:sz w:val="21"/>
                      <w:szCs w:val="21"/>
                      <w:u w:val="none"/>
                      <w:lang w:val="en-US" w:eastAsia="zh-CN" w:bidi="ar"/>
                    </w:rPr>
                    <w:t>10000</w:t>
                  </w:r>
                </w:p>
              </w:tc>
              <w:tc>
                <w:tcPr>
                  <w:tcW w:w="2005" w:type="dxa"/>
                  <w:vMerge w:val="continue"/>
                  <w:tcBorders>
                    <w:right w:val="nil"/>
                  </w:tcBorders>
                  <w:noWrap w:val="0"/>
                  <w:vAlign w:val="center"/>
                </w:tcPr>
                <w:p w14:paraId="51479987">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327B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continue"/>
                  <w:tcBorders>
                    <w:left w:val="nil"/>
                  </w:tcBorders>
                  <w:noWrap w:val="0"/>
                  <w:vAlign w:val="center"/>
                </w:tcPr>
                <w:p w14:paraId="63269F3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0" w:type="auto"/>
                  <w:noWrap w:val="0"/>
                  <w:vAlign w:val="center"/>
                </w:tcPr>
                <w:p w14:paraId="3C70F464">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rPr>
                    <w:t>日平均</w:t>
                  </w:r>
                </w:p>
              </w:tc>
              <w:tc>
                <w:tcPr>
                  <w:tcW w:w="0" w:type="auto"/>
                  <w:noWrap w:val="0"/>
                  <w:vAlign w:val="center"/>
                </w:tcPr>
                <w:p w14:paraId="469C1C37">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eastAsia"/>
                      <w:b w:val="0"/>
                      <w:color w:val="000000"/>
                      <w:sz w:val="21"/>
                      <w:szCs w:val="21"/>
                      <w:lang w:val="en-US" w:eastAsia="zh-CN"/>
                    </w:rPr>
                    <w:t>4000</w:t>
                  </w:r>
                </w:p>
              </w:tc>
              <w:tc>
                <w:tcPr>
                  <w:tcW w:w="2005" w:type="dxa"/>
                  <w:vMerge w:val="continue"/>
                  <w:tcBorders>
                    <w:right w:val="nil"/>
                  </w:tcBorders>
                  <w:noWrap w:val="0"/>
                  <w:vAlign w:val="center"/>
                </w:tcPr>
                <w:p w14:paraId="06A78E6D">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70AC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restart"/>
                  <w:tcBorders>
                    <w:left w:val="nil"/>
                  </w:tcBorders>
                  <w:noWrap w:val="0"/>
                  <w:vAlign w:val="center"/>
                </w:tcPr>
                <w:p w14:paraId="0189FE9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r>
                    <w:rPr>
                      <w:rFonts w:hint="default"/>
                      <w:b w:val="0"/>
                      <w:color w:val="000000"/>
                      <w:sz w:val="21"/>
                      <w:szCs w:val="21"/>
                    </w:rPr>
                    <w:t>O</w:t>
                  </w:r>
                  <w:r>
                    <w:rPr>
                      <w:rFonts w:hint="default"/>
                      <w:b w:val="0"/>
                      <w:color w:val="000000"/>
                      <w:sz w:val="21"/>
                      <w:szCs w:val="21"/>
                      <w:vertAlign w:val="subscript"/>
                    </w:rPr>
                    <w:t>3</w:t>
                  </w:r>
                </w:p>
              </w:tc>
              <w:tc>
                <w:tcPr>
                  <w:tcW w:w="0" w:type="auto"/>
                  <w:noWrap w:val="0"/>
                  <w:vAlign w:val="center"/>
                </w:tcPr>
                <w:p w14:paraId="7A221ED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rPr>
                    <w:t>1小时平均</w:t>
                  </w:r>
                </w:p>
              </w:tc>
              <w:tc>
                <w:tcPr>
                  <w:tcW w:w="0" w:type="auto"/>
                  <w:noWrap w:val="0"/>
                  <w:vAlign w:val="center"/>
                </w:tcPr>
                <w:p w14:paraId="10D4720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200</w:t>
                  </w:r>
                </w:p>
              </w:tc>
              <w:tc>
                <w:tcPr>
                  <w:tcW w:w="2005" w:type="dxa"/>
                  <w:vMerge w:val="continue"/>
                  <w:tcBorders>
                    <w:right w:val="nil"/>
                  </w:tcBorders>
                  <w:noWrap w:val="0"/>
                  <w:vAlign w:val="center"/>
                </w:tcPr>
                <w:p w14:paraId="41B78C96">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3A97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continue"/>
                  <w:tcBorders>
                    <w:left w:val="nil"/>
                  </w:tcBorders>
                  <w:noWrap w:val="0"/>
                  <w:vAlign w:val="center"/>
                </w:tcPr>
                <w:p w14:paraId="45564CC7">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0" w:type="auto"/>
                  <w:noWrap w:val="0"/>
                  <w:vAlign w:val="center"/>
                </w:tcPr>
                <w:p w14:paraId="37801D56">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en-US"/>
                    </w:rPr>
                  </w:pPr>
                  <w:r>
                    <w:rPr>
                      <w:rFonts w:hint="default"/>
                      <w:b w:val="0"/>
                      <w:color w:val="000000"/>
                      <w:sz w:val="21"/>
                      <w:szCs w:val="21"/>
                      <w:lang w:val="en-US" w:eastAsia="zh-CN"/>
                    </w:rPr>
                    <w:t>日最大</w:t>
                  </w:r>
                  <w:r>
                    <w:rPr>
                      <w:rFonts w:hint="default"/>
                      <w:b w:val="0"/>
                      <w:color w:val="000000"/>
                      <w:sz w:val="21"/>
                      <w:szCs w:val="21"/>
                    </w:rPr>
                    <w:t>8小时平均</w:t>
                  </w:r>
                </w:p>
              </w:tc>
              <w:tc>
                <w:tcPr>
                  <w:tcW w:w="0" w:type="auto"/>
                  <w:noWrap w:val="0"/>
                  <w:vAlign w:val="center"/>
                </w:tcPr>
                <w:p w14:paraId="661FDFC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val="0"/>
                      <w:color w:val="000000"/>
                      <w:sz w:val="21"/>
                      <w:szCs w:val="21"/>
                      <w:lang w:val="en-US" w:eastAsia="zh-CN"/>
                    </w:rPr>
                  </w:pPr>
                  <w:r>
                    <w:rPr>
                      <w:rFonts w:hint="eastAsia"/>
                      <w:b w:val="0"/>
                      <w:color w:val="000000"/>
                      <w:sz w:val="21"/>
                      <w:szCs w:val="21"/>
                      <w:lang w:val="en-US" w:eastAsia="zh-CN"/>
                    </w:rPr>
                    <w:t>160</w:t>
                  </w:r>
                </w:p>
              </w:tc>
              <w:tc>
                <w:tcPr>
                  <w:tcW w:w="2005" w:type="dxa"/>
                  <w:vMerge w:val="continue"/>
                  <w:tcBorders>
                    <w:right w:val="nil"/>
                  </w:tcBorders>
                  <w:noWrap w:val="0"/>
                  <w:vAlign w:val="center"/>
                </w:tcPr>
                <w:p w14:paraId="6E0C7AA6">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3701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04" w:type="dxa"/>
                  <w:vMerge w:val="restart"/>
                  <w:tcBorders>
                    <w:left w:val="nil"/>
                  </w:tcBorders>
                  <w:noWrap w:val="0"/>
                  <w:vAlign w:val="center"/>
                </w:tcPr>
                <w:p w14:paraId="464E77E0">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lang w:val="en-US" w:eastAsia="zh-CN"/>
                    </w:rPr>
                    <w:t>TSP</w:t>
                  </w:r>
                </w:p>
              </w:tc>
              <w:tc>
                <w:tcPr>
                  <w:tcW w:w="0" w:type="auto"/>
                  <w:noWrap w:val="0"/>
                  <w:vAlign w:val="center"/>
                </w:tcPr>
                <w:p w14:paraId="18DB5575">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rPr>
                    <w:t>年平均</w:t>
                  </w:r>
                </w:p>
              </w:tc>
              <w:tc>
                <w:tcPr>
                  <w:tcW w:w="0" w:type="auto"/>
                  <w:noWrap w:val="0"/>
                  <w:vAlign w:val="center"/>
                </w:tcPr>
                <w:p w14:paraId="396A3C07">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lang w:val="en-US" w:eastAsia="zh-CN"/>
                    </w:rPr>
                    <w:t>200</w:t>
                  </w:r>
                </w:p>
              </w:tc>
              <w:tc>
                <w:tcPr>
                  <w:tcW w:w="2005" w:type="dxa"/>
                  <w:vMerge w:val="continue"/>
                  <w:tcBorders>
                    <w:right w:val="nil"/>
                  </w:tcBorders>
                  <w:noWrap w:val="0"/>
                  <w:vAlign w:val="center"/>
                </w:tcPr>
                <w:p w14:paraId="7DFF87FF">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r w14:paraId="130A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004" w:type="dxa"/>
                  <w:vMerge w:val="continue"/>
                  <w:tcBorders>
                    <w:left w:val="nil"/>
                    <w:bottom w:val="single" w:color="000000" w:sz="12" w:space="0"/>
                  </w:tcBorders>
                  <w:noWrap w:val="0"/>
                  <w:vAlign w:val="center"/>
                </w:tcPr>
                <w:p w14:paraId="5B60C390">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c>
                <w:tcPr>
                  <w:tcW w:w="0" w:type="auto"/>
                  <w:tcBorders>
                    <w:bottom w:val="single" w:color="000000" w:sz="12" w:space="0"/>
                  </w:tcBorders>
                  <w:noWrap w:val="0"/>
                  <w:vAlign w:val="center"/>
                </w:tcPr>
                <w:p w14:paraId="0170890D">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lang w:val="en-US" w:eastAsia="zh-CN"/>
                    </w:rPr>
                    <w:t>24小时平均</w:t>
                  </w:r>
                </w:p>
              </w:tc>
              <w:tc>
                <w:tcPr>
                  <w:tcW w:w="0" w:type="auto"/>
                  <w:tcBorders>
                    <w:bottom w:val="single" w:color="000000" w:sz="12" w:space="0"/>
                  </w:tcBorders>
                  <w:noWrap w:val="0"/>
                  <w:vAlign w:val="center"/>
                </w:tcPr>
                <w:p w14:paraId="38BB5711">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lang w:val="en-US" w:eastAsia="zh-CN"/>
                    </w:rPr>
                  </w:pPr>
                  <w:r>
                    <w:rPr>
                      <w:rFonts w:hint="default"/>
                      <w:b w:val="0"/>
                      <w:color w:val="000000"/>
                      <w:sz w:val="21"/>
                      <w:szCs w:val="21"/>
                      <w:lang w:val="en-US" w:eastAsia="zh-CN"/>
                    </w:rPr>
                    <w:t>300</w:t>
                  </w:r>
                </w:p>
              </w:tc>
              <w:tc>
                <w:tcPr>
                  <w:tcW w:w="2005" w:type="dxa"/>
                  <w:vMerge w:val="continue"/>
                  <w:tcBorders>
                    <w:bottom w:val="single" w:color="000000" w:sz="12" w:space="0"/>
                    <w:right w:val="nil"/>
                  </w:tcBorders>
                  <w:noWrap w:val="0"/>
                  <w:vAlign w:val="center"/>
                </w:tcPr>
                <w:p w14:paraId="144A11A8">
                  <w:pPr>
                    <w:keepNext w:val="0"/>
                    <w:keepLines w:val="0"/>
                    <w:pageBreakBefore w:val="0"/>
                    <w:widowControl w:val="0"/>
                    <w:kinsoku/>
                    <w:wordWrap/>
                    <w:overflowPunct/>
                    <w:topLinePunct w:val="0"/>
                    <w:autoSpaceDE/>
                    <w:autoSpaceDN/>
                    <w:bidi w:val="0"/>
                    <w:adjustRightInd/>
                    <w:snapToGrid/>
                    <w:jc w:val="center"/>
                    <w:textAlignment w:val="auto"/>
                    <w:rPr>
                      <w:rFonts w:hint="default"/>
                      <w:b w:val="0"/>
                      <w:color w:val="000000"/>
                      <w:sz w:val="21"/>
                      <w:szCs w:val="21"/>
                    </w:rPr>
                  </w:pPr>
                </w:p>
              </w:tc>
            </w:tr>
          </w:tbl>
          <w:p w14:paraId="4E2D01B5">
            <w:pPr>
              <w:pStyle w:val="45"/>
              <w:keepNext w:val="0"/>
              <w:keepLines w:val="0"/>
              <w:pageBreakBefore w:val="0"/>
              <w:widowControl w:val="0"/>
              <w:kinsoku/>
              <w:wordWrap/>
              <w:overflowPunct/>
              <w:topLinePunct w:val="0"/>
              <w:autoSpaceDE/>
              <w:autoSpaceDN/>
              <w:bidi w:val="0"/>
              <w:adjustRightInd/>
              <w:snapToGrid/>
              <w:spacing w:line="360" w:lineRule="auto"/>
              <w:ind w:left="0" w:firstLine="46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（2）声环境</w:t>
            </w:r>
          </w:p>
          <w:p w14:paraId="53E6CB9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9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9"/>
                <w:sz w:val="24"/>
                <w:szCs w:val="24"/>
              </w:rPr>
              <w:t>本项目矿区四周为荒山，声环境执行</w:t>
            </w:r>
            <w:r>
              <w:rPr>
                <w:rFonts w:hint="eastAsia" w:ascii="Times New Roman" w:hAnsi="Times New Roman" w:eastAsia="宋体" w:cs="Times New Roman"/>
                <w:spacing w:val="29"/>
                <w:sz w:val="24"/>
                <w:szCs w:val="24"/>
                <w:lang w:eastAsia="zh-CN"/>
              </w:rPr>
              <w:t>《</w:t>
            </w:r>
            <w:r>
              <w:rPr>
                <w:rFonts w:hint="default" w:ascii="Times New Roman" w:hAnsi="Times New Roman" w:eastAsia="宋体" w:cs="Times New Roman"/>
                <w:spacing w:val="29"/>
                <w:sz w:val="24"/>
                <w:szCs w:val="24"/>
              </w:rPr>
              <w:t>声环境质量标准</w:t>
            </w:r>
            <w:r>
              <w:rPr>
                <w:rFonts w:hint="eastAsia" w:ascii="Times New Roman" w:hAnsi="Times New Roman" w:eastAsia="宋体" w:cs="Times New Roman"/>
                <w:spacing w:val="29"/>
                <w:sz w:val="24"/>
                <w:szCs w:val="24"/>
                <w:lang w:eastAsia="zh-CN"/>
              </w:rPr>
              <w:t>》</w:t>
            </w:r>
            <w:r>
              <w:rPr>
                <w:rFonts w:hint="default" w:ascii="Times New Roman" w:hAnsi="Times New Roman" w:eastAsia="宋体" w:cs="Times New Roman"/>
                <w:spacing w:val="14"/>
                <w:sz w:val="24"/>
                <w:szCs w:val="24"/>
              </w:rPr>
              <w:t>（</w:t>
            </w:r>
            <w:r>
              <w:rPr>
                <w:rFonts w:hint="default" w:ascii="Times New Roman" w:hAnsi="Times New Roman" w:eastAsia="宋体" w:cs="Times New Roman"/>
                <w:sz w:val="24"/>
                <w:szCs w:val="24"/>
              </w:rPr>
              <w:t>GB</w:t>
            </w:r>
            <w:r>
              <w:rPr>
                <w:rFonts w:hint="default" w:ascii="Times New Roman" w:hAnsi="Times New Roman" w:eastAsia="宋体" w:cs="Times New Roman"/>
                <w:spacing w:val="14"/>
                <w:sz w:val="24"/>
                <w:szCs w:val="24"/>
              </w:rPr>
              <w:t>3096-2008）中</w:t>
            </w:r>
            <w:r>
              <w:rPr>
                <w:rFonts w:hint="eastAsia" w:ascii="Times New Roman" w:hAnsi="Times New Roman" w:eastAsia="宋体" w:cs="Times New Roman"/>
                <w:spacing w:val="14"/>
                <w:sz w:val="24"/>
                <w:szCs w:val="24"/>
                <w:lang w:val="en-US" w:eastAsia="zh-CN"/>
              </w:rPr>
              <w:t>2类</w:t>
            </w:r>
            <w:r>
              <w:rPr>
                <w:rFonts w:hint="default" w:ascii="Times New Roman" w:hAnsi="Times New Roman" w:eastAsia="宋体" w:cs="Times New Roman"/>
                <w:spacing w:val="14"/>
                <w:sz w:val="24"/>
                <w:szCs w:val="24"/>
              </w:rPr>
              <w:t>标准限制，具</w:t>
            </w:r>
            <w:r>
              <w:rPr>
                <w:rFonts w:hint="default" w:ascii="Times New Roman" w:hAnsi="Times New Roman" w:eastAsia="宋体" w:cs="Times New Roman"/>
                <w:spacing w:val="13"/>
                <w:sz w:val="24"/>
                <w:szCs w:val="24"/>
              </w:rPr>
              <w:t>体见表3-</w:t>
            </w:r>
            <w:r>
              <w:rPr>
                <w:rFonts w:hint="eastAsia" w:ascii="Times New Roman" w:hAnsi="Times New Roman" w:eastAsia="宋体" w:cs="Times New Roman"/>
                <w:spacing w:val="13"/>
                <w:sz w:val="24"/>
                <w:szCs w:val="24"/>
                <w:lang w:val="en-US" w:eastAsia="zh-CN"/>
              </w:rPr>
              <w:t>23</w:t>
            </w:r>
            <w:r>
              <w:rPr>
                <w:rFonts w:hint="default" w:ascii="Times New Roman" w:hAnsi="Times New Roman" w:eastAsia="宋体" w:cs="Times New Roman"/>
                <w:spacing w:val="13"/>
                <w:sz w:val="24"/>
                <w:szCs w:val="24"/>
              </w:rPr>
              <w:t>。</w:t>
            </w:r>
          </w:p>
          <w:p w14:paraId="0BBC735A">
            <w:pPr>
              <w:pStyle w:val="22"/>
              <w:keepNext w:val="0"/>
              <w:keepLines w:val="0"/>
              <w:pageBreakBefore w:val="0"/>
              <w:kinsoku/>
              <w:wordWrap/>
              <w:overflowPunct/>
              <w:topLinePunct w:val="0"/>
              <w:autoSpaceDE/>
              <w:autoSpaceDN/>
              <w:bidi w:val="0"/>
              <w:adjustRightInd/>
              <w:spacing w:before="0" w:after="0" w:line="360" w:lineRule="auto"/>
              <w:ind w:left="0" w:right="0" w:firstLine="454" w:firstLineChars="20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spacing w:val="8"/>
                <w:sz w:val="21"/>
                <w:szCs w:val="21"/>
              </w:rPr>
              <w:t>表3-</w:t>
            </w:r>
            <w:r>
              <w:rPr>
                <w:rFonts w:hint="eastAsia" w:ascii="Times New Roman" w:hAnsi="Times New Roman" w:cs="Times New Roman"/>
                <w:b/>
                <w:bCs/>
                <w:spacing w:val="8"/>
                <w:sz w:val="21"/>
                <w:szCs w:val="21"/>
                <w:lang w:val="en-US" w:eastAsia="zh-CN"/>
              </w:rPr>
              <w:t>23</w:t>
            </w:r>
            <w:r>
              <w:rPr>
                <w:rFonts w:hint="default" w:ascii="Times New Roman" w:hAnsi="Times New Roman" w:eastAsia="宋体" w:cs="Times New Roman"/>
                <w:b/>
                <w:bCs/>
                <w:spacing w:val="8"/>
                <w:sz w:val="21"/>
                <w:szCs w:val="21"/>
              </w:rPr>
              <w:t xml:space="preserve">   声环境质量标准     单位</w:t>
            </w:r>
            <w:r>
              <w:rPr>
                <w:rFonts w:hint="default" w:ascii="Times New Roman" w:hAnsi="Times New Roman" w:eastAsia="宋体" w:cs="Times New Roman"/>
                <w:b/>
                <w:bCs/>
                <w:spacing w:val="-23"/>
                <w:sz w:val="21"/>
                <w:szCs w:val="21"/>
              </w:rPr>
              <w:t xml:space="preserve"> </w:t>
            </w:r>
            <w:r>
              <w:rPr>
                <w:rFonts w:hint="default" w:ascii="Times New Roman" w:hAnsi="Times New Roman" w:eastAsia="宋体" w:cs="Times New Roman"/>
                <w:b/>
                <w:bCs/>
                <w:spacing w:val="8"/>
                <w:sz w:val="21"/>
                <w:szCs w:val="21"/>
              </w:rPr>
              <w:t>：</w:t>
            </w:r>
            <w:r>
              <w:rPr>
                <w:rFonts w:hint="default" w:ascii="Times New Roman" w:hAnsi="Times New Roman" w:eastAsia="宋体" w:cs="Times New Roman"/>
                <w:b/>
                <w:bCs/>
                <w:sz w:val="21"/>
                <w:szCs w:val="21"/>
              </w:rPr>
              <w:t>dB</w:t>
            </w:r>
            <w:r>
              <w:rPr>
                <w:rFonts w:hint="default" w:ascii="Times New Roman" w:hAnsi="Times New Roman" w:eastAsia="宋体" w:cs="Times New Roman"/>
                <w:b/>
                <w:bCs/>
                <w:spacing w:val="8"/>
                <w:sz w:val="21"/>
                <w:szCs w:val="21"/>
              </w:rPr>
              <w:t>（A</w:t>
            </w:r>
            <w:r>
              <w:rPr>
                <w:rFonts w:hint="default" w:ascii="Times New Roman" w:hAnsi="Times New Roman" w:eastAsia="宋体" w:cs="Times New Roman"/>
                <w:b/>
                <w:bCs/>
                <w:spacing w:val="-26"/>
                <w:w w:val="97"/>
                <w:sz w:val="21"/>
                <w:szCs w:val="21"/>
              </w:rPr>
              <w:t>）（</w:t>
            </w:r>
            <w:r>
              <w:rPr>
                <w:rFonts w:hint="default" w:ascii="Times New Roman" w:hAnsi="Times New Roman" w:eastAsia="宋体" w:cs="Times New Roman"/>
                <w:b/>
                <w:bCs/>
                <w:spacing w:val="7"/>
                <w:sz w:val="21"/>
                <w:szCs w:val="21"/>
              </w:rPr>
              <w:t>摘录）</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2"/>
              <w:gridCol w:w="2633"/>
              <w:gridCol w:w="2633"/>
            </w:tblGrid>
            <w:tr w14:paraId="36E1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632" w:type="dxa"/>
                  <w:tcBorders>
                    <w:top w:val="single" w:color="000000" w:sz="12" w:space="0"/>
                    <w:left w:val="nil"/>
                    <w:tl2br w:val="nil"/>
                  </w:tcBorders>
                  <w:noWrap w:val="0"/>
                  <w:vAlign w:val="center"/>
                </w:tcPr>
                <w:p w14:paraId="45A2C809">
                  <w:pPr>
                    <w:pStyle w:val="45"/>
                    <w:spacing w:before="77" w:line="207" w:lineRule="auto"/>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eastAsia="宋体" w:cs="Times New Roman"/>
                      <w:b w:val="0"/>
                      <w:bCs/>
                      <w:color w:val="000000"/>
                      <w:spacing w:val="10"/>
                      <w:sz w:val="21"/>
                      <w:szCs w:val="21"/>
                    </w:rPr>
                    <w:t>声环境功能区类别</w:t>
                  </w:r>
                </w:p>
              </w:tc>
              <w:tc>
                <w:tcPr>
                  <w:tcW w:w="2633" w:type="dxa"/>
                  <w:tcBorders>
                    <w:top w:val="single" w:color="000000" w:sz="12" w:space="0"/>
                  </w:tcBorders>
                  <w:noWrap w:val="0"/>
                  <w:vAlign w:val="center"/>
                </w:tcPr>
                <w:p w14:paraId="31F8D437">
                  <w:pPr>
                    <w:pStyle w:val="45"/>
                    <w:spacing w:before="78" w:line="207" w:lineRule="auto"/>
                    <w:ind w:left="766" w:left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eastAsia="宋体" w:cs="Times New Roman"/>
                      <w:b w:val="0"/>
                      <w:bCs/>
                      <w:color w:val="000000"/>
                      <w:spacing w:val="8"/>
                      <w:sz w:val="21"/>
                      <w:szCs w:val="21"/>
                    </w:rPr>
                    <w:t>昼间</w:t>
                  </w:r>
                </w:p>
              </w:tc>
              <w:tc>
                <w:tcPr>
                  <w:tcW w:w="2633" w:type="dxa"/>
                  <w:tcBorders>
                    <w:top w:val="single" w:color="000000" w:sz="12" w:space="0"/>
                    <w:right w:val="nil"/>
                  </w:tcBorders>
                  <w:noWrap w:val="0"/>
                  <w:vAlign w:val="center"/>
                </w:tcPr>
                <w:p w14:paraId="0B66F410">
                  <w:pPr>
                    <w:pStyle w:val="45"/>
                    <w:spacing w:before="78" w:line="207" w:lineRule="auto"/>
                    <w:ind w:left="743" w:leftChars="0"/>
                    <w:jc w:val="center"/>
                    <w:rPr>
                      <w:rFonts w:hint="default" w:ascii="Times New Roman" w:hAnsi="Times New Roman" w:eastAsia="宋体" w:cs="Times New Roman"/>
                      <w:b w:val="0"/>
                      <w:color w:val="000000"/>
                      <w:kern w:val="0"/>
                      <w:sz w:val="21"/>
                      <w:szCs w:val="21"/>
                      <w:vertAlign w:val="baseline"/>
                    </w:rPr>
                  </w:pPr>
                  <w:r>
                    <w:rPr>
                      <w:rFonts w:hint="default" w:ascii="Times New Roman" w:hAnsi="Times New Roman" w:eastAsia="宋体" w:cs="Times New Roman"/>
                      <w:b w:val="0"/>
                      <w:bCs/>
                      <w:color w:val="000000"/>
                      <w:spacing w:val="8"/>
                      <w:sz w:val="21"/>
                      <w:szCs w:val="21"/>
                    </w:rPr>
                    <w:t>夜间</w:t>
                  </w:r>
                </w:p>
              </w:tc>
            </w:tr>
            <w:tr w14:paraId="036D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632" w:type="dxa"/>
                  <w:tcBorders>
                    <w:left w:val="nil"/>
                    <w:bottom w:val="single" w:color="000000" w:sz="12" w:space="0"/>
                  </w:tcBorders>
                  <w:noWrap w:val="0"/>
                  <w:vAlign w:val="center"/>
                </w:tcPr>
                <w:p w14:paraId="486F696C">
                  <w:pPr>
                    <w:pStyle w:val="45"/>
                    <w:spacing w:before="82" w:line="207" w:lineRule="auto"/>
                    <w:ind w:firstLine="936" w:firstLineChars="400"/>
                    <w:jc w:val="both"/>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eastAsia="宋体" w:cs="Times New Roman"/>
                      <w:b w:val="0"/>
                      <w:color w:val="000000"/>
                      <w:spacing w:val="12"/>
                      <w:sz w:val="21"/>
                      <w:szCs w:val="21"/>
                    </w:rPr>
                    <w:t>2</w:t>
                  </w:r>
                  <w:r>
                    <w:rPr>
                      <w:rFonts w:hint="default" w:ascii="Times New Roman" w:hAnsi="Times New Roman" w:eastAsia="宋体" w:cs="Times New Roman"/>
                      <w:b w:val="0"/>
                      <w:color w:val="000000"/>
                      <w:spacing w:val="-44"/>
                      <w:sz w:val="21"/>
                      <w:szCs w:val="21"/>
                    </w:rPr>
                    <w:t xml:space="preserve"> </w:t>
                  </w:r>
                  <w:r>
                    <w:rPr>
                      <w:rFonts w:hint="default" w:ascii="Times New Roman" w:hAnsi="Times New Roman" w:eastAsia="宋体" w:cs="Times New Roman"/>
                      <w:b w:val="0"/>
                      <w:color w:val="000000"/>
                      <w:spacing w:val="12"/>
                      <w:sz w:val="21"/>
                      <w:szCs w:val="21"/>
                    </w:rPr>
                    <w:t>类</w:t>
                  </w:r>
                </w:p>
              </w:tc>
              <w:tc>
                <w:tcPr>
                  <w:tcW w:w="2633" w:type="dxa"/>
                  <w:tcBorders>
                    <w:bottom w:val="single" w:color="000000" w:sz="12" w:space="0"/>
                  </w:tcBorders>
                  <w:noWrap w:val="0"/>
                  <w:vAlign w:val="center"/>
                </w:tcPr>
                <w:p w14:paraId="18C915B4">
                  <w:pPr>
                    <w:spacing w:before="113" w:line="203" w:lineRule="auto"/>
                    <w:ind w:left="853" w:left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pacing w:val="17"/>
                      <w:w w:val="108"/>
                      <w:sz w:val="21"/>
                      <w:szCs w:val="21"/>
                    </w:rPr>
                    <w:t>60</w:t>
                  </w:r>
                </w:p>
              </w:tc>
              <w:tc>
                <w:tcPr>
                  <w:tcW w:w="2633" w:type="dxa"/>
                  <w:tcBorders>
                    <w:bottom w:val="single" w:color="000000" w:sz="12" w:space="0"/>
                    <w:right w:val="nil"/>
                  </w:tcBorders>
                  <w:noWrap w:val="0"/>
                  <w:vAlign w:val="center"/>
                </w:tcPr>
                <w:p w14:paraId="20559144">
                  <w:pPr>
                    <w:spacing w:before="113" w:line="203" w:lineRule="auto"/>
                    <w:ind w:left="832" w:leftChars="0"/>
                    <w:jc w:val="center"/>
                    <w:rPr>
                      <w:rFonts w:hint="default" w:ascii="Times New Roman" w:hAnsi="Times New Roman" w:eastAsia="宋体" w:cs="Times New Roman"/>
                      <w:b w:val="0"/>
                      <w:color w:val="000000"/>
                      <w:kern w:val="0"/>
                      <w:sz w:val="21"/>
                      <w:szCs w:val="21"/>
                      <w:vertAlign w:val="baseline"/>
                    </w:rPr>
                  </w:pPr>
                  <w:r>
                    <w:rPr>
                      <w:rFonts w:hint="default" w:ascii="Times New Roman" w:hAnsi="Times New Roman" w:eastAsia="宋体" w:cs="Times New Roman"/>
                      <w:b w:val="0"/>
                      <w:color w:val="000000"/>
                      <w:spacing w:val="24"/>
                      <w:sz w:val="21"/>
                      <w:szCs w:val="21"/>
                    </w:rPr>
                    <w:t>50</w:t>
                  </w:r>
                </w:p>
              </w:tc>
            </w:tr>
          </w:tbl>
          <w:p w14:paraId="4CA18D26">
            <w:pPr>
              <w:pStyle w:val="45"/>
              <w:keepNext w:val="0"/>
              <w:keepLines w:val="0"/>
              <w:pageBreakBefore w:val="0"/>
              <w:kinsoku/>
              <w:wordWrap/>
              <w:overflowPunct/>
              <w:topLinePunct w:val="0"/>
              <w:autoSpaceDE/>
              <w:autoSpaceDN/>
              <w:bidi w:val="0"/>
              <w:adjustRightInd/>
              <w:spacing w:line="360" w:lineRule="auto"/>
              <w:ind w:left="0" w:firstLine="49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2、污染物排放标准</w:t>
            </w:r>
          </w:p>
          <w:p w14:paraId="3D6F5154">
            <w:pPr>
              <w:pStyle w:val="45"/>
              <w:keepNext w:val="0"/>
              <w:keepLines w:val="0"/>
              <w:pageBreakBefore w:val="0"/>
              <w:kinsoku/>
              <w:wordWrap/>
              <w:overflowPunct/>
              <w:topLinePunct w:val="0"/>
              <w:autoSpaceDE/>
              <w:autoSpaceDN/>
              <w:bidi w:val="0"/>
              <w:adjustRightInd/>
              <w:spacing w:line="360" w:lineRule="auto"/>
              <w:ind w:left="0" w:firstLine="684" w:firstLineChars="3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（1）废气</w:t>
            </w:r>
          </w:p>
          <w:p w14:paraId="443048DF">
            <w:pPr>
              <w:pStyle w:val="22"/>
              <w:keepNext w:val="0"/>
              <w:keepLines w:val="0"/>
              <w:pageBreakBefore w:val="0"/>
              <w:kinsoku/>
              <w:wordWrap/>
              <w:overflowPunct/>
              <w:topLinePunct w:val="0"/>
              <w:autoSpaceDE/>
              <w:autoSpaceDN/>
              <w:bidi w:val="0"/>
              <w:adjustRightInd/>
              <w:spacing w:before="0" w:after="0" w:line="360" w:lineRule="auto"/>
              <w:ind w:left="0" w:right="0" w:firstLine="726" w:firstLineChars="3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spacing w:val="1"/>
                <w:sz w:val="24"/>
                <w:szCs w:val="24"/>
              </w:rPr>
              <w:t>项目施工、运营过程中排放的颗粒物执行《大气污染物综合排放标</w:t>
            </w:r>
            <w:r>
              <w:rPr>
                <w:rFonts w:hint="default" w:ascii="Times New Roman" w:hAnsi="Times New Roman" w:eastAsia="宋体" w:cs="Times New Roman"/>
                <w:spacing w:val="8"/>
                <w:sz w:val="24"/>
                <w:szCs w:val="24"/>
              </w:rPr>
              <w:t>准》（</w:t>
            </w:r>
            <w:r>
              <w:rPr>
                <w:rFonts w:hint="default" w:ascii="Times New Roman" w:hAnsi="Times New Roman" w:eastAsia="宋体" w:cs="Times New Roman"/>
                <w:sz w:val="24"/>
                <w:szCs w:val="24"/>
              </w:rPr>
              <w:t>GB</w:t>
            </w:r>
            <w:r>
              <w:rPr>
                <w:rFonts w:hint="default" w:ascii="Times New Roman" w:hAnsi="Times New Roman" w:eastAsia="宋体" w:cs="Times New Roman"/>
                <w:spacing w:val="8"/>
                <w:sz w:val="24"/>
                <w:szCs w:val="24"/>
              </w:rPr>
              <w:t>16297-1996）中表2中无组织排放监控浓度限值，具体见表</w:t>
            </w:r>
            <w:r>
              <w:rPr>
                <w:rFonts w:hint="default" w:ascii="Times New Roman" w:hAnsi="Times New Roman" w:eastAsia="宋体" w:cs="Times New Roman"/>
                <w:spacing w:val="10"/>
                <w:sz w:val="24"/>
                <w:szCs w:val="24"/>
              </w:rPr>
              <w:t>3-</w:t>
            </w:r>
            <w:r>
              <w:rPr>
                <w:rFonts w:hint="eastAsia" w:ascii="Times New Roman" w:hAnsi="Times New Roman" w:cs="Times New Roman"/>
                <w:spacing w:val="10"/>
                <w:sz w:val="24"/>
                <w:szCs w:val="24"/>
                <w:lang w:val="en-US" w:eastAsia="zh-CN"/>
              </w:rPr>
              <w:t>24</w:t>
            </w:r>
            <w:r>
              <w:rPr>
                <w:rFonts w:hint="default" w:ascii="Times New Roman" w:hAnsi="Times New Roman" w:eastAsia="宋体" w:cs="Times New Roman"/>
                <w:spacing w:val="10"/>
                <w:sz w:val="24"/>
                <w:szCs w:val="24"/>
              </w:rPr>
              <w:t>。</w:t>
            </w:r>
          </w:p>
          <w:p w14:paraId="348753EC">
            <w:pPr>
              <w:pStyle w:val="22"/>
              <w:keepNext w:val="0"/>
              <w:keepLines w:val="0"/>
              <w:pageBreakBefore w:val="0"/>
              <w:kinsoku/>
              <w:wordWrap/>
              <w:overflowPunct/>
              <w:topLinePunct w:val="0"/>
              <w:autoSpaceDE/>
              <w:autoSpaceDN/>
              <w:bidi w:val="0"/>
              <w:adjustRightInd/>
              <w:spacing w:before="0" w:after="0" w:line="360" w:lineRule="auto"/>
              <w:ind w:left="0" w:right="0" w:firstLine="620" w:firstLineChars="300"/>
              <w:jc w:val="center"/>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b/>
                <w:bCs/>
                <w:spacing w:val="-2"/>
                <w:sz w:val="21"/>
                <w:szCs w:val="21"/>
              </w:rPr>
              <w:t>表3-</w:t>
            </w:r>
            <w:r>
              <w:rPr>
                <w:rFonts w:hint="eastAsia" w:ascii="Times New Roman" w:hAnsi="Times New Roman" w:cs="Times New Roman"/>
                <w:b/>
                <w:bCs/>
                <w:spacing w:val="-2"/>
                <w:sz w:val="21"/>
                <w:szCs w:val="21"/>
                <w:lang w:val="en-US" w:eastAsia="zh-CN"/>
              </w:rPr>
              <w:t>24</w:t>
            </w:r>
            <w:r>
              <w:rPr>
                <w:rFonts w:hint="default" w:ascii="Times New Roman" w:hAnsi="Times New Roman" w:eastAsia="宋体" w:cs="Times New Roman"/>
                <w:b/>
                <w:bCs/>
                <w:spacing w:val="-2"/>
                <w:sz w:val="21"/>
                <w:szCs w:val="21"/>
              </w:rPr>
              <w:t>大气污染物综合排放标准限值（GB16297-</w:t>
            </w:r>
            <w:r>
              <w:rPr>
                <w:rFonts w:hint="default" w:ascii="Times New Roman" w:hAnsi="Times New Roman" w:eastAsia="宋体" w:cs="Times New Roman"/>
                <w:b/>
                <w:bCs/>
                <w:spacing w:val="-30"/>
                <w:sz w:val="21"/>
                <w:szCs w:val="21"/>
              </w:rPr>
              <w:t xml:space="preserve"> </w:t>
            </w:r>
            <w:r>
              <w:rPr>
                <w:rFonts w:hint="default" w:ascii="Times New Roman" w:hAnsi="Times New Roman" w:eastAsia="宋体" w:cs="Times New Roman"/>
                <w:b/>
                <w:bCs/>
                <w:spacing w:val="-2"/>
                <w:sz w:val="21"/>
                <w:szCs w:val="21"/>
              </w:rPr>
              <w:t>19</w:t>
            </w:r>
            <w:r>
              <w:rPr>
                <w:rFonts w:hint="default" w:ascii="Times New Roman" w:hAnsi="Times New Roman" w:eastAsia="宋体" w:cs="Times New Roman"/>
                <w:b/>
                <w:bCs/>
                <w:spacing w:val="-3"/>
                <w:sz w:val="21"/>
                <w:szCs w:val="21"/>
              </w:rPr>
              <w:t>96）</w:t>
            </w:r>
          </w:p>
          <w:tbl>
            <w:tblPr>
              <w:tblStyle w:val="23"/>
              <w:tblW w:w="4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3401"/>
              <w:gridCol w:w="2619"/>
            </w:tblGrid>
            <w:tr w14:paraId="1F02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174" w:type="pct"/>
                  <w:vMerge w:val="restart"/>
                  <w:tcBorders>
                    <w:top w:val="single" w:color="000000" w:sz="12" w:space="0"/>
                    <w:left w:val="nil"/>
                    <w:tl2br w:val="nil"/>
                  </w:tcBorders>
                  <w:noWrap/>
                  <w:vAlign w:val="center"/>
                </w:tcPr>
                <w:p w14:paraId="4CE87631">
                  <w:pPr>
                    <w:keepNext w:val="0"/>
                    <w:keepLines/>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kern w:val="21"/>
                      <w:sz w:val="21"/>
                      <w:szCs w:val="21"/>
                      <w:highlight w:val="none"/>
                    </w:rPr>
                  </w:pPr>
                  <w:r>
                    <w:rPr>
                      <w:rFonts w:hint="default" w:ascii="Times New Roman" w:hAnsi="Times New Roman" w:eastAsia="宋体" w:cs="Times New Roman"/>
                      <w:b w:val="0"/>
                      <w:color w:val="000000"/>
                      <w:sz w:val="21"/>
                      <w:szCs w:val="21"/>
                      <w:highlight w:val="none"/>
                    </w:rPr>
                    <w:t>污染物</w:t>
                  </w:r>
                </w:p>
              </w:tc>
              <w:tc>
                <w:tcPr>
                  <w:tcW w:w="3825" w:type="pct"/>
                  <w:gridSpan w:val="2"/>
                  <w:tcBorders>
                    <w:top w:val="single" w:color="000000" w:sz="12" w:space="0"/>
                    <w:right w:val="nil"/>
                  </w:tcBorders>
                  <w:noWrap/>
                  <w:vAlign w:val="center"/>
                </w:tcPr>
                <w:p w14:paraId="79F1FCF7">
                  <w:pPr>
                    <w:keepNext w:val="0"/>
                    <w:keepLines/>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kern w:val="21"/>
                      <w:sz w:val="21"/>
                      <w:szCs w:val="21"/>
                      <w:highlight w:val="none"/>
                    </w:rPr>
                  </w:pPr>
                  <w:r>
                    <w:rPr>
                      <w:rFonts w:hint="default" w:ascii="Times New Roman" w:hAnsi="Times New Roman" w:eastAsia="宋体" w:cs="Times New Roman"/>
                      <w:b w:val="0"/>
                      <w:bCs/>
                      <w:caps w:val="0"/>
                      <w:smallCaps w:val="0"/>
                      <w:color w:val="000000"/>
                      <w:spacing w:val="4"/>
                      <w:sz w:val="21"/>
                      <w:szCs w:val="21"/>
                      <w:highlight w:val="none"/>
                      <w:lang w:bidi="ar"/>
                    </w:rPr>
                    <w:t>无组织排放监控浓度限值</w:t>
                  </w:r>
                </w:p>
              </w:tc>
            </w:tr>
            <w:tr w14:paraId="4898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174" w:type="pct"/>
                  <w:vMerge w:val="continue"/>
                  <w:tcBorders>
                    <w:left w:val="nil"/>
                  </w:tcBorders>
                  <w:noWrap/>
                  <w:vAlign w:val="center"/>
                </w:tcPr>
                <w:p w14:paraId="35AA107F">
                  <w:pPr>
                    <w:keepNext w:val="0"/>
                    <w:keepLines/>
                    <w:pageBreakBefore w:val="0"/>
                    <w:widowControl/>
                    <w:suppressLineNumbers w:val="0"/>
                    <w:kinsoku/>
                    <w:wordWrap w:val="0"/>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kern w:val="21"/>
                      <w:sz w:val="21"/>
                      <w:szCs w:val="21"/>
                      <w:highlight w:val="none"/>
                    </w:rPr>
                  </w:pPr>
                </w:p>
              </w:tc>
              <w:tc>
                <w:tcPr>
                  <w:tcW w:w="2161" w:type="pct"/>
                  <w:noWrap/>
                  <w:vAlign w:val="center"/>
                </w:tcPr>
                <w:p w14:paraId="06185DC4">
                  <w:pPr>
                    <w:keepNext w:val="0"/>
                    <w:keepLines/>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kern w:val="21"/>
                      <w:sz w:val="21"/>
                      <w:szCs w:val="21"/>
                      <w:highlight w:val="none"/>
                    </w:rPr>
                  </w:pPr>
                  <w:r>
                    <w:rPr>
                      <w:rFonts w:hint="default" w:ascii="Times New Roman" w:hAnsi="Times New Roman" w:eastAsia="宋体" w:cs="Times New Roman"/>
                      <w:b w:val="0"/>
                      <w:bCs/>
                      <w:color w:val="000000"/>
                      <w:kern w:val="21"/>
                      <w:sz w:val="21"/>
                      <w:szCs w:val="21"/>
                      <w:highlight w:val="none"/>
                    </w:rPr>
                    <w:t>监控点</w:t>
                  </w:r>
                </w:p>
              </w:tc>
              <w:tc>
                <w:tcPr>
                  <w:tcW w:w="1664" w:type="pct"/>
                  <w:tcBorders>
                    <w:right w:val="nil"/>
                  </w:tcBorders>
                  <w:noWrap/>
                  <w:vAlign w:val="center"/>
                </w:tcPr>
                <w:p w14:paraId="7E326896">
                  <w:pPr>
                    <w:keepNext w:val="0"/>
                    <w:keepLines/>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kern w:val="21"/>
                      <w:sz w:val="21"/>
                      <w:szCs w:val="21"/>
                      <w:highlight w:val="none"/>
                    </w:rPr>
                  </w:pPr>
                  <w:r>
                    <w:rPr>
                      <w:rFonts w:hint="default" w:ascii="Times New Roman" w:hAnsi="Times New Roman" w:eastAsia="宋体" w:cs="Times New Roman"/>
                      <w:b w:val="0"/>
                      <w:bCs/>
                      <w:color w:val="000000"/>
                      <w:kern w:val="21"/>
                      <w:sz w:val="21"/>
                      <w:szCs w:val="21"/>
                      <w:highlight w:val="none"/>
                    </w:rPr>
                    <w:t>浓度（mg/m</w:t>
                  </w:r>
                  <w:r>
                    <w:rPr>
                      <w:rFonts w:hint="default" w:ascii="Times New Roman" w:hAnsi="Times New Roman" w:eastAsia="宋体" w:cs="Times New Roman"/>
                      <w:b w:val="0"/>
                      <w:bCs/>
                      <w:color w:val="000000"/>
                      <w:kern w:val="21"/>
                      <w:sz w:val="21"/>
                      <w:szCs w:val="21"/>
                      <w:highlight w:val="none"/>
                      <w:vertAlign w:val="superscript"/>
                    </w:rPr>
                    <w:t>3</w:t>
                  </w:r>
                  <w:r>
                    <w:rPr>
                      <w:rFonts w:hint="default" w:ascii="Times New Roman" w:hAnsi="Times New Roman" w:eastAsia="宋体" w:cs="Times New Roman"/>
                      <w:b w:val="0"/>
                      <w:bCs/>
                      <w:color w:val="000000"/>
                      <w:kern w:val="21"/>
                      <w:sz w:val="21"/>
                      <w:szCs w:val="21"/>
                      <w:highlight w:val="none"/>
                    </w:rPr>
                    <w:t>）</w:t>
                  </w:r>
                </w:p>
              </w:tc>
            </w:tr>
            <w:tr w14:paraId="29A1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174" w:type="pct"/>
                  <w:tcBorders>
                    <w:left w:val="nil"/>
                    <w:bottom w:val="single" w:color="000000" w:sz="12" w:space="0"/>
                  </w:tcBorders>
                  <w:noWrap/>
                  <w:vAlign w:val="center"/>
                </w:tcPr>
                <w:p w14:paraId="5CF9AA12">
                  <w:pPr>
                    <w:keepNext w:val="0"/>
                    <w:keepLines/>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color w:val="000000"/>
                      <w:sz w:val="21"/>
                      <w:szCs w:val="21"/>
                      <w:highlight w:val="none"/>
                    </w:rPr>
                  </w:pPr>
                  <w:r>
                    <w:rPr>
                      <w:rFonts w:hint="default" w:ascii="Times New Roman" w:hAnsi="Times New Roman" w:eastAsia="宋体" w:cs="Times New Roman"/>
                      <w:b w:val="0"/>
                      <w:color w:val="000000"/>
                      <w:sz w:val="21"/>
                      <w:szCs w:val="21"/>
                      <w:highlight w:val="none"/>
                    </w:rPr>
                    <w:t>颗粒物</w:t>
                  </w:r>
                </w:p>
              </w:tc>
              <w:tc>
                <w:tcPr>
                  <w:tcW w:w="2161" w:type="pct"/>
                  <w:tcBorders>
                    <w:bottom w:val="single" w:color="000000" w:sz="12" w:space="0"/>
                  </w:tcBorders>
                  <w:noWrap/>
                  <w:vAlign w:val="center"/>
                </w:tcPr>
                <w:p w14:paraId="3129D74A">
                  <w:pPr>
                    <w:keepNext w:val="0"/>
                    <w:keepLines/>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rPr>
                    <w:t>周界外浓度最高点</w:t>
                  </w:r>
                </w:p>
              </w:tc>
              <w:tc>
                <w:tcPr>
                  <w:tcW w:w="1664" w:type="pct"/>
                  <w:tcBorders>
                    <w:bottom w:val="single" w:color="000000" w:sz="12" w:space="0"/>
                    <w:right w:val="nil"/>
                  </w:tcBorders>
                  <w:noWrap/>
                  <w:vAlign w:val="center"/>
                </w:tcPr>
                <w:p w14:paraId="619E49CC">
                  <w:pPr>
                    <w:keepNext w:val="0"/>
                    <w:keepLines/>
                    <w:pageBreakBefore w:val="0"/>
                    <w:suppressLineNumbers w:val="0"/>
                    <w:kinsoku/>
                    <w:wordWrap w:val="0"/>
                    <w:overflowPunct/>
                    <w:topLinePunct w:val="0"/>
                    <w:autoSpaceDE/>
                    <w:autoSpaceDN/>
                    <w:bidi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color w:val="000000"/>
                      <w:sz w:val="21"/>
                      <w:szCs w:val="21"/>
                      <w:highlight w:val="none"/>
                    </w:rPr>
                  </w:pPr>
                  <w:r>
                    <w:rPr>
                      <w:rFonts w:hint="default" w:ascii="Times New Roman" w:hAnsi="Times New Roman" w:eastAsia="宋体" w:cs="Times New Roman"/>
                      <w:b w:val="0"/>
                      <w:color w:val="000000"/>
                      <w:sz w:val="21"/>
                      <w:szCs w:val="21"/>
                      <w:highlight w:val="none"/>
                    </w:rPr>
                    <w:t>1.0</w:t>
                  </w:r>
                </w:p>
              </w:tc>
            </w:tr>
          </w:tbl>
          <w:p w14:paraId="013D5A48">
            <w:pPr>
              <w:pStyle w:val="45"/>
              <w:keepNext w:val="0"/>
              <w:pageBreakBefore w:val="0"/>
              <w:widowControl w:val="0"/>
              <w:kinsoku/>
              <w:overflowPunct/>
              <w:topLinePunct w:val="0"/>
              <w:autoSpaceDE/>
              <w:autoSpaceDN/>
              <w:bidi w:val="0"/>
              <w:spacing w:line="360" w:lineRule="auto"/>
              <w:ind w:left="0" w:firstLine="456" w:firstLineChars="200"/>
              <w:textAlignment w:val="auto"/>
              <w:rPr>
                <w:rFonts w:hint="default" w:ascii="Times New Roman" w:hAnsi="Times New Roman" w:eastAsia="宋体" w:cs="Times New Roman"/>
                <w:spacing w:val="-3"/>
                <w:sz w:val="24"/>
                <w:szCs w:val="24"/>
              </w:rPr>
            </w:pPr>
            <w:r>
              <w:rPr>
                <w:rFonts w:hint="eastAsia" w:ascii="Times New Roman" w:hAnsi="Times New Roman" w:eastAsia="宋体" w:cs="Times New Roman"/>
                <w:spacing w:val="-6"/>
                <w:sz w:val="24"/>
                <w:szCs w:val="24"/>
                <w:lang w:eastAsia="zh-CN"/>
              </w:rPr>
              <w:t>（</w:t>
            </w:r>
            <w:r>
              <w:rPr>
                <w:rFonts w:hint="eastAsia" w:ascii="Times New Roman" w:hAnsi="Times New Roman" w:eastAsia="宋体" w:cs="Times New Roman"/>
                <w:spacing w:val="-6"/>
                <w:sz w:val="24"/>
                <w:szCs w:val="24"/>
                <w:lang w:val="en-US" w:eastAsia="zh-CN"/>
              </w:rPr>
              <w:t>2</w:t>
            </w:r>
            <w:r>
              <w:rPr>
                <w:rFonts w:hint="eastAsia"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噪声</w:t>
            </w:r>
          </w:p>
          <w:p w14:paraId="048A9446">
            <w:pPr>
              <w:pStyle w:val="47"/>
              <w:keepNext w:val="0"/>
              <w:keepLines/>
              <w:pageBreakBefore w:val="0"/>
              <w:widowControl w:val="0"/>
              <w:kinsoku/>
              <w:wordWrap w:val="0"/>
              <w:overflowPunct/>
              <w:topLinePunct w:val="0"/>
              <w:autoSpaceDE/>
              <w:autoSpaceDN/>
              <w:bidi w:val="0"/>
              <w:spacing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本项目施工噪声执行《建筑施工噪声排放标准》（GB 12523‑2025）中规定的标准，详见表3-</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w:t>
            </w:r>
          </w:p>
          <w:p w14:paraId="4746EF1B">
            <w:pPr>
              <w:keepLines/>
              <w:pageBreakBefore w:val="0"/>
              <w:kinsoku/>
              <w:wordWrap w:val="0"/>
              <w:overflowPunct/>
              <w:bidi w:val="0"/>
              <w:adjustRightInd w:val="0"/>
              <w:snapToGrid w:val="0"/>
              <w:ind w:left="73" w:leftChars="35"/>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25</w:t>
            </w:r>
            <w:r>
              <w:rPr>
                <w:rFonts w:hint="default" w:ascii="Times New Roman" w:hAnsi="Times New Roman" w:eastAsia="宋体" w:cs="Times New Roman"/>
                <w:b/>
                <w:bCs/>
                <w:color w:val="auto"/>
                <w:sz w:val="21"/>
                <w:szCs w:val="21"/>
                <w:highlight w:val="none"/>
                <w:lang w:val="en-US" w:eastAsia="zh-CN"/>
              </w:rPr>
              <w:t xml:space="preserve">   建筑施工场界环境噪声排放标准  单位：dB（A）</w:t>
            </w:r>
          </w:p>
          <w:tbl>
            <w:tblPr>
              <w:tblStyle w:val="23"/>
              <w:tblW w:w="4998" w:type="pct"/>
              <w:jc w:val="center"/>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82"/>
              <w:gridCol w:w="3152"/>
            </w:tblGrid>
            <w:tr w14:paraId="0243C49A">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8" w:type="pct"/>
                  <w:tcBorders>
                    <w:top w:val="single" w:color="000000" w:sz="12" w:space="0"/>
                    <w:tl2br w:val="nil"/>
                    <w:tr2bl w:val="nil"/>
                  </w:tcBorders>
                  <w:noWrap w:val="0"/>
                  <w:vAlign w:val="center"/>
                </w:tcPr>
                <w:p w14:paraId="6F23E9BD">
                  <w:pPr>
                    <w:pStyle w:val="48"/>
                    <w:keepLines/>
                    <w:pageBreakBefore w:val="0"/>
                    <w:kinsoku/>
                    <w:wordWrap w:val="0"/>
                    <w:overflowPunct/>
                    <w:bidi w:val="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昼间</w:t>
                  </w:r>
                </w:p>
              </w:tc>
              <w:tc>
                <w:tcPr>
                  <w:tcW w:w="1961" w:type="pct"/>
                  <w:tcBorders>
                    <w:top w:val="single" w:color="000000" w:sz="12" w:space="0"/>
                    <w:tl2br w:val="nil"/>
                    <w:tr2bl w:val="nil"/>
                  </w:tcBorders>
                  <w:noWrap w:val="0"/>
                  <w:vAlign w:val="center"/>
                </w:tcPr>
                <w:p w14:paraId="197C9AB8">
                  <w:pPr>
                    <w:pStyle w:val="48"/>
                    <w:keepLines/>
                    <w:pageBreakBefore w:val="0"/>
                    <w:kinsoku/>
                    <w:wordWrap w:val="0"/>
                    <w:overflowPunct/>
                    <w:bidi w:val="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夜间</w:t>
                  </w:r>
                </w:p>
              </w:tc>
            </w:tr>
            <w:tr w14:paraId="5DA7BAC7">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038" w:type="pct"/>
                  <w:tcBorders>
                    <w:bottom w:val="single" w:color="000000" w:sz="12" w:space="0"/>
                    <w:tl2br w:val="nil"/>
                    <w:tr2bl w:val="nil"/>
                  </w:tcBorders>
                  <w:noWrap w:val="0"/>
                  <w:vAlign w:val="center"/>
                </w:tcPr>
                <w:p w14:paraId="2634758B">
                  <w:pPr>
                    <w:pStyle w:val="48"/>
                    <w:keepLines/>
                    <w:pageBreakBefore w:val="0"/>
                    <w:kinsoku/>
                    <w:wordWrap w:val="0"/>
                    <w:overflowPunct/>
                    <w:bidi w:val="0"/>
                    <w:rPr>
                      <w:rFonts w:hint="default" w:ascii="Times New Roman" w:hAnsi="Times New Roman" w:eastAsia="宋体" w:cs="Times New Roman"/>
                      <w:b w:val="0"/>
                      <w:color w:val="000000"/>
                      <w:sz w:val="21"/>
                      <w:szCs w:val="21"/>
                      <w:lang w:val="en-US"/>
                    </w:rPr>
                  </w:pPr>
                  <w:r>
                    <w:rPr>
                      <w:rFonts w:hint="default" w:ascii="Times New Roman" w:hAnsi="Times New Roman" w:eastAsia="宋体" w:cs="Times New Roman"/>
                      <w:b w:val="0"/>
                      <w:color w:val="000000"/>
                      <w:sz w:val="21"/>
                      <w:szCs w:val="21"/>
                      <w:lang w:val="en-US" w:eastAsia="zh-CN"/>
                    </w:rPr>
                    <w:t>70</w:t>
                  </w:r>
                </w:p>
              </w:tc>
              <w:tc>
                <w:tcPr>
                  <w:tcW w:w="1961" w:type="pct"/>
                  <w:tcBorders>
                    <w:bottom w:val="single" w:color="000000" w:sz="12" w:space="0"/>
                    <w:tl2br w:val="nil"/>
                    <w:tr2bl w:val="nil"/>
                  </w:tcBorders>
                  <w:noWrap w:val="0"/>
                  <w:vAlign w:val="center"/>
                </w:tcPr>
                <w:p w14:paraId="0AD07D20">
                  <w:pPr>
                    <w:pStyle w:val="48"/>
                    <w:keepLines/>
                    <w:pageBreakBefore w:val="0"/>
                    <w:kinsoku/>
                    <w:wordWrap w:val="0"/>
                    <w:overflowPunct/>
                    <w:bidi w:val="0"/>
                    <w:rPr>
                      <w:rFonts w:hint="default" w:ascii="Times New Roman" w:hAnsi="Times New Roman" w:eastAsia="宋体" w:cs="Times New Roman"/>
                      <w:b w:val="0"/>
                      <w:color w:val="000000"/>
                      <w:sz w:val="21"/>
                      <w:szCs w:val="21"/>
                      <w:lang w:val="en-US"/>
                    </w:rPr>
                  </w:pPr>
                  <w:r>
                    <w:rPr>
                      <w:rFonts w:hint="default" w:ascii="Times New Roman" w:hAnsi="Times New Roman" w:eastAsia="宋体" w:cs="Times New Roman"/>
                      <w:b w:val="0"/>
                      <w:color w:val="000000"/>
                      <w:sz w:val="21"/>
                      <w:szCs w:val="21"/>
                      <w:lang w:val="en-US" w:eastAsia="zh-CN"/>
                    </w:rPr>
                    <w:t>55</w:t>
                  </w:r>
                </w:p>
              </w:tc>
            </w:tr>
          </w:tbl>
          <w:p w14:paraId="758F1294">
            <w:pPr>
              <w:pStyle w:val="49"/>
              <w:keepLines/>
              <w:pageBreakBefore w:val="0"/>
              <w:kinsoku/>
              <w:wordWrap w:val="0"/>
              <w:overflowPunct/>
              <w:bidi w:val="0"/>
              <w:snapToGrid w:val="0"/>
              <w:ind w:firstLine="480" w:firstLineChars="200"/>
              <w:jc w:val="both"/>
              <w:rPr>
                <w:rFonts w:hint="default" w:ascii="Times New Roman" w:hAnsi="Times New Roman" w:eastAsia="宋体" w:cs="Times New Roman"/>
                <w:b w:val="0"/>
                <w:bCs/>
                <w:kern w:val="2"/>
                <w:sz w:val="24"/>
                <w:szCs w:val="24"/>
              </w:rPr>
            </w:pPr>
            <w:r>
              <w:rPr>
                <w:rFonts w:hint="default" w:ascii="Times New Roman" w:hAnsi="Times New Roman" w:eastAsia="宋体" w:cs="Times New Roman"/>
                <w:b w:val="0"/>
                <w:bCs/>
                <w:kern w:val="2"/>
                <w:sz w:val="24"/>
                <w:szCs w:val="24"/>
              </w:rPr>
              <w:t>本项目运营期噪声执行《工业企业厂界环境噪声排放标准》（GB12348-2008）中的</w:t>
            </w:r>
            <w:r>
              <w:rPr>
                <w:rFonts w:hint="default" w:ascii="Times New Roman" w:hAnsi="Times New Roman" w:eastAsia="宋体" w:cs="Times New Roman"/>
                <w:b w:val="0"/>
                <w:bCs/>
                <w:kern w:val="2"/>
                <w:sz w:val="24"/>
                <w:szCs w:val="24"/>
                <w:lang w:val="en-US" w:eastAsia="zh-CN"/>
              </w:rPr>
              <w:t>2</w:t>
            </w:r>
            <w:r>
              <w:rPr>
                <w:rFonts w:hint="default" w:ascii="Times New Roman" w:hAnsi="Times New Roman" w:eastAsia="宋体" w:cs="Times New Roman"/>
                <w:b w:val="0"/>
                <w:bCs/>
                <w:kern w:val="2"/>
                <w:sz w:val="24"/>
                <w:szCs w:val="24"/>
              </w:rPr>
              <w:t>类标准。具体限值见下表：</w:t>
            </w:r>
          </w:p>
          <w:p w14:paraId="013717B5">
            <w:pPr>
              <w:keepLines/>
              <w:pageBreakBefore w:val="0"/>
              <w:kinsoku/>
              <w:wordWrap w:val="0"/>
              <w:overflowPunct/>
              <w:bidi w:val="0"/>
              <w:adjustRightInd w:val="0"/>
              <w:snapToGrid w:val="0"/>
              <w:ind w:firstLine="48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表3-</w:t>
            </w:r>
            <w:r>
              <w:rPr>
                <w:rFonts w:hint="eastAsia" w:cs="Times New Roman"/>
                <w:b/>
                <w:bCs/>
                <w:sz w:val="21"/>
                <w:szCs w:val="21"/>
                <w:lang w:val="en-US" w:eastAsia="zh-CN"/>
              </w:rPr>
              <w:t>26</w:t>
            </w:r>
            <w:r>
              <w:rPr>
                <w:rFonts w:hint="default" w:ascii="Times New Roman" w:hAnsi="Times New Roman" w:eastAsia="宋体" w:cs="Times New Roman"/>
                <w:b/>
                <w:bCs/>
                <w:sz w:val="21"/>
                <w:szCs w:val="21"/>
              </w:rPr>
              <w:t xml:space="preserve">   工业企业厂界环境噪声排放限值   单位：dB</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A</w:t>
            </w:r>
            <w:r>
              <w:rPr>
                <w:rFonts w:hint="default"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 xml:space="preserve"> </w:t>
            </w:r>
          </w:p>
          <w:tbl>
            <w:tblPr>
              <w:tblStyle w:val="23"/>
              <w:tblW w:w="4998" w:type="pct"/>
              <w:jc w:val="center"/>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2673"/>
              <w:gridCol w:w="3152"/>
            </w:tblGrid>
            <w:tr w14:paraId="04D32D84">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5" w:type="pct"/>
                  <w:tcBorders>
                    <w:top w:val="single" w:color="000000" w:sz="12" w:space="0"/>
                    <w:tl2br w:val="nil"/>
                    <w:tr2bl w:val="nil"/>
                  </w:tcBorders>
                  <w:noWrap w:val="0"/>
                  <w:vAlign w:val="center"/>
                </w:tcPr>
                <w:p w14:paraId="668DF473">
                  <w:pPr>
                    <w:pStyle w:val="48"/>
                    <w:pageBreakBefore w:val="0"/>
                    <w:kinsoku/>
                    <w:wordWrap w:val="0"/>
                    <w:overflowPunct/>
                    <w:bidi w:val="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功能区</w:t>
                  </w:r>
                </w:p>
              </w:tc>
              <w:tc>
                <w:tcPr>
                  <w:tcW w:w="1663" w:type="pct"/>
                  <w:tcBorders>
                    <w:top w:val="single" w:color="000000" w:sz="12" w:space="0"/>
                    <w:tl2br w:val="nil"/>
                    <w:tr2bl w:val="nil"/>
                  </w:tcBorders>
                  <w:noWrap w:val="0"/>
                  <w:vAlign w:val="center"/>
                </w:tcPr>
                <w:p w14:paraId="3929DCD5">
                  <w:pPr>
                    <w:pStyle w:val="48"/>
                    <w:pageBreakBefore w:val="0"/>
                    <w:kinsoku/>
                    <w:wordWrap w:val="0"/>
                    <w:overflowPunct/>
                    <w:bidi w:val="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昼间</w:t>
                  </w:r>
                </w:p>
              </w:tc>
              <w:tc>
                <w:tcPr>
                  <w:tcW w:w="1961" w:type="pct"/>
                  <w:tcBorders>
                    <w:top w:val="single" w:color="000000" w:sz="12" w:space="0"/>
                    <w:tl2br w:val="nil"/>
                    <w:tr2bl w:val="nil"/>
                  </w:tcBorders>
                  <w:noWrap w:val="0"/>
                  <w:vAlign w:val="center"/>
                </w:tcPr>
                <w:p w14:paraId="73DADC78">
                  <w:pPr>
                    <w:pStyle w:val="48"/>
                    <w:pageBreakBefore w:val="0"/>
                    <w:kinsoku/>
                    <w:wordWrap w:val="0"/>
                    <w:overflowPunct/>
                    <w:bidi w:val="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夜间</w:t>
                  </w:r>
                </w:p>
              </w:tc>
            </w:tr>
            <w:tr w14:paraId="3F4AC933">
              <w:tblPrEx>
                <w:tblBorders>
                  <w:top w:val="single" w:color="000000" w:sz="18" w:space="0"/>
                  <w:left w:val="none" w:color="auto" w:sz="0" w:space="0"/>
                  <w:bottom w:val="single" w:color="000000"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5" w:type="pct"/>
                  <w:tcBorders>
                    <w:bottom w:val="single" w:color="000000" w:sz="12" w:space="0"/>
                    <w:tl2br w:val="nil"/>
                    <w:tr2bl w:val="nil"/>
                  </w:tcBorders>
                  <w:noWrap w:val="0"/>
                  <w:vAlign w:val="center"/>
                </w:tcPr>
                <w:p w14:paraId="1B3330B9">
                  <w:pPr>
                    <w:pStyle w:val="48"/>
                    <w:pageBreakBefore w:val="0"/>
                    <w:kinsoku/>
                    <w:wordWrap w:val="0"/>
                    <w:overflowPunct/>
                    <w:bidi w:val="0"/>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2类</w:t>
                  </w:r>
                </w:p>
              </w:tc>
              <w:tc>
                <w:tcPr>
                  <w:tcW w:w="1663" w:type="pct"/>
                  <w:tcBorders>
                    <w:bottom w:val="single" w:color="000000" w:sz="12" w:space="0"/>
                    <w:tl2br w:val="nil"/>
                    <w:tr2bl w:val="nil"/>
                  </w:tcBorders>
                  <w:noWrap w:val="0"/>
                  <w:vAlign w:val="center"/>
                </w:tcPr>
                <w:p w14:paraId="3032FADE">
                  <w:pPr>
                    <w:pStyle w:val="48"/>
                    <w:pageBreakBefore w:val="0"/>
                    <w:kinsoku/>
                    <w:wordWrap w:val="0"/>
                    <w:overflowPunct/>
                    <w:bidi w:val="0"/>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60</w:t>
                  </w:r>
                </w:p>
              </w:tc>
              <w:tc>
                <w:tcPr>
                  <w:tcW w:w="1961" w:type="pct"/>
                  <w:tcBorders>
                    <w:bottom w:val="single" w:color="000000" w:sz="12" w:space="0"/>
                    <w:tl2br w:val="nil"/>
                    <w:tr2bl w:val="nil"/>
                  </w:tcBorders>
                  <w:noWrap w:val="0"/>
                  <w:vAlign w:val="center"/>
                </w:tcPr>
                <w:p w14:paraId="5F275CC8">
                  <w:pPr>
                    <w:pStyle w:val="48"/>
                    <w:pageBreakBefore w:val="0"/>
                    <w:kinsoku/>
                    <w:wordWrap w:val="0"/>
                    <w:overflowPunct/>
                    <w:bidi w:val="0"/>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sz w:val="21"/>
                      <w:szCs w:val="21"/>
                      <w:lang w:val="en-US" w:eastAsia="zh-CN"/>
                    </w:rPr>
                    <w:t>50</w:t>
                  </w:r>
                </w:p>
              </w:tc>
            </w:tr>
          </w:tbl>
          <w:p w14:paraId="570349CD">
            <w:pPr>
              <w:pStyle w:val="45"/>
              <w:keepNext w:val="0"/>
              <w:keepLines w:val="0"/>
              <w:pageBreakBefore w:val="0"/>
              <w:kinsoku/>
              <w:wordWrap/>
              <w:overflowPunct/>
              <w:topLinePunct w:val="0"/>
              <w:autoSpaceDE/>
              <w:autoSpaceDN/>
              <w:bidi w:val="0"/>
              <w:adjustRightInd/>
              <w:spacing w:line="360" w:lineRule="auto"/>
              <w:ind w:left="0" w:firstLine="50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（3）固体废物</w:t>
            </w:r>
          </w:p>
          <w:p w14:paraId="695FFCB7">
            <w:pPr>
              <w:pStyle w:val="22"/>
              <w:keepNext w:val="0"/>
              <w:keepLines w:val="0"/>
              <w:pageBreakBefore w:val="0"/>
              <w:kinsoku/>
              <w:wordWrap/>
              <w:overflowPunct/>
              <w:topLinePunct w:val="0"/>
              <w:autoSpaceDE/>
              <w:autoSpaceDN/>
              <w:bidi w:val="0"/>
              <w:adjustRightInd/>
              <w:spacing w:before="0" w:after="0" w:line="360" w:lineRule="auto"/>
              <w:ind w:left="0" w:right="0" w:firstLine="492"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spacing w:val="3"/>
                <w:sz w:val="24"/>
                <w:szCs w:val="24"/>
              </w:rPr>
              <w:t>一般工业固体废物处置执行《一般工业固体废物</w:t>
            </w:r>
            <w:r>
              <w:rPr>
                <w:rFonts w:hint="default" w:ascii="Times New Roman" w:hAnsi="Times New Roman" w:eastAsia="宋体" w:cs="Times New Roman"/>
                <w:spacing w:val="2"/>
                <w:sz w:val="24"/>
                <w:szCs w:val="24"/>
              </w:rPr>
              <w:t>贮存和填埋污染控</w:t>
            </w:r>
            <w:r>
              <w:rPr>
                <w:rFonts w:hint="default" w:ascii="Times New Roman" w:hAnsi="Times New Roman" w:eastAsia="宋体" w:cs="Times New Roman"/>
                <w:spacing w:val="11"/>
                <w:sz w:val="24"/>
                <w:szCs w:val="24"/>
              </w:rPr>
              <w:t>制标准》（</w:t>
            </w:r>
            <w:r>
              <w:rPr>
                <w:rFonts w:hint="default" w:ascii="Times New Roman" w:hAnsi="Times New Roman" w:eastAsia="宋体" w:cs="Times New Roman"/>
                <w:sz w:val="24"/>
                <w:szCs w:val="24"/>
              </w:rPr>
              <w:t>GB</w:t>
            </w:r>
            <w:r>
              <w:rPr>
                <w:rFonts w:hint="default" w:ascii="Times New Roman" w:hAnsi="Times New Roman" w:eastAsia="宋体" w:cs="Times New Roman"/>
                <w:spacing w:val="11"/>
                <w:sz w:val="24"/>
                <w:szCs w:val="24"/>
              </w:rPr>
              <w:t>18599-2020</w:t>
            </w:r>
            <w:r>
              <w:rPr>
                <w:rFonts w:hint="default" w:ascii="Times New Roman" w:hAnsi="Times New Roman" w:eastAsia="宋体" w:cs="Times New Roman"/>
                <w:spacing w:val="-7"/>
                <w:sz w:val="24"/>
                <w:szCs w:val="24"/>
              </w:rPr>
              <w:t>）；</w:t>
            </w:r>
            <w:r>
              <w:rPr>
                <w:rFonts w:hint="default" w:ascii="Times New Roman" w:hAnsi="Times New Roman" w:eastAsia="宋体" w:cs="Times New Roman"/>
                <w:spacing w:val="11"/>
                <w:sz w:val="24"/>
                <w:szCs w:val="24"/>
              </w:rPr>
              <w:t>危险废物按照《</w:t>
            </w:r>
            <w:r>
              <w:rPr>
                <w:rFonts w:hint="default" w:ascii="Times New Roman" w:hAnsi="Times New Roman" w:eastAsia="宋体" w:cs="Times New Roman"/>
                <w:spacing w:val="10"/>
                <w:sz w:val="24"/>
                <w:szCs w:val="24"/>
              </w:rPr>
              <w:t>危险废物贮存污染控制</w:t>
            </w:r>
            <w:r>
              <w:rPr>
                <w:rFonts w:hint="default" w:ascii="Times New Roman" w:hAnsi="Times New Roman" w:eastAsia="宋体" w:cs="Times New Roman"/>
                <w:spacing w:val="15"/>
                <w:sz w:val="24"/>
                <w:szCs w:val="24"/>
              </w:rPr>
              <w:t>标准》（</w:t>
            </w:r>
            <w:r>
              <w:rPr>
                <w:rFonts w:hint="default" w:ascii="Times New Roman" w:hAnsi="Times New Roman" w:eastAsia="宋体" w:cs="Times New Roman"/>
                <w:sz w:val="24"/>
                <w:szCs w:val="24"/>
              </w:rPr>
              <w:t>GB</w:t>
            </w:r>
            <w:r>
              <w:rPr>
                <w:rFonts w:hint="default" w:ascii="Times New Roman" w:hAnsi="Times New Roman" w:eastAsia="宋体" w:cs="Times New Roman"/>
                <w:spacing w:val="15"/>
                <w:sz w:val="24"/>
                <w:szCs w:val="24"/>
              </w:rPr>
              <w:t>18597-2023）中的相关要求。</w:t>
            </w:r>
          </w:p>
          <w:p w14:paraId="5EA5CF9F">
            <w:pPr>
              <w:pStyle w:val="22"/>
              <w:keepNext w:val="0"/>
              <w:keepLines w:val="0"/>
              <w:pageBreakBefore w:val="0"/>
              <w:kinsoku/>
              <w:wordWrap/>
              <w:overflowPunct/>
              <w:topLinePunct w:val="0"/>
              <w:autoSpaceDE/>
              <w:autoSpaceDN/>
              <w:bidi w:val="0"/>
              <w:spacing w:before="0" w:after="0" w:line="360" w:lineRule="auto"/>
              <w:ind w:left="0" w:leftChars="0" w:right="0" w:firstLine="0" w:firstLineChars="0"/>
              <w:textAlignment w:val="auto"/>
              <w:rPr>
                <w:rFonts w:hint="default" w:ascii="Times New Roman" w:hAnsi="Times New Roman" w:eastAsia="宋体" w:cs="Times New Roman"/>
                <w:kern w:val="0"/>
                <w:sz w:val="24"/>
                <w:szCs w:val="24"/>
              </w:rPr>
            </w:pPr>
          </w:p>
          <w:p w14:paraId="1B3AEEA8">
            <w:pPr>
              <w:tabs>
                <w:tab w:val="left" w:pos="1704"/>
              </w:tabs>
              <w:bidi w:val="0"/>
              <w:jc w:val="left"/>
              <w:rPr>
                <w:rFonts w:hint="eastAsia" w:eastAsia="宋体"/>
                <w:lang w:eastAsia="zh-CN"/>
              </w:rPr>
            </w:pPr>
          </w:p>
        </w:tc>
      </w:tr>
      <w:tr w14:paraId="1CFD8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04" w:type="dxa"/>
            <w:noWrap w:val="0"/>
            <w:vAlign w:val="center"/>
          </w:tcPr>
          <w:p w14:paraId="20EEA027">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w:t>
            </w:r>
          </w:p>
        </w:tc>
        <w:tc>
          <w:tcPr>
            <w:tcW w:w="8253" w:type="dxa"/>
            <w:noWrap w:val="0"/>
            <w:vAlign w:val="center"/>
          </w:tcPr>
          <w:p w14:paraId="634D0FCF">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p>
          <w:p w14:paraId="328888E2">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p>
          <w:p w14:paraId="4821068D">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p>
          <w:p w14:paraId="1D5C77D5">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p>
          <w:p w14:paraId="7CEDD09A">
            <w:pPr>
              <w:keepNext w:val="0"/>
              <w:keepLines w:val="0"/>
              <w:pageBreakBefore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spacing w:val="-1"/>
                <w:sz w:val="24"/>
                <w:szCs w:val="24"/>
              </w:rPr>
            </w:pPr>
          </w:p>
          <w:p w14:paraId="705A014F">
            <w:pPr>
              <w:keepNext w:val="0"/>
              <w:keepLines w:val="0"/>
              <w:pageBreakBefore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spacing w:val="-1"/>
                <w:sz w:val="24"/>
                <w:szCs w:val="24"/>
              </w:rPr>
            </w:pPr>
          </w:p>
          <w:p w14:paraId="499226C0">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1"/>
                <w:sz w:val="24"/>
                <w:szCs w:val="24"/>
              </w:rPr>
              <w:t>本项目不涉及总量控制指标</w:t>
            </w:r>
          </w:p>
          <w:p w14:paraId="26FB0FE3">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p>
          <w:p w14:paraId="572937D4">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p>
          <w:p w14:paraId="1EF22703">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p>
          <w:p w14:paraId="0C8C7A74">
            <w:pPr>
              <w:keepNext w:val="0"/>
              <w:keepLines w:val="0"/>
              <w:pageBreakBefore w:val="0"/>
              <w:kinsoku/>
              <w:wordWrap/>
              <w:overflowPunct/>
              <w:topLinePunct w:val="0"/>
              <w:autoSpaceDE/>
              <w:autoSpaceDN/>
              <w:bidi w:val="0"/>
              <w:adjustRightInd w:val="0"/>
              <w:snapToGrid w:val="0"/>
              <w:spacing w:line="360" w:lineRule="auto"/>
              <w:ind w:left="0" w:right="0"/>
              <w:jc w:val="center"/>
              <w:textAlignment w:val="auto"/>
              <w:rPr>
                <w:rFonts w:hint="default" w:ascii="Times New Roman" w:hAnsi="Times New Roman" w:eastAsia="宋体" w:cs="Times New Roman"/>
                <w:spacing w:val="-1"/>
                <w:sz w:val="24"/>
                <w:szCs w:val="24"/>
              </w:rPr>
            </w:pPr>
          </w:p>
          <w:p w14:paraId="3CE337A8">
            <w:pPr>
              <w:keepNext w:val="0"/>
              <w:keepLines w:val="0"/>
              <w:pageBreakBefore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spacing w:val="-1"/>
                <w:sz w:val="24"/>
                <w:szCs w:val="24"/>
              </w:rPr>
            </w:pPr>
          </w:p>
          <w:p w14:paraId="413FB66F">
            <w:pPr>
              <w:keepNext w:val="0"/>
              <w:keepLines w:val="0"/>
              <w:pageBreakBefore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spacing w:val="-1"/>
                <w:sz w:val="24"/>
                <w:szCs w:val="24"/>
              </w:rPr>
            </w:pPr>
          </w:p>
        </w:tc>
      </w:tr>
    </w:tbl>
    <w:p w14:paraId="7A97D10F">
      <w:pPr>
        <w:pStyle w:val="20"/>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kern w:val="2"/>
          <w:sz w:val="24"/>
          <w:szCs w:val="24"/>
        </w:rPr>
      </w:pPr>
    </w:p>
    <w:p w14:paraId="6FAE86A3">
      <w:pPr>
        <w:pStyle w:val="20"/>
        <w:jc w:val="center"/>
        <w:outlineLvl w:val="0"/>
        <w:rPr>
          <w:rFonts w:hint="default" w:ascii="Times New Roman" w:hAnsi="Times New Roman" w:eastAsia="宋体" w:cs="Times New Roman"/>
          <w:b/>
          <w:bCs/>
          <w:snapToGrid w:val="0"/>
          <w:sz w:val="28"/>
          <w:szCs w:val="28"/>
        </w:rPr>
      </w:pPr>
      <w:r>
        <w:rPr>
          <w:rFonts w:hint="default" w:ascii="Times New Roman" w:hAnsi="Times New Roman" w:eastAsia="宋体" w:cs="Times New Roman"/>
          <w:snapToGrid w:val="0"/>
          <w:kern w:val="2"/>
          <w:sz w:val="24"/>
          <w:szCs w:val="24"/>
        </w:rPr>
        <w:br w:type="page"/>
      </w:r>
      <w:r>
        <w:rPr>
          <w:rFonts w:hint="default" w:ascii="Times New Roman" w:hAnsi="Times New Roman" w:eastAsia="宋体" w:cs="Times New Roman"/>
          <w:b/>
          <w:bCs/>
          <w:snapToGrid w:val="0"/>
          <w:sz w:val="28"/>
          <w:szCs w:val="28"/>
        </w:rPr>
        <w:t>四、生态环境影响分析</w:t>
      </w:r>
    </w:p>
    <w:tbl>
      <w:tblPr>
        <w:tblStyle w:val="23"/>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14:paraId="585B8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9" w:hRule="atLeast"/>
          <w:jc w:val="center"/>
        </w:trPr>
        <w:tc>
          <w:tcPr>
            <w:tcW w:w="879" w:type="dxa"/>
            <w:noWrap w:val="0"/>
            <w:tcMar>
              <w:left w:w="28" w:type="dxa"/>
              <w:right w:w="28" w:type="dxa"/>
            </w:tcMar>
            <w:vAlign w:val="center"/>
          </w:tcPr>
          <w:p w14:paraId="2EAC5E16">
            <w:pPr>
              <w:pStyle w:val="20"/>
              <w:adjustRightInd w:val="0"/>
              <w:snapToGrid w:val="0"/>
              <w:spacing w:before="0" w:beforeAutospacing="0" w:after="0" w:afterAutospacing="0"/>
              <w:jc w:val="center"/>
              <w:rPr>
                <w:rFonts w:hint="default" w:ascii="Times New Roman" w:hAnsi="Times New Roman" w:eastAsia="宋体" w:cs="Times New Roman"/>
                <w:bCs/>
                <w:kern w:val="2"/>
                <w:sz w:val="24"/>
                <w:szCs w:val="24"/>
              </w:rPr>
            </w:pPr>
            <w:bookmarkStart w:id="6" w:name="_Hlk49796138"/>
            <w:r>
              <w:rPr>
                <w:rFonts w:hint="default" w:ascii="Times New Roman" w:hAnsi="Times New Roman" w:eastAsia="宋体" w:cs="Times New Roman"/>
                <w:bCs/>
                <w:spacing w:val="10"/>
                <w:kern w:val="2"/>
                <w:sz w:val="24"/>
                <w:szCs w:val="24"/>
              </w:rPr>
              <w:t>施工期生态环境影响分析</w:t>
            </w:r>
            <w:bookmarkEnd w:id="6"/>
          </w:p>
        </w:tc>
        <w:tc>
          <w:tcPr>
            <w:tcW w:w="8363" w:type="dxa"/>
            <w:noWrap w:val="0"/>
            <w:vAlign w:val="top"/>
          </w:tcPr>
          <w:p w14:paraId="4573EEB0">
            <w:pPr>
              <w:pStyle w:val="4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项目施工期主要进行首采区、排土场及堆场、矿区道</w:t>
            </w:r>
            <w:r>
              <w:rPr>
                <w:rFonts w:hint="default" w:ascii="Times New Roman" w:hAnsi="Times New Roman" w:eastAsia="宋体" w:cs="Times New Roman"/>
                <w:spacing w:val="-1"/>
                <w:sz w:val="24"/>
                <w:szCs w:val="24"/>
              </w:rPr>
              <w:t>路等场地平整及首采区</w:t>
            </w:r>
            <w:r>
              <w:rPr>
                <w:rFonts w:hint="eastAsia" w:ascii="Times New Roman" w:hAnsi="Times New Roman" w:eastAsia="宋体" w:cs="Times New Roman"/>
                <w:spacing w:val="-1"/>
                <w:sz w:val="24"/>
                <w:szCs w:val="24"/>
                <w:lang w:val="en-US" w:eastAsia="zh-CN"/>
              </w:rPr>
              <w:t>覆盖层</w:t>
            </w:r>
            <w:r>
              <w:rPr>
                <w:rFonts w:hint="default" w:ascii="Times New Roman" w:hAnsi="Times New Roman" w:eastAsia="宋体" w:cs="Times New Roman"/>
                <w:spacing w:val="-1"/>
                <w:sz w:val="24"/>
                <w:szCs w:val="24"/>
              </w:rPr>
              <w:t>剥离等土建施工等工程内容</w:t>
            </w:r>
            <w:r>
              <w:rPr>
                <w:rFonts w:hint="default" w:ascii="Times New Roman" w:hAnsi="Times New Roman" w:eastAsia="宋体" w:cs="Times New Roman"/>
                <w:spacing w:val="-40"/>
                <w:sz w:val="24"/>
                <w:szCs w:val="24"/>
              </w:rPr>
              <w:t xml:space="preserve"> </w:t>
            </w:r>
            <w:r>
              <w:rPr>
                <w:rFonts w:hint="default" w:ascii="Times New Roman" w:hAnsi="Times New Roman" w:eastAsia="宋体" w:cs="Times New Roman"/>
                <w:spacing w:val="-1"/>
                <w:sz w:val="24"/>
                <w:szCs w:val="24"/>
              </w:rPr>
              <w:t>。施工期</w:t>
            </w:r>
            <w:r>
              <w:rPr>
                <w:rFonts w:hint="default" w:ascii="Times New Roman" w:hAnsi="Times New Roman" w:eastAsia="宋体" w:cs="Times New Roman"/>
                <w:sz w:val="24"/>
                <w:szCs w:val="24"/>
              </w:rPr>
              <w:t>对环境的影响主要包括废气、废水、噪声、固体废物以及对生态环境的影</w:t>
            </w:r>
            <w:r>
              <w:rPr>
                <w:rFonts w:hint="default" w:ascii="Times New Roman" w:hAnsi="Times New Roman" w:eastAsia="宋体" w:cs="Times New Roman"/>
                <w:spacing w:val="-2"/>
                <w:sz w:val="24"/>
                <w:szCs w:val="24"/>
              </w:rPr>
              <w:t>响。</w:t>
            </w:r>
          </w:p>
          <w:p w14:paraId="0E2F6E20">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val="0"/>
                <w:sz w:val="24"/>
                <w:szCs w:val="24"/>
              </w:rPr>
            </w:pPr>
            <w:r>
              <w:rPr>
                <w:rFonts w:hint="default" w:ascii="Times New Roman" w:hAnsi="Times New Roman" w:eastAsia="宋体" w:cs="Times New Roman"/>
                <w:b/>
                <w:bCs w:val="0"/>
                <w:sz w:val="24"/>
                <w:szCs w:val="24"/>
              </w:rPr>
              <w:t>1、施工期对大气环境的影响分析</w:t>
            </w:r>
          </w:p>
          <w:p w14:paraId="01A8771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施工期大气污染主要为施工扬尘、施工机械尾气。施工扬尘包括道路运输扬尘和剥离扬尘。</w:t>
            </w:r>
          </w:p>
          <w:p w14:paraId="7FCFC846">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（1）施工扬尘</w:t>
            </w:r>
          </w:p>
          <w:p w14:paraId="3B48DBB2">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①剥离扬尘</w:t>
            </w:r>
          </w:p>
          <w:p w14:paraId="2A07C955">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地表剥离作业后，裸露地表和堆放的临时物料在气候干燥有风的情况下，极易产生扬尘，呈无组织排放，可通过洒水降尘、苫盖等方式减轻对大气环境的影响，影响随着施工结束而结束。</w:t>
            </w:r>
          </w:p>
          <w:p w14:paraId="3516E02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②道路运输扬尘</w:t>
            </w:r>
          </w:p>
          <w:p w14:paraId="4EC11C2E">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据统计资料，施工工地的扬尘60%以上是施工交通运输引起的道路扬尘。道路扬尘量的大小与车速、车型、车流量、风速、道路表面积尘量等多种因素有关。一般情况下运输车辆的道路起尘量约1.37kg/km·辆，运输车辆在开挖区域现场的道路扬尘量约10.42kg/km辆。开挖区域的道路扬尘污染比运输车辆的道路扬尘污染严重。通过采取合理安排施工时段，施工场地、施工道路每天洒水4-5次，碾压或覆盖裸露地表等措施后，施工期废气对大气环境影响较小。施工期具由短期性，污染随施工期结束而结束。</w:t>
            </w:r>
          </w:p>
          <w:p w14:paraId="34BB3E4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（2）施工机械尾气</w:t>
            </w:r>
          </w:p>
          <w:p w14:paraId="7F16C7F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施工机械和运输车辆一般以柴油为燃料，排放的主要污染物为NOx、CO、HC等，其产生量与施工方式、施工机械功率、运行工况等因素有关，难以定量化，施工机械分布在施工场地内，不具备集中、长期排放的条件，区域大气扩散条件好，施工机械尾气排放对大气环境影响小。</w:t>
            </w:r>
          </w:p>
          <w:p w14:paraId="297EC817">
            <w:pPr>
              <w:pStyle w:val="45"/>
              <w:keepNext w:val="0"/>
              <w:keepLines w:val="0"/>
              <w:pageBreakBefore w:val="0"/>
              <w:widowControl w:val="0"/>
              <w:kinsoku/>
              <w:wordWrap/>
              <w:overflowPunct/>
              <w:topLinePunct w:val="0"/>
              <w:autoSpaceDE/>
              <w:autoSpaceDN/>
              <w:bidi w:val="0"/>
              <w:spacing w:line="360" w:lineRule="auto"/>
              <w:ind w:left="0" w:right="0" w:firstLine="48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
                <w:sz w:val="24"/>
                <w:szCs w:val="24"/>
              </w:rPr>
              <w:t>2、施工期对声环境的影响分析</w:t>
            </w:r>
          </w:p>
          <w:p w14:paraId="34D414C8">
            <w:pPr>
              <w:pStyle w:val="4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本项目施工期噪声主要来自施工机械噪声和运输车辆噪声</w:t>
            </w:r>
            <w:r>
              <w:rPr>
                <w:rFonts w:hint="default" w:ascii="Times New Roman" w:hAnsi="Times New Roman" w:eastAsia="宋体" w:cs="Times New Roman"/>
                <w:spacing w:val="-1"/>
                <w:sz w:val="24"/>
                <w:szCs w:val="24"/>
              </w:rPr>
              <w:t>。施工机械</w:t>
            </w:r>
            <w:r>
              <w:rPr>
                <w:rFonts w:hint="default" w:ascii="Times New Roman" w:hAnsi="Times New Roman" w:eastAsia="宋体" w:cs="Times New Roman"/>
                <w:sz w:val="24"/>
                <w:szCs w:val="24"/>
              </w:rPr>
              <w:t>噪声主要指施工场地各类机械设备作业时产生的施工噪声。如装</w:t>
            </w:r>
            <w:r>
              <w:rPr>
                <w:rFonts w:hint="default" w:ascii="Times New Roman" w:hAnsi="Times New Roman" w:eastAsia="宋体" w:cs="Times New Roman"/>
                <w:spacing w:val="-1"/>
                <w:sz w:val="24"/>
                <w:szCs w:val="24"/>
              </w:rPr>
              <w:t>载机、挖</w:t>
            </w:r>
            <w:r>
              <w:rPr>
                <w:rFonts w:hint="default" w:ascii="Times New Roman" w:hAnsi="Times New Roman" w:eastAsia="宋体" w:cs="Times New Roman"/>
                <w:spacing w:val="7"/>
                <w:sz w:val="24"/>
                <w:szCs w:val="24"/>
              </w:rPr>
              <w:t>掘机等，设备噪声级可达82~95</w:t>
            </w:r>
            <w:r>
              <w:rPr>
                <w:rFonts w:hint="default" w:ascii="Times New Roman" w:hAnsi="Times New Roman" w:eastAsia="宋体" w:cs="Times New Roman"/>
                <w:sz w:val="24"/>
                <w:szCs w:val="24"/>
              </w:rPr>
              <w:t>dB</w:t>
            </w:r>
            <w:r>
              <w:rPr>
                <w:rFonts w:hint="default" w:ascii="Times New Roman" w:hAnsi="Times New Roman" w:eastAsia="宋体" w:cs="Times New Roman"/>
                <w:spacing w:val="7"/>
                <w:sz w:val="24"/>
                <w:szCs w:val="24"/>
              </w:rPr>
              <w:t>，由于施工过程中经常是多种施工机</w:t>
            </w:r>
            <w:r>
              <w:rPr>
                <w:rFonts w:hint="default" w:ascii="Times New Roman" w:hAnsi="Times New Roman" w:eastAsia="宋体" w:cs="Times New Roman"/>
                <w:spacing w:val="-3"/>
                <w:sz w:val="24"/>
                <w:szCs w:val="24"/>
              </w:rPr>
              <w:t>械同时工作，各种噪声源的相互叠加，噪声级更高，噪声辐射影响范围亦</w:t>
            </w:r>
            <w:r>
              <w:rPr>
                <w:rFonts w:hint="default" w:ascii="Times New Roman" w:hAnsi="Times New Roman" w:eastAsia="宋体" w:cs="Times New Roman"/>
                <w:sz w:val="24"/>
                <w:szCs w:val="24"/>
              </w:rPr>
              <w:t>更大。运输车辆噪声主要为运输车辆产生的机动车辆噪声，也是</w:t>
            </w:r>
            <w:r>
              <w:rPr>
                <w:rFonts w:hint="default" w:ascii="Times New Roman" w:hAnsi="Times New Roman" w:eastAsia="宋体" w:cs="Times New Roman"/>
                <w:spacing w:val="-1"/>
                <w:sz w:val="24"/>
                <w:szCs w:val="24"/>
              </w:rPr>
              <w:t>施工中不可忽视的噪声源强之一。</w:t>
            </w:r>
          </w:p>
          <w:p w14:paraId="73937BCF">
            <w:pPr>
              <w:keepNext w:val="0"/>
              <w:keepLines w:val="0"/>
              <w:pageBreakBefore w:val="0"/>
              <w:widowControl w:val="0"/>
              <w:kinsoku/>
              <w:wordWrap/>
              <w:overflowPunct/>
              <w:topLinePunct w:val="0"/>
              <w:autoSpaceDE/>
              <w:autoSpaceDN/>
              <w:bidi w:val="0"/>
              <w:adjustRightInd w:val="0"/>
              <w:snapToGrid w:val="0"/>
              <w:spacing w:line="360" w:lineRule="auto"/>
              <w:ind w:left="0" w:right="0" w:firstLine="500"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5"/>
                <w:sz w:val="24"/>
                <w:szCs w:val="24"/>
              </w:rPr>
              <w:t>根据《环境噪声与振动控制工程技术导则》（</w:t>
            </w:r>
            <w:r>
              <w:rPr>
                <w:rFonts w:hint="default" w:ascii="Times New Roman" w:hAnsi="Times New Roman" w:eastAsia="宋体" w:cs="Times New Roman"/>
                <w:sz w:val="24"/>
                <w:szCs w:val="24"/>
              </w:rPr>
              <w:t>HJ</w:t>
            </w:r>
            <w:r>
              <w:rPr>
                <w:rFonts w:hint="default" w:ascii="Times New Roman" w:hAnsi="Times New Roman" w:eastAsia="宋体" w:cs="Times New Roman"/>
                <w:spacing w:val="5"/>
                <w:sz w:val="24"/>
                <w:szCs w:val="24"/>
              </w:rPr>
              <w:t>-2034-2</w:t>
            </w:r>
            <w:r>
              <w:rPr>
                <w:rFonts w:hint="default" w:ascii="Times New Roman" w:hAnsi="Times New Roman" w:eastAsia="宋体" w:cs="Times New Roman"/>
                <w:spacing w:val="4"/>
                <w:sz w:val="24"/>
                <w:szCs w:val="24"/>
              </w:rPr>
              <w:t>013）</w:t>
            </w:r>
            <w:r>
              <w:rPr>
                <w:rFonts w:hint="default" w:ascii="Times New Roman" w:hAnsi="Times New Roman" w:eastAsia="宋体" w:cs="Times New Roman"/>
                <w:spacing w:val="-41"/>
                <w:sz w:val="24"/>
                <w:szCs w:val="24"/>
              </w:rPr>
              <w:t xml:space="preserve"> </w:t>
            </w:r>
            <w:r>
              <w:rPr>
                <w:rFonts w:hint="default" w:ascii="Times New Roman" w:hAnsi="Times New Roman" w:eastAsia="宋体" w:cs="Times New Roman"/>
                <w:spacing w:val="4"/>
                <w:sz w:val="24"/>
                <w:szCs w:val="24"/>
              </w:rPr>
              <w:t>中附</w:t>
            </w:r>
            <w:r>
              <w:rPr>
                <w:rFonts w:hint="default" w:ascii="Times New Roman" w:hAnsi="Times New Roman" w:eastAsia="宋体" w:cs="Times New Roman"/>
                <w:spacing w:val="1"/>
                <w:sz w:val="24"/>
                <w:szCs w:val="24"/>
              </w:rPr>
              <w:t>录 A</w:t>
            </w:r>
            <w:r>
              <w:rPr>
                <w:rFonts w:hint="default" w:ascii="Times New Roman" w:hAnsi="Times New Roman" w:eastAsia="宋体" w:cs="Times New Roman"/>
                <w:spacing w:val="-51"/>
                <w:sz w:val="24"/>
                <w:szCs w:val="24"/>
              </w:rPr>
              <w:t xml:space="preserve"> </w:t>
            </w:r>
            <w:r>
              <w:rPr>
                <w:rFonts w:hint="default" w:ascii="Times New Roman" w:hAnsi="Times New Roman" w:eastAsia="宋体" w:cs="Times New Roman"/>
                <w:spacing w:val="1"/>
                <w:sz w:val="24"/>
                <w:szCs w:val="24"/>
              </w:rPr>
              <w:t>得到施工期主要噪声源及源强见表 4-1。</w:t>
            </w:r>
          </w:p>
          <w:p w14:paraId="3CEC018F">
            <w:pPr>
              <w:keepNext w:val="0"/>
              <w:keepLines w:val="0"/>
              <w:pageBreakBefore w:val="0"/>
              <w:widowControl w:val="0"/>
              <w:kinsoku/>
              <w:wordWrap/>
              <w:overflowPunct/>
              <w:topLinePunct w:val="0"/>
              <w:autoSpaceDE/>
              <w:autoSpaceDN/>
              <w:bidi w:val="0"/>
              <w:adjustRightInd w:val="0"/>
              <w:snapToGrid w:val="0"/>
              <w:spacing w:line="360" w:lineRule="auto"/>
              <w:ind w:left="0" w:right="0" w:firstLine="446" w:firstLineChars="20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表 4-1     施工期各类机械噪声源强   单位</w:t>
            </w:r>
            <w:r>
              <w:rPr>
                <w:rFonts w:hint="default" w:ascii="Times New Roman" w:hAnsi="Times New Roman" w:eastAsia="宋体" w:cs="Times New Roman"/>
                <w:b/>
                <w:bCs/>
                <w:spacing w:val="-15"/>
                <w:sz w:val="21"/>
                <w:szCs w:val="21"/>
              </w:rPr>
              <w:t xml:space="preserve"> </w:t>
            </w:r>
            <w:r>
              <w:rPr>
                <w:rFonts w:hint="default" w:ascii="Times New Roman" w:hAnsi="Times New Roman" w:eastAsia="宋体" w:cs="Times New Roman"/>
                <w:b/>
                <w:bCs/>
                <w:spacing w:val="6"/>
                <w:sz w:val="21"/>
                <w:szCs w:val="21"/>
              </w:rPr>
              <w:t>：</w:t>
            </w:r>
            <w:r>
              <w:rPr>
                <w:rFonts w:hint="default" w:ascii="Times New Roman" w:hAnsi="Times New Roman" w:eastAsia="宋体" w:cs="Times New Roman"/>
                <w:b/>
                <w:bCs/>
                <w:sz w:val="21"/>
                <w:szCs w:val="21"/>
              </w:rPr>
              <w:t>dB</w:t>
            </w:r>
            <w:r>
              <w:rPr>
                <w:rFonts w:hint="default" w:ascii="Times New Roman" w:hAnsi="Times New Roman" w:eastAsia="宋体" w:cs="Times New Roman"/>
                <w:b/>
                <w:bCs/>
                <w:spacing w:val="6"/>
                <w:sz w:val="21"/>
                <w:szCs w:val="21"/>
              </w:rPr>
              <w:t>(A)</w:t>
            </w:r>
          </w:p>
          <w:tbl>
            <w:tblPr>
              <w:tblStyle w:val="23"/>
              <w:tblW w:w="8020" w:type="dxa"/>
              <w:tblInd w:w="113"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850"/>
              <w:gridCol w:w="1833"/>
              <w:gridCol w:w="1604"/>
              <w:gridCol w:w="1604"/>
            </w:tblGrid>
            <w:tr w14:paraId="0D4A5EB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129" w:type="dxa"/>
                  <w:tcBorders>
                    <w:top w:val="single" w:color="000000" w:sz="12" w:space="0"/>
                    <w:left w:val="nil"/>
                    <w:tl2br w:val="nil"/>
                  </w:tcBorders>
                  <w:noWrap w:val="0"/>
                  <w:vAlign w:val="center"/>
                </w:tcPr>
                <w:p w14:paraId="7A6F01B9">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序号</w:t>
                  </w:r>
                </w:p>
              </w:tc>
              <w:tc>
                <w:tcPr>
                  <w:tcW w:w="1850" w:type="dxa"/>
                  <w:tcBorders>
                    <w:top w:val="single" w:color="000000" w:sz="12" w:space="0"/>
                  </w:tcBorders>
                  <w:noWrap w:val="0"/>
                  <w:vAlign w:val="center"/>
                </w:tcPr>
                <w:p w14:paraId="72387F10">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机械类型</w:t>
                  </w:r>
                </w:p>
              </w:tc>
              <w:tc>
                <w:tcPr>
                  <w:tcW w:w="1833" w:type="dxa"/>
                  <w:tcBorders>
                    <w:top w:val="single" w:color="000000" w:sz="12" w:space="0"/>
                  </w:tcBorders>
                  <w:noWrap w:val="0"/>
                  <w:vAlign w:val="center"/>
                </w:tcPr>
                <w:p w14:paraId="104DA9F7">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距声源距离（</w:t>
                  </w:r>
                  <w:r>
                    <w:rPr>
                      <w:rStyle w:val="50"/>
                      <w:rFonts w:hint="default" w:ascii="Times New Roman" w:hAnsi="Times New Roman" w:eastAsia="宋体" w:cs="Times New Roman"/>
                      <w:b w:val="0"/>
                      <w:sz w:val="21"/>
                      <w:szCs w:val="21"/>
                      <w:lang w:val="en-US" w:eastAsia="zh-CN" w:bidi="ar"/>
                    </w:rPr>
                    <w:t>m</w:t>
                  </w:r>
                  <w:r>
                    <w:rPr>
                      <w:rStyle w:val="51"/>
                      <w:rFonts w:hint="default" w:ascii="Times New Roman" w:hAnsi="Times New Roman" w:eastAsia="宋体" w:cs="Times New Roman"/>
                      <w:b w:val="0"/>
                      <w:sz w:val="21"/>
                      <w:szCs w:val="21"/>
                      <w:lang w:val="en-US" w:eastAsia="zh-CN" w:bidi="ar"/>
                    </w:rPr>
                    <w:t>）</w:t>
                  </w:r>
                </w:p>
              </w:tc>
              <w:tc>
                <w:tcPr>
                  <w:tcW w:w="1604" w:type="dxa"/>
                  <w:tcBorders>
                    <w:top w:val="single" w:color="000000" w:sz="12" w:space="0"/>
                  </w:tcBorders>
                  <w:noWrap w:val="0"/>
                  <w:vAlign w:val="center"/>
                </w:tcPr>
                <w:p w14:paraId="313B932C">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声源特点</w:t>
                  </w:r>
                </w:p>
              </w:tc>
              <w:tc>
                <w:tcPr>
                  <w:tcW w:w="1604" w:type="dxa"/>
                  <w:tcBorders>
                    <w:top w:val="single" w:color="000000" w:sz="12" w:space="0"/>
                    <w:right w:val="nil"/>
                  </w:tcBorders>
                  <w:noWrap w:val="0"/>
                  <w:vAlign w:val="center"/>
                </w:tcPr>
                <w:p w14:paraId="5FA40FF1">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声压级（</w:t>
                  </w:r>
                  <w:r>
                    <w:rPr>
                      <w:rStyle w:val="50"/>
                      <w:rFonts w:hint="default" w:ascii="Times New Roman" w:hAnsi="Times New Roman" w:eastAsia="宋体" w:cs="Times New Roman"/>
                      <w:b w:val="0"/>
                      <w:sz w:val="21"/>
                      <w:szCs w:val="21"/>
                      <w:lang w:val="en-US" w:eastAsia="zh-CN" w:bidi="ar"/>
                    </w:rPr>
                    <w:t>dB</w:t>
                  </w:r>
                  <w:r>
                    <w:rPr>
                      <w:rStyle w:val="51"/>
                      <w:rFonts w:hint="default" w:ascii="Times New Roman" w:hAnsi="Times New Roman" w:eastAsia="宋体" w:cs="Times New Roman"/>
                      <w:b w:val="0"/>
                      <w:sz w:val="21"/>
                      <w:szCs w:val="21"/>
                      <w:lang w:val="en-US" w:eastAsia="zh-CN" w:bidi="ar"/>
                    </w:rPr>
                    <w:t>）</w:t>
                  </w:r>
                </w:p>
              </w:tc>
            </w:tr>
            <w:tr w14:paraId="3535233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tcBorders>
                    <w:left w:val="nil"/>
                  </w:tcBorders>
                  <w:noWrap w:val="0"/>
                  <w:vAlign w:val="center"/>
                </w:tcPr>
                <w:p w14:paraId="7F213EC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w:t>
                  </w:r>
                </w:p>
              </w:tc>
              <w:tc>
                <w:tcPr>
                  <w:tcW w:w="1850" w:type="dxa"/>
                  <w:noWrap w:val="0"/>
                  <w:vAlign w:val="center"/>
                </w:tcPr>
                <w:p w14:paraId="1F09BB9A">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挖掘机</w:t>
                  </w:r>
                </w:p>
              </w:tc>
              <w:tc>
                <w:tcPr>
                  <w:tcW w:w="1833" w:type="dxa"/>
                  <w:noWrap w:val="0"/>
                  <w:vAlign w:val="center"/>
                </w:tcPr>
                <w:p w14:paraId="2697106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w:t>
                  </w:r>
                </w:p>
              </w:tc>
              <w:tc>
                <w:tcPr>
                  <w:tcW w:w="1604" w:type="dxa"/>
                  <w:noWrap w:val="0"/>
                  <w:vAlign w:val="center"/>
                </w:tcPr>
                <w:p w14:paraId="03BE7D1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流动不稳态源</w:t>
                  </w:r>
                </w:p>
              </w:tc>
              <w:tc>
                <w:tcPr>
                  <w:tcW w:w="1604" w:type="dxa"/>
                  <w:tcBorders>
                    <w:right w:val="nil"/>
                  </w:tcBorders>
                  <w:noWrap w:val="0"/>
                  <w:vAlign w:val="center"/>
                </w:tcPr>
                <w:p w14:paraId="7BAE4B0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82~90</w:t>
                  </w:r>
                </w:p>
              </w:tc>
            </w:tr>
            <w:tr w14:paraId="5005936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tcBorders>
                    <w:left w:val="nil"/>
                  </w:tcBorders>
                  <w:noWrap w:val="0"/>
                  <w:vAlign w:val="center"/>
                </w:tcPr>
                <w:p w14:paraId="3055028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w:t>
                  </w:r>
                </w:p>
              </w:tc>
              <w:tc>
                <w:tcPr>
                  <w:tcW w:w="1850" w:type="dxa"/>
                  <w:noWrap w:val="0"/>
                  <w:vAlign w:val="center"/>
                </w:tcPr>
                <w:p w14:paraId="2F6AE926">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装载机</w:t>
                  </w:r>
                </w:p>
              </w:tc>
              <w:tc>
                <w:tcPr>
                  <w:tcW w:w="1833" w:type="dxa"/>
                  <w:noWrap w:val="0"/>
                  <w:vAlign w:val="center"/>
                </w:tcPr>
                <w:p w14:paraId="74663A4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w:t>
                  </w:r>
                </w:p>
              </w:tc>
              <w:tc>
                <w:tcPr>
                  <w:tcW w:w="1604" w:type="dxa"/>
                  <w:noWrap w:val="0"/>
                  <w:vAlign w:val="center"/>
                </w:tcPr>
                <w:p w14:paraId="7136D44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流动不稳态源</w:t>
                  </w:r>
                </w:p>
              </w:tc>
              <w:tc>
                <w:tcPr>
                  <w:tcW w:w="1604" w:type="dxa"/>
                  <w:tcBorders>
                    <w:right w:val="nil"/>
                  </w:tcBorders>
                  <w:noWrap w:val="0"/>
                  <w:vAlign w:val="center"/>
                </w:tcPr>
                <w:p w14:paraId="54F431A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90~95</w:t>
                  </w:r>
                </w:p>
              </w:tc>
            </w:tr>
            <w:tr w14:paraId="4C275C0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tcBorders>
                    <w:left w:val="nil"/>
                  </w:tcBorders>
                  <w:noWrap w:val="0"/>
                  <w:vAlign w:val="center"/>
                </w:tcPr>
                <w:p w14:paraId="59249EB1">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3</w:t>
                  </w:r>
                </w:p>
              </w:tc>
              <w:tc>
                <w:tcPr>
                  <w:tcW w:w="1850" w:type="dxa"/>
                  <w:noWrap w:val="0"/>
                  <w:vAlign w:val="center"/>
                </w:tcPr>
                <w:p w14:paraId="2B811934">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推土机</w:t>
                  </w:r>
                </w:p>
              </w:tc>
              <w:tc>
                <w:tcPr>
                  <w:tcW w:w="1833" w:type="dxa"/>
                  <w:noWrap w:val="0"/>
                  <w:vAlign w:val="center"/>
                </w:tcPr>
                <w:p w14:paraId="0C4CB8D0">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w:t>
                  </w:r>
                </w:p>
              </w:tc>
              <w:tc>
                <w:tcPr>
                  <w:tcW w:w="1604" w:type="dxa"/>
                  <w:noWrap w:val="0"/>
                  <w:vAlign w:val="center"/>
                </w:tcPr>
                <w:p w14:paraId="795555A4">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流动不稳态源</w:t>
                  </w:r>
                </w:p>
              </w:tc>
              <w:tc>
                <w:tcPr>
                  <w:tcW w:w="1604" w:type="dxa"/>
                  <w:tcBorders>
                    <w:right w:val="nil"/>
                  </w:tcBorders>
                  <w:noWrap w:val="0"/>
                  <w:vAlign w:val="center"/>
                </w:tcPr>
                <w:p w14:paraId="6DA7B9D7">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83~88</w:t>
                  </w:r>
                </w:p>
              </w:tc>
            </w:tr>
            <w:tr w14:paraId="3657105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29" w:type="dxa"/>
                  <w:tcBorders>
                    <w:left w:val="nil"/>
                  </w:tcBorders>
                  <w:noWrap w:val="0"/>
                  <w:vAlign w:val="center"/>
                </w:tcPr>
                <w:p w14:paraId="188D12D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4</w:t>
                  </w:r>
                </w:p>
              </w:tc>
              <w:tc>
                <w:tcPr>
                  <w:tcW w:w="1850" w:type="dxa"/>
                  <w:noWrap w:val="0"/>
                  <w:vAlign w:val="center"/>
                </w:tcPr>
                <w:p w14:paraId="5626191C">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自卸汽车</w:t>
                  </w:r>
                </w:p>
              </w:tc>
              <w:tc>
                <w:tcPr>
                  <w:tcW w:w="1833" w:type="dxa"/>
                  <w:noWrap w:val="0"/>
                  <w:vAlign w:val="center"/>
                </w:tcPr>
                <w:p w14:paraId="0961862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w:t>
                  </w:r>
                </w:p>
              </w:tc>
              <w:tc>
                <w:tcPr>
                  <w:tcW w:w="1604" w:type="dxa"/>
                  <w:noWrap w:val="0"/>
                  <w:vAlign w:val="center"/>
                </w:tcPr>
                <w:p w14:paraId="2C399AA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流动不稳态源</w:t>
                  </w:r>
                </w:p>
              </w:tc>
              <w:tc>
                <w:tcPr>
                  <w:tcW w:w="1604" w:type="dxa"/>
                  <w:tcBorders>
                    <w:right w:val="nil"/>
                  </w:tcBorders>
                  <w:noWrap w:val="0"/>
                  <w:vAlign w:val="center"/>
                </w:tcPr>
                <w:p w14:paraId="291ABA3A">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82~90</w:t>
                  </w:r>
                </w:p>
              </w:tc>
            </w:tr>
            <w:tr w14:paraId="5C9046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129" w:type="dxa"/>
                  <w:tcBorders>
                    <w:left w:val="nil"/>
                    <w:bottom w:val="single" w:color="000000" w:sz="12" w:space="0"/>
                  </w:tcBorders>
                  <w:noWrap w:val="0"/>
                  <w:vAlign w:val="center"/>
                </w:tcPr>
                <w:p w14:paraId="1463F58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w:t>
                  </w:r>
                </w:p>
              </w:tc>
              <w:tc>
                <w:tcPr>
                  <w:tcW w:w="1850" w:type="dxa"/>
                  <w:tcBorders>
                    <w:bottom w:val="single" w:color="000000" w:sz="12" w:space="0"/>
                  </w:tcBorders>
                  <w:noWrap w:val="0"/>
                  <w:vAlign w:val="center"/>
                </w:tcPr>
                <w:p w14:paraId="05F2793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压路机</w:t>
                  </w:r>
                </w:p>
              </w:tc>
              <w:tc>
                <w:tcPr>
                  <w:tcW w:w="1833" w:type="dxa"/>
                  <w:tcBorders>
                    <w:bottom w:val="single" w:color="000000" w:sz="12" w:space="0"/>
                  </w:tcBorders>
                  <w:noWrap w:val="0"/>
                  <w:vAlign w:val="center"/>
                </w:tcPr>
                <w:p w14:paraId="24B23B9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w:t>
                  </w:r>
                </w:p>
              </w:tc>
              <w:tc>
                <w:tcPr>
                  <w:tcW w:w="1604" w:type="dxa"/>
                  <w:tcBorders>
                    <w:bottom w:val="single" w:color="000000" w:sz="12" w:space="0"/>
                  </w:tcBorders>
                  <w:noWrap w:val="0"/>
                  <w:vAlign w:val="center"/>
                </w:tcPr>
                <w:p w14:paraId="491CBC3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固定不稳态源</w:t>
                  </w:r>
                </w:p>
              </w:tc>
              <w:tc>
                <w:tcPr>
                  <w:tcW w:w="1604" w:type="dxa"/>
                  <w:tcBorders>
                    <w:bottom w:val="single" w:color="000000" w:sz="12" w:space="0"/>
                    <w:right w:val="nil"/>
                  </w:tcBorders>
                  <w:noWrap w:val="0"/>
                  <w:vAlign w:val="center"/>
                </w:tcPr>
                <w:p w14:paraId="27E39D7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80~90</w:t>
                  </w:r>
                </w:p>
              </w:tc>
            </w:tr>
          </w:tbl>
          <w:p w14:paraId="68CCE287">
            <w:pPr>
              <w:pStyle w:val="45"/>
              <w:keepNext w:val="0"/>
              <w:keepLines w:val="0"/>
              <w:pageBreakBefore w:val="0"/>
              <w:widowControl w:val="0"/>
              <w:kinsoku/>
              <w:wordWrap/>
              <w:overflowPunct/>
              <w:topLinePunct w:val="0"/>
              <w:autoSpaceDE/>
              <w:autoSpaceDN/>
              <w:bidi w:val="0"/>
              <w:adjustRightInd/>
              <w:snapToGrid/>
              <w:spacing w:line="360" w:lineRule="auto"/>
              <w:ind w:left="0" w:firstLine="49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本项目施工机械声压级在80-95</w:t>
            </w:r>
            <w:r>
              <w:rPr>
                <w:rFonts w:hint="default" w:ascii="Times New Roman" w:hAnsi="Times New Roman" w:eastAsia="宋体" w:cs="Times New Roman"/>
                <w:sz w:val="24"/>
                <w:szCs w:val="24"/>
              </w:rPr>
              <w:t>dB</w:t>
            </w:r>
            <w:r>
              <w:rPr>
                <w:rFonts w:hint="default" w:ascii="Times New Roman" w:hAnsi="Times New Roman" w:eastAsia="宋体" w:cs="Times New Roman"/>
                <w:spacing w:val="4"/>
                <w:sz w:val="24"/>
                <w:szCs w:val="24"/>
              </w:rPr>
              <w:t>(A)。施工期机</w:t>
            </w:r>
            <w:r>
              <w:rPr>
                <w:rFonts w:hint="default" w:ascii="Times New Roman" w:hAnsi="Times New Roman" w:eastAsia="宋体" w:cs="Times New Roman"/>
                <w:spacing w:val="3"/>
                <w:sz w:val="24"/>
                <w:szCs w:val="24"/>
              </w:rPr>
              <w:t>械设备噪声源可近</w:t>
            </w:r>
            <w:r>
              <w:rPr>
                <w:rFonts w:hint="default" w:ascii="Times New Roman" w:hAnsi="Times New Roman" w:eastAsia="宋体" w:cs="Times New Roman"/>
                <w:spacing w:val="-1"/>
                <w:sz w:val="24"/>
                <w:szCs w:val="24"/>
              </w:rPr>
              <w:t>似视为点源，根据噪声源特性分析，施工各阶段中大部分机械噪声无明显</w:t>
            </w:r>
            <w:r>
              <w:rPr>
                <w:rFonts w:hint="default" w:ascii="Times New Roman" w:hAnsi="Times New Roman" w:eastAsia="宋体" w:cs="Times New Roman"/>
                <w:sz w:val="24"/>
                <w:szCs w:val="24"/>
              </w:rPr>
              <w:t>指向性，且露天施工，故预测模式选用《环境</w:t>
            </w:r>
            <w:r>
              <w:rPr>
                <w:rFonts w:hint="default" w:ascii="Times New Roman" w:hAnsi="Times New Roman" w:eastAsia="宋体" w:cs="Times New Roman"/>
                <w:spacing w:val="-1"/>
                <w:sz w:val="24"/>
                <w:szCs w:val="24"/>
              </w:rPr>
              <w:t>影响评价技术导则</w:t>
            </w:r>
            <w:r>
              <w:rPr>
                <w:rFonts w:hint="default" w:ascii="Times New Roman" w:hAnsi="Times New Roman" w:eastAsia="宋体" w:cs="Times New Roman"/>
                <w:spacing w:val="52"/>
                <w:sz w:val="24"/>
                <w:szCs w:val="24"/>
              </w:rPr>
              <w:t xml:space="preserve"> </w:t>
            </w:r>
            <w:r>
              <w:rPr>
                <w:rFonts w:hint="default" w:ascii="Times New Roman" w:hAnsi="Times New Roman" w:eastAsia="宋体" w:cs="Times New Roman"/>
                <w:spacing w:val="-1"/>
                <w:sz w:val="24"/>
                <w:szCs w:val="24"/>
              </w:rPr>
              <w:t>声环境》</w:t>
            </w:r>
            <w:r>
              <w:rPr>
                <w:rFonts w:hint="default" w:ascii="Times New Roman" w:hAnsi="Times New Roman" w:eastAsia="宋体" w:cs="Times New Roman"/>
                <w:spacing w:val="1"/>
                <w:sz w:val="24"/>
                <w:szCs w:val="24"/>
              </w:rPr>
              <w:t>（</w:t>
            </w:r>
            <w:r>
              <w:rPr>
                <w:rFonts w:hint="default" w:ascii="Times New Roman" w:hAnsi="Times New Roman" w:eastAsia="宋体" w:cs="Times New Roman"/>
                <w:sz w:val="24"/>
                <w:szCs w:val="24"/>
              </w:rPr>
              <w:t>HJ</w:t>
            </w:r>
            <w:r>
              <w:rPr>
                <w:rFonts w:hint="default" w:ascii="Times New Roman" w:hAnsi="Times New Roman" w:eastAsia="宋体" w:cs="Times New Roman"/>
                <w:spacing w:val="1"/>
                <w:sz w:val="24"/>
                <w:szCs w:val="24"/>
              </w:rPr>
              <w:t>2.4-2021）附录A中推荐的衰减</w:t>
            </w:r>
            <w:r>
              <w:rPr>
                <w:rFonts w:hint="default" w:ascii="Times New Roman" w:hAnsi="Times New Roman" w:eastAsia="宋体" w:cs="Times New Roman"/>
                <w:sz w:val="24"/>
                <w:szCs w:val="24"/>
              </w:rPr>
              <w:t>模式，选用的噪声随距离衰减公式</w:t>
            </w:r>
            <w:r>
              <w:rPr>
                <w:rFonts w:hint="default" w:ascii="Times New Roman" w:hAnsi="Times New Roman" w:eastAsia="宋体" w:cs="Times New Roman"/>
                <w:spacing w:val="2"/>
                <w:sz w:val="24"/>
                <w:szCs w:val="24"/>
              </w:rPr>
              <w:t>为：</w:t>
            </w:r>
          </w:p>
          <w:p w14:paraId="1803A1F8">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position w:val="5"/>
                <w:sz w:val="24"/>
                <w:szCs w:val="24"/>
              </w:rPr>
              <w:t>L(r)=L(r0)-20lg(r/r</w:t>
            </w:r>
            <w:r>
              <w:rPr>
                <w:rFonts w:hint="default" w:ascii="Times New Roman" w:hAnsi="Times New Roman" w:eastAsia="宋体" w:cs="Times New Roman"/>
                <w:spacing w:val="-1"/>
                <w:position w:val="5"/>
                <w:sz w:val="24"/>
                <w:szCs w:val="24"/>
                <w:vertAlign w:val="subscript"/>
              </w:rPr>
              <w:t>0</w:t>
            </w:r>
            <w:r>
              <w:rPr>
                <w:rFonts w:hint="default" w:ascii="Times New Roman" w:hAnsi="Times New Roman" w:eastAsia="宋体" w:cs="Times New Roman"/>
                <w:spacing w:val="-1"/>
                <w:position w:val="5"/>
                <w:sz w:val="24"/>
                <w:szCs w:val="24"/>
              </w:rPr>
              <w:t>)</w:t>
            </w:r>
          </w:p>
          <w:p w14:paraId="646EDA8B">
            <w:pPr>
              <w:pStyle w:val="4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式中：L(r)——距噪声源r处噪声级，d</w:t>
            </w:r>
            <w:r>
              <w:rPr>
                <w:rFonts w:hint="default" w:ascii="Times New Roman" w:hAnsi="Times New Roman" w:eastAsia="宋体" w:cs="Times New Roman"/>
                <w:spacing w:val="-2"/>
                <w:sz w:val="24"/>
                <w:szCs w:val="24"/>
              </w:rPr>
              <w:t>B(A)；</w:t>
            </w:r>
          </w:p>
          <w:p w14:paraId="3960E172">
            <w:pPr>
              <w:pStyle w:val="45"/>
              <w:keepNext w:val="0"/>
              <w:keepLines w:val="0"/>
              <w:pageBreakBefore w:val="0"/>
              <w:widowControl w:val="0"/>
              <w:kinsoku/>
              <w:wordWrap/>
              <w:overflowPunct/>
              <w:topLinePunct w:val="0"/>
              <w:autoSpaceDE/>
              <w:autoSpaceDN/>
              <w:bidi w:val="0"/>
              <w:adjustRightInd/>
              <w:snapToGrid/>
              <w:spacing w:line="360" w:lineRule="auto"/>
              <w:ind w:left="0" w:firstLine="119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L(r</w:t>
            </w:r>
            <w:r>
              <w:rPr>
                <w:rFonts w:hint="default" w:ascii="Times New Roman" w:hAnsi="Times New Roman" w:eastAsia="宋体" w:cs="Times New Roman"/>
                <w:spacing w:val="-1"/>
                <w:sz w:val="24"/>
                <w:szCs w:val="24"/>
                <w:vertAlign w:val="subscript"/>
              </w:rPr>
              <w:t>0</w:t>
            </w:r>
            <w:r>
              <w:rPr>
                <w:rFonts w:hint="default" w:ascii="Times New Roman" w:hAnsi="Times New Roman" w:eastAsia="宋体" w:cs="Times New Roman"/>
                <w:spacing w:val="-1"/>
                <w:sz w:val="24"/>
                <w:szCs w:val="24"/>
              </w:rPr>
              <w:t>)——距噪声源r</w:t>
            </w:r>
            <w:r>
              <w:rPr>
                <w:rFonts w:hint="default" w:ascii="Times New Roman" w:hAnsi="Times New Roman" w:eastAsia="宋体" w:cs="Times New Roman"/>
                <w:spacing w:val="-1"/>
                <w:sz w:val="24"/>
                <w:szCs w:val="24"/>
                <w:vertAlign w:val="subscript"/>
              </w:rPr>
              <w:t>0</w:t>
            </w:r>
            <w:r>
              <w:rPr>
                <w:rFonts w:hint="default" w:ascii="Times New Roman" w:hAnsi="Times New Roman" w:eastAsia="宋体" w:cs="Times New Roman"/>
                <w:spacing w:val="-1"/>
                <w:sz w:val="24"/>
                <w:szCs w:val="24"/>
              </w:rPr>
              <w:t>处噪声级，dB(A)；</w:t>
            </w:r>
          </w:p>
          <w:p w14:paraId="0B6E580A">
            <w:pPr>
              <w:pStyle w:val="45"/>
              <w:keepNext w:val="0"/>
              <w:keepLines w:val="0"/>
              <w:pageBreakBefore w:val="0"/>
              <w:widowControl w:val="0"/>
              <w:kinsoku/>
              <w:wordWrap/>
              <w:overflowPunct/>
              <w:topLinePunct w:val="0"/>
              <w:autoSpaceDE/>
              <w:autoSpaceDN/>
              <w:bidi w:val="0"/>
              <w:adjustRightInd/>
              <w:snapToGrid/>
              <w:spacing w:line="360" w:lineRule="auto"/>
              <w:ind w:left="0" w:firstLine="119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r——预测点距声源的距离，m；</w:t>
            </w:r>
          </w:p>
          <w:p w14:paraId="10FD63EA">
            <w:pPr>
              <w:pStyle w:val="45"/>
              <w:keepNext w:val="0"/>
              <w:keepLines w:val="0"/>
              <w:pageBreakBefore w:val="0"/>
              <w:widowControl w:val="0"/>
              <w:kinsoku/>
              <w:wordWrap/>
              <w:overflowPunct/>
              <w:topLinePunct w:val="0"/>
              <w:autoSpaceDE/>
              <w:autoSpaceDN/>
              <w:bidi w:val="0"/>
              <w:adjustRightInd/>
              <w:snapToGrid/>
              <w:spacing w:line="360" w:lineRule="auto"/>
              <w:ind w:left="0" w:firstLine="119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r</w:t>
            </w:r>
            <w:r>
              <w:rPr>
                <w:rFonts w:hint="default" w:ascii="Times New Roman" w:hAnsi="Times New Roman" w:eastAsia="宋体" w:cs="Times New Roman"/>
                <w:spacing w:val="-1"/>
                <w:sz w:val="24"/>
                <w:szCs w:val="24"/>
                <w:vertAlign w:val="subscript"/>
              </w:rPr>
              <w:t>0</w:t>
            </w:r>
            <w:r>
              <w:rPr>
                <w:rFonts w:hint="default" w:ascii="Times New Roman" w:hAnsi="Times New Roman" w:eastAsia="宋体" w:cs="Times New Roman"/>
                <w:spacing w:val="-1"/>
                <w:sz w:val="24"/>
                <w:szCs w:val="24"/>
              </w:rPr>
              <w:t>——参考点距声源的距离，m。</w:t>
            </w:r>
          </w:p>
          <w:p w14:paraId="44171BEB">
            <w:pPr>
              <w:pStyle w:val="45"/>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工程施工噪声随距离衰减后的情况见表4-2所示。</w:t>
            </w:r>
          </w:p>
          <w:p w14:paraId="6713856A">
            <w:pPr>
              <w:keepNext w:val="0"/>
              <w:keepLines w:val="0"/>
              <w:pageBreakBefore w:val="0"/>
              <w:widowControl w:val="0"/>
              <w:kinsoku/>
              <w:wordWrap/>
              <w:overflowPunct/>
              <w:topLinePunct w:val="0"/>
              <w:autoSpaceDE/>
              <w:autoSpaceDN/>
              <w:bidi w:val="0"/>
              <w:adjustRightInd w:val="0"/>
              <w:snapToGrid w:val="0"/>
              <w:spacing w:line="360" w:lineRule="auto"/>
              <w:ind w:left="0" w:right="0" w:firstLine="438" w:firstLineChars="20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4"/>
                <w:sz w:val="21"/>
                <w:szCs w:val="21"/>
              </w:rPr>
              <w:t>表 4-2   施工机械设备在不同距离处的噪声值</w:t>
            </w:r>
            <w:r>
              <w:rPr>
                <w:rFonts w:hint="default" w:ascii="Times New Roman" w:hAnsi="Times New Roman" w:eastAsia="宋体" w:cs="Times New Roman"/>
                <w:b/>
                <w:bCs/>
                <w:spacing w:val="10"/>
                <w:sz w:val="21"/>
                <w:szCs w:val="21"/>
              </w:rPr>
              <w:t xml:space="preserve">   </w:t>
            </w:r>
            <w:r>
              <w:rPr>
                <w:rFonts w:hint="default" w:ascii="Times New Roman" w:hAnsi="Times New Roman" w:eastAsia="宋体" w:cs="Times New Roman"/>
                <w:b/>
                <w:bCs/>
                <w:spacing w:val="4"/>
                <w:sz w:val="21"/>
                <w:szCs w:val="21"/>
              </w:rPr>
              <w:t>单位：</w:t>
            </w:r>
            <w:r>
              <w:rPr>
                <w:rFonts w:hint="default" w:ascii="Times New Roman" w:hAnsi="Times New Roman" w:eastAsia="宋体" w:cs="Times New Roman"/>
                <w:b/>
                <w:bCs/>
                <w:sz w:val="21"/>
                <w:szCs w:val="21"/>
              </w:rPr>
              <w:t>dB</w:t>
            </w:r>
          </w:p>
          <w:tbl>
            <w:tblPr>
              <w:tblStyle w:val="23"/>
              <w:tblW w:w="7992" w:type="dxa"/>
              <w:tblInd w:w="113"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888"/>
              <w:gridCol w:w="888"/>
              <w:gridCol w:w="888"/>
              <w:gridCol w:w="888"/>
              <w:gridCol w:w="888"/>
              <w:gridCol w:w="888"/>
              <w:gridCol w:w="888"/>
              <w:gridCol w:w="888"/>
            </w:tblGrid>
            <w:tr w14:paraId="324A958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88" w:type="dxa"/>
                  <w:tcBorders>
                    <w:top w:val="single" w:color="000000" w:sz="12" w:space="0"/>
                    <w:left w:val="nil"/>
                    <w:tl2br w:val="nil"/>
                  </w:tcBorders>
                  <w:noWrap w:val="0"/>
                  <w:vAlign w:val="center"/>
                </w:tcPr>
                <w:p w14:paraId="625E46F8">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序号</w:t>
                  </w:r>
                </w:p>
              </w:tc>
              <w:tc>
                <w:tcPr>
                  <w:tcW w:w="888" w:type="dxa"/>
                  <w:tcBorders>
                    <w:top w:val="single" w:color="000000" w:sz="12" w:space="0"/>
                  </w:tcBorders>
                  <w:noWrap w:val="0"/>
                  <w:vAlign w:val="center"/>
                </w:tcPr>
                <w:p w14:paraId="7BB19D5E">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设备名称</w:t>
                  </w:r>
                </w:p>
              </w:tc>
              <w:tc>
                <w:tcPr>
                  <w:tcW w:w="888" w:type="dxa"/>
                  <w:tcBorders>
                    <w:top w:val="single" w:color="000000" w:sz="12" w:space="0"/>
                  </w:tcBorders>
                  <w:noWrap w:val="0"/>
                  <w:vAlign w:val="center"/>
                </w:tcPr>
                <w:p w14:paraId="424805EF">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50m</w:t>
                  </w:r>
                </w:p>
              </w:tc>
              <w:tc>
                <w:tcPr>
                  <w:tcW w:w="888" w:type="dxa"/>
                  <w:tcBorders>
                    <w:top w:val="single" w:color="000000" w:sz="12" w:space="0"/>
                  </w:tcBorders>
                  <w:noWrap w:val="0"/>
                  <w:vAlign w:val="center"/>
                </w:tcPr>
                <w:p w14:paraId="15A7740C">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100m</w:t>
                  </w:r>
                </w:p>
              </w:tc>
              <w:tc>
                <w:tcPr>
                  <w:tcW w:w="888" w:type="dxa"/>
                  <w:tcBorders>
                    <w:top w:val="single" w:color="000000" w:sz="12" w:space="0"/>
                  </w:tcBorders>
                  <w:noWrap w:val="0"/>
                  <w:vAlign w:val="center"/>
                </w:tcPr>
                <w:p w14:paraId="4D013897">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150m</w:t>
                  </w:r>
                </w:p>
              </w:tc>
              <w:tc>
                <w:tcPr>
                  <w:tcW w:w="888" w:type="dxa"/>
                  <w:tcBorders>
                    <w:top w:val="single" w:color="000000" w:sz="12" w:space="0"/>
                  </w:tcBorders>
                  <w:noWrap w:val="0"/>
                  <w:vAlign w:val="center"/>
                </w:tcPr>
                <w:p w14:paraId="25A21803">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200m</w:t>
                  </w:r>
                </w:p>
              </w:tc>
              <w:tc>
                <w:tcPr>
                  <w:tcW w:w="888" w:type="dxa"/>
                  <w:tcBorders>
                    <w:top w:val="single" w:color="000000" w:sz="12" w:space="0"/>
                  </w:tcBorders>
                  <w:noWrap w:val="0"/>
                  <w:vAlign w:val="center"/>
                </w:tcPr>
                <w:p w14:paraId="0911EA25">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250m</w:t>
                  </w:r>
                </w:p>
              </w:tc>
              <w:tc>
                <w:tcPr>
                  <w:tcW w:w="888" w:type="dxa"/>
                  <w:tcBorders>
                    <w:top w:val="single" w:color="000000" w:sz="12" w:space="0"/>
                  </w:tcBorders>
                  <w:noWrap w:val="0"/>
                  <w:vAlign w:val="center"/>
                </w:tcPr>
                <w:p w14:paraId="6BABCE93">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300m</w:t>
                  </w:r>
                </w:p>
              </w:tc>
              <w:tc>
                <w:tcPr>
                  <w:tcW w:w="888" w:type="dxa"/>
                  <w:tcBorders>
                    <w:top w:val="single" w:color="000000" w:sz="12" w:space="0"/>
                    <w:right w:val="nil"/>
                  </w:tcBorders>
                  <w:noWrap w:val="0"/>
                  <w:vAlign w:val="center"/>
                </w:tcPr>
                <w:p w14:paraId="21A06F34">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400m</w:t>
                  </w:r>
                </w:p>
              </w:tc>
            </w:tr>
            <w:tr w14:paraId="3048CCD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88" w:type="dxa"/>
                  <w:tcBorders>
                    <w:left w:val="nil"/>
                  </w:tcBorders>
                  <w:noWrap w:val="0"/>
                  <w:vAlign w:val="center"/>
                </w:tcPr>
                <w:p w14:paraId="09AE5C48">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w:t>
                  </w:r>
                </w:p>
              </w:tc>
              <w:tc>
                <w:tcPr>
                  <w:tcW w:w="888" w:type="dxa"/>
                  <w:noWrap w:val="0"/>
                  <w:vAlign w:val="center"/>
                </w:tcPr>
                <w:p w14:paraId="386B984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挖掘机</w:t>
                  </w:r>
                </w:p>
              </w:tc>
              <w:tc>
                <w:tcPr>
                  <w:tcW w:w="888" w:type="dxa"/>
                  <w:noWrap w:val="0"/>
                  <w:vAlign w:val="center"/>
                </w:tcPr>
                <w:p w14:paraId="5D8D98E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70</w:t>
                  </w:r>
                </w:p>
              </w:tc>
              <w:tc>
                <w:tcPr>
                  <w:tcW w:w="888" w:type="dxa"/>
                  <w:noWrap w:val="0"/>
                  <w:vAlign w:val="center"/>
                </w:tcPr>
                <w:p w14:paraId="628C357C">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64</w:t>
                  </w:r>
                </w:p>
              </w:tc>
              <w:tc>
                <w:tcPr>
                  <w:tcW w:w="888" w:type="dxa"/>
                  <w:noWrap w:val="0"/>
                  <w:vAlign w:val="center"/>
                </w:tcPr>
                <w:p w14:paraId="54C24FE7">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60</w:t>
                  </w:r>
                </w:p>
              </w:tc>
              <w:tc>
                <w:tcPr>
                  <w:tcW w:w="888" w:type="dxa"/>
                  <w:noWrap w:val="0"/>
                  <w:vAlign w:val="center"/>
                </w:tcPr>
                <w:p w14:paraId="4E3E8B01">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58</w:t>
                  </w:r>
                </w:p>
              </w:tc>
              <w:tc>
                <w:tcPr>
                  <w:tcW w:w="888" w:type="dxa"/>
                  <w:noWrap w:val="0"/>
                  <w:vAlign w:val="center"/>
                </w:tcPr>
                <w:p w14:paraId="69AB9E26">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56</w:t>
                  </w:r>
                </w:p>
              </w:tc>
              <w:tc>
                <w:tcPr>
                  <w:tcW w:w="888" w:type="dxa"/>
                  <w:noWrap w:val="0"/>
                  <w:vAlign w:val="center"/>
                </w:tcPr>
                <w:p w14:paraId="7F49685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54</w:t>
                  </w:r>
                </w:p>
              </w:tc>
              <w:tc>
                <w:tcPr>
                  <w:tcW w:w="888" w:type="dxa"/>
                  <w:tcBorders>
                    <w:right w:val="nil"/>
                  </w:tcBorders>
                  <w:noWrap w:val="0"/>
                  <w:vAlign w:val="center"/>
                </w:tcPr>
                <w:p w14:paraId="7222688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52</w:t>
                  </w:r>
                </w:p>
              </w:tc>
            </w:tr>
            <w:tr w14:paraId="0BAC214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88" w:type="dxa"/>
                  <w:tcBorders>
                    <w:left w:val="nil"/>
                  </w:tcBorders>
                  <w:noWrap w:val="0"/>
                  <w:vAlign w:val="center"/>
                </w:tcPr>
                <w:p w14:paraId="6CAED40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w:t>
                  </w:r>
                </w:p>
              </w:tc>
              <w:tc>
                <w:tcPr>
                  <w:tcW w:w="888" w:type="dxa"/>
                  <w:noWrap w:val="0"/>
                  <w:vAlign w:val="center"/>
                </w:tcPr>
                <w:p w14:paraId="4C3140F1">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装载机</w:t>
                  </w:r>
                </w:p>
              </w:tc>
              <w:tc>
                <w:tcPr>
                  <w:tcW w:w="888" w:type="dxa"/>
                  <w:noWrap w:val="0"/>
                  <w:vAlign w:val="center"/>
                </w:tcPr>
                <w:p w14:paraId="38560505">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75</w:t>
                  </w:r>
                </w:p>
              </w:tc>
              <w:tc>
                <w:tcPr>
                  <w:tcW w:w="888" w:type="dxa"/>
                  <w:noWrap w:val="0"/>
                  <w:vAlign w:val="center"/>
                </w:tcPr>
                <w:p w14:paraId="1F9EA65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69</w:t>
                  </w:r>
                </w:p>
              </w:tc>
              <w:tc>
                <w:tcPr>
                  <w:tcW w:w="888" w:type="dxa"/>
                  <w:noWrap w:val="0"/>
                  <w:vAlign w:val="center"/>
                </w:tcPr>
                <w:p w14:paraId="0E41C367">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65</w:t>
                  </w:r>
                </w:p>
              </w:tc>
              <w:tc>
                <w:tcPr>
                  <w:tcW w:w="888" w:type="dxa"/>
                  <w:noWrap w:val="0"/>
                  <w:vAlign w:val="center"/>
                </w:tcPr>
                <w:p w14:paraId="0443D094">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63</w:t>
                  </w:r>
                </w:p>
              </w:tc>
              <w:tc>
                <w:tcPr>
                  <w:tcW w:w="888" w:type="dxa"/>
                  <w:noWrap w:val="0"/>
                  <w:vAlign w:val="center"/>
                </w:tcPr>
                <w:p w14:paraId="486925B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61</w:t>
                  </w:r>
                </w:p>
              </w:tc>
              <w:tc>
                <w:tcPr>
                  <w:tcW w:w="888" w:type="dxa"/>
                  <w:noWrap w:val="0"/>
                  <w:vAlign w:val="center"/>
                </w:tcPr>
                <w:p w14:paraId="269C13BC">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59</w:t>
                  </w:r>
                </w:p>
              </w:tc>
              <w:tc>
                <w:tcPr>
                  <w:tcW w:w="888" w:type="dxa"/>
                  <w:tcBorders>
                    <w:right w:val="nil"/>
                  </w:tcBorders>
                  <w:noWrap w:val="0"/>
                  <w:vAlign w:val="center"/>
                </w:tcPr>
                <w:p w14:paraId="2C980D45">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57</w:t>
                  </w:r>
                </w:p>
              </w:tc>
            </w:tr>
            <w:tr w14:paraId="7D3CCFB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88" w:type="dxa"/>
                  <w:tcBorders>
                    <w:left w:val="nil"/>
                  </w:tcBorders>
                  <w:noWrap w:val="0"/>
                  <w:vAlign w:val="center"/>
                </w:tcPr>
                <w:p w14:paraId="19C5A711">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3</w:t>
                  </w:r>
                </w:p>
              </w:tc>
              <w:tc>
                <w:tcPr>
                  <w:tcW w:w="888" w:type="dxa"/>
                  <w:noWrap w:val="0"/>
                  <w:vAlign w:val="center"/>
                </w:tcPr>
                <w:p w14:paraId="2A797EE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推土机</w:t>
                  </w:r>
                </w:p>
              </w:tc>
              <w:tc>
                <w:tcPr>
                  <w:tcW w:w="888" w:type="dxa"/>
                  <w:noWrap w:val="0"/>
                  <w:vAlign w:val="center"/>
                </w:tcPr>
                <w:p w14:paraId="0E119B3A">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68</w:t>
                  </w:r>
                </w:p>
              </w:tc>
              <w:tc>
                <w:tcPr>
                  <w:tcW w:w="888" w:type="dxa"/>
                  <w:noWrap w:val="0"/>
                  <w:vAlign w:val="center"/>
                </w:tcPr>
                <w:p w14:paraId="60B24487">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62</w:t>
                  </w:r>
                </w:p>
              </w:tc>
              <w:tc>
                <w:tcPr>
                  <w:tcW w:w="888" w:type="dxa"/>
                  <w:noWrap w:val="0"/>
                  <w:vAlign w:val="center"/>
                </w:tcPr>
                <w:p w14:paraId="78A0E1D7">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58</w:t>
                  </w:r>
                </w:p>
              </w:tc>
              <w:tc>
                <w:tcPr>
                  <w:tcW w:w="888" w:type="dxa"/>
                  <w:noWrap w:val="0"/>
                  <w:vAlign w:val="center"/>
                </w:tcPr>
                <w:p w14:paraId="7398F535">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56</w:t>
                  </w:r>
                </w:p>
              </w:tc>
              <w:tc>
                <w:tcPr>
                  <w:tcW w:w="888" w:type="dxa"/>
                  <w:noWrap w:val="0"/>
                  <w:vAlign w:val="center"/>
                </w:tcPr>
                <w:p w14:paraId="27926306">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54</w:t>
                  </w:r>
                </w:p>
              </w:tc>
              <w:tc>
                <w:tcPr>
                  <w:tcW w:w="888" w:type="dxa"/>
                  <w:noWrap w:val="0"/>
                  <w:vAlign w:val="center"/>
                </w:tcPr>
                <w:p w14:paraId="7D35DE15">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52</w:t>
                  </w:r>
                </w:p>
              </w:tc>
              <w:tc>
                <w:tcPr>
                  <w:tcW w:w="888" w:type="dxa"/>
                  <w:tcBorders>
                    <w:right w:val="nil"/>
                  </w:tcBorders>
                  <w:noWrap w:val="0"/>
                  <w:vAlign w:val="center"/>
                </w:tcPr>
                <w:p w14:paraId="528C31C6">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50</w:t>
                  </w:r>
                </w:p>
              </w:tc>
            </w:tr>
            <w:tr w14:paraId="0411E96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888" w:type="dxa"/>
                  <w:tcBorders>
                    <w:left w:val="nil"/>
                  </w:tcBorders>
                  <w:noWrap w:val="0"/>
                  <w:vAlign w:val="center"/>
                </w:tcPr>
                <w:p w14:paraId="02F7DCB1">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4</w:t>
                  </w:r>
                </w:p>
              </w:tc>
              <w:tc>
                <w:tcPr>
                  <w:tcW w:w="888" w:type="dxa"/>
                  <w:noWrap w:val="0"/>
                  <w:vAlign w:val="center"/>
                </w:tcPr>
                <w:p w14:paraId="52EBC08C">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载重汽车</w:t>
                  </w:r>
                </w:p>
              </w:tc>
              <w:tc>
                <w:tcPr>
                  <w:tcW w:w="888" w:type="dxa"/>
                  <w:noWrap w:val="0"/>
                  <w:vAlign w:val="center"/>
                </w:tcPr>
                <w:p w14:paraId="48DB1AF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70</w:t>
                  </w:r>
                </w:p>
              </w:tc>
              <w:tc>
                <w:tcPr>
                  <w:tcW w:w="888" w:type="dxa"/>
                  <w:noWrap w:val="0"/>
                  <w:vAlign w:val="center"/>
                </w:tcPr>
                <w:p w14:paraId="361D500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64</w:t>
                  </w:r>
                </w:p>
              </w:tc>
              <w:tc>
                <w:tcPr>
                  <w:tcW w:w="888" w:type="dxa"/>
                  <w:noWrap w:val="0"/>
                  <w:vAlign w:val="center"/>
                </w:tcPr>
                <w:p w14:paraId="72D712C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60</w:t>
                  </w:r>
                </w:p>
              </w:tc>
              <w:tc>
                <w:tcPr>
                  <w:tcW w:w="888" w:type="dxa"/>
                  <w:noWrap w:val="0"/>
                  <w:vAlign w:val="center"/>
                </w:tcPr>
                <w:p w14:paraId="65E64C8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58</w:t>
                  </w:r>
                </w:p>
              </w:tc>
              <w:tc>
                <w:tcPr>
                  <w:tcW w:w="888" w:type="dxa"/>
                  <w:noWrap w:val="0"/>
                  <w:vAlign w:val="center"/>
                </w:tcPr>
                <w:p w14:paraId="317EB440">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56</w:t>
                  </w:r>
                </w:p>
              </w:tc>
              <w:tc>
                <w:tcPr>
                  <w:tcW w:w="888" w:type="dxa"/>
                  <w:noWrap w:val="0"/>
                  <w:vAlign w:val="center"/>
                </w:tcPr>
                <w:p w14:paraId="300ABF47">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54</w:t>
                  </w:r>
                </w:p>
              </w:tc>
              <w:tc>
                <w:tcPr>
                  <w:tcW w:w="888" w:type="dxa"/>
                  <w:tcBorders>
                    <w:right w:val="nil"/>
                  </w:tcBorders>
                  <w:noWrap w:val="0"/>
                  <w:vAlign w:val="center"/>
                </w:tcPr>
                <w:p w14:paraId="4D88855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52</w:t>
                  </w:r>
                </w:p>
              </w:tc>
            </w:tr>
            <w:tr w14:paraId="7275BC6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88" w:type="dxa"/>
                  <w:tcBorders>
                    <w:left w:val="nil"/>
                    <w:bottom w:val="single" w:color="000000" w:sz="12" w:space="0"/>
                  </w:tcBorders>
                  <w:noWrap w:val="0"/>
                  <w:vAlign w:val="center"/>
                </w:tcPr>
                <w:p w14:paraId="3FEF82D7">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w:t>
                  </w:r>
                </w:p>
              </w:tc>
              <w:tc>
                <w:tcPr>
                  <w:tcW w:w="888" w:type="dxa"/>
                  <w:tcBorders>
                    <w:bottom w:val="single" w:color="000000" w:sz="12" w:space="0"/>
                  </w:tcBorders>
                  <w:noWrap w:val="0"/>
                  <w:vAlign w:val="center"/>
                </w:tcPr>
                <w:p w14:paraId="3F95B79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压路机</w:t>
                  </w:r>
                </w:p>
              </w:tc>
              <w:tc>
                <w:tcPr>
                  <w:tcW w:w="888" w:type="dxa"/>
                  <w:tcBorders>
                    <w:bottom w:val="single" w:color="000000" w:sz="12" w:space="0"/>
                  </w:tcBorders>
                  <w:noWrap w:val="0"/>
                  <w:vAlign w:val="center"/>
                </w:tcPr>
                <w:p w14:paraId="6C3842B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70</w:t>
                  </w:r>
                </w:p>
              </w:tc>
              <w:tc>
                <w:tcPr>
                  <w:tcW w:w="888" w:type="dxa"/>
                  <w:tcBorders>
                    <w:bottom w:val="single" w:color="000000" w:sz="12" w:space="0"/>
                  </w:tcBorders>
                  <w:noWrap w:val="0"/>
                  <w:vAlign w:val="center"/>
                </w:tcPr>
                <w:p w14:paraId="693C755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64</w:t>
                  </w:r>
                </w:p>
              </w:tc>
              <w:tc>
                <w:tcPr>
                  <w:tcW w:w="888" w:type="dxa"/>
                  <w:tcBorders>
                    <w:bottom w:val="single" w:color="000000" w:sz="12" w:space="0"/>
                  </w:tcBorders>
                  <w:noWrap w:val="0"/>
                  <w:vAlign w:val="center"/>
                </w:tcPr>
                <w:p w14:paraId="5FFCA274">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60</w:t>
                  </w:r>
                </w:p>
              </w:tc>
              <w:tc>
                <w:tcPr>
                  <w:tcW w:w="888" w:type="dxa"/>
                  <w:tcBorders>
                    <w:bottom w:val="single" w:color="000000" w:sz="12" w:space="0"/>
                  </w:tcBorders>
                  <w:noWrap w:val="0"/>
                  <w:vAlign w:val="center"/>
                </w:tcPr>
                <w:p w14:paraId="0B09928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58</w:t>
                  </w:r>
                </w:p>
              </w:tc>
              <w:tc>
                <w:tcPr>
                  <w:tcW w:w="888" w:type="dxa"/>
                  <w:tcBorders>
                    <w:bottom w:val="single" w:color="000000" w:sz="12" w:space="0"/>
                  </w:tcBorders>
                  <w:noWrap w:val="0"/>
                  <w:vAlign w:val="center"/>
                </w:tcPr>
                <w:p w14:paraId="714612D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56</w:t>
                  </w:r>
                </w:p>
              </w:tc>
              <w:tc>
                <w:tcPr>
                  <w:tcW w:w="888" w:type="dxa"/>
                  <w:tcBorders>
                    <w:bottom w:val="single" w:color="000000" w:sz="12" w:space="0"/>
                  </w:tcBorders>
                  <w:noWrap w:val="0"/>
                  <w:vAlign w:val="center"/>
                </w:tcPr>
                <w:p w14:paraId="49FDC12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54</w:t>
                  </w:r>
                </w:p>
              </w:tc>
              <w:tc>
                <w:tcPr>
                  <w:tcW w:w="888" w:type="dxa"/>
                  <w:tcBorders>
                    <w:bottom w:val="single" w:color="000000" w:sz="12" w:space="0"/>
                    <w:right w:val="nil"/>
                  </w:tcBorders>
                  <w:noWrap w:val="0"/>
                  <w:vAlign w:val="center"/>
                </w:tcPr>
                <w:p w14:paraId="47A95AA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52</w:t>
                  </w:r>
                </w:p>
              </w:tc>
            </w:tr>
          </w:tbl>
          <w:p w14:paraId="5AD96917">
            <w:pPr>
              <w:pStyle w:val="45"/>
              <w:keepNext w:val="0"/>
              <w:keepLines w:val="0"/>
              <w:pageBreakBefore w:val="0"/>
              <w:widowControl w:val="0"/>
              <w:kinsoku/>
              <w:wordWrap/>
              <w:overflowPunct/>
              <w:topLinePunct w:val="0"/>
              <w:autoSpaceDE/>
              <w:autoSpaceDN/>
              <w:bidi w:val="0"/>
              <w:adjustRightInd/>
              <w:spacing w:line="360" w:lineRule="auto"/>
              <w:ind w:left="0" w:right="0" w:firstLine="50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由表可知，施工期机械噪声在无遮挡情况下，如果使用单台机械，在</w:t>
            </w:r>
            <w:r>
              <w:rPr>
                <w:rFonts w:hint="default" w:ascii="Times New Roman" w:hAnsi="Times New Roman" w:eastAsia="宋体" w:cs="Times New Roman"/>
                <w:spacing w:val="16"/>
                <w:sz w:val="24"/>
                <w:szCs w:val="24"/>
              </w:rPr>
              <w:t>100m</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16"/>
                <w:sz w:val="24"/>
                <w:szCs w:val="24"/>
              </w:rPr>
              <w:t>处可满足《建筑施工噪声排放标准》（</w:t>
            </w:r>
            <w:r>
              <w:rPr>
                <w:rFonts w:hint="default" w:ascii="Times New Roman" w:hAnsi="Times New Roman" w:eastAsia="宋体" w:cs="Times New Roman"/>
                <w:sz w:val="24"/>
                <w:szCs w:val="24"/>
              </w:rPr>
              <w:t>GB</w:t>
            </w:r>
            <w:r>
              <w:rPr>
                <w:rFonts w:hint="default" w:ascii="Times New Roman" w:hAnsi="Times New Roman" w:eastAsia="宋体" w:cs="Times New Roman"/>
                <w:spacing w:val="15"/>
                <w:sz w:val="24"/>
                <w:szCs w:val="24"/>
              </w:rPr>
              <w:t>12523-202</w:t>
            </w:r>
            <w:r>
              <w:rPr>
                <w:rFonts w:hint="eastAsia" w:ascii="Times New Roman" w:hAnsi="Times New Roman" w:eastAsia="宋体" w:cs="Times New Roman"/>
                <w:spacing w:val="15"/>
                <w:sz w:val="24"/>
                <w:szCs w:val="24"/>
                <w:lang w:val="en-US" w:eastAsia="zh-CN"/>
              </w:rPr>
              <w:t>5</w:t>
            </w:r>
            <w:r>
              <w:rPr>
                <w:rFonts w:hint="eastAsia" w:ascii="Times New Roman" w:hAnsi="Times New Roman" w:eastAsia="宋体" w:cs="Times New Roman"/>
                <w:spacing w:val="15"/>
                <w:sz w:val="24"/>
                <w:szCs w:val="24"/>
                <w:lang w:eastAsia="zh-CN"/>
              </w:rPr>
              <w:t>）</w:t>
            </w:r>
            <w:r>
              <w:rPr>
                <w:rFonts w:hint="default" w:ascii="Times New Roman" w:hAnsi="Times New Roman" w:eastAsia="宋体" w:cs="Times New Roman"/>
                <w:spacing w:val="15"/>
                <w:sz w:val="24"/>
                <w:szCs w:val="24"/>
              </w:rPr>
              <w:t>昼间标</w:t>
            </w:r>
            <w:r>
              <w:rPr>
                <w:rFonts w:hint="default" w:ascii="Times New Roman" w:hAnsi="Times New Roman" w:eastAsia="宋体" w:cs="Times New Roman"/>
                <w:sz w:val="24"/>
                <w:szCs w:val="24"/>
              </w:rPr>
              <w:t>准（70dB</w:t>
            </w:r>
            <w:r>
              <w:rPr>
                <w:rFonts w:hint="default" w:ascii="Times New Roman" w:hAnsi="Times New Roman" w:eastAsia="宋体" w:cs="Times New Roman"/>
                <w:spacing w:val="-70"/>
                <w:sz w:val="24"/>
                <w:szCs w:val="24"/>
              </w:rPr>
              <w:t xml:space="preserve"> </w:t>
            </w:r>
            <w:r>
              <w:rPr>
                <w:rFonts w:hint="eastAsia" w:ascii="Times New Roman" w:hAnsi="Times New Roman" w:eastAsia="宋体" w:cs="Times New Roman"/>
                <w:spacing w:val="-70"/>
                <w:sz w:val="24"/>
                <w:szCs w:val="24"/>
                <w:lang w:eastAsia="zh-CN"/>
              </w:rPr>
              <w:t>）</w:t>
            </w:r>
            <w:r>
              <w:rPr>
                <w:rFonts w:hint="default" w:ascii="Times New Roman" w:hAnsi="Times New Roman" w:eastAsia="宋体" w:cs="Times New Roman"/>
                <w:sz w:val="24"/>
                <w:szCs w:val="24"/>
              </w:rPr>
              <w:t>要求，项目夜间不施工。在实际施工过程中，往往</w:t>
            </w:r>
            <w:r>
              <w:rPr>
                <w:rFonts w:hint="default" w:ascii="Times New Roman" w:hAnsi="Times New Roman" w:eastAsia="宋体" w:cs="Times New Roman"/>
                <w:spacing w:val="-1"/>
                <w:sz w:val="24"/>
                <w:szCs w:val="24"/>
              </w:rPr>
              <w:t>是多种机械同时使用，其噪声影响范围会更大。因此，在</w:t>
            </w:r>
            <w:r>
              <w:rPr>
                <w:rFonts w:hint="default" w:ascii="Times New Roman" w:hAnsi="Times New Roman" w:eastAsia="宋体" w:cs="Times New Roman"/>
                <w:spacing w:val="-2"/>
                <w:sz w:val="24"/>
                <w:szCs w:val="24"/>
              </w:rPr>
              <w:t>施工过程中尽量选择低噪</w:t>
            </w:r>
            <w:r>
              <w:rPr>
                <w:rFonts w:hint="default" w:ascii="Times New Roman" w:hAnsi="Times New Roman" w:eastAsia="宋体" w:cs="Times New Roman"/>
                <w:sz w:val="24"/>
                <w:szCs w:val="24"/>
              </w:rPr>
              <w:t>声设备以及合理安排施工作业时间以及各机械设备的位置，施工期的噪声</w:t>
            </w:r>
            <w:r>
              <w:rPr>
                <w:rFonts w:hint="default" w:ascii="Times New Roman" w:hAnsi="Times New Roman" w:eastAsia="宋体" w:cs="Times New Roman"/>
                <w:spacing w:val="-1"/>
                <w:sz w:val="24"/>
                <w:szCs w:val="24"/>
              </w:rPr>
              <w:t>影响具有局部性和时限性</w:t>
            </w:r>
            <w:r>
              <w:rPr>
                <w:rFonts w:hint="default" w:ascii="Times New Roman" w:hAnsi="Times New Roman" w:eastAsia="宋体" w:cs="Times New Roman"/>
                <w:spacing w:val="-29"/>
                <w:sz w:val="24"/>
                <w:szCs w:val="24"/>
              </w:rPr>
              <w:t xml:space="preserve"> </w:t>
            </w:r>
            <w:r>
              <w:rPr>
                <w:rFonts w:hint="default" w:ascii="Times New Roman" w:hAnsi="Times New Roman" w:eastAsia="宋体" w:cs="Times New Roman"/>
                <w:spacing w:val="-1"/>
                <w:sz w:val="24"/>
                <w:szCs w:val="24"/>
              </w:rPr>
              <w:t>，随施工期的结束，施</w:t>
            </w:r>
            <w:r>
              <w:rPr>
                <w:rFonts w:hint="default" w:ascii="Times New Roman" w:hAnsi="Times New Roman" w:eastAsia="宋体" w:cs="Times New Roman"/>
                <w:spacing w:val="-2"/>
                <w:sz w:val="24"/>
                <w:szCs w:val="24"/>
              </w:rPr>
              <w:t>工期噪声对周围环境的影</w:t>
            </w:r>
            <w:r>
              <w:rPr>
                <w:rFonts w:hint="default" w:ascii="Times New Roman" w:hAnsi="Times New Roman" w:eastAsia="宋体" w:cs="Times New Roman"/>
                <w:spacing w:val="-1"/>
                <w:sz w:val="24"/>
                <w:szCs w:val="24"/>
              </w:rPr>
              <w:t>响也随之消失。</w:t>
            </w:r>
          </w:p>
          <w:p w14:paraId="5DD0F464">
            <w:pPr>
              <w:pStyle w:val="45"/>
              <w:keepNext w:val="0"/>
              <w:keepLines w:val="0"/>
              <w:pageBreakBefore w:val="0"/>
              <w:widowControl w:val="0"/>
              <w:kinsoku/>
              <w:wordWrap/>
              <w:overflowPunct/>
              <w:topLinePunct w:val="0"/>
              <w:autoSpaceDE/>
              <w:autoSpaceDN/>
              <w:bidi w:val="0"/>
              <w:adjustRightInd/>
              <w:spacing w:line="360" w:lineRule="auto"/>
              <w:ind w:left="0" w:right="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3、施工期对水环境的影响分析</w:t>
            </w:r>
          </w:p>
          <w:p w14:paraId="4ED1D800">
            <w:pPr>
              <w:pStyle w:val="45"/>
              <w:keepNext w:val="0"/>
              <w:keepLines w:val="0"/>
              <w:pageBreakBefore w:val="0"/>
              <w:widowControl w:val="0"/>
              <w:kinsoku/>
              <w:wordWrap/>
              <w:overflowPunct/>
              <w:topLinePunct w:val="0"/>
              <w:autoSpaceDE/>
              <w:autoSpaceDN/>
              <w:bidi w:val="0"/>
              <w:adjustRightInd/>
              <w:spacing w:line="360" w:lineRule="auto"/>
              <w:ind w:left="0" w:right="0" w:firstLine="47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施工期废水主要为施工人员产生的生活污水和少量施工废水。施工人</w:t>
            </w:r>
            <w:r>
              <w:rPr>
                <w:rFonts w:hint="default" w:ascii="Times New Roman" w:hAnsi="Times New Roman" w:eastAsia="宋体" w:cs="Times New Roman"/>
                <w:spacing w:val="-2"/>
                <w:sz w:val="24"/>
                <w:szCs w:val="24"/>
              </w:rPr>
              <w:t>员生活污水主要为盥洗废水，用于施工场地洒</w:t>
            </w:r>
            <w:r>
              <w:rPr>
                <w:rFonts w:hint="default" w:ascii="Times New Roman" w:hAnsi="Times New Roman" w:eastAsia="宋体" w:cs="Times New Roman"/>
                <w:spacing w:val="-3"/>
                <w:sz w:val="24"/>
                <w:szCs w:val="24"/>
              </w:rPr>
              <w:t>水抑尘，</w:t>
            </w:r>
            <w:r>
              <w:rPr>
                <w:rFonts w:hint="default" w:ascii="Times New Roman" w:hAnsi="Times New Roman" w:eastAsia="宋体" w:cs="Times New Roman"/>
                <w:spacing w:val="-26"/>
                <w:sz w:val="24"/>
                <w:szCs w:val="24"/>
              </w:rPr>
              <w:t xml:space="preserve"> </w:t>
            </w:r>
            <w:r>
              <w:rPr>
                <w:rFonts w:hint="default" w:ascii="Times New Roman" w:hAnsi="Times New Roman" w:eastAsia="宋体" w:cs="Times New Roman"/>
                <w:spacing w:val="-3"/>
                <w:sz w:val="24"/>
                <w:szCs w:val="24"/>
              </w:rPr>
              <w:t>自然蒸发</w:t>
            </w:r>
            <w:r>
              <w:rPr>
                <w:rFonts w:hint="default" w:ascii="Times New Roman" w:hAnsi="Times New Roman" w:eastAsia="宋体" w:cs="Times New Roman"/>
                <w:spacing w:val="-41"/>
                <w:sz w:val="24"/>
                <w:szCs w:val="24"/>
              </w:rPr>
              <w:t xml:space="preserve"> </w:t>
            </w:r>
            <w:r>
              <w:rPr>
                <w:rFonts w:hint="default" w:ascii="Times New Roman" w:hAnsi="Times New Roman" w:eastAsia="宋体" w:cs="Times New Roman"/>
                <w:spacing w:val="-3"/>
                <w:sz w:val="24"/>
                <w:szCs w:val="24"/>
              </w:rPr>
              <w:t>。场地内</w:t>
            </w:r>
            <w:r>
              <w:rPr>
                <w:rFonts w:hint="default" w:ascii="Times New Roman" w:hAnsi="Times New Roman" w:eastAsia="宋体" w:cs="Times New Roman"/>
                <w:sz w:val="24"/>
                <w:szCs w:val="24"/>
              </w:rPr>
              <w:t>配环保厕所，定期清掏。施工废水经临时沉淀池沉淀后回用。因此，施工</w:t>
            </w:r>
            <w:r>
              <w:rPr>
                <w:rFonts w:hint="default" w:ascii="Times New Roman" w:hAnsi="Times New Roman" w:eastAsia="宋体" w:cs="Times New Roman"/>
                <w:spacing w:val="-1"/>
                <w:sz w:val="24"/>
                <w:szCs w:val="24"/>
              </w:rPr>
              <w:t>期废水对周边环境影响较小。</w:t>
            </w:r>
          </w:p>
          <w:p w14:paraId="0D106E1F">
            <w:pPr>
              <w:pStyle w:val="45"/>
              <w:keepNext w:val="0"/>
              <w:keepLines w:val="0"/>
              <w:pageBreakBefore w:val="0"/>
              <w:widowControl w:val="0"/>
              <w:kinsoku/>
              <w:wordWrap/>
              <w:overflowPunct/>
              <w:topLinePunct w:val="0"/>
              <w:autoSpaceDE/>
              <w:autoSpaceDN/>
              <w:bidi w:val="0"/>
              <w:adjustRightInd/>
              <w:spacing w:line="360" w:lineRule="auto"/>
              <w:ind w:left="0" w:right="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4、施工期固体废物处置影响分析</w:t>
            </w:r>
          </w:p>
          <w:p w14:paraId="6157D4B6">
            <w:pPr>
              <w:keepNext w:val="0"/>
              <w:keepLines w:val="0"/>
              <w:pageBreakBefore w:val="0"/>
              <w:widowControl w:val="0"/>
              <w:kinsoku/>
              <w:wordWrap/>
              <w:overflowPunct/>
              <w:topLinePunct w:val="0"/>
              <w:autoSpaceDE/>
              <w:autoSpaceDN/>
              <w:bidi w:val="0"/>
              <w:adjustRightInd/>
              <w:snapToGrid w:val="0"/>
              <w:spacing w:line="360" w:lineRule="auto"/>
              <w:ind w:left="0" w:right="0" w:firstLine="476" w:firstLineChars="200"/>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spacing w:val="-1"/>
                <w:sz w:val="24"/>
                <w:szCs w:val="24"/>
              </w:rPr>
              <w:t>施工期固体废物主要为首采区剥离</w:t>
            </w:r>
            <w:r>
              <w:rPr>
                <w:rFonts w:hint="eastAsia" w:cs="Times New Roman"/>
                <w:spacing w:val="-1"/>
                <w:sz w:val="24"/>
                <w:szCs w:val="24"/>
                <w:lang w:val="en-US" w:eastAsia="zh-CN"/>
              </w:rPr>
              <w:t>覆盖层</w:t>
            </w:r>
            <w:r>
              <w:rPr>
                <w:rFonts w:hint="default" w:ascii="Times New Roman" w:hAnsi="Times New Roman" w:eastAsia="宋体" w:cs="Times New Roman"/>
                <w:spacing w:val="-1"/>
                <w:sz w:val="24"/>
                <w:szCs w:val="24"/>
              </w:rPr>
              <w:t>、建筑垃圾以及施工人员产生</w:t>
            </w:r>
            <w:r>
              <w:rPr>
                <w:rFonts w:hint="default" w:ascii="Times New Roman" w:hAnsi="Times New Roman" w:eastAsia="宋体" w:cs="Times New Roman"/>
                <w:spacing w:val="-5"/>
                <w:sz w:val="24"/>
                <w:szCs w:val="24"/>
              </w:rPr>
              <w:t>的生活垃圾。首采区剥离</w:t>
            </w:r>
            <w:r>
              <w:rPr>
                <w:rFonts w:hint="eastAsia" w:cs="Times New Roman"/>
                <w:spacing w:val="-5"/>
                <w:sz w:val="24"/>
                <w:szCs w:val="24"/>
                <w:lang w:val="en-US" w:eastAsia="zh-CN"/>
              </w:rPr>
              <w:t>覆盖层</w:t>
            </w:r>
            <w:r>
              <w:rPr>
                <w:rFonts w:hint="default" w:ascii="Times New Roman" w:hAnsi="Times New Roman" w:eastAsia="宋体" w:cs="Times New Roman"/>
                <w:spacing w:val="-5"/>
                <w:sz w:val="24"/>
                <w:szCs w:val="24"/>
              </w:rPr>
              <w:t>暂存至临时堆场，用于矿区生态恢复；</w:t>
            </w:r>
            <w:r>
              <w:rPr>
                <w:rFonts w:hint="default" w:ascii="Times New Roman" w:hAnsi="Times New Roman" w:eastAsia="宋体" w:cs="Times New Roman"/>
                <w:spacing w:val="-5"/>
                <w:sz w:val="24"/>
                <w:szCs w:val="24"/>
                <w:lang w:val="en-US" w:eastAsia="zh-CN"/>
              </w:rPr>
              <w:t>建筑垃圾用于平整场地，不能</w:t>
            </w:r>
            <w:r>
              <w:rPr>
                <w:rFonts w:hint="eastAsia" w:ascii="Times New Roman" w:hAnsi="Times New Roman" w:eastAsia="宋体" w:cs="Times New Roman"/>
                <w:spacing w:val="-5"/>
                <w:sz w:val="24"/>
                <w:szCs w:val="24"/>
                <w:lang w:val="en-US" w:eastAsia="zh-CN"/>
              </w:rPr>
              <w:t>利用</w:t>
            </w:r>
            <w:r>
              <w:rPr>
                <w:rFonts w:hint="default" w:ascii="Times New Roman" w:hAnsi="Times New Roman" w:eastAsia="宋体" w:cs="Times New Roman"/>
                <w:spacing w:val="-5"/>
                <w:sz w:val="24"/>
                <w:szCs w:val="24"/>
                <w:lang w:val="en-US" w:eastAsia="zh-CN"/>
              </w:rPr>
              <w:t>的拉运至环卫部门指定地点进行处理；</w:t>
            </w:r>
            <w:r>
              <w:rPr>
                <w:rFonts w:hint="default" w:ascii="Times New Roman" w:hAnsi="Times New Roman" w:eastAsia="宋体" w:cs="Times New Roman"/>
                <w:spacing w:val="-1"/>
                <w:sz w:val="24"/>
                <w:szCs w:val="24"/>
              </w:rPr>
              <w:t>生活垃圾集中</w:t>
            </w:r>
            <w:r>
              <w:rPr>
                <w:rFonts w:hint="default" w:ascii="Times New Roman" w:hAnsi="Times New Roman" w:eastAsia="宋体" w:cs="Times New Roman"/>
                <w:spacing w:val="-2"/>
                <w:sz w:val="24"/>
                <w:szCs w:val="24"/>
              </w:rPr>
              <w:t>收集后运至环卫部门指</w:t>
            </w:r>
            <w:r>
              <w:rPr>
                <w:rFonts w:hint="default" w:ascii="Times New Roman" w:hAnsi="Times New Roman" w:eastAsia="宋体" w:cs="Times New Roman"/>
                <w:spacing w:val="-1"/>
                <w:sz w:val="24"/>
                <w:szCs w:val="24"/>
              </w:rPr>
              <w:t>定地点。</w:t>
            </w:r>
          </w:p>
          <w:p w14:paraId="77B3A343">
            <w:pPr>
              <w:keepNext w:val="0"/>
              <w:keepLines w:val="0"/>
              <w:pageBreakBefore w:val="0"/>
              <w:widowControl w:val="0"/>
              <w:kinsoku/>
              <w:wordWrap/>
              <w:overflowPunct/>
              <w:topLinePunct w:val="0"/>
              <w:autoSpaceDE/>
              <w:autoSpaceDN/>
              <w:bidi w:val="0"/>
              <w:adjustRightInd/>
              <w:snapToGrid w:val="0"/>
              <w:spacing w:line="360" w:lineRule="auto"/>
              <w:ind w:left="0" w:right="0" w:firstLine="476"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1"/>
                <w:sz w:val="24"/>
                <w:szCs w:val="24"/>
              </w:rPr>
              <w:t>因此，采取上述措施后，施工期固体废物均得到了妥善处置，避免了二次污染，对周边环境影响较小。</w:t>
            </w:r>
          </w:p>
          <w:p w14:paraId="2EE26A70">
            <w:pPr>
              <w:pStyle w:val="45"/>
              <w:keepNext w:val="0"/>
              <w:keepLines w:val="0"/>
              <w:pageBreakBefore w:val="0"/>
              <w:widowControl w:val="0"/>
              <w:numPr>
                <w:ilvl w:val="0"/>
                <w:numId w:val="0"/>
              </w:numPr>
              <w:kinsoku/>
              <w:wordWrap/>
              <w:overflowPunct/>
              <w:topLinePunct w:val="0"/>
              <w:autoSpaceDE/>
              <w:autoSpaceDN/>
              <w:bidi w:val="0"/>
              <w:adjustRightInd/>
              <w:spacing w:line="360" w:lineRule="auto"/>
              <w:ind w:right="0" w:rightChars="0"/>
              <w:textAlignment w:val="auto"/>
              <w:rPr>
                <w:rFonts w:hint="default" w:ascii="Times New Roman" w:hAnsi="Times New Roman" w:eastAsia="宋体" w:cs="Times New Roman"/>
                <w:b/>
                <w:bCs/>
                <w:spacing w:val="2"/>
                <w:sz w:val="24"/>
                <w:szCs w:val="24"/>
              </w:rPr>
            </w:pPr>
            <w:r>
              <w:rPr>
                <w:rFonts w:hint="eastAsia" w:ascii="Times New Roman" w:hAnsi="Times New Roman" w:eastAsia="宋体" w:cs="Times New Roman"/>
                <w:b/>
                <w:bCs/>
                <w:spacing w:val="2"/>
                <w:sz w:val="24"/>
                <w:szCs w:val="24"/>
                <w:lang w:val="en-US" w:eastAsia="zh-CN"/>
              </w:rPr>
              <w:t>5、</w:t>
            </w:r>
            <w:r>
              <w:rPr>
                <w:rFonts w:hint="default" w:ascii="Times New Roman" w:hAnsi="Times New Roman" w:eastAsia="宋体" w:cs="Times New Roman"/>
                <w:b/>
                <w:bCs/>
                <w:spacing w:val="2"/>
                <w:sz w:val="24"/>
                <w:szCs w:val="24"/>
              </w:rPr>
              <w:t>施工期生态</w:t>
            </w:r>
            <w:r>
              <w:rPr>
                <w:rFonts w:hint="default" w:ascii="Times New Roman" w:hAnsi="Times New Roman" w:eastAsia="宋体" w:cs="Times New Roman"/>
                <w:b/>
                <w:bCs/>
                <w:spacing w:val="2"/>
                <w:sz w:val="24"/>
                <w:szCs w:val="24"/>
                <w:lang w:val="en-US" w:eastAsia="zh-CN"/>
              </w:rPr>
              <w:t>环境</w:t>
            </w:r>
            <w:r>
              <w:rPr>
                <w:rFonts w:hint="default" w:ascii="Times New Roman" w:hAnsi="Times New Roman" w:eastAsia="宋体" w:cs="Times New Roman"/>
                <w:b/>
                <w:bCs/>
                <w:spacing w:val="2"/>
                <w:sz w:val="24"/>
                <w:szCs w:val="24"/>
              </w:rPr>
              <w:t>影响分析</w:t>
            </w:r>
          </w:p>
          <w:p w14:paraId="2927B99A">
            <w:pPr>
              <w:pStyle w:val="45"/>
              <w:keepNext w:val="0"/>
              <w:keepLines w:val="0"/>
              <w:pageBreakBefore w:val="0"/>
              <w:widowControl w:val="0"/>
              <w:kinsoku/>
              <w:wordWrap/>
              <w:overflowPunct/>
              <w:topLinePunct w:val="0"/>
              <w:autoSpaceDE/>
              <w:autoSpaceDN/>
              <w:bidi w:val="0"/>
              <w:adjustRightInd/>
              <w:spacing w:line="360" w:lineRule="auto"/>
              <w:ind w:left="0" w:right="0" w:firstLine="693" w:firstLineChars="3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5"/>
                <w:sz w:val="24"/>
                <w:szCs w:val="24"/>
                <w:lang w:val="en-US" w:eastAsia="zh-CN"/>
              </w:rPr>
              <w:t>5.</w:t>
            </w:r>
            <w:r>
              <w:rPr>
                <w:rFonts w:hint="default" w:ascii="Times New Roman" w:hAnsi="Times New Roman" w:eastAsia="宋体" w:cs="Times New Roman"/>
                <w:b/>
                <w:bCs/>
                <w:spacing w:val="-5"/>
                <w:sz w:val="24"/>
                <w:szCs w:val="24"/>
              </w:rPr>
              <w:t>1项目建设占地对生态的影响分析</w:t>
            </w:r>
          </w:p>
          <w:p w14:paraId="04DFFEFD">
            <w:pPr>
              <w:keepNext w:val="0"/>
              <w:keepLines w:val="0"/>
              <w:pageBreakBefore w:val="0"/>
              <w:widowControl w:val="0"/>
              <w:kinsoku/>
              <w:wordWrap/>
              <w:overflowPunct/>
              <w:topLinePunct w:val="0"/>
              <w:autoSpaceDE/>
              <w:autoSpaceDN/>
              <w:bidi w:val="0"/>
              <w:adjustRightInd/>
              <w:snapToGrid w:val="0"/>
              <w:spacing w:line="360" w:lineRule="auto"/>
              <w:ind w:left="0" w:right="0" w:firstLine="476" w:firstLineChars="200"/>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spacing w:val="-1"/>
                <w:sz w:val="24"/>
                <w:szCs w:val="24"/>
              </w:rPr>
              <w:t>本项目采矿区占地面积为</w:t>
            </w:r>
            <w:r>
              <w:rPr>
                <w:rFonts w:hint="eastAsia" w:ascii="Times New Roman" w:hAnsi="Times New Roman" w:eastAsia="宋体" w:cs="Times New Roman"/>
                <w:spacing w:val="-1"/>
                <w:sz w:val="24"/>
                <w:szCs w:val="24"/>
                <w:lang w:val="en-US" w:eastAsia="zh-CN"/>
              </w:rPr>
              <w:t>1126000</w:t>
            </w:r>
            <w:r>
              <w:rPr>
                <w:rFonts w:hint="default" w:ascii="Times New Roman" w:hAnsi="Times New Roman" w:eastAsia="宋体" w:cs="Times New Roman"/>
                <w:spacing w:val="-1"/>
                <w:sz w:val="24"/>
                <w:szCs w:val="24"/>
              </w:rPr>
              <w:t>m</w:t>
            </w:r>
            <w:r>
              <w:rPr>
                <w:rFonts w:hint="eastAsia" w:cs="Times New Roman"/>
                <w:spacing w:val="-1"/>
                <w:sz w:val="24"/>
                <w:szCs w:val="24"/>
                <w:vertAlign w:val="superscript"/>
                <w:lang w:val="en-US" w:eastAsia="zh-CN"/>
              </w:rPr>
              <w:t>2</w:t>
            </w:r>
            <w:r>
              <w:rPr>
                <w:rFonts w:hint="default" w:ascii="Times New Roman" w:hAnsi="Times New Roman" w:eastAsia="宋体" w:cs="Times New Roman"/>
                <w:spacing w:val="-1"/>
                <w:sz w:val="24"/>
                <w:szCs w:val="24"/>
              </w:rPr>
              <w:t>，</w:t>
            </w:r>
            <w:r>
              <w:rPr>
                <w:rFonts w:hint="eastAsia" w:cs="Times New Roman"/>
                <w:spacing w:val="-1"/>
                <w:sz w:val="24"/>
                <w:szCs w:val="24"/>
                <w:lang w:eastAsia="zh-CN"/>
              </w:rPr>
              <w:t>、</w:t>
            </w:r>
            <w:r>
              <w:rPr>
                <w:rFonts w:hint="eastAsia" w:cs="Times New Roman"/>
                <w:spacing w:val="-1"/>
                <w:sz w:val="24"/>
                <w:szCs w:val="24"/>
                <w:lang w:val="en-US" w:eastAsia="zh-CN"/>
              </w:rPr>
              <w:t>堆矿场面积为1000</w:t>
            </w:r>
            <w:r>
              <w:rPr>
                <w:rFonts w:hint="default" w:ascii="Times New Roman" w:hAnsi="Times New Roman" w:eastAsia="宋体" w:cs="Times New Roman"/>
                <w:spacing w:val="-1"/>
                <w:sz w:val="24"/>
                <w:szCs w:val="24"/>
              </w:rPr>
              <w:t>m</w:t>
            </w:r>
            <w:r>
              <w:rPr>
                <w:rFonts w:hint="eastAsia" w:cs="Times New Roman"/>
                <w:spacing w:val="-1"/>
                <w:sz w:val="24"/>
                <w:szCs w:val="24"/>
                <w:vertAlign w:val="superscript"/>
                <w:lang w:val="en-US" w:eastAsia="zh-CN"/>
              </w:rPr>
              <w:t>2</w:t>
            </w:r>
            <w:r>
              <w:rPr>
                <w:rFonts w:hint="eastAsia" w:cs="Times New Roman"/>
                <w:spacing w:val="-1"/>
                <w:sz w:val="24"/>
                <w:szCs w:val="24"/>
                <w:lang w:val="en-US" w:eastAsia="zh-CN"/>
              </w:rPr>
              <w:t>、排土场面积为66675</w:t>
            </w:r>
            <w:r>
              <w:rPr>
                <w:rFonts w:hint="default" w:ascii="Times New Roman" w:hAnsi="Times New Roman" w:eastAsia="宋体" w:cs="Times New Roman"/>
                <w:spacing w:val="-1"/>
                <w:sz w:val="24"/>
                <w:szCs w:val="24"/>
              </w:rPr>
              <w:t>m</w:t>
            </w:r>
            <w:r>
              <w:rPr>
                <w:rFonts w:hint="eastAsia" w:cs="Times New Roman"/>
                <w:spacing w:val="-1"/>
                <w:sz w:val="24"/>
                <w:szCs w:val="24"/>
                <w:vertAlign w:val="superscript"/>
                <w:lang w:val="en-US" w:eastAsia="zh-CN"/>
              </w:rPr>
              <w:t>2</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1"/>
                <w:sz w:val="24"/>
                <w:szCs w:val="24"/>
              </w:rPr>
              <w:t>主要占地类型为</w:t>
            </w:r>
            <w:r>
              <w:rPr>
                <w:rFonts w:hint="eastAsia" w:ascii="Times New Roman" w:hAnsi="Times New Roman" w:eastAsia="宋体" w:cs="Times New Roman"/>
                <w:spacing w:val="-1"/>
                <w:sz w:val="24"/>
                <w:szCs w:val="24"/>
                <w:lang w:val="en-US" w:eastAsia="zh-CN"/>
              </w:rPr>
              <w:t>裸土地</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2"/>
                <w:sz w:val="24"/>
                <w:szCs w:val="24"/>
              </w:rPr>
              <w:t>矿山开采方式为露天开采，矿区主要工程</w:t>
            </w:r>
            <w:r>
              <w:rPr>
                <w:rFonts w:hint="default" w:ascii="Times New Roman" w:hAnsi="Times New Roman" w:eastAsia="宋体" w:cs="Times New Roman"/>
                <w:spacing w:val="-3"/>
                <w:sz w:val="24"/>
                <w:szCs w:val="24"/>
              </w:rPr>
              <w:t>项目对生态环境造成的影响，见表4-</w:t>
            </w:r>
            <w:r>
              <w:rPr>
                <w:rFonts w:hint="eastAsia" w:cs="Times New Roman"/>
                <w:spacing w:val="-3"/>
                <w:sz w:val="24"/>
                <w:szCs w:val="24"/>
                <w:lang w:val="en-US" w:eastAsia="zh-CN"/>
              </w:rPr>
              <w:t>3</w:t>
            </w:r>
            <w:r>
              <w:rPr>
                <w:rFonts w:hint="default" w:ascii="Times New Roman" w:hAnsi="Times New Roman" w:eastAsia="宋体" w:cs="Times New Roman"/>
                <w:spacing w:val="-3"/>
                <w:sz w:val="24"/>
                <w:szCs w:val="24"/>
              </w:rPr>
              <w:t>。</w:t>
            </w:r>
          </w:p>
          <w:p w14:paraId="690A8C76">
            <w:pPr>
              <w:keepNext w:val="0"/>
              <w:keepLines w:val="0"/>
              <w:pageBreakBefore w:val="0"/>
              <w:widowControl w:val="0"/>
              <w:kinsoku/>
              <w:wordWrap/>
              <w:overflowPunct/>
              <w:topLinePunct w:val="0"/>
              <w:autoSpaceDE/>
              <w:autoSpaceDN/>
              <w:bidi w:val="0"/>
              <w:adjustRightInd/>
              <w:snapToGrid w:val="0"/>
              <w:spacing w:line="360" w:lineRule="auto"/>
              <w:ind w:left="0" w:right="0" w:firstLine="414" w:firstLineChars="20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2"/>
                <w:sz w:val="21"/>
                <w:szCs w:val="21"/>
              </w:rPr>
              <w:t>表4-</w:t>
            </w:r>
            <w:r>
              <w:rPr>
                <w:rFonts w:hint="eastAsia" w:ascii="Times New Roman" w:hAnsi="Times New Roman" w:eastAsia="宋体" w:cs="Times New Roman"/>
                <w:b/>
                <w:bCs/>
                <w:spacing w:val="-2"/>
                <w:sz w:val="21"/>
                <w:szCs w:val="21"/>
                <w:lang w:val="en-US" w:eastAsia="zh-CN"/>
              </w:rPr>
              <w:t>3</w:t>
            </w:r>
            <w:r>
              <w:rPr>
                <w:rFonts w:hint="default" w:ascii="Times New Roman" w:hAnsi="Times New Roman" w:eastAsia="宋体" w:cs="Times New Roman"/>
                <w:b/>
                <w:bCs/>
                <w:spacing w:val="-2"/>
                <w:sz w:val="21"/>
                <w:szCs w:val="21"/>
              </w:rPr>
              <w:t>露天采矿对生态环境影响项目表</w:t>
            </w:r>
          </w:p>
          <w:tbl>
            <w:tblPr>
              <w:tblStyle w:val="23"/>
              <w:tblW w:w="799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2383"/>
              <w:gridCol w:w="1696"/>
              <w:gridCol w:w="2001"/>
            </w:tblGrid>
            <w:tr w14:paraId="5F16E82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918" w:type="dxa"/>
                  <w:tcBorders>
                    <w:top w:val="single" w:color="000000" w:sz="12" w:space="0"/>
                    <w:left w:val="nil"/>
                    <w:tl2br w:val="nil"/>
                  </w:tcBorders>
                  <w:noWrap w:val="0"/>
                  <w:vAlign w:val="center"/>
                </w:tcPr>
                <w:p w14:paraId="45FB41A6">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highlight w:val="none"/>
                      <w:u w:val="none"/>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主要影响活动及项目</w:t>
                  </w:r>
                </w:p>
              </w:tc>
              <w:tc>
                <w:tcPr>
                  <w:tcW w:w="2383" w:type="dxa"/>
                  <w:tcBorders>
                    <w:top w:val="single" w:color="000000" w:sz="12" w:space="0"/>
                  </w:tcBorders>
                  <w:noWrap w:val="0"/>
                  <w:vAlign w:val="center"/>
                </w:tcPr>
                <w:p w14:paraId="2A9AF64F">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highlight w:val="none"/>
                      <w:u w:val="none"/>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运营期影响</w:t>
                  </w:r>
                </w:p>
              </w:tc>
              <w:tc>
                <w:tcPr>
                  <w:tcW w:w="1696" w:type="dxa"/>
                  <w:tcBorders>
                    <w:top w:val="single" w:color="000000" w:sz="12" w:space="0"/>
                  </w:tcBorders>
                  <w:noWrap w:val="0"/>
                  <w:vAlign w:val="center"/>
                </w:tcPr>
                <w:p w14:paraId="3180E436">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highlight w:val="none"/>
                      <w:u w:val="none"/>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占地面积（m</w:t>
                  </w:r>
                  <w:r>
                    <w:rPr>
                      <w:rStyle w:val="52"/>
                      <w:rFonts w:hint="default" w:ascii="Times New Roman" w:hAnsi="Times New Roman" w:eastAsia="宋体" w:cs="Times New Roman"/>
                      <w:b w:val="0"/>
                      <w:sz w:val="21"/>
                      <w:szCs w:val="21"/>
                      <w:highlight w:val="none"/>
                      <w:vertAlign w:val="superscript"/>
                      <w:lang w:val="en-US" w:eastAsia="zh-CN" w:bidi="ar"/>
                    </w:rPr>
                    <w:t>2</w:t>
                  </w:r>
                  <w:r>
                    <w:rPr>
                      <w:rFonts w:hint="default" w:ascii="Times New Roman" w:hAnsi="Times New Roman" w:eastAsia="宋体" w:cs="Times New Roman"/>
                      <w:b w:val="0"/>
                      <w:bCs/>
                      <w:i w:val="0"/>
                      <w:iCs w:val="0"/>
                      <w:color w:val="000000"/>
                      <w:kern w:val="0"/>
                      <w:sz w:val="21"/>
                      <w:szCs w:val="21"/>
                      <w:highlight w:val="none"/>
                      <w:u w:val="none"/>
                      <w:lang w:val="en-US" w:eastAsia="zh-CN" w:bidi="ar"/>
                    </w:rPr>
                    <w:t>）</w:t>
                  </w:r>
                </w:p>
              </w:tc>
              <w:tc>
                <w:tcPr>
                  <w:tcW w:w="2001" w:type="dxa"/>
                  <w:tcBorders>
                    <w:top w:val="single" w:color="000000" w:sz="12" w:space="0"/>
                    <w:right w:val="nil"/>
                  </w:tcBorders>
                  <w:noWrap w:val="0"/>
                  <w:vAlign w:val="center"/>
                </w:tcPr>
                <w:p w14:paraId="3871ACA9">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highlight w:val="none"/>
                      <w:u w:val="none"/>
                    </w:rPr>
                  </w:pPr>
                  <w:r>
                    <w:rPr>
                      <w:rFonts w:hint="default" w:ascii="Times New Roman" w:hAnsi="Times New Roman" w:eastAsia="宋体" w:cs="Times New Roman"/>
                      <w:b w:val="0"/>
                      <w:bCs/>
                      <w:i w:val="0"/>
                      <w:iCs w:val="0"/>
                      <w:color w:val="000000"/>
                      <w:kern w:val="0"/>
                      <w:sz w:val="21"/>
                      <w:szCs w:val="21"/>
                      <w:highlight w:val="none"/>
                      <w:u w:val="none"/>
                      <w:lang w:val="en-US" w:eastAsia="zh-CN" w:bidi="ar"/>
                    </w:rPr>
                    <w:t>占地类型</w:t>
                  </w:r>
                </w:p>
              </w:tc>
            </w:tr>
            <w:tr w14:paraId="11BCFAD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918" w:type="dxa"/>
                  <w:tcBorders>
                    <w:left w:val="nil"/>
                  </w:tcBorders>
                  <w:noWrap w:val="0"/>
                  <w:vAlign w:val="center"/>
                </w:tcPr>
                <w:p w14:paraId="31BFD42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default" w:ascii="Times New Roman" w:hAnsi="Times New Roman" w:eastAsia="宋体" w:cs="Times New Roman"/>
                      <w:b w:val="0"/>
                      <w:i w:val="0"/>
                      <w:iCs w:val="0"/>
                      <w:color w:val="000000"/>
                      <w:kern w:val="0"/>
                      <w:sz w:val="21"/>
                      <w:szCs w:val="21"/>
                      <w:highlight w:val="none"/>
                      <w:u w:val="none"/>
                      <w:lang w:val="en-US" w:eastAsia="zh-CN" w:bidi="ar"/>
                    </w:rPr>
                    <w:t>采矿区、排土</w:t>
                  </w:r>
                  <w:r>
                    <w:rPr>
                      <w:rStyle w:val="53"/>
                      <w:rFonts w:hint="default" w:ascii="Times New Roman" w:hAnsi="Times New Roman" w:eastAsia="宋体" w:cs="Times New Roman"/>
                      <w:b w:val="0"/>
                      <w:sz w:val="21"/>
                      <w:szCs w:val="21"/>
                      <w:highlight w:val="none"/>
                      <w:lang w:val="en-US" w:eastAsia="zh-CN" w:bidi="ar"/>
                    </w:rPr>
                    <w:t>场</w:t>
                  </w:r>
                  <w:r>
                    <w:rPr>
                      <w:rStyle w:val="53"/>
                      <w:rFonts w:hint="eastAsia" w:ascii="Times New Roman" w:hAnsi="Times New Roman" w:eastAsia="宋体" w:cs="Times New Roman"/>
                      <w:b w:val="0"/>
                      <w:sz w:val="21"/>
                      <w:szCs w:val="21"/>
                      <w:highlight w:val="none"/>
                      <w:lang w:val="en-US" w:eastAsia="zh-CN" w:bidi="ar"/>
                    </w:rPr>
                    <w:t>、堆矿场</w:t>
                  </w:r>
                </w:p>
              </w:tc>
              <w:tc>
                <w:tcPr>
                  <w:tcW w:w="2383" w:type="dxa"/>
                  <w:noWrap w:val="0"/>
                  <w:vAlign w:val="center"/>
                </w:tcPr>
                <w:p w14:paraId="427031E8">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占用土地，</w:t>
                  </w:r>
                  <w:r>
                    <w:rPr>
                      <w:rStyle w:val="53"/>
                      <w:rFonts w:hint="default" w:ascii="Times New Roman" w:hAnsi="Times New Roman" w:eastAsia="宋体" w:cs="Times New Roman"/>
                      <w:b w:val="0"/>
                      <w:sz w:val="21"/>
                      <w:szCs w:val="21"/>
                      <w:highlight w:val="none"/>
                      <w:lang w:val="en-US" w:eastAsia="zh-CN" w:bidi="ar"/>
                    </w:rPr>
                    <w:t>改变自然景观，影响土壤质量，加剧水土流失</w:t>
                  </w:r>
                </w:p>
              </w:tc>
              <w:tc>
                <w:tcPr>
                  <w:tcW w:w="1696" w:type="dxa"/>
                  <w:noWrap w:val="0"/>
                  <w:vAlign w:val="center"/>
                </w:tcPr>
                <w:p w14:paraId="2C1D75C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highlight w:val="none"/>
                      <w:u w:val="none"/>
                      <w:lang w:val="en-US" w:eastAsia="zh-CN"/>
                    </w:rPr>
                  </w:pPr>
                  <w:r>
                    <w:rPr>
                      <w:rFonts w:hint="eastAsia" w:cs="Times New Roman"/>
                      <w:b w:val="0"/>
                      <w:i w:val="0"/>
                      <w:iCs w:val="0"/>
                      <w:color w:val="000000"/>
                      <w:sz w:val="21"/>
                      <w:szCs w:val="21"/>
                      <w:highlight w:val="none"/>
                      <w:u w:val="none"/>
                      <w:lang w:val="en-US" w:eastAsia="zh-CN"/>
                    </w:rPr>
                    <w:t>1193675</w:t>
                  </w:r>
                </w:p>
              </w:tc>
              <w:tc>
                <w:tcPr>
                  <w:tcW w:w="2001" w:type="dxa"/>
                  <w:tcBorders>
                    <w:right w:val="nil"/>
                  </w:tcBorders>
                  <w:noWrap w:val="0"/>
                  <w:vAlign w:val="center"/>
                </w:tcPr>
                <w:p w14:paraId="768DA18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eastAsia" w:ascii="Times New Roman" w:hAnsi="Times New Roman" w:eastAsia="宋体" w:cs="Times New Roman"/>
                      <w:spacing w:val="-1"/>
                      <w:sz w:val="21"/>
                      <w:szCs w:val="21"/>
                      <w:highlight w:val="none"/>
                      <w:lang w:val="en-US" w:eastAsia="zh-CN"/>
                    </w:rPr>
                    <w:t>裸土地</w:t>
                  </w:r>
                </w:p>
              </w:tc>
            </w:tr>
            <w:tr w14:paraId="6F69456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918" w:type="dxa"/>
                  <w:tcBorders>
                    <w:left w:val="nil"/>
                  </w:tcBorders>
                  <w:noWrap w:val="0"/>
                  <w:vAlign w:val="center"/>
                </w:tcPr>
                <w:p w14:paraId="184C43C4">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运输道路</w:t>
                  </w:r>
                </w:p>
              </w:tc>
              <w:tc>
                <w:tcPr>
                  <w:tcW w:w="2383" w:type="dxa"/>
                  <w:noWrap w:val="0"/>
                  <w:vAlign w:val="center"/>
                </w:tcPr>
                <w:p w14:paraId="017BF378">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占用土地，影响周边植被</w:t>
                  </w:r>
                </w:p>
              </w:tc>
              <w:tc>
                <w:tcPr>
                  <w:tcW w:w="1696" w:type="dxa"/>
                  <w:noWrap w:val="0"/>
                  <w:vAlign w:val="center"/>
                </w:tcPr>
                <w:p w14:paraId="53ADB0A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highlight w:val="none"/>
                      <w:u w:val="none"/>
                      <w:lang w:val="en-US" w:eastAsia="zh-CN"/>
                    </w:rPr>
                  </w:pPr>
                  <w:r>
                    <w:rPr>
                      <w:rFonts w:hint="eastAsia" w:cs="Times New Roman"/>
                      <w:b w:val="0"/>
                      <w:i w:val="0"/>
                      <w:iCs w:val="0"/>
                      <w:color w:val="000000"/>
                      <w:sz w:val="21"/>
                      <w:szCs w:val="21"/>
                      <w:highlight w:val="none"/>
                      <w:u w:val="none"/>
                      <w:lang w:val="en-US" w:eastAsia="zh-CN"/>
                    </w:rPr>
                    <w:t>12000</w:t>
                  </w:r>
                </w:p>
              </w:tc>
              <w:tc>
                <w:tcPr>
                  <w:tcW w:w="2001" w:type="dxa"/>
                  <w:tcBorders>
                    <w:right w:val="nil"/>
                  </w:tcBorders>
                  <w:noWrap w:val="0"/>
                  <w:vAlign w:val="center"/>
                </w:tcPr>
                <w:p w14:paraId="205533A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eastAsia" w:ascii="Times New Roman" w:hAnsi="Times New Roman" w:eastAsia="宋体" w:cs="Times New Roman"/>
                      <w:spacing w:val="-1"/>
                      <w:sz w:val="21"/>
                      <w:szCs w:val="21"/>
                      <w:highlight w:val="none"/>
                      <w:lang w:val="en-US" w:eastAsia="zh-CN"/>
                    </w:rPr>
                    <w:t>裸土地</w:t>
                  </w:r>
                </w:p>
              </w:tc>
            </w:tr>
            <w:tr w14:paraId="238E5FD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301" w:type="dxa"/>
                  <w:gridSpan w:val="2"/>
                  <w:tcBorders>
                    <w:left w:val="nil"/>
                    <w:bottom w:val="single" w:color="000000" w:sz="12" w:space="0"/>
                  </w:tcBorders>
                  <w:noWrap w:val="0"/>
                  <w:vAlign w:val="center"/>
                </w:tcPr>
                <w:p w14:paraId="2AE91D6C">
                  <w:pPr>
                    <w:keepNext w:val="0"/>
                    <w:keepLines w:val="0"/>
                    <w:widowControl/>
                    <w:suppressLineNumbers w:val="0"/>
                    <w:jc w:val="center"/>
                    <w:textAlignment w:val="center"/>
                    <w:rPr>
                      <w:rFonts w:hint="default" w:ascii="Times New Roman" w:hAnsi="Times New Roman" w:eastAsia="宋体" w:cs="Times New Roman"/>
                      <w:spacing w:val="-3"/>
                      <w:kern w:val="2"/>
                      <w:sz w:val="21"/>
                      <w:szCs w:val="21"/>
                      <w:lang w:val="en-US" w:eastAsia="en-US" w:bidi="ar-SA"/>
                    </w:rPr>
                  </w:pPr>
                  <w:r>
                    <w:rPr>
                      <w:rFonts w:hint="default" w:ascii="Times New Roman" w:hAnsi="Times New Roman" w:eastAsia="宋体" w:cs="Times New Roman"/>
                      <w:spacing w:val="-3"/>
                      <w:kern w:val="2"/>
                      <w:sz w:val="21"/>
                      <w:szCs w:val="21"/>
                      <w:lang w:val="en-US" w:eastAsia="zh-CN" w:bidi="ar-SA"/>
                    </w:rPr>
                    <w:t>合计</w:t>
                  </w:r>
                </w:p>
              </w:tc>
              <w:tc>
                <w:tcPr>
                  <w:tcW w:w="1696" w:type="dxa"/>
                  <w:tcBorders>
                    <w:bottom w:val="single" w:color="000000" w:sz="12" w:space="0"/>
                  </w:tcBorders>
                  <w:noWrap w:val="0"/>
                  <w:vAlign w:val="center"/>
                </w:tcPr>
                <w:p w14:paraId="191A6D75">
                  <w:pPr>
                    <w:keepNext w:val="0"/>
                    <w:keepLines w:val="0"/>
                    <w:widowControl/>
                    <w:suppressLineNumbers w:val="0"/>
                    <w:jc w:val="center"/>
                    <w:textAlignment w:val="center"/>
                    <w:rPr>
                      <w:rFonts w:hint="default" w:ascii="Times New Roman" w:hAnsi="Times New Roman" w:eastAsia="宋体" w:cs="Times New Roman"/>
                      <w:spacing w:val="-3"/>
                      <w:kern w:val="2"/>
                      <w:sz w:val="21"/>
                      <w:szCs w:val="21"/>
                      <w:lang w:val="en-US" w:eastAsia="zh-CN" w:bidi="ar-SA"/>
                    </w:rPr>
                  </w:pPr>
                  <w:r>
                    <w:rPr>
                      <w:rFonts w:hint="eastAsia" w:ascii="Times New Roman" w:hAnsi="Times New Roman" w:eastAsia="宋体" w:cs="Times New Roman"/>
                      <w:spacing w:val="-3"/>
                      <w:kern w:val="2"/>
                      <w:sz w:val="21"/>
                      <w:szCs w:val="21"/>
                      <w:lang w:val="en-US" w:eastAsia="zh-CN" w:bidi="ar-SA"/>
                    </w:rPr>
                    <w:t>1205675</w:t>
                  </w:r>
                </w:p>
              </w:tc>
              <w:tc>
                <w:tcPr>
                  <w:tcW w:w="2001" w:type="dxa"/>
                  <w:tcBorders>
                    <w:bottom w:val="single" w:color="000000" w:sz="12" w:space="0"/>
                    <w:right w:val="nil"/>
                  </w:tcBorders>
                  <w:noWrap w:val="0"/>
                  <w:vAlign w:val="center"/>
                </w:tcPr>
                <w:p w14:paraId="673D4555">
                  <w:pPr>
                    <w:keepNext w:val="0"/>
                    <w:keepLines w:val="0"/>
                    <w:widowControl/>
                    <w:suppressLineNumbers w:val="0"/>
                    <w:jc w:val="center"/>
                    <w:textAlignment w:val="center"/>
                    <w:rPr>
                      <w:rFonts w:hint="default" w:ascii="Times New Roman" w:hAnsi="Times New Roman" w:eastAsia="宋体" w:cs="Times New Roman"/>
                      <w:spacing w:val="-3"/>
                      <w:kern w:val="2"/>
                      <w:sz w:val="21"/>
                      <w:szCs w:val="21"/>
                      <w:lang w:val="en-US" w:eastAsia="en-US" w:bidi="ar-SA"/>
                    </w:rPr>
                  </w:pPr>
                  <w:r>
                    <w:rPr>
                      <w:rFonts w:hint="default" w:ascii="Times New Roman" w:hAnsi="Times New Roman" w:eastAsia="宋体" w:cs="Times New Roman"/>
                      <w:spacing w:val="-3"/>
                      <w:kern w:val="2"/>
                      <w:sz w:val="21"/>
                      <w:szCs w:val="21"/>
                      <w:lang w:val="en-US" w:eastAsia="zh-CN" w:bidi="ar-SA"/>
                    </w:rPr>
                    <w:t>/</w:t>
                  </w:r>
                </w:p>
              </w:tc>
            </w:tr>
          </w:tbl>
          <w:p w14:paraId="508AF634">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kern w:val="2"/>
                <w:sz w:val="24"/>
                <w:szCs w:val="24"/>
                <w:lang w:val="en-US" w:eastAsia="en-US" w:bidi="ar-SA"/>
              </w:rPr>
              <w:t>根据现场调查，采矿区主要为</w:t>
            </w:r>
            <w:r>
              <w:rPr>
                <w:rFonts w:hint="eastAsia" w:ascii="Times New Roman" w:hAnsi="Times New Roman" w:eastAsia="宋体" w:cs="Times New Roman"/>
                <w:spacing w:val="-3"/>
                <w:kern w:val="2"/>
                <w:sz w:val="24"/>
                <w:szCs w:val="24"/>
                <w:lang w:val="en-US" w:eastAsia="zh-CN" w:bidi="ar-SA"/>
              </w:rPr>
              <w:t>裸土地</w:t>
            </w:r>
            <w:r>
              <w:rPr>
                <w:rFonts w:hint="default" w:ascii="Times New Roman" w:hAnsi="Times New Roman" w:eastAsia="宋体" w:cs="Times New Roman"/>
                <w:spacing w:val="-3"/>
                <w:kern w:val="2"/>
                <w:sz w:val="24"/>
                <w:szCs w:val="24"/>
                <w:lang w:val="en-US" w:eastAsia="en-US" w:bidi="ar-SA"/>
              </w:rPr>
              <w:t>，运</w:t>
            </w:r>
            <w:r>
              <w:rPr>
                <w:rFonts w:hint="default" w:ascii="Times New Roman" w:hAnsi="Times New Roman" w:eastAsia="宋体" w:cs="Times New Roman"/>
                <w:spacing w:val="-3"/>
                <w:sz w:val="24"/>
                <w:szCs w:val="24"/>
              </w:rPr>
              <w:t>输道路占地范围主要为少</w:t>
            </w:r>
            <w:r>
              <w:rPr>
                <w:rFonts w:hint="default" w:ascii="Times New Roman" w:hAnsi="Times New Roman" w:eastAsia="宋体" w:cs="Times New Roman"/>
                <w:spacing w:val="-4"/>
                <w:sz w:val="24"/>
                <w:szCs w:val="24"/>
              </w:rPr>
              <w:t>量长芒草群系、芨芨草群系，植被稀疏，覆盖度较小。</w:t>
            </w:r>
          </w:p>
          <w:p w14:paraId="38FBDB47">
            <w:pPr>
              <w:pStyle w:val="45"/>
              <w:keepNext w:val="0"/>
              <w:keepLines w:val="0"/>
              <w:pageBreakBefore w:val="0"/>
              <w:widowControl w:val="0"/>
              <w:kinsoku/>
              <w:wordWrap/>
              <w:overflowPunct/>
              <w:topLinePunct w:val="0"/>
              <w:autoSpaceDE/>
              <w:autoSpaceDN/>
              <w:bidi w:val="0"/>
              <w:spacing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项目建设后这部分土地由裸土地变为工矿用地，改变了项目实施前的土</w:t>
            </w:r>
            <w:r>
              <w:rPr>
                <w:rFonts w:hint="default" w:ascii="Times New Roman" w:hAnsi="Times New Roman" w:eastAsia="宋体" w:cs="Times New Roman"/>
                <w:spacing w:val="-4"/>
                <w:sz w:val="24"/>
                <w:szCs w:val="24"/>
              </w:rPr>
              <w:t>地利用性质，原有生态服务功能消失。</w:t>
            </w:r>
            <w:r>
              <w:rPr>
                <w:rFonts w:hint="default" w:ascii="Times New Roman" w:hAnsi="Times New Roman" w:eastAsia="宋体" w:cs="Times New Roman"/>
                <w:spacing w:val="-63"/>
                <w:sz w:val="24"/>
                <w:szCs w:val="24"/>
              </w:rPr>
              <w:t xml:space="preserve"> </w:t>
            </w:r>
            <w:r>
              <w:rPr>
                <w:rFonts w:hint="default" w:ascii="Times New Roman" w:hAnsi="Times New Roman" w:eastAsia="宋体" w:cs="Times New Roman"/>
                <w:spacing w:val="-4"/>
                <w:sz w:val="24"/>
                <w:szCs w:val="24"/>
              </w:rPr>
              <w:t>由于整个</w:t>
            </w:r>
            <w:r>
              <w:rPr>
                <w:rFonts w:hint="default" w:ascii="Times New Roman" w:hAnsi="Times New Roman" w:eastAsia="宋体" w:cs="Times New Roman"/>
                <w:spacing w:val="-5"/>
                <w:sz w:val="24"/>
                <w:szCs w:val="24"/>
              </w:rPr>
              <w:t>项目占地面积较小，施工期较短，同时企</w:t>
            </w:r>
            <w:r>
              <w:rPr>
                <w:rFonts w:hint="default" w:ascii="Times New Roman" w:hAnsi="Times New Roman" w:eastAsia="宋体" w:cs="Times New Roman"/>
                <w:spacing w:val="-3"/>
                <w:sz w:val="24"/>
                <w:szCs w:val="24"/>
              </w:rPr>
              <w:t>业在当地政府的协调下正在积极办理相关用地的使用及补偿手续，使项目的占地符合相关法律法规要求，符合地区土地利用规划。</w:t>
            </w:r>
          </w:p>
          <w:p w14:paraId="2E3FAC82">
            <w:pPr>
              <w:pStyle w:val="45"/>
              <w:keepNext w:val="0"/>
              <w:keepLines w:val="0"/>
              <w:pageBreakBefore w:val="0"/>
              <w:widowControl w:val="0"/>
              <w:kinsoku/>
              <w:wordWrap/>
              <w:overflowPunct/>
              <w:topLinePunct w:val="0"/>
              <w:autoSpaceDE/>
              <w:autoSpaceDN/>
              <w:bidi w:val="0"/>
              <w:spacing w:line="360" w:lineRule="auto"/>
              <w:ind w:left="0" w:right="0" w:firstLine="46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占地使土地利用价值发生了转变，将使其生态价值降低，对区域的生态环境产生一定</w:t>
            </w:r>
            <w:r>
              <w:rPr>
                <w:rFonts w:hint="default" w:ascii="Times New Roman" w:hAnsi="Times New Roman" w:eastAsia="宋体" w:cs="Times New Roman"/>
                <w:spacing w:val="-3"/>
                <w:sz w:val="24"/>
                <w:szCs w:val="24"/>
              </w:rPr>
              <w:t>的负面影响；项目区土植物种类比较单一，以</w:t>
            </w:r>
            <w:r>
              <w:rPr>
                <w:rFonts w:hint="default" w:ascii="Times New Roman" w:hAnsi="Times New Roman" w:eastAsia="宋体" w:cs="Times New Roman"/>
                <w:spacing w:val="-4"/>
                <w:sz w:val="24"/>
                <w:szCs w:val="24"/>
              </w:rPr>
              <w:t>长芒草群系、芨芨草</w:t>
            </w:r>
            <w:r>
              <w:rPr>
                <w:rFonts w:hint="default" w:ascii="Times New Roman" w:hAnsi="Times New Roman" w:eastAsia="宋体" w:cs="Times New Roman"/>
                <w:spacing w:val="-3"/>
                <w:sz w:val="24"/>
                <w:szCs w:val="24"/>
              </w:rPr>
              <w:t>群落居多，群落结构简单</w:t>
            </w:r>
            <w:r>
              <w:rPr>
                <w:rFonts w:hint="default" w:ascii="Times New Roman" w:hAnsi="Times New Roman" w:eastAsia="宋体" w:cs="Times New Roman"/>
                <w:spacing w:val="-4"/>
                <w:sz w:val="24"/>
                <w:szCs w:val="24"/>
              </w:rPr>
              <w:t>，区</w:t>
            </w:r>
            <w:r>
              <w:rPr>
                <w:rFonts w:hint="default" w:ascii="Times New Roman" w:hAnsi="Times New Roman" w:eastAsia="宋体" w:cs="Times New Roman"/>
                <w:spacing w:val="3"/>
                <w:sz w:val="24"/>
                <w:szCs w:val="24"/>
              </w:rPr>
              <w:t>域生物多样性较低，生态系统空间结构简单，调控能力较弱，影响较小。建设单位应编制闭矿期的土地复垦方案，将采矿区、矿区道路等基建设施拆除后，按计划</w:t>
            </w:r>
            <w:r>
              <w:rPr>
                <w:rFonts w:hint="default" w:ascii="Times New Roman" w:hAnsi="Times New Roman" w:eastAsia="宋体" w:cs="Times New Roman"/>
                <w:spacing w:val="-6"/>
                <w:sz w:val="24"/>
                <w:szCs w:val="24"/>
              </w:rPr>
              <w:t>将扰动的区域恢复到自然状态。</w:t>
            </w:r>
            <w:r>
              <w:rPr>
                <w:rFonts w:hint="default" w:ascii="Times New Roman" w:hAnsi="Times New Roman" w:eastAsia="宋体" w:cs="Times New Roman"/>
                <w:spacing w:val="-56"/>
                <w:sz w:val="24"/>
                <w:szCs w:val="24"/>
              </w:rPr>
              <w:t xml:space="preserve"> </w:t>
            </w:r>
            <w:r>
              <w:rPr>
                <w:rFonts w:hint="default" w:ascii="Times New Roman" w:hAnsi="Times New Roman" w:eastAsia="宋体" w:cs="Times New Roman"/>
                <w:spacing w:val="-6"/>
                <w:sz w:val="24"/>
                <w:szCs w:val="24"/>
              </w:rPr>
              <w:t>因此项目工程占地对所在区域生态环境影响较小。</w:t>
            </w:r>
            <w:r>
              <w:rPr>
                <w:rFonts w:hint="default" w:ascii="Times New Roman" w:hAnsi="Times New Roman" w:eastAsia="宋体" w:cs="Times New Roman"/>
                <w:spacing w:val="-67"/>
                <w:sz w:val="24"/>
                <w:szCs w:val="24"/>
              </w:rPr>
              <w:t xml:space="preserve"> </w:t>
            </w:r>
            <w:r>
              <w:rPr>
                <w:rFonts w:hint="default" w:ascii="Times New Roman" w:hAnsi="Times New Roman" w:eastAsia="宋体" w:cs="Times New Roman"/>
                <w:spacing w:val="-6"/>
                <w:sz w:val="24"/>
                <w:szCs w:val="24"/>
              </w:rPr>
              <w:t>因此项目工程占地影响不大。</w:t>
            </w:r>
          </w:p>
          <w:p w14:paraId="4C319A08">
            <w:pPr>
              <w:pStyle w:val="45"/>
              <w:keepNext w:val="0"/>
              <w:keepLines w:val="0"/>
              <w:pageBreakBefore w:val="0"/>
              <w:widowControl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pacing w:val="-3"/>
                <w:sz w:val="24"/>
                <w:szCs w:val="24"/>
                <w:lang w:val="en-US" w:eastAsia="zh-CN"/>
              </w:rPr>
              <w:t>5.</w:t>
            </w:r>
            <w:r>
              <w:rPr>
                <w:rFonts w:hint="default" w:ascii="Times New Roman" w:hAnsi="Times New Roman" w:eastAsia="宋体" w:cs="Times New Roman"/>
                <w:b/>
                <w:bCs/>
                <w:spacing w:val="-3"/>
                <w:sz w:val="24"/>
                <w:szCs w:val="24"/>
              </w:rPr>
              <w:t>2施工期对生态的影响因素</w:t>
            </w:r>
          </w:p>
          <w:p w14:paraId="34DF5400">
            <w:pPr>
              <w:pStyle w:val="45"/>
              <w:keepNext w:val="0"/>
              <w:keepLines w:val="0"/>
              <w:pageBreakBefore w:val="0"/>
              <w:widowControl w:val="0"/>
              <w:kinsoku/>
              <w:wordWrap/>
              <w:overflowPunct/>
              <w:topLinePunct w:val="0"/>
              <w:autoSpaceDE/>
              <w:autoSpaceDN/>
              <w:bidi w:val="0"/>
              <w:spacing w:line="360" w:lineRule="auto"/>
              <w:ind w:left="0" w:right="0" w:firstLine="46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本项目矿区地处甘肃省张掖市临泽县，该区植被</w:t>
            </w:r>
            <w:r>
              <w:rPr>
                <w:rFonts w:hint="eastAsia" w:ascii="Times New Roman" w:hAnsi="Times New Roman" w:eastAsia="宋体" w:cs="Times New Roman"/>
                <w:spacing w:val="-4"/>
                <w:sz w:val="24"/>
                <w:szCs w:val="24"/>
                <w:lang w:val="en-US" w:eastAsia="zh-CN"/>
              </w:rPr>
              <w:t>稀疏</w:t>
            </w:r>
            <w:r>
              <w:rPr>
                <w:rFonts w:hint="default" w:ascii="Times New Roman" w:hAnsi="Times New Roman" w:eastAsia="宋体" w:cs="Times New Roman"/>
                <w:spacing w:val="-4"/>
                <w:sz w:val="24"/>
                <w:szCs w:val="24"/>
              </w:rPr>
              <w:t>，自然生态环境单一。由于本</w:t>
            </w:r>
            <w:r>
              <w:rPr>
                <w:rFonts w:hint="default" w:ascii="Times New Roman" w:hAnsi="Times New Roman" w:eastAsia="宋体" w:cs="Times New Roman"/>
                <w:sz w:val="24"/>
                <w:szCs w:val="24"/>
              </w:rPr>
              <w:t>项目在开发建设过程中，需要修建厂房，将不可避免地</w:t>
            </w:r>
            <w:r>
              <w:rPr>
                <w:rFonts w:hint="default" w:ascii="Times New Roman" w:hAnsi="Times New Roman" w:eastAsia="宋体" w:cs="Times New Roman"/>
                <w:spacing w:val="-1"/>
                <w:sz w:val="24"/>
                <w:szCs w:val="24"/>
              </w:rPr>
              <w:t>破坏原有地貌、植被、景观，造成水土流失，从而直接或间接地影响和破坏生态环境。</w:t>
            </w:r>
          </w:p>
          <w:p w14:paraId="7023816E">
            <w:pPr>
              <w:pStyle w:val="45"/>
              <w:keepNext w:val="0"/>
              <w:keepLines w:val="0"/>
              <w:pageBreakBefore w:val="0"/>
              <w:widowControl w:val="0"/>
              <w:kinsoku/>
              <w:wordWrap/>
              <w:overflowPunct/>
              <w:topLinePunct w:val="0"/>
              <w:autoSpaceDE/>
              <w:autoSpaceDN/>
              <w:bidi w:val="0"/>
              <w:spacing w:line="360" w:lineRule="auto"/>
              <w:ind w:left="0" w:right="0" w:firstLine="444"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9"/>
                <w:sz w:val="24"/>
                <w:szCs w:val="24"/>
                <w:lang w:eastAsia="zh-CN"/>
              </w:rPr>
              <w:t>（</w:t>
            </w:r>
            <w:r>
              <w:rPr>
                <w:rFonts w:hint="eastAsia" w:ascii="Times New Roman" w:hAnsi="Times New Roman" w:eastAsia="宋体" w:cs="Times New Roman"/>
                <w:spacing w:val="-9"/>
                <w:sz w:val="24"/>
                <w:szCs w:val="24"/>
                <w:lang w:val="en-US" w:eastAsia="zh-CN"/>
              </w:rPr>
              <w:t>1</w:t>
            </w:r>
            <w:r>
              <w:rPr>
                <w:rFonts w:hint="eastAsia" w:ascii="Times New Roman" w:hAnsi="Times New Roman" w:eastAsia="宋体" w:cs="Times New Roman"/>
                <w:spacing w:val="-9"/>
                <w:sz w:val="24"/>
                <w:szCs w:val="24"/>
                <w:lang w:eastAsia="zh-CN"/>
              </w:rPr>
              <w:t>）</w:t>
            </w:r>
            <w:r>
              <w:rPr>
                <w:rFonts w:hint="default" w:ascii="Times New Roman" w:hAnsi="Times New Roman" w:eastAsia="宋体" w:cs="Times New Roman"/>
                <w:spacing w:val="-9"/>
                <w:sz w:val="24"/>
                <w:szCs w:val="24"/>
              </w:rPr>
              <w:t>对地形地貌的影响</w:t>
            </w:r>
          </w:p>
          <w:p w14:paraId="100990DE">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矿山基建期</w:t>
            </w:r>
            <w:r>
              <w:rPr>
                <w:rFonts w:hint="eastAsia" w:ascii="Times New Roman" w:hAnsi="Times New Roman" w:eastAsia="宋体" w:cs="Times New Roman"/>
                <w:sz w:val="24"/>
                <w:szCs w:val="24"/>
                <w:lang w:val="en-US" w:eastAsia="zh-CN"/>
              </w:rPr>
              <w:t>5个月</w:t>
            </w:r>
            <w:r>
              <w:rPr>
                <w:rFonts w:hint="default" w:ascii="Times New Roman" w:hAnsi="Times New Roman" w:eastAsia="宋体" w:cs="Times New Roman"/>
                <w:sz w:val="24"/>
                <w:szCs w:val="24"/>
              </w:rPr>
              <w:t>，主要建设矿区道路、</w:t>
            </w:r>
            <w:r>
              <w:rPr>
                <w:rFonts w:hint="eastAsia" w:ascii="Times New Roman" w:hAnsi="Times New Roman" w:eastAsia="宋体" w:cs="Times New Roman"/>
                <w:sz w:val="24"/>
                <w:szCs w:val="24"/>
                <w:lang w:val="en-US" w:eastAsia="zh-CN"/>
              </w:rPr>
              <w:t>排土场</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堆矿场</w:t>
            </w:r>
            <w:r>
              <w:rPr>
                <w:rFonts w:hint="default" w:ascii="Times New Roman" w:hAnsi="Times New Roman" w:eastAsia="宋体" w:cs="Times New Roman"/>
                <w:spacing w:val="-1"/>
                <w:sz w:val="24"/>
                <w:szCs w:val="24"/>
              </w:rPr>
              <w:t>露采场基建剥离。本项目矿</w:t>
            </w:r>
            <w:r>
              <w:rPr>
                <w:rFonts w:hint="default" w:ascii="Times New Roman" w:hAnsi="Times New Roman" w:eastAsia="宋体" w:cs="Times New Roman"/>
                <w:sz w:val="24"/>
                <w:szCs w:val="24"/>
              </w:rPr>
              <w:t>体属于体裸露山体，矿体位于山坡上，出露于地表，根据矿体的赋存情</w:t>
            </w:r>
            <w:r>
              <w:rPr>
                <w:rFonts w:hint="default" w:ascii="Times New Roman" w:hAnsi="Times New Roman" w:eastAsia="宋体" w:cs="Times New Roman"/>
                <w:spacing w:val="-1"/>
                <w:sz w:val="24"/>
                <w:szCs w:val="24"/>
              </w:rPr>
              <w:t>况以及自然现</w:t>
            </w:r>
            <w:r>
              <w:rPr>
                <w:rFonts w:hint="default" w:ascii="Times New Roman" w:hAnsi="Times New Roman" w:eastAsia="宋体" w:cs="Times New Roman"/>
                <w:sz w:val="24"/>
                <w:szCs w:val="24"/>
              </w:rPr>
              <w:t>状，会产生一定量的废石，暂存于排土场，根据该石料</w:t>
            </w:r>
            <w:r>
              <w:rPr>
                <w:rFonts w:hint="default" w:ascii="Times New Roman" w:hAnsi="Times New Roman" w:eastAsia="宋体" w:cs="Times New Roman"/>
                <w:spacing w:val="-1"/>
                <w:sz w:val="24"/>
                <w:szCs w:val="24"/>
              </w:rPr>
              <w:t>废弃物综合利用原则，矿山不计算剥离量。但基建期破碎站场的压占地表，改变局部地形。</w:t>
            </w:r>
          </w:p>
          <w:p w14:paraId="5B91998B">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（2）对景观的影响</w:t>
            </w:r>
          </w:p>
          <w:p w14:paraId="70A81FB9">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施工期对景观结构的影响主要集中在道路、采场</w:t>
            </w:r>
            <w:r>
              <w:rPr>
                <w:rFonts w:hint="default" w:ascii="Times New Roman" w:hAnsi="Times New Roman" w:eastAsia="宋体" w:cs="Times New Roman"/>
                <w:spacing w:val="-1"/>
                <w:sz w:val="24"/>
                <w:szCs w:val="24"/>
              </w:rPr>
              <w:t>建设等场地，随着施工</w:t>
            </w:r>
            <w:r>
              <w:rPr>
                <w:rFonts w:hint="default" w:ascii="Times New Roman" w:hAnsi="Times New Roman" w:eastAsia="宋体" w:cs="Times New Roman"/>
                <w:sz w:val="24"/>
                <w:szCs w:val="24"/>
              </w:rPr>
              <w:t>建设，逐渐形成林立高耸的工矿设施，从而影响评价区自然景观，</w:t>
            </w:r>
            <w:r>
              <w:rPr>
                <w:rFonts w:hint="default" w:ascii="Times New Roman" w:hAnsi="Times New Roman" w:eastAsia="宋体" w:cs="Times New Roman"/>
                <w:spacing w:val="-1"/>
                <w:sz w:val="24"/>
                <w:szCs w:val="24"/>
              </w:rPr>
              <w:t>工矿景观在评价区域</w:t>
            </w:r>
            <w:r>
              <w:rPr>
                <w:rFonts w:hint="default" w:ascii="Times New Roman" w:hAnsi="Times New Roman" w:eastAsia="宋体" w:cs="Times New Roman"/>
                <w:spacing w:val="3"/>
                <w:sz w:val="24"/>
                <w:szCs w:val="24"/>
              </w:rPr>
              <w:t>内作用增加本项目在生产过程中势必有一些破坏植被、</w:t>
            </w:r>
            <w:r>
              <w:rPr>
                <w:rFonts w:hint="default" w:ascii="Times New Roman" w:hAnsi="Times New Roman" w:eastAsia="宋体" w:cs="Times New Roman"/>
                <w:spacing w:val="-48"/>
                <w:sz w:val="24"/>
                <w:szCs w:val="24"/>
              </w:rPr>
              <w:t xml:space="preserve"> </w:t>
            </w:r>
            <w:r>
              <w:rPr>
                <w:rFonts w:hint="default" w:ascii="Times New Roman" w:hAnsi="Times New Roman" w:eastAsia="宋体" w:cs="Times New Roman"/>
                <w:spacing w:val="3"/>
                <w:sz w:val="24"/>
                <w:szCs w:val="24"/>
              </w:rPr>
              <w:t>占用土地、矿山开采等破坏生</w:t>
            </w:r>
            <w:r>
              <w:rPr>
                <w:rFonts w:hint="default" w:ascii="Times New Roman" w:hAnsi="Times New Roman" w:eastAsia="宋体" w:cs="Times New Roman"/>
                <w:spacing w:val="7"/>
                <w:sz w:val="24"/>
                <w:szCs w:val="24"/>
              </w:rPr>
              <w:t>态环境的行为，从而影响区域景观生态体系，使体系</w:t>
            </w:r>
            <w:r>
              <w:rPr>
                <w:rFonts w:hint="default" w:ascii="Times New Roman" w:hAnsi="Times New Roman" w:eastAsia="宋体" w:cs="Times New Roman"/>
                <w:spacing w:val="6"/>
                <w:sz w:val="24"/>
                <w:szCs w:val="24"/>
              </w:rPr>
              <w:t>的负面影响有所上升，但是在</w:t>
            </w:r>
            <w:r>
              <w:rPr>
                <w:rFonts w:hint="default" w:ascii="Times New Roman" w:hAnsi="Times New Roman" w:eastAsia="宋体" w:cs="Times New Roman"/>
                <w:spacing w:val="7"/>
                <w:sz w:val="24"/>
                <w:szCs w:val="24"/>
              </w:rPr>
              <w:t>人为生态恢复的力度下，通过努力，仍可维持现状格局，并逐步恢复矿</w:t>
            </w:r>
            <w:r>
              <w:rPr>
                <w:rFonts w:hint="default" w:ascii="Times New Roman" w:hAnsi="Times New Roman" w:eastAsia="宋体" w:cs="Times New Roman"/>
                <w:spacing w:val="6"/>
                <w:sz w:val="24"/>
                <w:szCs w:val="24"/>
              </w:rPr>
              <w:t>山生态环境，</w:t>
            </w:r>
            <w:r>
              <w:rPr>
                <w:rFonts w:hint="default" w:ascii="Times New Roman" w:hAnsi="Times New Roman" w:eastAsia="宋体" w:cs="Times New Roman"/>
                <w:spacing w:val="-68"/>
                <w:sz w:val="24"/>
                <w:szCs w:val="24"/>
              </w:rPr>
              <w:t xml:space="preserve"> </w:t>
            </w:r>
            <w:r>
              <w:rPr>
                <w:rFonts w:hint="default" w:ascii="Times New Roman" w:hAnsi="Times New Roman" w:eastAsia="宋体" w:cs="Times New Roman"/>
                <w:spacing w:val="6"/>
                <w:sz w:val="24"/>
                <w:szCs w:val="24"/>
              </w:rPr>
              <w:t>因此，项目运行对评价区域景观生态体系的质量影响不大，景观稳定性及连通性</w:t>
            </w:r>
            <w:r>
              <w:rPr>
                <w:rFonts w:hint="default" w:ascii="Times New Roman" w:hAnsi="Times New Roman" w:eastAsia="宋体" w:cs="Times New Roman"/>
                <w:spacing w:val="7"/>
                <w:sz w:val="24"/>
                <w:szCs w:val="24"/>
              </w:rPr>
              <w:t>仍然较好。在严禁超范围用地的前提下，本项目干扰强度变</w:t>
            </w:r>
            <w:r>
              <w:rPr>
                <w:rFonts w:hint="default" w:ascii="Times New Roman" w:hAnsi="Times New Roman" w:eastAsia="宋体" w:cs="Times New Roman"/>
                <w:spacing w:val="6"/>
                <w:sz w:val="24"/>
                <w:szCs w:val="24"/>
              </w:rPr>
              <w:t>化很小，对评价区植被的影响范围限于矿区占地范围内，对区域生态景观影响可接受。</w:t>
            </w:r>
          </w:p>
          <w:p w14:paraId="009F34C9">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（3）对土地利用结构的影响</w:t>
            </w:r>
          </w:p>
          <w:p w14:paraId="67C5BA5C">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本项目基建期新增破坏土地主要是矿区道路、</w:t>
            </w:r>
            <w:r>
              <w:rPr>
                <w:rFonts w:hint="default" w:ascii="Times New Roman" w:hAnsi="Times New Roman" w:eastAsia="宋体" w:cs="Times New Roman"/>
                <w:sz w:val="24"/>
                <w:szCs w:val="24"/>
                <w:lang w:val="en-US" w:eastAsia="zh-CN"/>
              </w:rPr>
              <w:t>排土场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堆矿场</w:t>
            </w:r>
            <w:r>
              <w:rPr>
                <w:rFonts w:hint="default" w:ascii="Times New Roman" w:hAnsi="Times New Roman" w:eastAsia="宋体" w:cs="Times New Roman"/>
                <w:sz w:val="24"/>
                <w:szCs w:val="24"/>
              </w:rPr>
              <w:t>露采场基建剥离</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51"/>
                <w:sz w:val="24"/>
                <w:szCs w:val="24"/>
              </w:rPr>
              <w:t xml:space="preserve"> </w:t>
            </w:r>
            <w:r>
              <w:rPr>
                <w:rFonts w:hint="default" w:ascii="Times New Roman" w:hAnsi="Times New Roman" w:eastAsia="宋体" w:cs="Times New Roman"/>
                <w:spacing w:val="-2"/>
                <w:sz w:val="24"/>
                <w:szCs w:val="24"/>
              </w:rPr>
              <w:t>占地类型为裸土地，被占用土地的利用类型发生改变，转</w:t>
            </w:r>
            <w:r>
              <w:rPr>
                <w:rFonts w:hint="default" w:ascii="Times New Roman" w:hAnsi="Times New Roman" w:eastAsia="宋体" w:cs="Times New Roman"/>
                <w:spacing w:val="-1"/>
                <w:sz w:val="24"/>
                <w:szCs w:val="24"/>
              </w:rPr>
              <w:t>变为工矿建设用地，改变了局部区域内的土地利用结构。</w:t>
            </w:r>
          </w:p>
          <w:p w14:paraId="3B9799B4">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评价区总面积约本项目总占地1565300m</w:t>
            </w:r>
            <w:r>
              <w:rPr>
                <w:rFonts w:hint="eastAsia" w:ascii="Times New Roman" w:hAnsi="Times New Roman" w:eastAsia="宋体" w:cs="Times New Roman"/>
                <w:spacing w:val="-1"/>
                <w:sz w:val="24"/>
                <w:szCs w:val="24"/>
                <w:vertAlign w:val="superscript"/>
                <w:lang w:val="en-US" w:eastAsia="zh-CN"/>
              </w:rPr>
              <w:t>2</w:t>
            </w:r>
            <w:r>
              <w:rPr>
                <w:rFonts w:hint="default" w:ascii="Times New Roman" w:hAnsi="Times New Roman" w:eastAsia="宋体" w:cs="Times New Roman"/>
                <w:spacing w:val="-1"/>
                <w:sz w:val="24"/>
                <w:szCs w:val="24"/>
              </w:rPr>
              <w:t>，项目不占用林地、草地、耕</w:t>
            </w:r>
            <w:r>
              <w:rPr>
                <w:rFonts w:hint="default" w:ascii="Times New Roman" w:hAnsi="Times New Roman" w:eastAsia="宋体" w:cs="Times New Roman"/>
                <w:spacing w:val="-2"/>
                <w:sz w:val="24"/>
                <w:szCs w:val="24"/>
              </w:rPr>
              <w:t>地湿地</w:t>
            </w:r>
            <w:r>
              <w:rPr>
                <w:rFonts w:hint="default" w:ascii="Times New Roman" w:hAnsi="Times New Roman" w:eastAsia="宋体" w:cs="Times New Roman"/>
                <w:spacing w:val="-1"/>
                <w:sz w:val="24"/>
                <w:szCs w:val="24"/>
              </w:rPr>
              <w:t>等敏感用地，因此本项目占地不会对评价区土地利用结构产生明显不利影响。</w:t>
            </w:r>
          </w:p>
          <w:p w14:paraId="2A50D147">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（4）对地表植被的影响</w:t>
            </w:r>
          </w:p>
          <w:p w14:paraId="7DBADC09">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①对植物种类及数量的影响</w:t>
            </w:r>
          </w:p>
          <w:p w14:paraId="4BE5F9E3">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工程直接占地将完全损毁原有的植被，植被的清除将降低项目区涵养水源、保持土</w:t>
            </w:r>
            <w:r>
              <w:rPr>
                <w:rFonts w:hint="default" w:ascii="Times New Roman" w:hAnsi="Times New Roman" w:eastAsia="宋体" w:cs="Times New Roman"/>
                <w:spacing w:val="-4"/>
                <w:sz w:val="24"/>
                <w:szCs w:val="24"/>
              </w:rPr>
              <w:t>壤的生态服务功能，易引发水土流失。另外施工期产生的生活垃圾、施工材料、建筑垃圾</w:t>
            </w:r>
            <w:r>
              <w:rPr>
                <w:rFonts w:hint="default" w:ascii="Times New Roman" w:hAnsi="Times New Roman" w:eastAsia="宋体" w:cs="Times New Roman"/>
                <w:spacing w:val="-5"/>
                <w:sz w:val="24"/>
                <w:szCs w:val="24"/>
              </w:rPr>
              <w:t>等堆放，会压埋植被，临时造成原地貌功能丧失；同时等运输废石存放</w:t>
            </w:r>
            <w:r>
              <w:rPr>
                <w:rFonts w:hint="default" w:ascii="Times New Roman" w:hAnsi="Times New Roman" w:eastAsia="宋体" w:cs="Times New Roman"/>
                <w:spacing w:val="-6"/>
                <w:sz w:val="24"/>
                <w:szCs w:val="24"/>
              </w:rPr>
              <w:t>若处理不当，碎石</w:t>
            </w:r>
            <w:r>
              <w:rPr>
                <w:rFonts w:hint="default" w:ascii="Times New Roman" w:hAnsi="Times New Roman" w:eastAsia="宋体" w:cs="Times New Roman"/>
                <w:spacing w:val="-3"/>
                <w:sz w:val="24"/>
                <w:szCs w:val="24"/>
              </w:rPr>
              <w:t>散落或发生滑坡事故均可能会使周边区域砾石化，从而影响植物生长</w:t>
            </w:r>
            <w:r>
              <w:rPr>
                <w:rFonts w:hint="default" w:ascii="Times New Roman" w:hAnsi="Times New Roman" w:eastAsia="宋体" w:cs="Times New Roman"/>
                <w:spacing w:val="-4"/>
                <w:sz w:val="24"/>
                <w:szCs w:val="24"/>
              </w:rPr>
              <w:t>；如果缺乏规范和约</w:t>
            </w:r>
            <w:r>
              <w:rPr>
                <w:rFonts w:hint="default" w:ascii="Times New Roman" w:hAnsi="Times New Roman" w:eastAsia="宋体" w:cs="Times New Roman"/>
                <w:spacing w:val="-5"/>
                <w:sz w:val="24"/>
                <w:szCs w:val="24"/>
              </w:rPr>
              <w:t>束，过往车辆和工作人员会对项目区内的植被随意碾压和践踏，造成土壤板结、物种多样</w:t>
            </w:r>
            <w:r>
              <w:rPr>
                <w:rFonts w:hint="default" w:ascii="Times New Roman" w:hAnsi="Times New Roman" w:eastAsia="宋体" w:cs="Times New Roman"/>
                <w:spacing w:val="-6"/>
                <w:sz w:val="24"/>
                <w:szCs w:val="24"/>
              </w:rPr>
              <w:t>性降低、植被盖度降低。对区域整个生态环境产生一定的不利影响。在自然状态下，植被难以恢复，必须通过人工措施加以恢复。</w:t>
            </w:r>
          </w:p>
          <w:p w14:paraId="22278568">
            <w:pPr>
              <w:pStyle w:val="45"/>
              <w:keepNext w:val="0"/>
              <w:keepLines w:val="0"/>
              <w:pageBreakBefore w:val="0"/>
              <w:widowControl w:val="0"/>
              <w:kinsoku/>
              <w:wordWrap/>
              <w:overflowPunct/>
              <w:topLinePunct w:val="0"/>
              <w:autoSpaceDE/>
              <w:autoSpaceDN/>
              <w:bidi w:val="0"/>
              <w:spacing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从植物种类来看，在施工期作业场地被破坏或影响的植物均为广布种和常见种，且分</w:t>
            </w:r>
            <w:r>
              <w:rPr>
                <w:rFonts w:hint="default" w:ascii="Times New Roman" w:hAnsi="Times New Roman" w:eastAsia="宋体" w:cs="Times New Roman"/>
                <w:spacing w:val="-4"/>
                <w:sz w:val="24"/>
                <w:szCs w:val="24"/>
              </w:rPr>
              <w:t>布也较均匀。</w:t>
            </w:r>
            <w:r>
              <w:rPr>
                <w:rFonts w:hint="default" w:ascii="Times New Roman" w:hAnsi="Times New Roman" w:eastAsia="宋体" w:cs="Times New Roman"/>
                <w:spacing w:val="-67"/>
                <w:sz w:val="24"/>
                <w:szCs w:val="24"/>
              </w:rPr>
              <w:t xml:space="preserve"> </w:t>
            </w:r>
            <w:r>
              <w:rPr>
                <w:rFonts w:hint="default" w:ascii="Times New Roman" w:hAnsi="Times New Roman" w:eastAsia="宋体" w:cs="Times New Roman"/>
                <w:spacing w:val="-4"/>
                <w:sz w:val="24"/>
                <w:szCs w:val="24"/>
              </w:rPr>
              <w:t>因此，尽管项目建设会使原有植被遭到</w:t>
            </w:r>
            <w:r>
              <w:rPr>
                <w:rFonts w:hint="default" w:ascii="Times New Roman" w:hAnsi="Times New Roman" w:eastAsia="宋体" w:cs="Times New Roman"/>
                <w:spacing w:val="-5"/>
                <w:sz w:val="24"/>
                <w:szCs w:val="24"/>
              </w:rPr>
              <w:t>局部损失，但由于永久占地面积相对</w:t>
            </w:r>
            <w:r>
              <w:rPr>
                <w:rFonts w:hint="default" w:ascii="Times New Roman" w:hAnsi="Times New Roman" w:eastAsia="宋体" w:cs="Times New Roman"/>
                <w:spacing w:val="-3"/>
                <w:sz w:val="24"/>
                <w:szCs w:val="24"/>
              </w:rPr>
              <w:t>较小，因此不会使评价区植物群落的种类组成发生变化，也不会造成某一植物种在厂</w:t>
            </w:r>
            <w:r>
              <w:rPr>
                <w:rFonts w:hint="default" w:ascii="Times New Roman" w:hAnsi="Times New Roman" w:eastAsia="宋体" w:cs="Times New Roman"/>
                <w:spacing w:val="-4"/>
                <w:sz w:val="24"/>
                <w:szCs w:val="24"/>
              </w:rPr>
              <w:t>区范围内的消失。</w:t>
            </w:r>
          </w:p>
          <w:p w14:paraId="0B6CD94E">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②粉尘对植物的影响</w:t>
            </w:r>
          </w:p>
          <w:p w14:paraId="5E3A92E3">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项目产生的粉尘、扬尘等大气污染物会对项目区周边空</w:t>
            </w:r>
            <w:r>
              <w:rPr>
                <w:rFonts w:hint="default" w:ascii="Times New Roman" w:hAnsi="Times New Roman" w:eastAsia="宋体" w:cs="Times New Roman"/>
                <w:spacing w:val="-4"/>
                <w:sz w:val="24"/>
                <w:szCs w:val="24"/>
              </w:rPr>
              <w:t>气环境产生影响。悬浮微粒自然沉降降落到植物叶面上，堵塞叶面气孔，使光合作用强</w:t>
            </w:r>
            <w:r>
              <w:rPr>
                <w:rFonts w:hint="default" w:ascii="Times New Roman" w:hAnsi="Times New Roman" w:eastAsia="宋体" w:cs="Times New Roman"/>
                <w:spacing w:val="-5"/>
                <w:sz w:val="24"/>
                <w:szCs w:val="24"/>
              </w:rPr>
              <w:t>度下降，吹至周边土壤中，常年</w:t>
            </w:r>
            <w:r>
              <w:rPr>
                <w:rFonts w:hint="default" w:ascii="Times New Roman" w:hAnsi="Times New Roman" w:eastAsia="宋体" w:cs="Times New Roman"/>
                <w:spacing w:val="-9"/>
                <w:sz w:val="24"/>
                <w:szCs w:val="24"/>
              </w:rPr>
              <w:t>累积会改变土壤理化性质，从而对植被的生长产生影响</w:t>
            </w:r>
            <w:r>
              <w:rPr>
                <w:rFonts w:hint="default" w:ascii="Times New Roman" w:hAnsi="Times New Roman" w:eastAsia="宋体" w:cs="Times New Roman"/>
                <w:spacing w:val="-10"/>
                <w:sz w:val="24"/>
                <w:szCs w:val="24"/>
              </w:rPr>
              <w:t>；同时，覆尘叶片吸收红外光辐射的</w:t>
            </w:r>
            <w:r>
              <w:rPr>
                <w:rFonts w:hint="default" w:ascii="Times New Roman" w:hAnsi="Times New Roman" w:eastAsia="宋体" w:cs="Times New Roman"/>
                <w:spacing w:val="-7"/>
                <w:sz w:val="24"/>
                <w:szCs w:val="24"/>
              </w:rPr>
              <w:t>能力增强，导致叶温增高，蒸腾速度加快，引起失水，使植物</w:t>
            </w:r>
            <w:r>
              <w:rPr>
                <w:rFonts w:hint="default" w:ascii="Times New Roman" w:hAnsi="Times New Roman" w:eastAsia="宋体" w:cs="Times New Roman"/>
                <w:spacing w:val="-8"/>
                <w:sz w:val="24"/>
                <w:szCs w:val="24"/>
              </w:rPr>
              <w:t>生长发育不良。大气污染物</w:t>
            </w:r>
            <w:r>
              <w:rPr>
                <w:rFonts w:hint="default" w:ascii="Times New Roman" w:hAnsi="Times New Roman" w:eastAsia="宋体" w:cs="Times New Roman"/>
                <w:spacing w:val="-3"/>
                <w:sz w:val="24"/>
                <w:szCs w:val="24"/>
              </w:rPr>
              <w:t>还可通过自然沉降和降水淋溶等途径进入土壤环境，常年累积</w:t>
            </w:r>
            <w:r>
              <w:rPr>
                <w:rFonts w:hint="default" w:ascii="Times New Roman" w:hAnsi="Times New Roman" w:eastAsia="宋体" w:cs="Times New Roman"/>
                <w:spacing w:val="-4"/>
                <w:sz w:val="24"/>
                <w:szCs w:val="24"/>
              </w:rPr>
              <w:t>可能从物理、化学等方面影</w:t>
            </w:r>
            <w:r>
              <w:rPr>
                <w:rFonts w:hint="default" w:ascii="Times New Roman" w:hAnsi="Times New Roman" w:eastAsia="宋体" w:cs="Times New Roman"/>
                <w:spacing w:val="-3"/>
                <w:sz w:val="24"/>
                <w:szCs w:val="24"/>
              </w:rPr>
              <w:t>响周围土壤的孔隙度、团粒结构、酸碱度、土壤肥力及微量元素含量等，从而间接影响植被生长。</w:t>
            </w:r>
          </w:p>
          <w:p w14:paraId="15CCE558">
            <w:pPr>
              <w:pStyle w:val="45"/>
              <w:keepNext w:val="0"/>
              <w:keepLines w:val="0"/>
              <w:pageBreakBefore w:val="0"/>
              <w:widowControl w:val="0"/>
              <w:kinsoku/>
              <w:wordWrap/>
              <w:overflowPunct/>
              <w:topLinePunct w:val="0"/>
              <w:autoSpaceDE/>
              <w:autoSpaceDN/>
              <w:bidi w:val="0"/>
              <w:spacing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由于项目区破坏面积较小，项目占地范围内无珍稀濒危物种分布，因此对整个项目区</w:t>
            </w:r>
            <w:r>
              <w:rPr>
                <w:rFonts w:hint="default" w:ascii="Times New Roman" w:hAnsi="Times New Roman" w:eastAsia="宋体" w:cs="Times New Roman"/>
                <w:spacing w:val="-4"/>
                <w:sz w:val="24"/>
                <w:szCs w:val="24"/>
              </w:rPr>
              <w:t>对所在区域植被的群落组成、覆盖度、生物资源量、频率、密度以及连续性等影响很小，</w:t>
            </w:r>
            <w:r>
              <w:rPr>
                <w:rFonts w:hint="default" w:ascii="Times New Roman" w:hAnsi="Times New Roman" w:eastAsia="宋体" w:cs="Times New Roman"/>
                <w:spacing w:val="-6"/>
                <w:sz w:val="24"/>
                <w:szCs w:val="24"/>
              </w:rPr>
              <w:t>对区域生态环境影响不大。施工结束后，建设方应根据当地的气候条件、土壤类型和水资</w:t>
            </w:r>
            <w:r>
              <w:rPr>
                <w:rFonts w:hint="default" w:ascii="Times New Roman" w:hAnsi="Times New Roman" w:eastAsia="宋体" w:cs="Times New Roman"/>
                <w:spacing w:val="-4"/>
                <w:sz w:val="24"/>
                <w:szCs w:val="24"/>
              </w:rPr>
              <w:t>源状况等各方面的情况，按照环评要求制定适宜的植被修复方案。采取以上措施后，项目</w:t>
            </w:r>
            <w:r>
              <w:rPr>
                <w:rFonts w:hint="default" w:ascii="Times New Roman" w:hAnsi="Times New Roman" w:eastAsia="宋体" w:cs="Times New Roman"/>
                <w:spacing w:val="-3"/>
                <w:sz w:val="24"/>
                <w:szCs w:val="24"/>
              </w:rPr>
              <w:t>施工对周边土壤及植被影响可接受。</w:t>
            </w:r>
          </w:p>
          <w:p w14:paraId="0CFD3E42">
            <w:pPr>
              <w:pStyle w:val="45"/>
              <w:keepNext w:val="0"/>
              <w:keepLines w:val="0"/>
              <w:pageBreakBefore w:val="0"/>
              <w:widowControl w:val="0"/>
              <w:kinsoku/>
              <w:wordWrap/>
              <w:overflowPunct/>
              <w:topLinePunct w:val="0"/>
              <w:autoSpaceDE/>
              <w:autoSpaceDN/>
              <w:bidi w:val="0"/>
              <w:spacing w:line="360" w:lineRule="auto"/>
              <w:ind w:left="0" w:right="0" w:firstLine="456"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6"/>
                <w:sz w:val="24"/>
                <w:szCs w:val="24"/>
              </w:rPr>
              <w:t>（5）动物影响分析</w:t>
            </w:r>
          </w:p>
          <w:p w14:paraId="7E0EC9C4">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①对野生动物资源的影响</w:t>
            </w:r>
          </w:p>
          <w:p w14:paraId="67E18D9C">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本项目在施工过程中，清除植被，会对现有动物的栖息生境产生一</w:t>
            </w:r>
            <w:r>
              <w:rPr>
                <w:rFonts w:hint="default" w:ascii="Times New Roman" w:hAnsi="Times New Roman" w:eastAsia="宋体" w:cs="Times New Roman"/>
                <w:spacing w:val="-4"/>
                <w:sz w:val="24"/>
                <w:szCs w:val="24"/>
              </w:rPr>
              <w:t>定程度的扰动，如可能限制某些动物进入它们习惯的季节性觅食区，使之不能更大范围的觅食。此外，项目</w:t>
            </w:r>
            <w:r>
              <w:rPr>
                <w:rFonts w:hint="default" w:ascii="Times New Roman" w:hAnsi="Times New Roman" w:eastAsia="宋体" w:cs="Times New Roman"/>
                <w:spacing w:val="-5"/>
                <w:sz w:val="24"/>
                <w:szCs w:val="24"/>
              </w:rPr>
              <w:t>区施工机械、施工人员活动及运输车辆等对现有动物的栖息生境产生扰动</w:t>
            </w:r>
            <w:r>
              <w:rPr>
                <w:rFonts w:hint="default" w:ascii="Times New Roman" w:hAnsi="Times New Roman" w:eastAsia="宋体" w:cs="Times New Roman"/>
                <w:spacing w:val="-6"/>
                <w:sz w:val="24"/>
                <w:szCs w:val="24"/>
              </w:rPr>
              <w:t>，对各类动物产</w:t>
            </w:r>
            <w:r>
              <w:rPr>
                <w:rFonts w:hint="default" w:ascii="Times New Roman" w:hAnsi="Times New Roman" w:eastAsia="宋体" w:cs="Times New Roman"/>
                <w:spacing w:val="-3"/>
                <w:sz w:val="24"/>
                <w:szCs w:val="24"/>
              </w:rPr>
              <w:t>生不同程度的影响。对项目区动物的栖息、繁衍将产生局部影响</w:t>
            </w:r>
            <w:r>
              <w:rPr>
                <w:rFonts w:hint="default" w:ascii="Times New Roman" w:hAnsi="Times New Roman" w:eastAsia="宋体" w:cs="Times New Roman"/>
                <w:spacing w:val="-4"/>
                <w:sz w:val="24"/>
                <w:szCs w:val="24"/>
              </w:rPr>
              <w:t>，可能造成动物的移居。</w:t>
            </w:r>
            <w:r>
              <w:rPr>
                <w:rFonts w:hint="default" w:ascii="Times New Roman" w:hAnsi="Times New Roman" w:eastAsia="宋体" w:cs="Times New Roman"/>
                <w:spacing w:val="-3"/>
                <w:sz w:val="24"/>
                <w:szCs w:val="24"/>
              </w:rPr>
              <w:t>使它们移居到周围干扰较小的地区，并在新</w:t>
            </w:r>
            <w:r>
              <w:rPr>
                <w:rFonts w:hint="default" w:ascii="Times New Roman" w:hAnsi="Times New Roman" w:eastAsia="宋体" w:cs="Times New Roman"/>
                <w:spacing w:val="-4"/>
                <w:sz w:val="24"/>
                <w:szCs w:val="24"/>
              </w:rPr>
              <w:t>的环境中适应和生存。</w:t>
            </w:r>
          </w:p>
          <w:p w14:paraId="59375BF3">
            <w:pPr>
              <w:keepNext w:val="0"/>
              <w:keepLines w:val="0"/>
              <w:pageBreakBefore w:val="0"/>
              <w:widowControl w:val="0"/>
              <w:kinsoku/>
              <w:wordWrap/>
              <w:overflowPunct/>
              <w:topLinePunct w:val="0"/>
              <w:autoSpaceDE/>
              <w:autoSpaceDN/>
              <w:bidi w:val="0"/>
              <w:adjustRightInd w:val="0"/>
              <w:snapToGrid w:val="0"/>
              <w:spacing w:line="360" w:lineRule="auto"/>
              <w:ind w:left="0" w:right="0" w:firstLine="468" w:firstLineChars="200"/>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spacing w:val="-3"/>
                <w:sz w:val="24"/>
                <w:szCs w:val="24"/>
              </w:rPr>
              <w:t>由于项目区没有固定或必经的动物迁徒通道，工程建设和各</w:t>
            </w:r>
            <w:r>
              <w:rPr>
                <w:rFonts w:hint="default" w:ascii="Times New Roman" w:hAnsi="Times New Roman" w:eastAsia="宋体" w:cs="Times New Roman"/>
                <w:spacing w:val="-4"/>
                <w:sz w:val="24"/>
                <w:szCs w:val="24"/>
              </w:rPr>
              <w:t>项设施的布局，不存在</w:t>
            </w:r>
            <w:r>
              <w:rPr>
                <w:rFonts w:hint="default" w:ascii="Times New Roman" w:hAnsi="Times New Roman" w:eastAsia="宋体" w:cs="Times New Roman"/>
                <w:spacing w:val="-5"/>
                <w:sz w:val="24"/>
                <w:szCs w:val="24"/>
              </w:rPr>
              <w:t>阻隔这些野生动物的迁徒通道，通过现场调查和咨询，项目现有道路已经基本形成，</w:t>
            </w:r>
            <w:r>
              <w:rPr>
                <w:rFonts w:hint="default" w:ascii="Times New Roman" w:hAnsi="Times New Roman" w:eastAsia="宋体" w:cs="Times New Roman"/>
                <w:spacing w:val="-64"/>
                <w:sz w:val="24"/>
                <w:szCs w:val="24"/>
              </w:rPr>
              <w:t xml:space="preserve"> </w:t>
            </w:r>
            <w:r>
              <w:rPr>
                <w:rFonts w:hint="default" w:ascii="Times New Roman" w:hAnsi="Times New Roman" w:eastAsia="宋体" w:cs="Times New Roman"/>
                <w:spacing w:val="-5"/>
                <w:sz w:val="24"/>
                <w:szCs w:val="24"/>
              </w:rPr>
              <w:t>占地</w:t>
            </w:r>
            <w:r>
              <w:rPr>
                <w:rFonts w:hint="default" w:ascii="Times New Roman" w:hAnsi="Times New Roman" w:eastAsia="宋体" w:cs="Times New Roman"/>
                <w:spacing w:val="-4"/>
                <w:sz w:val="24"/>
                <w:szCs w:val="24"/>
              </w:rPr>
              <w:t>范围内动物资源受人类活动影响较馈乏，主要是小型啮齿类、爬行类动物，同时该区域人类活动较早，对动物的影响不大，因此项目施工期对周边野生动物资源的影响不大。</w:t>
            </w:r>
          </w:p>
          <w:p w14:paraId="7D82462B">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②对鸟类的影响</w:t>
            </w:r>
          </w:p>
          <w:p w14:paraId="1108DB24">
            <w:pPr>
              <w:pStyle w:val="45"/>
              <w:keepNext w:val="0"/>
              <w:keepLines w:val="0"/>
              <w:pageBreakBefore w:val="0"/>
              <w:widowControl w:val="0"/>
              <w:kinsoku/>
              <w:wordWrap/>
              <w:overflowPunct/>
              <w:topLinePunct w:val="0"/>
              <w:autoSpaceDE/>
              <w:autoSpaceDN/>
              <w:bidi w:val="0"/>
              <w:spacing w:line="360" w:lineRule="auto"/>
              <w:ind w:left="0" w:right="0" w:firstLine="45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根据现状调查，评价区内无第一、二类保护鸟类，在实</w:t>
            </w:r>
            <w:r>
              <w:rPr>
                <w:rFonts w:hint="default" w:ascii="Times New Roman" w:hAnsi="Times New Roman" w:eastAsia="宋体" w:cs="Times New Roman"/>
                <w:spacing w:val="-8"/>
                <w:sz w:val="24"/>
                <w:szCs w:val="24"/>
              </w:rPr>
              <w:t>际的调查、走访过程中，项目</w:t>
            </w:r>
            <w:r>
              <w:rPr>
                <w:rFonts w:hint="default" w:ascii="Times New Roman" w:hAnsi="Times New Roman" w:eastAsia="宋体" w:cs="Times New Roman"/>
                <w:spacing w:val="-10"/>
                <w:sz w:val="24"/>
                <w:szCs w:val="24"/>
              </w:rPr>
              <w:t>施工区内并没有发现保护鸟类的存在，主要鸟类有麻雀、喜鹊等。此外，因</w:t>
            </w:r>
            <w:r>
              <w:rPr>
                <w:rFonts w:hint="default" w:ascii="Times New Roman" w:hAnsi="Times New Roman" w:eastAsia="宋体" w:cs="Times New Roman"/>
                <w:spacing w:val="-11"/>
                <w:sz w:val="24"/>
                <w:szCs w:val="24"/>
              </w:rPr>
              <w:t>施工区范围较</w:t>
            </w:r>
            <w:r>
              <w:rPr>
                <w:rFonts w:hint="default" w:ascii="Times New Roman" w:hAnsi="Times New Roman" w:eastAsia="宋体" w:cs="Times New Roman"/>
                <w:spacing w:val="-4"/>
                <w:sz w:val="24"/>
                <w:szCs w:val="24"/>
              </w:rPr>
              <w:t>小，这些鸟类不会因工程建设与运行而有灭绝的危险，故本项目对这些保护鸟类的影响是</w:t>
            </w:r>
            <w:r>
              <w:rPr>
                <w:rFonts w:hint="default" w:ascii="Times New Roman" w:hAnsi="Times New Roman" w:eastAsia="宋体" w:cs="Times New Roman"/>
                <w:spacing w:val="-5"/>
                <w:sz w:val="24"/>
                <w:szCs w:val="24"/>
              </w:rPr>
              <w:t>有限、可控的。</w:t>
            </w:r>
          </w:p>
          <w:p w14:paraId="535B8E7E">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综上所述，本项目对野生动物的影响较小。</w:t>
            </w:r>
          </w:p>
          <w:p w14:paraId="6AB8E577">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（6）对土壤的影响</w:t>
            </w:r>
          </w:p>
          <w:p w14:paraId="25149310">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厂房建设对生态的破坏主要发生在基建期，土地开挖的过程中，作业带区域内地表</w:t>
            </w:r>
            <w:r>
              <w:rPr>
                <w:rFonts w:hint="default" w:ascii="Times New Roman" w:hAnsi="Times New Roman" w:eastAsia="宋体" w:cs="Times New Roman"/>
                <w:sz w:val="24"/>
                <w:szCs w:val="24"/>
              </w:rPr>
              <w:t>植被及土壤受到扰动与破坏，短期内引起局部区域水土流失量增加，施工</w:t>
            </w:r>
            <w:r>
              <w:rPr>
                <w:rFonts w:hint="default" w:ascii="Times New Roman" w:hAnsi="Times New Roman" w:eastAsia="宋体" w:cs="Times New Roman"/>
                <w:spacing w:val="-1"/>
                <w:sz w:val="24"/>
                <w:szCs w:val="24"/>
              </w:rPr>
              <w:t>结束后，施工</w:t>
            </w:r>
            <w:r>
              <w:rPr>
                <w:rFonts w:hint="default" w:ascii="Times New Roman" w:hAnsi="Times New Roman" w:eastAsia="宋体" w:cs="Times New Roman"/>
                <w:sz w:val="24"/>
                <w:szCs w:val="24"/>
              </w:rPr>
              <w:t>带范围内临时扰动土地地表植被将逐步得到自然恢复，水土流失</w:t>
            </w:r>
            <w:r>
              <w:rPr>
                <w:rFonts w:hint="default" w:ascii="Times New Roman" w:hAnsi="Times New Roman" w:eastAsia="宋体" w:cs="Times New Roman"/>
                <w:spacing w:val="-1"/>
                <w:sz w:val="24"/>
                <w:szCs w:val="24"/>
              </w:rPr>
              <w:t>影响将减轻。</w:t>
            </w:r>
          </w:p>
          <w:p w14:paraId="5BE65007">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（7）水土流失</w:t>
            </w:r>
          </w:p>
          <w:p w14:paraId="6AD8255F">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本项目建设过程中，会破坏建设区的原有地貌及植被、改</w:t>
            </w:r>
            <w:r>
              <w:rPr>
                <w:rFonts w:hint="default" w:ascii="Times New Roman" w:hAnsi="Times New Roman" w:eastAsia="宋体" w:cs="Times New Roman"/>
                <w:spacing w:val="-1"/>
                <w:sz w:val="24"/>
                <w:szCs w:val="24"/>
              </w:rPr>
              <w:t>变原有地形，产生大面积</w:t>
            </w:r>
            <w:r>
              <w:rPr>
                <w:rFonts w:hint="default" w:ascii="Times New Roman" w:hAnsi="Times New Roman" w:eastAsia="宋体" w:cs="Times New Roman"/>
                <w:sz w:val="24"/>
                <w:szCs w:val="24"/>
              </w:rPr>
              <w:t>裸地、临时弃土石方，会加速该区的水土流失，本环评要求企</w:t>
            </w:r>
            <w:r>
              <w:rPr>
                <w:rFonts w:hint="default" w:ascii="Times New Roman" w:hAnsi="Times New Roman" w:eastAsia="宋体" w:cs="Times New Roman"/>
                <w:spacing w:val="-1"/>
                <w:sz w:val="24"/>
                <w:szCs w:val="24"/>
              </w:rPr>
              <w:t>业按照水土流失防治要求，施工期有计划地安排场地平整，尽量避开雨季，划分水土保持防治区，采取工程措施、植被措施、临时措施等，以减轻施工期对生态环境的影响。</w:t>
            </w:r>
          </w:p>
          <w:p w14:paraId="75867339">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项目建设过程中可能造成的水土流失得到较好的</w:t>
            </w:r>
            <w:r>
              <w:rPr>
                <w:rFonts w:hint="default" w:ascii="Times New Roman" w:hAnsi="Times New Roman" w:eastAsia="宋体" w:cs="Times New Roman"/>
                <w:spacing w:val="-1"/>
                <w:sz w:val="24"/>
                <w:szCs w:val="24"/>
              </w:rPr>
              <w:t>防治，土地生产力得到有效的恢复，从而可有效地避免和防治工程建设过程中可能造成的水土流失，工程建成投产后，</w:t>
            </w:r>
            <w:r>
              <w:rPr>
                <w:rFonts w:hint="default" w:ascii="Times New Roman" w:hAnsi="Times New Roman" w:eastAsia="宋体" w:cs="Times New Roman"/>
                <w:sz w:val="24"/>
                <w:szCs w:val="24"/>
              </w:rPr>
              <w:t>因施工活动引起水土流失的各种因素逐渐消失</w:t>
            </w:r>
            <w:r>
              <w:rPr>
                <w:rFonts w:hint="default" w:ascii="Times New Roman" w:hAnsi="Times New Roman" w:eastAsia="宋体" w:cs="Times New Roman"/>
                <w:spacing w:val="-1"/>
                <w:sz w:val="24"/>
                <w:szCs w:val="24"/>
              </w:rPr>
              <w:t>，不存在原地貌、土地和植被的扰动及破</w:t>
            </w:r>
            <w:r>
              <w:rPr>
                <w:rFonts w:hint="default" w:ascii="Times New Roman" w:hAnsi="Times New Roman" w:eastAsia="宋体" w:cs="Times New Roman"/>
                <w:sz w:val="24"/>
                <w:szCs w:val="24"/>
              </w:rPr>
              <w:t>坏现象，且各种工程和植被措施逐渐发挥水土</w:t>
            </w:r>
            <w:r>
              <w:rPr>
                <w:rFonts w:hint="default" w:ascii="Times New Roman" w:hAnsi="Times New Roman" w:eastAsia="宋体" w:cs="Times New Roman"/>
                <w:spacing w:val="-1"/>
                <w:sz w:val="24"/>
                <w:szCs w:val="24"/>
              </w:rPr>
              <w:t>保持功效，不会继续造成新的人为水土流</w:t>
            </w:r>
            <w:r>
              <w:rPr>
                <w:rFonts w:hint="default" w:ascii="Times New Roman" w:hAnsi="Times New Roman" w:eastAsia="宋体" w:cs="Times New Roman"/>
                <w:spacing w:val="-9"/>
                <w:sz w:val="24"/>
                <w:szCs w:val="24"/>
              </w:rPr>
              <w:t>失。</w:t>
            </w:r>
          </w:p>
          <w:p w14:paraId="4535F0BE">
            <w:pPr>
              <w:pStyle w:val="45"/>
              <w:keepNext w:val="0"/>
              <w:keepLines w:val="0"/>
              <w:pageBreakBefore w:val="0"/>
              <w:widowControl w:val="0"/>
              <w:kinsoku/>
              <w:wordWrap/>
              <w:overflowPunct/>
              <w:topLinePunct w:val="0"/>
              <w:autoSpaceDE/>
              <w:autoSpaceDN/>
              <w:bidi w:val="0"/>
              <w:spacing w:line="360" w:lineRule="auto"/>
              <w:ind w:left="0" w:right="0" w:firstLine="46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5"/>
                <w:sz w:val="24"/>
                <w:szCs w:val="24"/>
              </w:rPr>
              <w:t>（8）生态完整性分析</w:t>
            </w:r>
          </w:p>
          <w:p w14:paraId="465E3666">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项目区生态系统服务功能包括生物量、能量流动和物质循环。项目区工程占地会使评</w:t>
            </w:r>
            <w:r>
              <w:rPr>
                <w:rFonts w:hint="default" w:ascii="Times New Roman" w:hAnsi="Times New Roman" w:eastAsia="宋体" w:cs="Times New Roman"/>
                <w:spacing w:val="3"/>
                <w:sz w:val="24"/>
                <w:szCs w:val="24"/>
              </w:rPr>
              <w:t>价区内植被覆盖率降低，生物量有所减少，并且会增加水土流失，对地生态系统等的结</w:t>
            </w:r>
            <w:r>
              <w:rPr>
                <w:rFonts w:hint="default" w:ascii="Times New Roman" w:hAnsi="Times New Roman" w:eastAsia="宋体" w:cs="Times New Roman"/>
                <w:spacing w:val="2"/>
                <w:sz w:val="24"/>
                <w:szCs w:val="24"/>
              </w:rPr>
              <w:t>构和格局产生一定影响，但项目工程占地相对较小且占地分散，</w:t>
            </w:r>
            <w:r>
              <w:rPr>
                <w:rFonts w:hint="default" w:ascii="Times New Roman" w:hAnsi="Times New Roman" w:eastAsia="宋体" w:cs="Times New Roman"/>
                <w:spacing w:val="-72"/>
                <w:sz w:val="24"/>
                <w:szCs w:val="24"/>
              </w:rPr>
              <w:t xml:space="preserve"> </w:t>
            </w:r>
            <w:r>
              <w:rPr>
                <w:rFonts w:hint="default" w:ascii="Times New Roman" w:hAnsi="Times New Roman" w:eastAsia="宋体" w:cs="Times New Roman"/>
                <w:spacing w:val="2"/>
                <w:sz w:val="24"/>
                <w:szCs w:val="24"/>
              </w:rPr>
              <w:t>因此仅对局部生态系统</w:t>
            </w:r>
            <w:r>
              <w:rPr>
                <w:rFonts w:hint="default" w:ascii="Times New Roman" w:hAnsi="Times New Roman" w:eastAsia="宋体" w:cs="Times New Roman"/>
                <w:spacing w:val="-3"/>
                <w:sz w:val="24"/>
                <w:szCs w:val="24"/>
              </w:rPr>
              <w:t>的结构和功能产生一定的影响。从整个评价区来看，该工程对生物量、能量流动和物</w:t>
            </w:r>
            <w:r>
              <w:rPr>
                <w:rFonts w:hint="default" w:ascii="Times New Roman" w:hAnsi="Times New Roman" w:eastAsia="宋体" w:cs="Times New Roman"/>
                <w:spacing w:val="-4"/>
                <w:sz w:val="24"/>
                <w:szCs w:val="24"/>
              </w:rPr>
              <w:t>质循</w:t>
            </w:r>
            <w:r>
              <w:rPr>
                <w:rFonts w:hint="default" w:ascii="Times New Roman" w:hAnsi="Times New Roman" w:eastAsia="宋体" w:cs="Times New Roman"/>
                <w:spacing w:val="-6"/>
                <w:sz w:val="24"/>
                <w:szCs w:val="24"/>
              </w:rPr>
              <w:t>环影响很小，基本不会改变评价区生态系统的服务功能。</w:t>
            </w:r>
          </w:p>
          <w:p w14:paraId="7784085E">
            <w:pPr>
              <w:keepNext w:val="0"/>
              <w:keepLines w:val="0"/>
              <w:pageBreakBefore w:val="0"/>
              <w:widowControl w:val="0"/>
              <w:kinsoku/>
              <w:wordWrap/>
              <w:overflowPunct/>
              <w:topLinePunct w:val="0"/>
              <w:autoSpaceDE/>
              <w:autoSpaceDN/>
              <w:bidi w:val="0"/>
              <w:adjustRightInd w:val="0"/>
              <w:snapToGrid w:val="0"/>
              <w:spacing w:line="360" w:lineRule="auto"/>
              <w:ind w:left="0" w:right="0" w:firstLine="464" w:firstLineChars="200"/>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spacing w:val="-4"/>
                <w:sz w:val="24"/>
                <w:szCs w:val="24"/>
              </w:rPr>
              <w:t>项目露天采场、工业场地等占地，使占地范围内的自然生态系统转变为人工生</w:t>
            </w:r>
            <w:r>
              <w:rPr>
                <w:rFonts w:hint="default" w:ascii="Times New Roman" w:hAnsi="Times New Roman" w:eastAsia="宋体" w:cs="Times New Roman"/>
                <w:spacing w:val="-5"/>
                <w:sz w:val="24"/>
                <w:szCs w:val="24"/>
              </w:rPr>
              <w:t>态系</w:t>
            </w:r>
            <w:r>
              <w:rPr>
                <w:rFonts w:hint="default" w:ascii="Times New Roman" w:hAnsi="Times New Roman" w:eastAsia="宋体" w:cs="Times New Roman"/>
                <w:spacing w:val="-10"/>
                <w:sz w:val="24"/>
                <w:szCs w:val="24"/>
              </w:rPr>
              <w:t>统。</w:t>
            </w:r>
            <w:r>
              <w:rPr>
                <w:rFonts w:hint="default" w:ascii="Times New Roman" w:hAnsi="Times New Roman" w:eastAsia="宋体" w:cs="Times New Roman"/>
                <w:spacing w:val="-53"/>
                <w:sz w:val="24"/>
                <w:szCs w:val="24"/>
              </w:rPr>
              <w:t xml:space="preserve"> </w:t>
            </w:r>
            <w:r>
              <w:rPr>
                <w:rFonts w:hint="default" w:ascii="Times New Roman" w:hAnsi="Times New Roman" w:eastAsia="宋体" w:cs="Times New Roman"/>
                <w:spacing w:val="-10"/>
                <w:sz w:val="24"/>
                <w:szCs w:val="24"/>
              </w:rPr>
              <w:t>占地类型主要为草地，由于各场地工程规模较小，占地面积较小，在采取有效的绿化</w:t>
            </w:r>
            <w:r>
              <w:rPr>
                <w:rFonts w:hint="default" w:ascii="Times New Roman" w:hAnsi="Times New Roman" w:eastAsia="宋体" w:cs="Times New Roman"/>
                <w:spacing w:val="-4"/>
                <w:sz w:val="24"/>
                <w:szCs w:val="24"/>
              </w:rPr>
              <w:t>措施和补偿措施的前提下，项目永久占地造成的植被逆向演替趋势较小。</w:t>
            </w:r>
          </w:p>
          <w:p w14:paraId="2907E563">
            <w:pPr>
              <w:pStyle w:val="45"/>
              <w:keepNext w:val="0"/>
              <w:keepLines w:val="0"/>
              <w:pageBreakBefore w:val="0"/>
              <w:widowControl w:val="0"/>
              <w:kinsoku/>
              <w:wordWrap/>
              <w:overflowPunct/>
              <w:topLinePunct w:val="0"/>
              <w:autoSpaceDE/>
              <w:autoSpaceDN/>
              <w:bidi w:val="0"/>
              <w:spacing w:line="360" w:lineRule="auto"/>
              <w:ind w:left="0" w:right="0" w:firstLine="46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综上，对生态系统影响较小。</w:t>
            </w:r>
          </w:p>
          <w:p w14:paraId="435332F0">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（9）施工期生态环境保护措施及其可行性论证</w:t>
            </w:r>
          </w:p>
          <w:p w14:paraId="7F811C6D">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为防止矿山在建设过程中造成水土流失和保护当地生态环境，要求建设单位采取以</w:t>
            </w:r>
            <w:r>
              <w:rPr>
                <w:rFonts w:hint="default" w:ascii="Times New Roman" w:hAnsi="Times New Roman" w:eastAsia="宋体" w:cs="Times New Roman"/>
                <w:spacing w:val="-5"/>
                <w:sz w:val="24"/>
                <w:szCs w:val="24"/>
              </w:rPr>
              <w:t>下措施：</w:t>
            </w:r>
          </w:p>
          <w:p w14:paraId="402D2EE3">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1)严格控制施工范围，按照划定的施工区域进行；工程实施建设中做到绿化工程与</w:t>
            </w:r>
            <w:r>
              <w:rPr>
                <w:rFonts w:hint="default" w:ascii="Times New Roman" w:hAnsi="Times New Roman" w:eastAsia="宋体" w:cs="Times New Roman"/>
                <w:spacing w:val="-2"/>
                <w:sz w:val="24"/>
                <w:szCs w:val="24"/>
              </w:rPr>
              <w:t>主体工程同步实施，同步完成。</w:t>
            </w:r>
          </w:p>
          <w:p w14:paraId="727D284A">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2)项目办公区进行绿化。</w:t>
            </w:r>
          </w:p>
          <w:p w14:paraId="2618C392">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3)加强对施工人员的生态保护教育，树立野生动物保护</w:t>
            </w:r>
            <w:r>
              <w:rPr>
                <w:rFonts w:hint="default" w:ascii="Times New Roman" w:hAnsi="Times New Roman" w:eastAsia="宋体" w:cs="Times New Roman"/>
                <w:spacing w:val="-1"/>
                <w:sz w:val="24"/>
                <w:szCs w:val="24"/>
              </w:rPr>
              <w:t>意识，禁止现场狩猎；尽量不扰动施工区域外的动物栖息环境。</w:t>
            </w:r>
          </w:p>
          <w:p w14:paraId="7315AAEA">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4)合理选择施工时间和方式，避免雨天施工，减</w:t>
            </w:r>
            <w:r>
              <w:rPr>
                <w:rFonts w:hint="default" w:ascii="Times New Roman" w:hAnsi="Times New Roman" w:eastAsia="宋体" w:cs="Times New Roman"/>
                <w:spacing w:val="-1"/>
                <w:sz w:val="24"/>
                <w:szCs w:val="24"/>
              </w:rPr>
              <w:t>少水土流失。</w:t>
            </w:r>
          </w:p>
          <w:p w14:paraId="32677B23">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5)严格限定施工区域，禁止超范围施工。</w:t>
            </w:r>
          </w:p>
          <w:p w14:paraId="6D285F27">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sz w:val="24"/>
                <w:szCs w:val="24"/>
              </w:rPr>
              <w:t>采取以上措施，可有效控制施工期对周围生态环境的扰动</w:t>
            </w:r>
            <w:r>
              <w:rPr>
                <w:rFonts w:hint="default" w:ascii="Times New Roman" w:hAnsi="Times New Roman" w:eastAsia="宋体" w:cs="Times New Roman"/>
                <w:spacing w:val="-1"/>
                <w:sz w:val="24"/>
                <w:szCs w:val="24"/>
              </w:rPr>
              <w:t>，减少水土流失，措施可</w:t>
            </w:r>
            <w:r>
              <w:rPr>
                <w:rFonts w:hint="default" w:ascii="Times New Roman" w:hAnsi="Times New Roman" w:eastAsia="宋体" w:cs="Times New Roman"/>
                <w:spacing w:val="-5"/>
                <w:sz w:val="24"/>
                <w:szCs w:val="24"/>
              </w:rPr>
              <w:t>行。</w:t>
            </w:r>
          </w:p>
        </w:tc>
      </w:tr>
      <w:tr w14:paraId="7267F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879" w:type="dxa"/>
            <w:noWrap w:val="0"/>
            <w:tcMar>
              <w:left w:w="28" w:type="dxa"/>
              <w:right w:w="28" w:type="dxa"/>
            </w:tcMar>
            <w:vAlign w:val="center"/>
          </w:tcPr>
          <w:p w14:paraId="57EDE8A2">
            <w:pPr>
              <w:pStyle w:val="20"/>
              <w:adjustRightInd w:val="0"/>
              <w:snapToGrid w:val="0"/>
              <w:spacing w:before="0" w:beforeAutospacing="0" w:after="0" w:afterAutospacing="0"/>
              <w:jc w:val="center"/>
              <w:rPr>
                <w:rFonts w:hint="default" w:ascii="Times New Roman" w:hAnsi="Times New Roman" w:eastAsia="宋体" w:cs="Times New Roman"/>
                <w:bCs/>
                <w:kern w:val="2"/>
                <w:sz w:val="24"/>
                <w:szCs w:val="24"/>
              </w:rPr>
            </w:pPr>
            <w:r>
              <w:rPr>
                <w:rFonts w:hint="default" w:ascii="Times New Roman" w:hAnsi="Times New Roman" w:eastAsia="宋体" w:cs="Times New Roman"/>
                <w:bCs/>
                <w:spacing w:val="10"/>
                <w:kern w:val="2"/>
                <w:sz w:val="24"/>
                <w:szCs w:val="24"/>
              </w:rPr>
              <w:t>运营期生态环境影响分析</w:t>
            </w:r>
          </w:p>
        </w:tc>
        <w:tc>
          <w:tcPr>
            <w:tcW w:w="8363" w:type="dxa"/>
            <w:noWrap w:val="0"/>
            <w:vAlign w:val="top"/>
          </w:tcPr>
          <w:p w14:paraId="5F8C7E95">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一、运营期生态环境影响分析</w:t>
            </w:r>
          </w:p>
          <w:p w14:paraId="4AFDE6F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1、对生态系统的影响分析与评价</w:t>
            </w:r>
          </w:p>
          <w:p w14:paraId="6E3F0A7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（1）生态系统组成的影响</w:t>
            </w:r>
          </w:p>
          <w:p w14:paraId="18B93B1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本项目采矿区占地面积为1126000m</w:t>
            </w:r>
            <w:r>
              <w:rPr>
                <w:rFonts w:hint="eastAsia" w:ascii="Times New Roman" w:hAnsi="Times New Roman" w:eastAsia="宋体" w:cs="Times New Roman"/>
                <w:spacing w:val="-1"/>
                <w:sz w:val="24"/>
                <w:szCs w:val="24"/>
                <w:vertAlign w:val="superscript"/>
                <w:lang w:val="en-US" w:eastAsia="zh-CN"/>
              </w:rPr>
              <w:t>2</w:t>
            </w:r>
            <w:r>
              <w:rPr>
                <w:rFonts w:hint="default" w:ascii="Times New Roman" w:hAnsi="Times New Roman" w:eastAsia="宋体" w:cs="Times New Roman"/>
                <w:spacing w:val="-1"/>
                <w:sz w:val="24"/>
                <w:szCs w:val="24"/>
              </w:rPr>
              <w:t>，主要占地类型为裸</w:t>
            </w:r>
            <w:r>
              <w:rPr>
                <w:rFonts w:hint="eastAsia" w:ascii="Times New Roman" w:hAnsi="Times New Roman" w:eastAsia="宋体" w:cs="Times New Roman"/>
                <w:spacing w:val="-1"/>
                <w:sz w:val="24"/>
                <w:szCs w:val="24"/>
                <w:lang w:val="en-US" w:eastAsia="zh-CN"/>
              </w:rPr>
              <w:t>土地</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2"/>
                <w:sz w:val="24"/>
                <w:szCs w:val="24"/>
              </w:rPr>
              <w:t>开采方式为露天开采</w:t>
            </w:r>
            <w:r>
              <w:rPr>
                <w:rFonts w:hint="default" w:ascii="Times New Roman" w:hAnsi="Times New Roman" w:eastAsia="宋体" w:cs="Times New Roman"/>
                <w:spacing w:val="8"/>
                <w:sz w:val="24"/>
                <w:szCs w:val="24"/>
              </w:rPr>
              <w:t>，</w:t>
            </w:r>
            <w:r>
              <w:rPr>
                <w:rFonts w:hint="default" w:ascii="Times New Roman" w:hAnsi="Times New Roman" w:eastAsia="宋体" w:cs="Times New Roman"/>
                <w:spacing w:val="-2"/>
                <w:sz w:val="24"/>
                <w:szCs w:val="24"/>
              </w:rPr>
              <w:t>开采深度为1</w:t>
            </w:r>
            <w:r>
              <w:rPr>
                <w:rFonts w:hint="eastAsia" w:ascii="Times New Roman" w:hAnsi="Times New Roman" w:eastAsia="宋体" w:cs="Times New Roman"/>
                <w:spacing w:val="-2"/>
                <w:sz w:val="24"/>
                <w:szCs w:val="24"/>
                <w:lang w:val="en-US" w:eastAsia="zh-CN"/>
              </w:rPr>
              <w:t>472</w:t>
            </w:r>
            <w:r>
              <w:rPr>
                <w:rFonts w:hint="default" w:ascii="Times New Roman" w:hAnsi="Times New Roman" w:eastAsia="宋体" w:cs="Times New Roman"/>
                <w:spacing w:val="-2"/>
                <w:sz w:val="24"/>
                <w:szCs w:val="24"/>
              </w:rPr>
              <w:t>m</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2"/>
                <w:sz w:val="24"/>
                <w:szCs w:val="24"/>
              </w:rPr>
              <w:t>1</w:t>
            </w:r>
            <w:r>
              <w:rPr>
                <w:rFonts w:hint="eastAsia" w:ascii="Times New Roman" w:hAnsi="Times New Roman" w:eastAsia="宋体" w:cs="Times New Roman"/>
                <w:spacing w:val="-2"/>
                <w:sz w:val="24"/>
                <w:szCs w:val="24"/>
                <w:lang w:val="en-US" w:eastAsia="zh-CN"/>
              </w:rPr>
              <w:t>422</w:t>
            </w:r>
            <w:r>
              <w:rPr>
                <w:rFonts w:hint="default" w:ascii="Times New Roman" w:hAnsi="Times New Roman" w:eastAsia="宋体" w:cs="Times New Roman"/>
                <w:spacing w:val="-2"/>
                <w:sz w:val="24"/>
                <w:szCs w:val="24"/>
              </w:rPr>
              <w:t>m，评价区主要有生态系统类型为草原生态系统等。它们具有生境支持、生物多样</w:t>
            </w:r>
            <w:r>
              <w:rPr>
                <w:rFonts w:hint="default" w:ascii="Times New Roman" w:hAnsi="Times New Roman" w:eastAsia="宋体" w:cs="Times New Roman"/>
                <w:sz w:val="24"/>
                <w:szCs w:val="24"/>
              </w:rPr>
              <w:t>性维持等多种功能。从整个评价区的大尺度上来看，项目影响范围占整</w:t>
            </w:r>
            <w:r>
              <w:rPr>
                <w:rFonts w:hint="default" w:ascii="Times New Roman" w:hAnsi="Times New Roman" w:eastAsia="宋体" w:cs="Times New Roman"/>
                <w:spacing w:val="-1"/>
                <w:sz w:val="24"/>
                <w:szCs w:val="24"/>
              </w:rPr>
              <w:t>个区域面积及比</w:t>
            </w:r>
            <w:r>
              <w:rPr>
                <w:rFonts w:hint="default" w:ascii="Times New Roman" w:hAnsi="Times New Roman" w:eastAsia="宋体" w:cs="Times New Roman"/>
                <w:sz w:val="24"/>
                <w:szCs w:val="24"/>
              </w:rPr>
              <w:t>例较少，区域生态系统类型不会发生明显变化，面积变化程度较小。</w:t>
            </w:r>
          </w:p>
          <w:p w14:paraId="2F9C2CF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w:t>
            </w:r>
            <w:r>
              <w:rPr>
                <w:rFonts w:hint="eastAsia" w:ascii="Times New Roman" w:hAnsi="Times New Roman" w:eastAsia="宋体" w:cs="Times New Roman"/>
                <w:b/>
                <w:bCs/>
                <w:spacing w:val="-4"/>
                <w:sz w:val="24"/>
                <w:szCs w:val="24"/>
                <w:lang w:val="en-US" w:eastAsia="zh-CN"/>
              </w:rPr>
              <w:t>2</w:t>
            </w:r>
            <w:r>
              <w:rPr>
                <w:rFonts w:hint="default" w:ascii="Times New Roman" w:hAnsi="Times New Roman" w:eastAsia="宋体" w:cs="Times New Roman"/>
                <w:b/>
                <w:bCs/>
                <w:spacing w:val="-4"/>
                <w:sz w:val="24"/>
                <w:szCs w:val="24"/>
              </w:rPr>
              <w:t>）对生态系统稳定性和完整性的影响</w:t>
            </w:r>
          </w:p>
          <w:p w14:paraId="32A09915">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对生态系统的稳定性和完整性评价，主要考虑</w:t>
            </w:r>
            <w:r>
              <w:rPr>
                <w:rFonts w:hint="default" w:ascii="Times New Roman" w:hAnsi="Times New Roman" w:eastAsia="宋体" w:cs="Times New Roman"/>
                <w:spacing w:val="-1"/>
                <w:sz w:val="24"/>
                <w:szCs w:val="24"/>
              </w:rPr>
              <w:t>生态系统是否能够抵抗项目建设带来的各项影响，项目建设完工后是否能够通过适当人工辅助及其自身调控能力逐步恢复。</w:t>
            </w:r>
          </w:p>
          <w:p w14:paraId="69C0897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从系统的角度考察稳定性和完整性，主要包</w:t>
            </w:r>
            <w:r>
              <w:rPr>
                <w:rFonts w:hint="default" w:ascii="Times New Roman" w:hAnsi="Times New Roman" w:eastAsia="宋体" w:cs="Times New Roman"/>
                <w:spacing w:val="-1"/>
                <w:sz w:val="24"/>
                <w:szCs w:val="24"/>
              </w:rPr>
              <w:t>括三个层次：一是组成系统的成分是否完整，即系统是否具有本身的全部物种，二是系统的组织结构是否完整，三是系统的功能是否健康。从第一个层次来看，本项目占地相对评价区内该类生态系统的占比均较</w:t>
            </w:r>
            <w:r>
              <w:rPr>
                <w:rFonts w:hint="default" w:ascii="Times New Roman" w:hAnsi="Times New Roman" w:eastAsia="宋体" w:cs="Times New Roman"/>
                <w:sz w:val="24"/>
                <w:szCs w:val="24"/>
              </w:rPr>
              <w:t>小，从对评价区内生态系统的组成系统整体上来看，并不</w:t>
            </w:r>
            <w:r>
              <w:rPr>
                <w:rFonts w:hint="default" w:ascii="Times New Roman" w:hAnsi="Times New Roman" w:eastAsia="宋体" w:cs="Times New Roman"/>
                <w:spacing w:val="-1"/>
                <w:sz w:val="24"/>
                <w:szCs w:val="24"/>
              </w:rPr>
              <w:t>会造成某种生态系统的缺失。</w:t>
            </w:r>
          </w:p>
          <w:p w14:paraId="30B1D50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从第二个层次来看，本项目建设后，除占地</w:t>
            </w:r>
            <w:r>
              <w:rPr>
                <w:rFonts w:hint="default" w:ascii="Times New Roman" w:hAnsi="Times New Roman" w:eastAsia="宋体" w:cs="Times New Roman"/>
                <w:spacing w:val="-1"/>
                <w:sz w:val="24"/>
                <w:szCs w:val="24"/>
              </w:rPr>
              <w:t>区内的部分植物群落环境发生改变外，</w:t>
            </w:r>
            <w:r>
              <w:rPr>
                <w:rFonts w:hint="default" w:ascii="Times New Roman" w:hAnsi="Times New Roman" w:eastAsia="宋体" w:cs="Times New Roman"/>
                <w:sz w:val="24"/>
                <w:szCs w:val="24"/>
              </w:rPr>
              <w:t>生态系统的绝大部分区域原有生境不变，以这一生境</w:t>
            </w:r>
            <w:r>
              <w:rPr>
                <w:rFonts w:hint="default" w:ascii="Times New Roman" w:hAnsi="Times New Roman" w:eastAsia="宋体" w:cs="Times New Roman"/>
                <w:spacing w:val="-1"/>
                <w:sz w:val="24"/>
                <w:szCs w:val="24"/>
              </w:rPr>
              <w:t>为依托的动植物关系、生物与非生</w:t>
            </w:r>
            <w:r>
              <w:rPr>
                <w:rFonts w:hint="default" w:ascii="Times New Roman" w:hAnsi="Times New Roman" w:eastAsia="宋体" w:cs="Times New Roman"/>
                <w:sz w:val="24"/>
                <w:szCs w:val="24"/>
              </w:rPr>
              <w:t>物环境关系、食物链及能流渠道都没有发生变化，因</w:t>
            </w:r>
            <w:r>
              <w:rPr>
                <w:rFonts w:hint="default" w:ascii="Times New Roman" w:hAnsi="Times New Roman" w:eastAsia="宋体" w:cs="Times New Roman"/>
                <w:spacing w:val="-1"/>
                <w:sz w:val="24"/>
                <w:szCs w:val="24"/>
              </w:rPr>
              <w:t>此生态系统总体的组织结构仍然完</w:t>
            </w:r>
            <w:r>
              <w:rPr>
                <w:rFonts w:hint="default" w:ascii="Times New Roman" w:hAnsi="Times New Roman" w:eastAsia="宋体" w:cs="Times New Roman"/>
                <w:spacing w:val="-7"/>
                <w:sz w:val="24"/>
                <w:szCs w:val="24"/>
              </w:rPr>
              <w:t>整。</w:t>
            </w:r>
          </w:p>
          <w:p w14:paraId="54CA95D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从第三个层次来看，本项目建设仅对评价区</w:t>
            </w:r>
            <w:r>
              <w:rPr>
                <w:rFonts w:hint="default" w:ascii="Times New Roman" w:hAnsi="Times New Roman" w:eastAsia="宋体" w:cs="Times New Roman"/>
                <w:spacing w:val="-1"/>
                <w:sz w:val="24"/>
                <w:szCs w:val="24"/>
              </w:rPr>
              <w:t>生态系统的局部区域带来侵占和干扰影</w:t>
            </w:r>
            <w:r>
              <w:rPr>
                <w:rFonts w:hint="default" w:ascii="Times New Roman" w:hAnsi="Times New Roman" w:eastAsia="宋体" w:cs="Times New Roman"/>
                <w:sz w:val="24"/>
                <w:szCs w:val="24"/>
              </w:rPr>
              <w:t>响，直接侵占区域面积占生态系统面积的比重很小，</w:t>
            </w:r>
            <w:r>
              <w:rPr>
                <w:rFonts w:hint="default" w:ascii="Times New Roman" w:hAnsi="Times New Roman" w:eastAsia="宋体" w:cs="Times New Roman"/>
                <w:spacing w:val="-1"/>
                <w:sz w:val="24"/>
                <w:szCs w:val="24"/>
              </w:rPr>
              <w:t>因此小面积的侵占和干扰不会导致整个生态系统功能的崩溃，且生态系统仍然具有良好的自我调控能力。</w:t>
            </w:r>
          </w:p>
          <w:p w14:paraId="16BAC78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从对生态系统中植物生物量损失方面来看，</w:t>
            </w:r>
            <w:r>
              <w:rPr>
                <w:rFonts w:hint="default" w:ascii="Times New Roman" w:hAnsi="Times New Roman" w:eastAsia="宋体" w:cs="Times New Roman"/>
                <w:spacing w:val="-1"/>
                <w:sz w:val="24"/>
                <w:szCs w:val="24"/>
              </w:rPr>
              <w:t>评价区生态系统的群落基础并没有受到</w:t>
            </w:r>
            <w:r>
              <w:rPr>
                <w:rFonts w:hint="default" w:ascii="Times New Roman" w:hAnsi="Times New Roman" w:eastAsia="宋体" w:cs="Times New Roman"/>
                <w:sz w:val="24"/>
                <w:szCs w:val="24"/>
              </w:rPr>
              <w:t>大的影响，生态系统仍然可以维持原有的生产力水</w:t>
            </w:r>
            <w:r>
              <w:rPr>
                <w:rFonts w:hint="default" w:ascii="Times New Roman" w:hAnsi="Times New Roman" w:eastAsia="宋体" w:cs="Times New Roman"/>
                <w:spacing w:val="-1"/>
                <w:sz w:val="24"/>
                <w:szCs w:val="24"/>
              </w:rPr>
              <w:t>平和自身调节能力。所以，工程建设对评价区生态系统稳定性影响小，工程建设不会导致评价区生态失衡。</w:t>
            </w:r>
          </w:p>
          <w:p w14:paraId="4CCA659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w:t>
            </w:r>
            <w:r>
              <w:rPr>
                <w:rFonts w:hint="eastAsia" w:ascii="Times New Roman" w:hAnsi="Times New Roman" w:eastAsia="宋体" w:cs="Times New Roman"/>
                <w:b/>
                <w:bCs/>
                <w:spacing w:val="-2"/>
                <w:sz w:val="24"/>
                <w:szCs w:val="24"/>
                <w:lang w:val="en-US" w:eastAsia="zh-CN"/>
              </w:rPr>
              <w:t>3</w:t>
            </w:r>
            <w:r>
              <w:rPr>
                <w:rFonts w:hint="default" w:ascii="Times New Roman" w:hAnsi="Times New Roman" w:eastAsia="宋体" w:cs="Times New Roman"/>
                <w:b/>
                <w:bCs/>
                <w:spacing w:val="-2"/>
                <w:sz w:val="24"/>
                <w:szCs w:val="24"/>
              </w:rPr>
              <w:t>）对生态系统多样性的影响预测</w:t>
            </w:r>
          </w:p>
          <w:p w14:paraId="087B4680">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生态系统多样性指的是一个地区的生态多样化程度，是一个区域不同生态系统类型</w:t>
            </w:r>
            <w:r>
              <w:rPr>
                <w:rFonts w:hint="default" w:ascii="Times New Roman" w:hAnsi="Times New Roman" w:eastAsia="宋体" w:cs="Times New Roman"/>
                <w:spacing w:val="-2"/>
                <w:sz w:val="24"/>
                <w:szCs w:val="24"/>
              </w:rPr>
              <w:t>的总和。评价区共有2类生态系统，项目建设将直接涉及</w:t>
            </w:r>
            <w:r>
              <w:rPr>
                <w:rFonts w:hint="eastAsia" w:ascii="Times New Roman" w:hAnsi="Times New Roman" w:eastAsia="宋体" w:cs="Times New Roman"/>
                <w:spacing w:val="-2"/>
                <w:sz w:val="24"/>
                <w:szCs w:val="24"/>
                <w:lang w:val="en-US" w:eastAsia="zh-CN"/>
              </w:rPr>
              <w:t>草原</w:t>
            </w:r>
            <w:r>
              <w:rPr>
                <w:rFonts w:hint="default" w:ascii="Times New Roman" w:hAnsi="Times New Roman" w:eastAsia="宋体" w:cs="Times New Roman"/>
                <w:spacing w:val="-2"/>
                <w:sz w:val="24"/>
                <w:szCs w:val="24"/>
              </w:rPr>
              <w:t>生态系统</w:t>
            </w:r>
            <w:r>
              <w:rPr>
                <w:rFonts w:hint="default" w:ascii="Times New Roman" w:hAnsi="Times New Roman" w:eastAsia="宋体" w:cs="Times New Roman"/>
                <w:spacing w:val="-3"/>
                <w:sz w:val="24"/>
                <w:szCs w:val="24"/>
              </w:rPr>
              <w:t>，</w:t>
            </w:r>
            <w:r>
              <w:rPr>
                <w:rFonts w:hint="default" w:ascii="Times New Roman" w:hAnsi="Times New Roman" w:eastAsia="宋体" w:cs="Times New Roman"/>
                <w:sz w:val="24"/>
                <w:szCs w:val="24"/>
              </w:rPr>
              <w:t>建设前后虽然荒地生态系统面积有所减小，但项目建成后评价区内</w:t>
            </w:r>
            <w:r>
              <w:rPr>
                <w:rFonts w:hint="default" w:ascii="Times New Roman" w:hAnsi="Times New Roman" w:eastAsia="宋体" w:cs="Times New Roman"/>
                <w:spacing w:val="-1"/>
                <w:sz w:val="24"/>
                <w:szCs w:val="24"/>
              </w:rPr>
              <w:t>的自然生态系统组成</w:t>
            </w:r>
            <w:r>
              <w:rPr>
                <w:rFonts w:hint="default" w:ascii="Times New Roman" w:hAnsi="Times New Roman" w:eastAsia="宋体" w:cs="Times New Roman"/>
                <w:sz w:val="24"/>
                <w:szCs w:val="24"/>
              </w:rPr>
              <w:t>类型不会减少，区内的生态系统多样性并不会发生</w:t>
            </w:r>
            <w:r>
              <w:rPr>
                <w:rFonts w:hint="default" w:ascii="Times New Roman" w:hAnsi="Times New Roman" w:eastAsia="宋体" w:cs="Times New Roman"/>
                <w:spacing w:val="-1"/>
                <w:sz w:val="24"/>
                <w:szCs w:val="24"/>
              </w:rPr>
              <w:t>改变，因此项目建设对生态系统多样</w:t>
            </w:r>
            <w:r>
              <w:rPr>
                <w:rFonts w:hint="default" w:ascii="Times New Roman" w:hAnsi="Times New Roman" w:eastAsia="宋体" w:cs="Times New Roman"/>
                <w:spacing w:val="-3"/>
                <w:sz w:val="24"/>
                <w:szCs w:val="24"/>
              </w:rPr>
              <w:t>性没有影响。</w:t>
            </w:r>
          </w:p>
          <w:p w14:paraId="4529185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w:t>
            </w:r>
            <w:r>
              <w:rPr>
                <w:rFonts w:hint="eastAsia" w:ascii="Times New Roman" w:hAnsi="Times New Roman" w:eastAsia="宋体" w:cs="Times New Roman"/>
                <w:b/>
                <w:bCs/>
                <w:spacing w:val="-2"/>
                <w:sz w:val="24"/>
                <w:szCs w:val="24"/>
                <w:lang w:val="en-US" w:eastAsia="zh-CN"/>
              </w:rPr>
              <w:t>4</w:t>
            </w:r>
            <w:r>
              <w:rPr>
                <w:rFonts w:hint="default" w:ascii="Times New Roman" w:hAnsi="Times New Roman" w:eastAsia="宋体" w:cs="Times New Roman"/>
                <w:b/>
                <w:bCs/>
                <w:spacing w:val="-2"/>
                <w:sz w:val="24"/>
                <w:szCs w:val="24"/>
              </w:rPr>
              <w:t>）对生态系统功能的影响</w:t>
            </w:r>
          </w:p>
          <w:p w14:paraId="315B452E">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本次项目评价区域地表扰动、植被损毁情况可通过水土保</w:t>
            </w:r>
            <w:r>
              <w:rPr>
                <w:rFonts w:hint="default" w:ascii="Times New Roman" w:hAnsi="Times New Roman" w:eastAsia="宋体" w:cs="Times New Roman"/>
                <w:spacing w:val="-1"/>
                <w:sz w:val="24"/>
                <w:szCs w:val="24"/>
              </w:rPr>
              <w:t>持措施、生态恢复措施尽</w:t>
            </w:r>
            <w:r>
              <w:rPr>
                <w:rFonts w:hint="default" w:ascii="Times New Roman" w:hAnsi="Times New Roman" w:eastAsia="宋体" w:cs="Times New Roman"/>
                <w:spacing w:val="-2"/>
                <w:sz w:val="24"/>
                <w:szCs w:val="24"/>
              </w:rPr>
              <w:t>可能的减少。</w:t>
            </w:r>
            <w:r>
              <w:rPr>
                <w:rFonts w:hint="default" w:ascii="Times New Roman" w:hAnsi="Times New Roman" w:eastAsia="宋体" w:cs="Times New Roman"/>
                <w:spacing w:val="-55"/>
                <w:sz w:val="24"/>
                <w:szCs w:val="24"/>
              </w:rPr>
              <w:t xml:space="preserve"> </w:t>
            </w:r>
            <w:r>
              <w:rPr>
                <w:rFonts w:hint="default" w:ascii="Times New Roman" w:hAnsi="Times New Roman" w:eastAsia="宋体" w:cs="Times New Roman"/>
                <w:spacing w:val="-2"/>
                <w:sz w:val="24"/>
                <w:szCs w:val="24"/>
              </w:rPr>
              <w:t>占地范围内植被类型主要为</w:t>
            </w:r>
            <w:r>
              <w:rPr>
                <w:rFonts w:hint="eastAsia" w:ascii="Times New Roman" w:hAnsi="Times New Roman" w:eastAsia="宋体" w:cs="Times New Roman"/>
                <w:spacing w:val="-2"/>
                <w:sz w:val="24"/>
                <w:szCs w:val="24"/>
                <w:lang w:val="en-US" w:eastAsia="zh-CN"/>
              </w:rPr>
              <w:t>长芒草及芨芨草</w:t>
            </w:r>
            <w:r>
              <w:rPr>
                <w:rFonts w:hint="default" w:ascii="Times New Roman" w:hAnsi="Times New Roman" w:eastAsia="宋体" w:cs="Times New Roman"/>
                <w:spacing w:val="-2"/>
                <w:sz w:val="24"/>
                <w:szCs w:val="24"/>
              </w:rPr>
              <w:t>等，项目对区域</w:t>
            </w:r>
            <w:r>
              <w:rPr>
                <w:rFonts w:hint="default" w:ascii="Times New Roman" w:hAnsi="Times New Roman" w:eastAsia="宋体" w:cs="Times New Roman"/>
                <w:spacing w:val="-3"/>
                <w:sz w:val="24"/>
                <w:szCs w:val="24"/>
              </w:rPr>
              <w:t>生物多样性功能</w:t>
            </w:r>
            <w:r>
              <w:rPr>
                <w:rFonts w:hint="default" w:ascii="Times New Roman" w:hAnsi="Times New Roman" w:eastAsia="宋体" w:cs="Times New Roman"/>
                <w:spacing w:val="-4"/>
                <w:sz w:val="24"/>
                <w:szCs w:val="24"/>
              </w:rPr>
              <w:t>影响较小。</w:t>
            </w:r>
          </w:p>
          <w:p w14:paraId="76972E3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2、对占地类型的影响</w:t>
            </w:r>
          </w:p>
          <w:p w14:paraId="21615E7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5"/>
                <w:sz w:val="24"/>
                <w:szCs w:val="24"/>
                <w:lang w:eastAsia="zh-CN"/>
              </w:rPr>
              <w:t>（</w:t>
            </w:r>
            <w:r>
              <w:rPr>
                <w:rFonts w:hint="eastAsia" w:ascii="Times New Roman" w:hAnsi="Times New Roman" w:eastAsia="宋体" w:cs="Times New Roman"/>
                <w:b/>
                <w:bCs/>
                <w:spacing w:val="-5"/>
                <w:sz w:val="24"/>
                <w:szCs w:val="24"/>
                <w:lang w:val="en-US" w:eastAsia="zh-CN"/>
              </w:rPr>
              <w:t>1</w:t>
            </w:r>
            <w:r>
              <w:rPr>
                <w:rFonts w:hint="eastAsia" w:ascii="Times New Roman" w:hAnsi="Times New Roman" w:eastAsia="宋体" w:cs="Times New Roman"/>
                <w:b/>
                <w:bCs/>
                <w:spacing w:val="-5"/>
                <w:sz w:val="24"/>
                <w:szCs w:val="24"/>
                <w:lang w:eastAsia="zh-CN"/>
              </w:rPr>
              <w:t>）</w:t>
            </w:r>
            <w:r>
              <w:rPr>
                <w:rFonts w:hint="default" w:ascii="Times New Roman" w:hAnsi="Times New Roman" w:eastAsia="宋体" w:cs="Times New Roman"/>
                <w:b/>
                <w:bCs/>
                <w:spacing w:val="-5"/>
                <w:sz w:val="24"/>
                <w:szCs w:val="24"/>
              </w:rPr>
              <w:t>土地利用变化分析</w:t>
            </w:r>
          </w:p>
          <w:p w14:paraId="5A1DED75">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项目实施后评价区内土地利用格局将发生变化，主</w:t>
            </w:r>
            <w:r>
              <w:rPr>
                <w:rFonts w:hint="default" w:ascii="Times New Roman" w:hAnsi="Times New Roman" w:eastAsia="宋体" w:cs="Times New Roman"/>
                <w:spacing w:val="-1"/>
                <w:sz w:val="24"/>
                <w:szCs w:val="24"/>
              </w:rPr>
              <w:t>要表现为露天采场区建设将增加</w:t>
            </w:r>
            <w:r>
              <w:rPr>
                <w:rFonts w:hint="default" w:ascii="Times New Roman" w:hAnsi="Times New Roman" w:eastAsia="宋体" w:cs="Times New Roman"/>
                <w:sz w:val="24"/>
                <w:szCs w:val="24"/>
              </w:rPr>
              <w:t>评价区的采矿用地面积，项目开采使得采矿用地面积有所增加。</w:t>
            </w:r>
            <w:r>
              <w:rPr>
                <w:rFonts w:hint="default" w:ascii="Times New Roman" w:hAnsi="Times New Roman" w:eastAsia="宋体" w:cs="Times New Roman"/>
                <w:spacing w:val="-1"/>
                <w:sz w:val="24"/>
                <w:szCs w:val="24"/>
              </w:rPr>
              <w:t>本项目采沙区现状占地</w:t>
            </w:r>
            <w:r>
              <w:rPr>
                <w:rFonts w:hint="default" w:ascii="Times New Roman" w:hAnsi="Times New Roman" w:eastAsia="宋体" w:cs="Times New Roman"/>
                <w:spacing w:val="-2"/>
                <w:sz w:val="24"/>
                <w:szCs w:val="24"/>
              </w:rPr>
              <w:t>类型主要为裸</w:t>
            </w:r>
            <w:r>
              <w:rPr>
                <w:rFonts w:hint="eastAsia" w:ascii="Times New Roman" w:hAnsi="Times New Roman" w:eastAsia="宋体" w:cs="Times New Roman"/>
                <w:spacing w:val="-2"/>
                <w:sz w:val="24"/>
                <w:szCs w:val="24"/>
                <w:lang w:val="en-US" w:eastAsia="zh-CN"/>
              </w:rPr>
              <w:t>土地</w:t>
            </w:r>
            <w:r>
              <w:rPr>
                <w:rFonts w:hint="default" w:ascii="Times New Roman" w:hAnsi="Times New Roman" w:eastAsia="宋体" w:cs="Times New Roman"/>
                <w:spacing w:val="-2"/>
                <w:sz w:val="24"/>
                <w:szCs w:val="24"/>
              </w:rPr>
              <w:t>。工业场地地主要为临时用地，</w:t>
            </w:r>
            <w:r>
              <w:rPr>
                <w:rFonts w:hint="default" w:ascii="Times New Roman" w:hAnsi="Times New Roman" w:eastAsia="宋体" w:cs="Times New Roman"/>
                <w:spacing w:val="-64"/>
                <w:sz w:val="24"/>
                <w:szCs w:val="24"/>
              </w:rPr>
              <w:t xml:space="preserve"> </w:t>
            </w:r>
            <w:r>
              <w:rPr>
                <w:rFonts w:hint="default" w:ascii="Times New Roman" w:hAnsi="Times New Roman" w:eastAsia="宋体" w:cs="Times New Roman"/>
                <w:spacing w:val="-2"/>
                <w:sz w:val="24"/>
                <w:szCs w:val="24"/>
              </w:rPr>
              <w:t>占地类型为裸土地。</w:t>
            </w:r>
          </w:p>
          <w:p w14:paraId="0F79810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（2）对地表形态的影响</w:t>
            </w:r>
          </w:p>
          <w:p w14:paraId="4D31116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项目采取露天开采方式，将完全改变原地表形态，</w:t>
            </w:r>
            <w:r>
              <w:rPr>
                <w:rFonts w:hint="default" w:ascii="Times New Roman" w:hAnsi="Times New Roman" w:eastAsia="宋体" w:cs="Times New Roman"/>
                <w:spacing w:val="-1"/>
                <w:sz w:val="24"/>
                <w:szCs w:val="24"/>
              </w:rPr>
              <w:t>由原来的山丘变成采坑，由于采坑较浅，不会改变区域地质结构和地层分布。</w:t>
            </w:r>
          </w:p>
          <w:p w14:paraId="42EB567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3、对植被类型的影响预测与评价</w:t>
            </w:r>
          </w:p>
          <w:p w14:paraId="2909703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w:t>
            </w:r>
            <w:r>
              <w:rPr>
                <w:rFonts w:hint="eastAsia" w:ascii="Times New Roman" w:hAnsi="Times New Roman" w:eastAsia="宋体" w:cs="Times New Roman"/>
                <w:b/>
                <w:bCs/>
                <w:spacing w:val="-2"/>
                <w:sz w:val="24"/>
                <w:szCs w:val="24"/>
                <w:lang w:val="en-US" w:eastAsia="zh-CN"/>
              </w:rPr>
              <w:t>1</w:t>
            </w:r>
            <w:r>
              <w:rPr>
                <w:rFonts w:hint="default" w:ascii="Times New Roman" w:hAnsi="Times New Roman" w:eastAsia="宋体" w:cs="Times New Roman"/>
                <w:b/>
                <w:bCs/>
                <w:spacing w:val="-2"/>
                <w:sz w:val="24"/>
                <w:szCs w:val="24"/>
              </w:rPr>
              <w:t>）对生物多样性的影响</w:t>
            </w:r>
          </w:p>
          <w:p w14:paraId="20E6A10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物种的多样性是构成生态系统多样性的基础，也是使生态系统趋于稳定的重要因素。工程新增占地将使植物生境破坏，生物个体失去生长环境，影响的程度是不可逆的，从而使群落的生物多样性降低，部分植物物种数量会减少。根据现场调查，区域植</w:t>
            </w:r>
            <w:r>
              <w:rPr>
                <w:rFonts w:hint="default" w:ascii="Times New Roman" w:hAnsi="Times New Roman" w:eastAsia="宋体" w:cs="Times New Roman"/>
                <w:spacing w:val="-2"/>
                <w:sz w:val="24"/>
                <w:szCs w:val="24"/>
              </w:rPr>
              <w:t>物群落主要有长芒草</w:t>
            </w:r>
            <w:r>
              <w:rPr>
                <w:rFonts w:hint="eastAsia" w:ascii="Times New Roman" w:hAnsi="Times New Roman" w:eastAsia="宋体" w:cs="Times New Roman"/>
                <w:spacing w:val="-2"/>
                <w:sz w:val="24"/>
                <w:szCs w:val="24"/>
                <w:lang w:eastAsia="zh-CN"/>
              </w:rPr>
              <w:t>、芨芨草</w:t>
            </w:r>
            <w:r>
              <w:rPr>
                <w:rFonts w:hint="default" w:ascii="Times New Roman" w:hAnsi="Times New Roman" w:eastAsia="宋体" w:cs="Times New Roman"/>
                <w:spacing w:val="-2"/>
                <w:sz w:val="24"/>
                <w:szCs w:val="24"/>
              </w:rPr>
              <w:t>等。植物物种种类较少，多为区域常见、广布的物种，组成</w:t>
            </w:r>
            <w:r>
              <w:rPr>
                <w:rFonts w:hint="default" w:ascii="Times New Roman" w:hAnsi="Times New Roman" w:eastAsia="宋体" w:cs="Times New Roman"/>
                <w:sz w:val="24"/>
                <w:szCs w:val="24"/>
              </w:rPr>
              <w:t>结构较简单，矿区植被物种在矿区其他地方及矿</w:t>
            </w:r>
            <w:r>
              <w:rPr>
                <w:rFonts w:hint="default" w:ascii="Times New Roman" w:hAnsi="Times New Roman" w:eastAsia="宋体" w:cs="Times New Roman"/>
                <w:spacing w:val="-1"/>
                <w:sz w:val="24"/>
                <w:szCs w:val="24"/>
              </w:rPr>
              <w:t>区外有大量分布，区域的野生动物的数</w:t>
            </w:r>
            <w:r>
              <w:rPr>
                <w:rFonts w:hint="default" w:ascii="Times New Roman" w:hAnsi="Times New Roman" w:eastAsia="宋体" w:cs="Times New Roman"/>
                <w:sz w:val="24"/>
                <w:szCs w:val="24"/>
              </w:rPr>
              <w:t>量少，未发现具有特殊保护价值的野生动物，并</w:t>
            </w:r>
            <w:r>
              <w:rPr>
                <w:rFonts w:hint="default" w:ascii="Times New Roman" w:hAnsi="Times New Roman" w:eastAsia="宋体" w:cs="Times New Roman"/>
                <w:spacing w:val="-1"/>
                <w:sz w:val="24"/>
                <w:szCs w:val="24"/>
              </w:rPr>
              <w:t>且本工程开采影响范围小，矿产开采影响的也极其有限，不会对区域动植物的生境产生重大变化。</w:t>
            </w:r>
          </w:p>
          <w:p w14:paraId="424F7C80">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综合分析认为，工程占地范围及间接影响的植物物种均为评价区常见种和广布种，</w:t>
            </w:r>
            <w:r>
              <w:rPr>
                <w:rFonts w:hint="default" w:ascii="Times New Roman" w:hAnsi="Times New Roman" w:eastAsia="宋体" w:cs="Times New Roman"/>
                <w:sz w:val="24"/>
                <w:szCs w:val="24"/>
              </w:rPr>
              <w:t>项目的建设不会造成评价区内植物物种的消失，对评价</w:t>
            </w:r>
            <w:r>
              <w:rPr>
                <w:rFonts w:hint="default" w:ascii="Times New Roman" w:hAnsi="Times New Roman" w:eastAsia="宋体" w:cs="Times New Roman"/>
                <w:spacing w:val="-1"/>
                <w:sz w:val="24"/>
                <w:szCs w:val="24"/>
              </w:rPr>
              <w:t>区植物多样性不会造成不可逆的</w:t>
            </w:r>
            <w:r>
              <w:rPr>
                <w:rFonts w:hint="default" w:ascii="Times New Roman" w:hAnsi="Times New Roman" w:eastAsia="宋体" w:cs="Times New Roman"/>
                <w:spacing w:val="-2"/>
                <w:sz w:val="24"/>
                <w:szCs w:val="24"/>
              </w:rPr>
              <w:t>影响，影响程度为</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小</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w:t>
            </w:r>
          </w:p>
          <w:p w14:paraId="6D62F74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w:t>
            </w:r>
            <w:r>
              <w:rPr>
                <w:rFonts w:hint="eastAsia" w:ascii="Times New Roman" w:hAnsi="Times New Roman" w:eastAsia="宋体" w:cs="Times New Roman"/>
                <w:b/>
                <w:bCs/>
                <w:spacing w:val="-6"/>
                <w:sz w:val="24"/>
                <w:szCs w:val="24"/>
                <w:lang w:val="en-US" w:eastAsia="zh-CN"/>
              </w:rPr>
              <w:t>2</w:t>
            </w:r>
            <w:r>
              <w:rPr>
                <w:rFonts w:hint="default" w:ascii="Times New Roman" w:hAnsi="Times New Roman" w:eastAsia="宋体" w:cs="Times New Roman"/>
                <w:b/>
                <w:bCs/>
                <w:spacing w:val="-6"/>
                <w:sz w:val="24"/>
                <w:szCs w:val="24"/>
              </w:rPr>
              <w:t>）生物量变化分析</w:t>
            </w:r>
          </w:p>
          <w:p w14:paraId="2E89169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pacing w:val="-2"/>
                <w:sz w:val="24"/>
                <w:szCs w:val="24"/>
              </w:rPr>
              <w:t>本项目为露天开采，采矿区为裸</w:t>
            </w:r>
            <w:r>
              <w:rPr>
                <w:rFonts w:hint="eastAsia" w:ascii="Times New Roman" w:hAnsi="Times New Roman" w:eastAsia="宋体" w:cs="Times New Roman"/>
                <w:spacing w:val="-2"/>
                <w:sz w:val="24"/>
                <w:szCs w:val="24"/>
                <w:lang w:val="en-US" w:eastAsia="zh-CN"/>
              </w:rPr>
              <w:t>土地，</w:t>
            </w:r>
            <w:r>
              <w:rPr>
                <w:rFonts w:hint="default" w:ascii="Times New Roman" w:hAnsi="Times New Roman" w:eastAsia="宋体" w:cs="Times New Roman"/>
                <w:spacing w:val="-1"/>
                <w:sz w:val="24"/>
                <w:szCs w:val="24"/>
              </w:rPr>
              <w:t>采矿区基本无植被</w:t>
            </w:r>
            <w:r>
              <w:rPr>
                <w:rFonts w:hint="eastAsia" w:ascii="Times New Roman" w:hAnsi="Times New Roman" w:eastAsia="宋体" w:cs="Times New Roman"/>
                <w:spacing w:val="-1"/>
                <w:sz w:val="24"/>
                <w:szCs w:val="24"/>
                <w:lang w:eastAsia="zh-CN"/>
              </w:rPr>
              <w:t>。</w:t>
            </w:r>
          </w:p>
          <w:p w14:paraId="66DC154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砂石开采后，在对工业场地进行恢复植被情况下，开采</w:t>
            </w:r>
            <w:r>
              <w:rPr>
                <w:rFonts w:hint="default" w:ascii="Times New Roman" w:hAnsi="Times New Roman" w:eastAsia="宋体" w:cs="Times New Roman"/>
                <w:spacing w:val="-1"/>
                <w:sz w:val="24"/>
                <w:szCs w:val="24"/>
              </w:rPr>
              <w:t>导致生物量减少量很小，对评价区植被生物量产生不利影响较小。</w:t>
            </w:r>
          </w:p>
          <w:p w14:paraId="6BD4DF6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除此之外，在项目建设期与运营期内，通过采取合理的土地复垦措施，在人工辅助</w:t>
            </w:r>
            <w:r>
              <w:rPr>
                <w:rFonts w:hint="default" w:ascii="Times New Roman" w:hAnsi="Times New Roman" w:eastAsia="宋体" w:cs="Times New Roman"/>
                <w:sz w:val="24"/>
                <w:szCs w:val="24"/>
              </w:rPr>
              <w:t>下，可以使植被得到逐渐恢复，可逐渐弥补因项目建设造成生物量</w:t>
            </w:r>
            <w:r>
              <w:rPr>
                <w:rFonts w:hint="default" w:ascii="Times New Roman" w:hAnsi="Times New Roman" w:eastAsia="宋体" w:cs="Times New Roman"/>
                <w:spacing w:val="-1"/>
                <w:sz w:val="24"/>
                <w:szCs w:val="24"/>
              </w:rPr>
              <w:t>减少的损失。本项目</w:t>
            </w:r>
            <w:r>
              <w:rPr>
                <w:rFonts w:hint="default" w:ascii="Times New Roman" w:hAnsi="Times New Roman" w:eastAsia="宋体" w:cs="Times New Roman"/>
                <w:sz w:val="24"/>
                <w:szCs w:val="24"/>
              </w:rPr>
              <w:t>的工程活动虽使区域的生物量有所减少，但不会导致区域物种数量</w:t>
            </w:r>
            <w:r>
              <w:rPr>
                <w:rFonts w:hint="default" w:ascii="Times New Roman" w:hAnsi="Times New Roman" w:eastAsia="宋体" w:cs="Times New Roman"/>
                <w:spacing w:val="-1"/>
                <w:sz w:val="24"/>
                <w:szCs w:val="24"/>
              </w:rPr>
              <w:t>减少。开采结束后，</w:t>
            </w:r>
            <w:r>
              <w:rPr>
                <w:rFonts w:hint="default" w:ascii="Times New Roman" w:hAnsi="Times New Roman" w:eastAsia="宋体" w:cs="Times New Roman"/>
                <w:spacing w:val="-2"/>
                <w:sz w:val="24"/>
                <w:szCs w:val="24"/>
              </w:rPr>
              <w:t>进行生态恢复，</w:t>
            </w:r>
            <w:r>
              <w:rPr>
                <w:rFonts w:hint="default" w:ascii="Times New Roman" w:hAnsi="Times New Roman" w:eastAsia="宋体" w:cs="Times New Roman"/>
                <w:spacing w:val="-53"/>
                <w:sz w:val="24"/>
                <w:szCs w:val="24"/>
              </w:rPr>
              <w:t xml:space="preserve"> </w:t>
            </w:r>
            <w:r>
              <w:rPr>
                <w:rFonts w:hint="default" w:ascii="Times New Roman" w:hAnsi="Times New Roman" w:eastAsia="宋体" w:cs="Times New Roman"/>
                <w:spacing w:val="-2"/>
                <w:sz w:val="24"/>
                <w:szCs w:val="24"/>
              </w:rPr>
              <w:t>占地复垦为裸</w:t>
            </w:r>
            <w:r>
              <w:rPr>
                <w:rFonts w:hint="eastAsia" w:ascii="Times New Roman" w:hAnsi="Times New Roman" w:eastAsia="宋体" w:cs="Times New Roman"/>
                <w:spacing w:val="-2"/>
                <w:sz w:val="24"/>
                <w:szCs w:val="24"/>
                <w:lang w:val="en-US" w:eastAsia="zh-CN"/>
              </w:rPr>
              <w:t>土地</w:t>
            </w:r>
            <w:r>
              <w:rPr>
                <w:rFonts w:hint="default" w:ascii="Times New Roman" w:hAnsi="Times New Roman" w:eastAsia="宋体" w:cs="Times New Roman"/>
                <w:spacing w:val="-2"/>
                <w:sz w:val="24"/>
                <w:szCs w:val="24"/>
              </w:rPr>
              <w:t>。随着人工种植植物的发育生长和植被覆盖度的</w:t>
            </w:r>
            <w:r>
              <w:rPr>
                <w:rFonts w:hint="default" w:ascii="Times New Roman" w:hAnsi="Times New Roman" w:eastAsia="宋体" w:cs="Times New Roman"/>
                <w:sz w:val="24"/>
                <w:szCs w:val="24"/>
              </w:rPr>
              <w:t>提高，会使作业区的植物生存环境逐渐变好，从而使原来被影响或</w:t>
            </w:r>
            <w:r>
              <w:rPr>
                <w:rFonts w:hint="default" w:ascii="Times New Roman" w:hAnsi="Times New Roman" w:eastAsia="宋体" w:cs="Times New Roman"/>
                <w:spacing w:val="-1"/>
                <w:sz w:val="24"/>
                <w:szCs w:val="24"/>
              </w:rPr>
              <w:t>破坏的植物也逐渐得</w:t>
            </w:r>
            <w:r>
              <w:rPr>
                <w:rFonts w:hint="default" w:ascii="Times New Roman" w:hAnsi="Times New Roman" w:eastAsia="宋体" w:cs="Times New Roman"/>
                <w:sz w:val="24"/>
                <w:szCs w:val="24"/>
              </w:rPr>
              <w:t>到恢复，并超过原来的长势，使生态系统向着自然的顶极群落演替</w:t>
            </w:r>
            <w:r>
              <w:rPr>
                <w:rFonts w:hint="default" w:ascii="Times New Roman" w:hAnsi="Times New Roman" w:eastAsia="宋体" w:cs="Times New Roman"/>
                <w:spacing w:val="-1"/>
                <w:sz w:val="24"/>
                <w:szCs w:val="24"/>
              </w:rPr>
              <w:t>。本项目建设对植被的不利影响可以控制在可以接受的范围。</w:t>
            </w:r>
          </w:p>
          <w:p w14:paraId="0CE584E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5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4、对野生动物的影响</w:t>
            </w:r>
          </w:p>
          <w:p w14:paraId="34C48DF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根据实地调查，评价范围内无国家重点保护类的野生动物，野生</w:t>
            </w:r>
            <w:r>
              <w:rPr>
                <w:rFonts w:hint="default" w:ascii="Times New Roman" w:hAnsi="Times New Roman" w:eastAsia="宋体" w:cs="Times New Roman"/>
                <w:spacing w:val="-1"/>
                <w:sz w:val="24"/>
                <w:szCs w:val="24"/>
              </w:rPr>
              <w:t>动物较少。在矿山</w:t>
            </w:r>
            <w:r>
              <w:rPr>
                <w:rFonts w:hint="default" w:ascii="Times New Roman" w:hAnsi="Times New Roman" w:eastAsia="宋体" w:cs="Times New Roman"/>
                <w:sz w:val="24"/>
                <w:szCs w:val="24"/>
              </w:rPr>
              <w:t>占用期间，野生动物会自动转移到附近区域内生存，工程永久占地</w:t>
            </w:r>
            <w:r>
              <w:rPr>
                <w:rFonts w:hint="default" w:ascii="Times New Roman" w:hAnsi="Times New Roman" w:eastAsia="宋体" w:cs="Times New Roman"/>
                <w:spacing w:val="-1"/>
                <w:sz w:val="24"/>
                <w:szCs w:val="24"/>
              </w:rPr>
              <w:t>会破坏小型哺乳类、</w:t>
            </w:r>
            <w:r>
              <w:rPr>
                <w:rFonts w:hint="default" w:ascii="Times New Roman" w:hAnsi="Times New Roman" w:eastAsia="宋体" w:cs="Times New Roman"/>
                <w:sz w:val="24"/>
                <w:szCs w:val="24"/>
              </w:rPr>
              <w:t>爬行类、鸟类的栖息地，直接造成其栖息地的损失，导致其生境范</w:t>
            </w:r>
            <w:r>
              <w:rPr>
                <w:rFonts w:hint="default" w:ascii="Times New Roman" w:hAnsi="Times New Roman" w:eastAsia="宋体" w:cs="Times New Roman"/>
                <w:spacing w:val="-1"/>
                <w:sz w:val="24"/>
                <w:szCs w:val="24"/>
              </w:rPr>
              <w:t>围缩小。项目对野生</w:t>
            </w:r>
            <w:r>
              <w:rPr>
                <w:rFonts w:hint="default" w:ascii="Times New Roman" w:hAnsi="Times New Roman" w:eastAsia="宋体" w:cs="Times New Roman"/>
                <w:spacing w:val="-2"/>
                <w:sz w:val="24"/>
                <w:szCs w:val="24"/>
              </w:rPr>
              <w:t>动物产生的影响主要有三个方面：</w:t>
            </w:r>
          </w:p>
          <w:p w14:paraId="6ECA408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1</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项目运营期开采工程将破坏现有的动物集群，使原栖息地上的动物丧失栖息地</w:t>
            </w:r>
            <w:r>
              <w:rPr>
                <w:rFonts w:hint="default" w:ascii="Times New Roman" w:hAnsi="Times New Roman" w:eastAsia="宋体" w:cs="Times New Roman"/>
                <w:sz w:val="24"/>
                <w:szCs w:val="24"/>
              </w:rPr>
              <w:t>和觅食地，为觅食和寻找适宜的栖息地而向四周</w:t>
            </w:r>
            <w:r>
              <w:rPr>
                <w:rFonts w:hint="default" w:ascii="Times New Roman" w:hAnsi="Times New Roman" w:eastAsia="宋体" w:cs="Times New Roman"/>
                <w:spacing w:val="-1"/>
                <w:sz w:val="24"/>
                <w:szCs w:val="24"/>
              </w:rPr>
              <w:t>迁移。但采区内动物均为该区常见种，</w:t>
            </w:r>
          </w:p>
          <w:p w14:paraId="39DCEAE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评价区域内地形、地貌、生境等因素对野生动物逃遁较为有利</w:t>
            </w:r>
            <w:r>
              <w:rPr>
                <w:rFonts w:hint="default" w:ascii="Times New Roman" w:hAnsi="Times New Roman" w:eastAsia="宋体" w:cs="Times New Roman"/>
                <w:spacing w:val="-1"/>
                <w:sz w:val="24"/>
                <w:szCs w:val="24"/>
              </w:rPr>
              <w:t>，采区不被扰动的地方及</w:t>
            </w:r>
            <w:r>
              <w:rPr>
                <w:rFonts w:hint="default" w:ascii="Times New Roman" w:hAnsi="Times New Roman" w:eastAsia="宋体" w:cs="Times New Roman"/>
                <w:sz w:val="24"/>
                <w:szCs w:val="24"/>
              </w:rPr>
              <w:t>采区外有大面积生境与项目施工所破坏的生境相似，只要它们</w:t>
            </w:r>
            <w:r>
              <w:rPr>
                <w:rFonts w:hint="default" w:ascii="Times New Roman" w:hAnsi="Times New Roman" w:eastAsia="宋体" w:cs="Times New Roman"/>
                <w:spacing w:val="-1"/>
                <w:sz w:val="24"/>
                <w:szCs w:val="24"/>
              </w:rPr>
              <w:t>不被人类捕杀，最终它们</w:t>
            </w:r>
            <w:r>
              <w:rPr>
                <w:rFonts w:hint="default" w:ascii="Times New Roman" w:hAnsi="Times New Roman" w:eastAsia="宋体" w:cs="Times New Roman"/>
                <w:spacing w:val="-2"/>
                <w:sz w:val="24"/>
                <w:szCs w:val="24"/>
              </w:rPr>
              <w:t>中的大多数将辗转至采区周边其它地带。</w:t>
            </w:r>
            <w:r>
              <w:rPr>
                <w:rFonts w:hint="default" w:ascii="Times New Roman" w:hAnsi="Times New Roman" w:eastAsia="宋体" w:cs="Times New Roman"/>
                <w:spacing w:val="-55"/>
                <w:sz w:val="24"/>
                <w:szCs w:val="24"/>
              </w:rPr>
              <w:t xml:space="preserve"> </w:t>
            </w:r>
            <w:r>
              <w:rPr>
                <w:rFonts w:hint="default" w:ascii="Times New Roman" w:hAnsi="Times New Roman" w:eastAsia="宋体" w:cs="Times New Roman"/>
                <w:spacing w:val="-2"/>
                <w:sz w:val="24"/>
                <w:szCs w:val="24"/>
              </w:rPr>
              <w:t>因此，项目施工所造成的原有动物迁移，不会</w:t>
            </w:r>
            <w:r>
              <w:rPr>
                <w:rFonts w:hint="default" w:ascii="Times New Roman" w:hAnsi="Times New Roman" w:eastAsia="宋体" w:cs="Times New Roman"/>
                <w:spacing w:val="-1"/>
                <w:sz w:val="24"/>
                <w:szCs w:val="24"/>
              </w:rPr>
              <w:t>影响区域野生动物群系组成，对整个区域的野生动物影响不大。</w:t>
            </w:r>
          </w:p>
          <w:p w14:paraId="2AD5B0CE">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（2）开采期间，生产活动所产生的各种噪声，对生活在周边的野生</w:t>
            </w:r>
            <w:r>
              <w:rPr>
                <w:rFonts w:hint="default" w:ascii="Times New Roman" w:hAnsi="Times New Roman" w:eastAsia="宋体" w:cs="Times New Roman"/>
                <w:spacing w:val="-1"/>
                <w:sz w:val="24"/>
                <w:szCs w:val="24"/>
              </w:rPr>
              <w:t>动物也会产生不</w:t>
            </w:r>
            <w:r>
              <w:rPr>
                <w:rFonts w:hint="default" w:ascii="Times New Roman" w:hAnsi="Times New Roman" w:eastAsia="宋体" w:cs="Times New Roman"/>
                <w:sz w:val="24"/>
                <w:szCs w:val="24"/>
              </w:rPr>
              <w:t>利影响。预计在营运期间，附近的部分动物因不能忍受噪声干扰而向</w:t>
            </w:r>
            <w:r>
              <w:rPr>
                <w:rFonts w:hint="default" w:ascii="Times New Roman" w:hAnsi="Times New Roman" w:eastAsia="宋体" w:cs="Times New Roman"/>
                <w:spacing w:val="-1"/>
                <w:sz w:val="24"/>
                <w:szCs w:val="24"/>
              </w:rPr>
              <w:t>远离采区的方向迁</w:t>
            </w:r>
            <w:r>
              <w:rPr>
                <w:rFonts w:hint="default" w:ascii="Times New Roman" w:hAnsi="Times New Roman" w:eastAsia="宋体" w:cs="Times New Roman"/>
                <w:sz w:val="24"/>
                <w:szCs w:val="24"/>
              </w:rPr>
              <w:t>移，从而使采区四周动物种类和数量减少，但采区周边类似的生境分</w:t>
            </w:r>
            <w:r>
              <w:rPr>
                <w:rFonts w:hint="default" w:ascii="Times New Roman" w:hAnsi="Times New Roman" w:eastAsia="宋体" w:cs="Times New Roman"/>
                <w:spacing w:val="-1"/>
                <w:sz w:val="24"/>
                <w:szCs w:val="24"/>
              </w:rPr>
              <w:t>布较广，动物迁移后能很快适应新的环境。</w:t>
            </w:r>
          </w:p>
          <w:p w14:paraId="2649567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（3）本项目运营期间，由于外来人员聚集，将对周围的野生动物造成骚扰，这将对</w:t>
            </w:r>
            <w:r>
              <w:rPr>
                <w:rFonts w:hint="default" w:ascii="Times New Roman" w:hAnsi="Times New Roman" w:eastAsia="宋体" w:cs="Times New Roman"/>
                <w:sz w:val="24"/>
                <w:szCs w:val="24"/>
              </w:rPr>
              <w:t>野生动物生存构成严重影响，且这种影响往往要经过较长时间才</w:t>
            </w:r>
            <w:r>
              <w:rPr>
                <w:rFonts w:hint="default" w:ascii="Times New Roman" w:hAnsi="Times New Roman" w:eastAsia="宋体" w:cs="Times New Roman"/>
                <w:spacing w:val="-1"/>
                <w:sz w:val="24"/>
                <w:szCs w:val="24"/>
              </w:rPr>
              <w:t>能恢复，甚至是不可逆</w:t>
            </w:r>
            <w:r>
              <w:rPr>
                <w:rFonts w:hint="default" w:ascii="Times New Roman" w:hAnsi="Times New Roman" w:eastAsia="宋体" w:cs="Times New Roman"/>
                <w:sz w:val="24"/>
                <w:szCs w:val="24"/>
              </w:rPr>
              <w:t>的。对这种影响必须采取强有力的保护措施，防患于未然，将影</w:t>
            </w:r>
            <w:r>
              <w:rPr>
                <w:rFonts w:hint="default" w:ascii="Times New Roman" w:hAnsi="Times New Roman" w:eastAsia="宋体" w:cs="Times New Roman"/>
                <w:spacing w:val="-1"/>
                <w:sz w:val="24"/>
                <w:szCs w:val="24"/>
              </w:rPr>
              <w:t>响的程度控制在最低限</w:t>
            </w:r>
            <w:r>
              <w:rPr>
                <w:rFonts w:hint="default" w:ascii="Times New Roman" w:hAnsi="Times New Roman" w:eastAsia="宋体" w:cs="Times New Roman"/>
                <w:spacing w:val="-5"/>
                <w:sz w:val="24"/>
                <w:szCs w:val="24"/>
              </w:rPr>
              <w:t>度。</w:t>
            </w:r>
          </w:p>
          <w:p w14:paraId="5FAACFC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5、对景观生态的影响分析</w:t>
            </w:r>
          </w:p>
          <w:p w14:paraId="1F61AF3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b/>
                <w:bCs/>
                <w:spacing w:val="-4"/>
                <w:sz w:val="24"/>
                <w:szCs w:val="24"/>
              </w:rPr>
            </w:pPr>
            <w:r>
              <w:rPr>
                <w:rFonts w:hint="default" w:ascii="Times New Roman" w:hAnsi="Times New Roman" w:eastAsia="宋体" w:cs="Times New Roman"/>
                <w:sz w:val="24"/>
                <w:szCs w:val="24"/>
              </w:rPr>
              <w:t>本项目开采将彻底改变采场内地貌景观，形成采坑、工业</w:t>
            </w:r>
            <w:r>
              <w:rPr>
                <w:rFonts w:hint="default" w:ascii="Times New Roman" w:hAnsi="Times New Roman" w:eastAsia="宋体" w:cs="Times New Roman"/>
                <w:spacing w:val="-1"/>
                <w:sz w:val="24"/>
                <w:szCs w:val="24"/>
              </w:rPr>
              <w:t>场地等裸露地貌。地表开</w:t>
            </w:r>
            <w:r>
              <w:rPr>
                <w:rFonts w:hint="default" w:ascii="Times New Roman" w:hAnsi="Times New Roman" w:eastAsia="宋体" w:cs="Times New Roman"/>
                <w:sz w:val="24"/>
                <w:szCs w:val="24"/>
              </w:rPr>
              <w:t>挖将造成大面积裸露，对地貌景观影响较严重，土石堆放、矿</w:t>
            </w:r>
            <w:r>
              <w:rPr>
                <w:rFonts w:hint="default" w:ascii="Times New Roman" w:hAnsi="Times New Roman" w:eastAsia="宋体" w:cs="Times New Roman"/>
                <w:spacing w:val="-1"/>
                <w:sz w:val="24"/>
                <w:szCs w:val="24"/>
              </w:rPr>
              <w:t>区道路对局部地形地貌有</w:t>
            </w:r>
            <w:r>
              <w:rPr>
                <w:rFonts w:hint="default" w:ascii="Times New Roman" w:hAnsi="Times New Roman" w:eastAsia="宋体" w:cs="Times New Roman"/>
                <w:spacing w:val="-2"/>
                <w:sz w:val="24"/>
                <w:szCs w:val="24"/>
              </w:rPr>
              <w:t>小的改变。生态景观属性将因工程的建设而由自然景观向人工景观发展。</w:t>
            </w:r>
            <w:r>
              <w:rPr>
                <w:rFonts w:hint="default" w:ascii="Times New Roman" w:hAnsi="Times New Roman" w:eastAsia="宋体" w:cs="Times New Roman"/>
                <w:spacing w:val="-55"/>
                <w:sz w:val="24"/>
                <w:szCs w:val="24"/>
              </w:rPr>
              <w:t xml:space="preserve"> </w:t>
            </w:r>
            <w:r>
              <w:rPr>
                <w:rFonts w:hint="default" w:ascii="Times New Roman" w:hAnsi="Times New Roman" w:eastAsia="宋体" w:cs="Times New Roman"/>
                <w:spacing w:val="-2"/>
                <w:sz w:val="24"/>
                <w:szCs w:val="24"/>
              </w:rPr>
              <w:t>同时，由于生</w:t>
            </w:r>
            <w:r>
              <w:rPr>
                <w:rFonts w:hint="default" w:ascii="Times New Roman" w:hAnsi="Times New Roman" w:eastAsia="宋体" w:cs="Times New Roman"/>
                <w:sz w:val="24"/>
                <w:szCs w:val="24"/>
              </w:rPr>
              <w:t>产过程中形成的占地对生态系统的影响是长期的，伴随着整个</w:t>
            </w:r>
            <w:r>
              <w:rPr>
                <w:rFonts w:hint="default" w:ascii="Times New Roman" w:hAnsi="Times New Roman" w:eastAsia="宋体" w:cs="Times New Roman"/>
                <w:spacing w:val="-1"/>
                <w:sz w:val="24"/>
                <w:szCs w:val="24"/>
              </w:rPr>
              <w:t>工程的开采过程，甚至在</w:t>
            </w:r>
            <w:r>
              <w:rPr>
                <w:rFonts w:hint="default" w:ascii="Times New Roman" w:hAnsi="Times New Roman" w:eastAsia="宋体" w:cs="Times New Roman"/>
                <w:sz w:val="24"/>
                <w:szCs w:val="24"/>
              </w:rPr>
              <w:t>闭矿期，其影响仍然可能存在一段时期。剥采工程将使不同景</w:t>
            </w:r>
            <w:r>
              <w:rPr>
                <w:rFonts w:hint="default" w:ascii="Times New Roman" w:hAnsi="Times New Roman" w:eastAsia="宋体" w:cs="Times New Roman"/>
                <w:spacing w:val="-1"/>
                <w:sz w:val="24"/>
                <w:szCs w:val="24"/>
              </w:rPr>
              <w:t>观类型分布、斑块数、斑</w:t>
            </w:r>
            <w:r>
              <w:rPr>
                <w:rFonts w:hint="default" w:ascii="Times New Roman" w:hAnsi="Times New Roman" w:eastAsia="宋体" w:cs="Times New Roman"/>
                <w:sz w:val="24"/>
                <w:szCs w:val="24"/>
              </w:rPr>
              <w:t>块密度、面积等属性发生变化。开采过程中随着</w:t>
            </w:r>
            <w:r>
              <w:rPr>
                <w:rFonts w:hint="eastAsia" w:ascii="Times New Roman" w:hAnsi="Times New Roman" w:eastAsia="宋体" w:cs="Times New Roman"/>
                <w:sz w:val="24"/>
                <w:szCs w:val="24"/>
                <w:lang w:val="en-US" w:eastAsia="zh-CN"/>
              </w:rPr>
              <w:t>覆盖层</w:t>
            </w:r>
            <w:r>
              <w:rPr>
                <w:rFonts w:hint="default" w:ascii="Times New Roman" w:hAnsi="Times New Roman" w:eastAsia="宋体" w:cs="Times New Roman"/>
                <w:sz w:val="24"/>
                <w:szCs w:val="24"/>
              </w:rPr>
              <w:t>的剥离及</w:t>
            </w:r>
            <w:r>
              <w:rPr>
                <w:rFonts w:hint="default" w:ascii="Times New Roman" w:hAnsi="Times New Roman" w:eastAsia="宋体" w:cs="Times New Roman"/>
                <w:spacing w:val="-1"/>
                <w:sz w:val="24"/>
                <w:szCs w:val="24"/>
              </w:rPr>
              <w:t>地表植被的破坏将使采区</w:t>
            </w:r>
            <w:r>
              <w:rPr>
                <w:rFonts w:hint="default" w:ascii="Times New Roman" w:hAnsi="Times New Roman" w:eastAsia="宋体" w:cs="Times New Roman"/>
                <w:sz w:val="24"/>
                <w:szCs w:val="24"/>
              </w:rPr>
              <w:t>内原有的地形地貌发生改变，但本项目的实施对本区域的自然</w:t>
            </w:r>
            <w:r>
              <w:rPr>
                <w:rFonts w:hint="default" w:ascii="Times New Roman" w:hAnsi="Times New Roman" w:eastAsia="宋体" w:cs="Times New Roman"/>
                <w:spacing w:val="-1"/>
                <w:sz w:val="24"/>
                <w:szCs w:val="24"/>
              </w:rPr>
              <w:t>环境景观的影响不大，在</w:t>
            </w:r>
            <w:r>
              <w:rPr>
                <w:rFonts w:hint="default" w:ascii="Times New Roman" w:hAnsi="Times New Roman" w:eastAsia="宋体" w:cs="Times New Roman"/>
                <w:sz w:val="24"/>
                <w:szCs w:val="24"/>
              </w:rPr>
              <w:t>项目开采结束后会对整个采区进行土地整治，采取植被恢复，</w:t>
            </w:r>
            <w:r>
              <w:rPr>
                <w:rFonts w:hint="default" w:ascii="Times New Roman" w:hAnsi="Times New Roman" w:eastAsia="宋体" w:cs="Times New Roman"/>
                <w:spacing w:val="-1"/>
                <w:sz w:val="24"/>
                <w:szCs w:val="24"/>
              </w:rPr>
              <w:t>将使得采区与周边自然景</w:t>
            </w:r>
            <w:r>
              <w:rPr>
                <w:rFonts w:hint="default" w:ascii="Times New Roman" w:hAnsi="Times New Roman" w:eastAsia="宋体" w:cs="Times New Roman"/>
                <w:spacing w:val="-2"/>
                <w:sz w:val="24"/>
                <w:szCs w:val="24"/>
              </w:rPr>
              <w:t>观逐渐协调一致。</w:t>
            </w:r>
            <w:r>
              <w:rPr>
                <w:rFonts w:hint="default" w:ascii="Times New Roman" w:hAnsi="Times New Roman" w:eastAsia="宋体" w:cs="Times New Roman"/>
                <w:spacing w:val="-55"/>
                <w:sz w:val="24"/>
                <w:szCs w:val="24"/>
              </w:rPr>
              <w:t xml:space="preserve"> </w:t>
            </w:r>
            <w:r>
              <w:rPr>
                <w:rFonts w:hint="default" w:ascii="Times New Roman" w:hAnsi="Times New Roman" w:eastAsia="宋体" w:cs="Times New Roman"/>
                <w:spacing w:val="-2"/>
                <w:sz w:val="24"/>
                <w:szCs w:val="24"/>
              </w:rPr>
              <w:t>因此，本项目开采对自然景观的影响是短暂的，对区域自然景观影响</w:t>
            </w:r>
            <w:r>
              <w:rPr>
                <w:rFonts w:hint="default" w:ascii="Times New Roman" w:hAnsi="Times New Roman" w:eastAsia="宋体" w:cs="Times New Roman"/>
                <w:spacing w:val="-4"/>
                <w:sz w:val="24"/>
                <w:szCs w:val="24"/>
              </w:rPr>
              <w:t>较小。</w:t>
            </w:r>
          </w:p>
          <w:p w14:paraId="4EFAA45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Times New Roman" w:hAnsi="Times New Roman" w:eastAsia="宋体" w:cs="Times New Roman"/>
                <w:b/>
                <w:bCs/>
                <w:spacing w:val="-4"/>
                <w:sz w:val="24"/>
                <w:szCs w:val="24"/>
              </w:rPr>
            </w:pPr>
            <w:r>
              <w:rPr>
                <w:rFonts w:hint="default" w:ascii="Times New Roman" w:hAnsi="Times New Roman" w:eastAsia="宋体" w:cs="Times New Roman"/>
                <w:b/>
                <w:bCs/>
                <w:spacing w:val="-4"/>
                <w:sz w:val="24"/>
                <w:szCs w:val="24"/>
              </w:rPr>
              <w:t>二、</w:t>
            </w:r>
            <w:r>
              <w:rPr>
                <w:rFonts w:hint="default" w:ascii="Times New Roman" w:hAnsi="Times New Roman" w:eastAsia="宋体" w:cs="Times New Roman"/>
                <w:b/>
                <w:bCs/>
                <w:spacing w:val="-4"/>
                <w:sz w:val="24"/>
                <w:szCs w:val="24"/>
                <w:lang w:val="en-US" w:eastAsia="zh-CN"/>
              </w:rPr>
              <w:t>运营期工艺流程及产污环节分析</w:t>
            </w:r>
          </w:p>
          <w:p w14:paraId="7A7252E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5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7"/>
                <w:sz w:val="24"/>
                <w:szCs w:val="24"/>
              </w:rPr>
              <w:t>1、露天开采大气污染源强计算</w:t>
            </w:r>
          </w:p>
          <w:p w14:paraId="283FB86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本项目大气污染物主要来自露天生产过程中</w:t>
            </w:r>
            <w:r>
              <w:rPr>
                <w:rFonts w:hint="default" w:ascii="Times New Roman" w:hAnsi="Times New Roman" w:eastAsia="宋体" w:cs="Times New Roman"/>
                <w:spacing w:val="3"/>
                <w:sz w:val="24"/>
                <w:szCs w:val="24"/>
                <w:lang w:val="en-US" w:eastAsia="zh-CN"/>
              </w:rPr>
              <w:t>剥离</w:t>
            </w:r>
            <w:r>
              <w:rPr>
                <w:rFonts w:hint="default" w:ascii="Times New Roman" w:hAnsi="Times New Roman" w:eastAsia="宋体" w:cs="Times New Roman"/>
                <w:spacing w:val="3"/>
                <w:sz w:val="24"/>
                <w:szCs w:val="24"/>
              </w:rPr>
              <w:t>、采装、运输产生的废气。</w:t>
            </w:r>
          </w:p>
          <w:p w14:paraId="6D8368D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1"/>
                <w:sz w:val="24"/>
                <w:szCs w:val="24"/>
              </w:rPr>
              <w:t>项目运营期工艺流程及产污节点情况见表4-</w:t>
            </w:r>
            <w:r>
              <w:rPr>
                <w:rFonts w:hint="eastAsia" w:ascii="Times New Roman" w:hAnsi="Times New Roman" w:eastAsia="宋体" w:cs="Times New Roman"/>
                <w:spacing w:val="1"/>
                <w:sz w:val="24"/>
                <w:szCs w:val="24"/>
                <w:lang w:val="en-US" w:eastAsia="zh-CN"/>
              </w:rPr>
              <w:t>4</w:t>
            </w:r>
            <w:r>
              <w:rPr>
                <w:rFonts w:hint="default" w:ascii="Times New Roman" w:hAnsi="Times New Roman" w:eastAsia="宋体" w:cs="Times New Roman"/>
                <w:spacing w:val="1"/>
                <w:sz w:val="24"/>
                <w:szCs w:val="24"/>
              </w:rPr>
              <w:t>、图 4-1。</w:t>
            </w:r>
          </w:p>
          <w:p w14:paraId="19D4127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90"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pacing w:val="2"/>
                <w:sz w:val="24"/>
                <w:szCs w:val="24"/>
              </w:rPr>
              <w:t>项目开采工艺流程为</w:t>
            </w:r>
            <w:r>
              <w:rPr>
                <w:rFonts w:hint="default" w:ascii="Times New Roman" w:hAnsi="Times New Roman" w:eastAsia="宋体" w:cs="Times New Roman"/>
                <w:b/>
                <w:bCs/>
                <w:spacing w:val="-7"/>
                <w:sz w:val="24"/>
                <w:szCs w:val="24"/>
              </w:rPr>
              <w:t xml:space="preserve"> </w:t>
            </w:r>
            <w:r>
              <w:rPr>
                <w:rFonts w:hint="default" w:ascii="Times New Roman" w:hAnsi="Times New Roman" w:eastAsia="宋体" w:cs="Times New Roman"/>
                <w:b/>
                <w:bCs/>
                <w:spacing w:val="2"/>
                <w:sz w:val="24"/>
                <w:szCs w:val="24"/>
              </w:rPr>
              <w:t>：表土剥离→</w:t>
            </w:r>
            <w:r>
              <w:rPr>
                <w:rFonts w:hint="eastAsia" w:ascii="Times New Roman" w:hAnsi="Times New Roman" w:eastAsia="宋体" w:cs="Times New Roman"/>
                <w:b/>
                <w:bCs/>
                <w:spacing w:val="2"/>
                <w:sz w:val="24"/>
                <w:szCs w:val="24"/>
                <w:lang w:val="en-US" w:eastAsia="zh-CN"/>
              </w:rPr>
              <w:t>挖掘开采</w:t>
            </w:r>
            <w:r>
              <w:rPr>
                <w:rFonts w:hint="default" w:ascii="Times New Roman" w:hAnsi="Times New Roman" w:eastAsia="宋体" w:cs="Times New Roman"/>
                <w:b/>
                <w:bCs/>
                <w:spacing w:val="2"/>
                <w:sz w:val="24"/>
                <w:szCs w:val="24"/>
              </w:rPr>
              <w:t>→</w:t>
            </w:r>
            <w:r>
              <w:rPr>
                <w:rFonts w:hint="default" w:ascii="Times New Roman" w:hAnsi="Times New Roman" w:eastAsia="宋体" w:cs="Times New Roman"/>
                <w:b/>
                <w:bCs/>
                <w:spacing w:val="2"/>
                <w:sz w:val="24"/>
                <w:szCs w:val="24"/>
                <w:lang w:val="en-US" w:eastAsia="zh-CN"/>
              </w:rPr>
              <w:t>装车</w:t>
            </w:r>
            <w:r>
              <w:rPr>
                <w:rFonts w:hint="default" w:ascii="Times New Roman" w:hAnsi="Times New Roman" w:eastAsia="宋体" w:cs="Times New Roman"/>
                <w:b/>
                <w:bCs/>
                <w:sz w:val="24"/>
                <w:szCs w:val="24"/>
              </w:rPr>
              <w:t>→</w:t>
            </w:r>
            <w:r>
              <w:rPr>
                <w:rFonts w:hint="default" w:ascii="Times New Roman" w:hAnsi="Times New Roman" w:eastAsia="宋体" w:cs="Times New Roman"/>
                <w:b/>
                <w:bCs/>
                <w:sz w:val="24"/>
                <w:szCs w:val="24"/>
                <w:lang w:val="en-US" w:eastAsia="zh-CN"/>
              </w:rPr>
              <w:t>运输</w:t>
            </w:r>
            <w:r>
              <w:rPr>
                <w:rFonts w:hint="default" w:ascii="Times New Roman" w:hAnsi="Times New Roman" w:eastAsia="宋体" w:cs="Times New Roman"/>
                <w:b/>
                <w:bCs/>
                <w:sz w:val="24"/>
                <w:szCs w:val="24"/>
              </w:rPr>
              <w:t>→外售。</w:t>
            </w:r>
          </w:p>
          <w:p w14:paraId="508B32C3">
            <w:pPr>
              <w:pStyle w:val="45"/>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Times New Roman" w:hAnsi="Times New Roman" w:eastAsia="宋体" w:cs="Times New Roman"/>
                <w:b/>
                <w:bCs/>
                <w:sz w:val="24"/>
                <w:szCs w:val="24"/>
                <w:lang w:eastAsia="zh-CN"/>
              </w:rPr>
            </w:pPr>
            <w:r>
              <w:rPr>
                <w:rFonts w:hint="default" w:ascii="Times New Roman" w:hAnsi="Times New Roman" w:cs="Times New Roman"/>
                <w:b w:val="0"/>
                <w:bCs w:val="0"/>
                <w:kern w:val="0"/>
                <w:sz w:val="24"/>
                <w:szCs w:val="24"/>
                <w:lang w:val="en-US" w:eastAsia="zh-CN"/>
              </w:rPr>
              <w:drawing>
                <wp:inline distT="0" distB="0" distL="114300" distR="114300">
                  <wp:extent cx="4545965" cy="4451350"/>
                  <wp:effectExtent l="0" t="0" r="6985" b="6350"/>
                  <wp:docPr id="22" name="F360BE8B-6686-4F3D-AEAF-501FE73E4058-3" descr="C:/Users/csklk/AppData/Local/Temp/绘图1(12).png绘图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360BE8B-6686-4F3D-AEAF-501FE73E4058-3" descr="C:/Users/csklk/AppData/Local/Temp/绘图1(12).png绘图1(12)"/>
                          <pic:cNvPicPr>
                            <a:picLocks noChangeAspect="1"/>
                          </pic:cNvPicPr>
                        </pic:nvPicPr>
                        <pic:blipFill>
                          <a:blip r:embed="rId11"/>
                          <a:stretch>
                            <a:fillRect/>
                          </a:stretch>
                        </pic:blipFill>
                        <pic:spPr>
                          <a:xfrm>
                            <a:off x="0" y="0"/>
                            <a:ext cx="4545965" cy="4451350"/>
                          </a:xfrm>
                          <a:prstGeom prst="rect">
                            <a:avLst/>
                          </a:prstGeom>
                        </pic:spPr>
                      </pic:pic>
                    </a:graphicData>
                  </a:graphic>
                </wp:inline>
              </w:drawing>
            </w:r>
          </w:p>
          <w:p w14:paraId="11D1E2C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26" w:firstLineChars="200"/>
              <w:jc w:val="center"/>
              <w:textAlignment w:val="auto"/>
              <w:rPr>
                <w:rFonts w:hint="default" w:ascii="Times New Roman" w:hAnsi="Times New Roman" w:eastAsia="宋体" w:cs="Times New Roman"/>
                <w:b/>
                <w:bCs/>
                <w:spacing w:val="1"/>
                <w:sz w:val="21"/>
                <w:szCs w:val="21"/>
                <w:lang w:val="en-US" w:eastAsia="zh-CN"/>
              </w:rPr>
            </w:pPr>
            <w:r>
              <w:rPr>
                <w:rFonts w:hint="eastAsia" w:ascii="Times New Roman" w:hAnsi="Times New Roman" w:eastAsia="宋体" w:cs="Times New Roman"/>
                <w:b/>
                <w:bCs/>
                <w:spacing w:val="1"/>
                <w:sz w:val="21"/>
                <w:szCs w:val="21"/>
                <w:lang w:val="en-US" w:eastAsia="zh-CN"/>
              </w:rPr>
              <w:t>图4-1  运营期工艺流程及产污环节</w:t>
            </w:r>
          </w:p>
          <w:p w14:paraId="0740C2F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
                <w:sz w:val="24"/>
                <w:szCs w:val="24"/>
              </w:rPr>
              <w:t>1）开采区工艺描述</w:t>
            </w:r>
          </w:p>
          <w:p w14:paraId="7E26F83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①</w:t>
            </w:r>
            <w:r>
              <w:rPr>
                <w:rFonts w:hint="eastAsia" w:ascii="Times New Roman" w:hAnsi="Times New Roman" w:eastAsia="宋体" w:cs="Times New Roman"/>
                <w:spacing w:val="-9"/>
                <w:sz w:val="24"/>
                <w:szCs w:val="24"/>
                <w:lang w:val="en-US" w:eastAsia="zh-CN"/>
              </w:rPr>
              <w:t>覆盖层</w:t>
            </w:r>
            <w:r>
              <w:rPr>
                <w:rFonts w:hint="default" w:ascii="Times New Roman" w:hAnsi="Times New Roman" w:eastAsia="宋体" w:cs="Times New Roman"/>
                <w:spacing w:val="-9"/>
                <w:sz w:val="24"/>
                <w:szCs w:val="24"/>
              </w:rPr>
              <w:t>剥离</w:t>
            </w:r>
          </w:p>
          <w:p w14:paraId="4A03342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项目矿山表层需进行剥离，矿山开采前用挖掘机对该层进行剥离，剥</w:t>
            </w:r>
            <w:r>
              <w:rPr>
                <w:rFonts w:hint="default" w:ascii="Times New Roman" w:hAnsi="Times New Roman" w:eastAsia="宋体" w:cs="Times New Roman"/>
                <w:sz w:val="24"/>
                <w:szCs w:val="24"/>
              </w:rPr>
              <w:t>离前对表面进行充分预湿，剥离时采用</w:t>
            </w:r>
            <w:r>
              <w:rPr>
                <w:rFonts w:hint="eastAsia" w:ascii="Times New Roman" w:hAnsi="Times New Roman" w:eastAsia="宋体" w:cs="Times New Roman"/>
                <w:sz w:val="24"/>
                <w:szCs w:val="24"/>
                <w:lang w:val="en-US" w:eastAsia="zh-CN"/>
              </w:rPr>
              <w:t>洒水车</w:t>
            </w:r>
            <w:r>
              <w:rPr>
                <w:rFonts w:hint="default" w:ascii="Times New Roman" w:hAnsi="Times New Roman" w:eastAsia="宋体" w:cs="Times New Roman"/>
                <w:sz w:val="24"/>
                <w:szCs w:val="24"/>
              </w:rPr>
              <w:t>设施进行降尘。剥离</w:t>
            </w:r>
            <w:r>
              <w:rPr>
                <w:rFonts w:hint="default" w:ascii="Times New Roman" w:hAnsi="Times New Roman" w:eastAsia="宋体" w:cs="Times New Roman"/>
                <w:spacing w:val="-1"/>
                <w:sz w:val="24"/>
                <w:szCs w:val="24"/>
              </w:rPr>
              <w:t>过程</w:t>
            </w:r>
            <w:r>
              <w:rPr>
                <w:rFonts w:hint="default" w:ascii="Times New Roman" w:hAnsi="Times New Roman" w:eastAsia="宋体" w:cs="Times New Roman"/>
                <w:sz w:val="24"/>
                <w:szCs w:val="24"/>
              </w:rPr>
              <w:t>产生的</w:t>
            </w:r>
            <w:r>
              <w:rPr>
                <w:rFonts w:hint="eastAsia" w:ascii="Times New Roman" w:hAnsi="Times New Roman" w:eastAsia="宋体" w:cs="Times New Roman"/>
                <w:sz w:val="24"/>
                <w:szCs w:val="24"/>
                <w:lang w:val="en-US" w:eastAsia="zh-CN"/>
              </w:rPr>
              <w:t>覆盖层</w:t>
            </w:r>
            <w:r>
              <w:rPr>
                <w:rFonts w:hint="default" w:ascii="Times New Roman" w:hAnsi="Times New Roman" w:eastAsia="宋体" w:cs="Times New Roman"/>
                <w:sz w:val="24"/>
                <w:szCs w:val="24"/>
              </w:rPr>
              <w:t>暂存至排土场，用于矿山生态恢复和土地复垦。此过程</w:t>
            </w:r>
            <w:r>
              <w:rPr>
                <w:rFonts w:hint="default" w:ascii="Times New Roman" w:hAnsi="Times New Roman" w:eastAsia="宋体" w:cs="Times New Roman"/>
                <w:spacing w:val="-1"/>
                <w:sz w:val="24"/>
                <w:szCs w:val="24"/>
              </w:rPr>
              <w:t>产生粉尘废气、设备噪声、剥离物。</w:t>
            </w:r>
          </w:p>
          <w:p w14:paraId="5E60BC8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②采矿工艺</w:t>
            </w:r>
          </w:p>
          <w:p w14:paraId="0C8FB84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覆盖层剥离完毕后，出露的凹凸棒石粘土及石膏矿体采用挖掘机直接挖掘开采，严格按照设计开采境界、台阶高度及边坡角进行规整采掘，禁止超界超深开挖，维持采场边坡稳定。</w:t>
            </w:r>
          </w:p>
          <w:p w14:paraId="75B3516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装载工艺：采掘后的矿石及剥离弃渣，由装载机在采场工作面进行集中铲装，分类装载、分区转运，作业过程采取</w:t>
            </w:r>
            <w:r>
              <w:rPr>
                <w:rFonts w:hint="eastAsia" w:ascii="Times New Roman" w:hAnsi="Times New Roman" w:eastAsia="宋体" w:cs="Times New Roman"/>
                <w:spacing w:val="-1"/>
                <w:sz w:val="24"/>
                <w:szCs w:val="24"/>
                <w:lang w:val="en-US" w:eastAsia="zh-CN"/>
              </w:rPr>
              <w:t>洒水</w:t>
            </w:r>
            <w:r>
              <w:rPr>
                <w:rFonts w:hint="default" w:ascii="Times New Roman" w:hAnsi="Times New Roman" w:eastAsia="宋体" w:cs="Times New Roman"/>
                <w:spacing w:val="-1"/>
                <w:sz w:val="24"/>
                <w:szCs w:val="24"/>
                <w:lang w:val="en-US" w:eastAsia="zh-CN"/>
              </w:rPr>
              <w:t>抑尘措施，减少作业面粉尘产生。</w:t>
            </w:r>
          </w:p>
          <w:p w14:paraId="6E2D0B1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pacing w:val="-1"/>
                <w:sz w:val="24"/>
                <w:szCs w:val="24"/>
                <w:lang w:val="en-US" w:eastAsia="zh-CN"/>
              </w:rPr>
            </w:pPr>
            <w:r>
              <w:rPr>
                <w:rFonts w:hint="eastAsia" w:ascii="Times New Roman" w:hAnsi="Times New Roman" w:eastAsia="宋体" w:cs="Times New Roman"/>
                <w:spacing w:val="-1"/>
                <w:sz w:val="24"/>
                <w:szCs w:val="24"/>
                <w:lang w:val="en-US" w:eastAsia="zh-CN"/>
              </w:rPr>
              <w:t>③</w:t>
            </w:r>
            <w:r>
              <w:rPr>
                <w:rFonts w:hint="default" w:ascii="Times New Roman" w:hAnsi="Times New Roman" w:eastAsia="宋体" w:cs="Times New Roman"/>
                <w:spacing w:val="-1"/>
                <w:sz w:val="24"/>
                <w:szCs w:val="24"/>
                <w:lang w:val="en-US" w:eastAsia="zh-CN"/>
              </w:rPr>
              <w:t>采装运输</w:t>
            </w:r>
          </w:p>
          <w:p w14:paraId="338A7D2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z w:val="24"/>
                <w:szCs w:val="24"/>
              </w:rPr>
              <w:t>选用自卸汽车作为场内运输工具，将开采的矿石运至原料堆</w:t>
            </w:r>
            <w:r>
              <w:rPr>
                <w:rFonts w:hint="eastAsia" w:ascii="Times New Roman" w:hAnsi="Times New Roman" w:eastAsia="宋体" w:cs="Times New Roman"/>
                <w:sz w:val="24"/>
                <w:szCs w:val="24"/>
                <w:lang w:val="en-US" w:eastAsia="zh-CN"/>
              </w:rPr>
              <w:t>矿厂</w:t>
            </w:r>
            <w:r>
              <w:rPr>
                <w:rFonts w:hint="default" w:ascii="Times New Roman" w:hAnsi="Times New Roman" w:eastAsia="宋体" w:cs="Times New Roman"/>
                <w:spacing w:val="-5"/>
                <w:sz w:val="24"/>
                <w:szCs w:val="24"/>
              </w:rPr>
              <w:t>内，剥离过程产生的</w:t>
            </w:r>
            <w:r>
              <w:rPr>
                <w:rFonts w:hint="eastAsia" w:ascii="Times New Roman" w:hAnsi="Times New Roman" w:eastAsia="宋体" w:cs="Times New Roman"/>
                <w:spacing w:val="-5"/>
                <w:sz w:val="24"/>
                <w:szCs w:val="24"/>
                <w:lang w:val="en-US" w:eastAsia="zh-CN"/>
              </w:rPr>
              <w:t>覆盖层</w:t>
            </w:r>
            <w:r>
              <w:rPr>
                <w:rFonts w:hint="default" w:ascii="Times New Roman" w:hAnsi="Times New Roman" w:eastAsia="宋体" w:cs="Times New Roman"/>
                <w:spacing w:val="-5"/>
                <w:sz w:val="24"/>
                <w:szCs w:val="24"/>
              </w:rPr>
              <w:t>存至排土场，用于矿区采坑回填。</w:t>
            </w:r>
            <w:r>
              <w:rPr>
                <w:rFonts w:hint="default" w:ascii="Times New Roman" w:hAnsi="Times New Roman" w:eastAsia="宋体" w:cs="Times New Roman"/>
                <w:sz w:val="24"/>
                <w:szCs w:val="24"/>
              </w:rPr>
              <w:t>装卸和运输过程会产生噪声、粉尘废气、机械</w:t>
            </w:r>
            <w:r>
              <w:rPr>
                <w:rFonts w:hint="default" w:ascii="Times New Roman" w:hAnsi="Times New Roman" w:eastAsia="宋体" w:cs="Times New Roman"/>
                <w:spacing w:val="-1"/>
                <w:sz w:val="24"/>
                <w:szCs w:val="24"/>
              </w:rPr>
              <w:t>车辆尾气。</w:t>
            </w:r>
          </w:p>
          <w:p w14:paraId="2862AD45">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hint="default" w:ascii="Times New Roman" w:hAnsi="Times New Roman" w:eastAsia="宋体" w:cs="Times New Roman"/>
                <w:b/>
                <w:bCs/>
                <w:spacing w:val="-1"/>
                <w:sz w:val="24"/>
                <w:szCs w:val="24"/>
              </w:rPr>
            </w:pPr>
            <w:r>
              <w:rPr>
                <w:rFonts w:hint="eastAsia" w:ascii="Times New Roman" w:hAnsi="Times New Roman" w:eastAsia="宋体" w:cs="Times New Roman"/>
                <w:b/>
                <w:bCs/>
                <w:spacing w:val="-1"/>
                <w:sz w:val="24"/>
                <w:szCs w:val="24"/>
                <w:lang w:val="en-US" w:eastAsia="zh-CN"/>
              </w:rPr>
              <w:t>2）</w:t>
            </w:r>
            <w:r>
              <w:rPr>
                <w:rFonts w:hint="default" w:ascii="Times New Roman" w:hAnsi="Times New Roman" w:eastAsia="宋体" w:cs="Times New Roman"/>
                <w:b/>
                <w:bCs/>
                <w:spacing w:val="-1"/>
                <w:sz w:val="24"/>
                <w:szCs w:val="24"/>
              </w:rPr>
              <w:t>选矿工艺</w:t>
            </w:r>
          </w:p>
          <w:p w14:paraId="58B18C0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1"/>
                <w:sz w:val="24"/>
                <w:szCs w:val="24"/>
              </w:rPr>
              <w:t>该矿体上覆盖层较厚，通过覆盖层剥离，可以有效的清除土体。但是在开采过程中，剥离的岩土量也很大，围岩在物理性质、颜色等方面与矿石差别很大，通过人工选矿可以完成选矿。</w:t>
            </w:r>
          </w:p>
          <w:p w14:paraId="1DE0CED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34" w:firstLineChars="200"/>
              <w:jc w:val="center"/>
              <w:textAlignment w:val="auto"/>
              <w:rPr>
                <w:rFonts w:hint="default" w:ascii="Times New Roman" w:hAnsi="Times New Roman" w:eastAsia="宋体" w:cs="Times New Roman"/>
                <w:b/>
                <w:bCs/>
                <w:spacing w:val="-2"/>
                <w:sz w:val="24"/>
                <w:szCs w:val="24"/>
              </w:rPr>
            </w:pPr>
            <w:r>
              <w:rPr>
                <w:rFonts w:hint="default" w:ascii="Times New Roman" w:hAnsi="Times New Roman" w:eastAsia="宋体" w:cs="Times New Roman"/>
                <w:b/>
                <w:bCs/>
                <w:spacing w:val="3"/>
                <w:sz w:val="21"/>
                <w:szCs w:val="21"/>
              </w:rPr>
              <w:t>表 4-</w:t>
            </w:r>
            <w:r>
              <w:rPr>
                <w:rFonts w:hint="eastAsia" w:ascii="Times New Roman" w:hAnsi="Times New Roman" w:eastAsia="宋体" w:cs="Times New Roman"/>
                <w:b/>
                <w:bCs/>
                <w:spacing w:val="3"/>
                <w:sz w:val="21"/>
                <w:szCs w:val="21"/>
                <w:lang w:val="en-US" w:eastAsia="zh-CN"/>
              </w:rPr>
              <w:t>4</w:t>
            </w:r>
            <w:r>
              <w:rPr>
                <w:rFonts w:hint="default" w:ascii="Times New Roman" w:hAnsi="Times New Roman" w:eastAsia="宋体" w:cs="Times New Roman"/>
                <w:b/>
                <w:bCs/>
                <w:spacing w:val="20"/>
                <w:sz w:val="21"/>
                <w:szCs w:val="21"/>
              </w:rPr>
              <w:t xml:space="preserve">   </w:t>
            </w:r>
            <w:r>
              <w:rPr>
                <w:rFonts w:hint="default" w:ascii="Times New Roman" w:hAnsi="Times New Roman" w:eastAsia="宋体" w:cs="Times New Roman"/>
                <w:b/>
                <w:bCs/>
                <w:spacing w:val="3"/>
                <w:sz w:val="21"/>
                <w:szCs w:val="21"/>
              </w:rPr>
              <w:t>本项目运营期产污节点分析一览表</w:t>
            </w:r>
          </w:p>
          <w:tbl>
            <w:tblPr>
              <w:tblStyle w:val="23"/>
              <w:tblW w:w="7880" w:type="dxa"/>
              <w:tblInd w:w="91"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78"/>
              <w:gridCol w:w="1167"/>
              <w:gridCol w:w="1350"/>
              <w:gridCol w:w="1950"/>
              <w:gridCol w:w="2435"/>
            </w:tblGrid>
            <w:tr w14:paraId="691FED7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tcBorders>
                    <w:top w:val="single" w:color="000000" w:sz="8" w:space="0"/>
                    <w:left w:val="nil"/>
                  </w:tcBorders>
                  <w:shd w:val="clear" w:color="auto" w:fill="auto"/>
                  <w:noWrap w:val="0"/>
                  <w:vAlign w:val="center"/>
                </w:tcPr>
                <w:p w14:paraId="230B87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工序</w:t>
                  </w:r>
                </w:p>
              </w:tc>
              <w:tc>
                <w:tcPr>
                  <w:tcW w:w="1167" w:type="dxa"/>
                  <w:tcBorders>
                    <w:top w:val="single" w:color="000000" w:sz="8" w:space="0"/>
                  </w:tcBorders>
                  <w:shd w:val="clear" w:color="auto" w:fill="auto"/>
                  <w:noWrap w:val="0"/>
                  <w:vAlign w:val="center"/>
                </w:tcPr>
                <w:p w14:paraId="4F406C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污染</w:t>
                  </w:r>
                </w:p>
                <w:p w14:paraId="124ED3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类别</w:t>
                  </w:r>
                </w:p>
              </w:tc>
              <w:tc>
                <w:tcPr>
                  <w:tcW w:w="1350" w:type="dxa"/>
                  <w:tcBorders>
                    <w:top w:val="single" w:color="000000" w:sz="8" w:space="0"/>
                  </w:tcBorders>
                  <w:shd w:val="clear" w:color="auto" w:fill="auto"/>
                  <w:noWrap w:val="0"/>
                  <w:vAlign w:val="center"/>
                </w:tcPr>
                <w:p w14:paraId="048C60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1950" w:type="dxa"/>
                  <w:tcBorders>
                    <w:top w:val="single" w:color="000000" w:sz="8" w:space="0"/>
                  </w:tcBorders>
                  <w:shd w:val="clear" w:color="auto" w:fill="auto"/>
                  <w:noWrap w:val="0"/>
                  <w:vAlign w:val="center"/>
                </w:tcPr>
                <w:p w14:paraId="0A41B2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污染源</w:t>
                  </w:r>
                </w:p>
              </w:tc>
              <w:tc>
                <w:tcPr>
                  <w:tcW w:w="2435" w:type="dxa"/>
                  <w:tcBorders>
                    <w:top w:val="single" w:color="000000" w:sz="8" w:space="0"/>
                    <w:right w:val="nil"/>
                  </w:tcBorders>
                  <w:shd w:val="clear" w:color="auto" w:fill="auto"/>
                  <w:noWrap w:val="0"/>
                  <w:vAlign w:val="center"/>
                </w:tcPr>
                <w:p w14:paraId="5103EE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主要污染因子</w:t>
                  </w:r>
                </w:p>
              </w:tc>
            </w:tr>
            <w:tr w14:paraId="073EA15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restart"/>
                  <w:tcBorders>
                    <w:left w:val="nil"/>
                  </w:tcBorders>
                  <w:shd w:val="clear" w:color="auto" w:fill="auto"/>
                  <w:noWrap w:val="0"/>
                  <w:vAlign w:val="center"/>
                </w:tcPr>
                <w:p w14:paraId="1F8F1E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开采区</w:t>
                  </w:r>
                </w:p>
              </w:tc>
              <w:tc>
                <w:tcPr>
                  <w:tcW w:w="1167" w:type="dxa"/>
                  <w:vMerge w:val="restart"/>
                  <w:shd w:val="clear" w:color="auto" w:fill="auto"/>
                  <w:noWrap w:val="0"/>
                  <w:vAlign w:val="center"/>
                </w:tcPr>
                <w:p w14:paraId="5637B4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废气</w:t>
                  </w:r>
                </w:p>
              </w:tc>
              <w:tc>
                <w:tcPr>
                  <w:tcW w:w="1350" w:type="dxa"/>
                  <w:shd w:val="clear" w:color="auto" w:fill="auto"/>
                  <w:noWrap w:val="0"/>
                  <w:vAlign w:val="center"/>
                </w:tcPr>
                <w:p w14:paraId="5359E3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G1</w:t>
                  </w:r>
                </w:p>
              </w:tc>
              <w:tc>
                <w:tcPr>
                  <w:tcW w:w="1950" w:type="dxa"/>
                  <w:shd w:val="clear" w:color="auto" w:fill="auto"/>
                  <w:noWrap w:val="0"/>
                  <w:vAlign w:val="center"/>
                </w:tcPr>
                <w:p w14:paraId="52EA00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表土剥离</w:t>
                  </w:r>
                </w:p>
              </w:tc>
              <w:tc>
                <w:tcPr>
                  <w:tcW w:w="2435" w:type="dxa"/>
                  <w:tcBorders>
                    <w:right w:val="nil"/>
                  </w:tcBorders>
                  <w:shd w:val="clear" w:color="auto" w:fill="auto"/>
                  <w:noWrap w:val="0"/>
                  <w:vAlign w:val="center"/>
                </w:tcPr>
                <w:p w14:paraId="735516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r>
            <w:tr w14:paraId="38C40CA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6F61FAA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599396C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0" w:type="dxa"/>
                  <w:shd w:val="clear" w:color="auto" w:fill="auto"/>
                  <w:noWrap w:val="0"/>
                  <w:vAlign w:val="center"/>
                </w:tcPr>
                <w:p w14:paraId="6BFA8E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G2</w:t>
                  </w:r>
                </w:p>
              </w:tc>
              <w:tc>
                <w:tcPr>
                  <w:tcW w:w="1950" w:type="dxa"/>
                  <w:shd w:val="clear" w:color="auto" w:fill="auto"/>
                  <w:noWrap w:val="0"/>
                  <w:vAlign w:val="center"/>
                </w:tcPr>
                <w:p w14:paraId="55701A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lang w:val="en-US" w:eastAsia="zh-CN"/>
                    </w:rPr>
                    <w:t>矿石</w:t>
                  </w:r>
                  <w:r>
                    <w:rPr>
                      <w:rFonts w:hint="default" w:ascii="Times New Roman" w:hAnsi="Times New Roman" w:eastAsia="宋体" w:cs="Times New Roman"/>
                      <w:i w:val="0"/>
                      <w:iCs w:val="0"/>
                      <w:color w:val="000000"/>
                      <w:sz w:val="21"/>
                      <w:szCs w:val="21"/>
                      <w:u w:val="none"/>
                    </w:rPr>
                    <w:t>装卸</w:t>
                  </w:r>
                </w:p>
              </w:tc>
              <w:tc>
                <w:tcPr>
                  <w:tcW w:w="2435" w:type="dxa"/>
                  <w:tcBorders>
                    <w:right w:val="nil"/>
                  </w:tcBorders>
                  <w:shd w:val="clear" w:color="auto" w:fill="auto"/>
                  <w:noWrap w:val="0"/>
                  <w:vAlign w:val="center"/>
                </w:tcPr>
                <w:p w14:paraId="0FEDF3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r>
            <w:tr w14:paraId="087C286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328F2EB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40B8DC9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0" w:type="dxa"/>
                  <w:shd w:val="clear" w:color="auto" w:fill="auto"/>
                  <w:noWrap w:val="0"/>
                  <w:vAlign w:val="center"/>
                </w:tcPr>
                <w:p w14:paraId="5C2066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G3</w:t>
                  </w:r>
                </w:p>
              </w:tc>
              <w:tc>
                <w:tcPr>
                  <w:tcW w:w="1950" w:type="dxa"/>
                  <w:shd w:val="clear" w:color="auto" w:fill="auto"/>
                  <w:noWrap w:val="0"/>
                  <w:vAlign w:val="center"/>
                </w:tcPr>
                <w:p w14:paraId="1D8D19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道路运输</w:t>
                  </w:r>
                </w:p>
              </w:tc>
              <w:tc>
                <w:tcPr>
                  <w:tcW w:w="2435" w:type="dxa"/>
                  <w:tcBorders>
                    <w:right w:val="nil"/>
                  </w:tcBorders>
                  <w:shd w:val="clear" w:color="auto" w:fill="auto"/>
                  <w:noWrap w:val="0"/>
                  <w:vAlign w:val="center"/>
                </w:tcPr>
                <w:p w14:paraId="56F284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r>
            <w:tr w14:paraId="4B198E7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30BD223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7E20E82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0" w:type="dxa"/>
                  <w:shd w:val="clear" w:color="auto" w:fill="auto"/>
                  <w:noWrap w:val="0"/>
                  <w:vAlign w:val="center"/>
                </w:tcPr>
                <w:p w14:paraId="117A9D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G4</w:t>
                  </w:r>
                </w:p>
              </w:tc>
              <w:tc>
                <w:tcPr>
                  <w:tcW w:w="1950" w:type="dxa"/>
                  <w:shd w:val="clear" w:color="auto" w:fill="auto"/>
                  <w:noWrap w:val="0"/>
                  <w:vAlign w:val="center"/>
                </w:tcPr>
                <w:p w14:paraId="4E358B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堆矿场</w:t>
                  </w:r>
                </w:p>
              </w:tc>
              <w:tc>
                <w:tcPr>
                  <w:tcW w:w="2435" w:type="dxa"/>
                  <w:tcBorders>
                    <w:right w:val="nil"/>
                  </w:tcBorders>
                  <w:shd w:val="clear" w:color="auto" w:fill="auto"/>
                  <w:noWrap w:val="0"/>
                  <w:vAlign w:val="center"/>
                </w:tcPr>
                <w:p w14:paraId="386B36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r>
            <w:tr w14:paraId="58295D3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5A6BC00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56E50952">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0" w:type="dxa"/>
                  <w:shd w:val="clear" w:color="auto" w:fill="auto"/>
                  <w:noWrap w:val="0"/>
                  <w:vAlign w:val="center"/>
                </w:tcPr>
                <w:p w14:paraId="241950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G5</w:t>
                  </w:r>
                </w:p>
              </w:tc>
              <w:tc>
                <w:tcPr>
                  <w:tcW w:w="1950" w:type="dxa"/>
                  <w:shd w:val="clear" w:color="auto" w:fill="auto"/>
                  <w:noWrap w:val="0"/>
                  <w:vAlign w:val="center"/>
                </w:tcPr>
                <w:p w14:paraId="584A48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排土场</w:t>
                  </w:r>
                </w:p>
              </w:tc>
              <w:tc>
                <w:tcPr>
                  <w:tcW w:w="2435" w:type="dxa"/>
                  <w:tcBorders>
                    <w:right w:val="nil"/>
                  </w:tcBorders>
                  <w:shd w:val="clear" w:color="auto" w:fill="auto"/>
                  <w:noWrap w:val="0"/>
                  <w:vAlign w:val="center"/>
                </w:tcPr>
                <w:p w14:paraId="5ED7CC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r>
            <w:tr w14:paraId="02920EB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0337DB6F">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6C3B566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0" w:type="dxa"/>
                  <w:shd w:val="clear" w:color="auto" w:fill="auto"/>
                  <w:noWrap w:val="0"/>
                  <w:vAlign w:val="center"/>
                </w:tcPr>
                <w:p w14:paraId="380CA6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G6</w:t>
                  </w:r>
                </w:p>
              </w:tc>
              <w:tc>
                <w:tcPr>
                  <w:tcW w:w="1950" w:type="dxa"/>
                  <w:shd w:val="clear" w:color="auto" w:fill="auto"/>
                  <w:noWrap w:val="0"/>
                  <w:vAlign w:val="center"/>
                </w:tcPr>
                <w:p w14:paraId="7874A1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机械燃油废气</w:t>
                  </w:r>
                </w:p>
              </w:tc>
              <w:tc>
                <w:tcPr>
                  <w:tcW w:w="2435" w:type="dxa"/>
                  <w:tcBorders>
                    <w:right w:val="nil"/>
                  </w:tcBorders>
                  <w:shd w:val="clear" w:color="auto" w:fill="auto"/>
                  <w:noWrap w:val="0"/>
                  <w:vAlign w:val="center"/>
                </w:tcPr>
                <w:p w14:paraId="30D7D3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燃油废气</w:t>
                  </w:r>
                </w:p>
              </w:tc>
            </w:tr>
            <w:tr w14:paraId="1C3BB26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1B8D450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restart"/>
                  <w:shd w:val="clear" w:color="auto" w:fill="auto"/>
                  <w:noWrap w:val="0"/>
                  <w:vAlign w:val="center"/>
                </w:tcPr>
                <w:p w14:paraId="69342C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噪声</w:t>
                  </w:r>
                </w:p>
              </w:tc>
              <w:tc>
                <w:tcPr>
                  <w:tcW w:w="1350" w:type="dxa"/>
                  <w:shd w:val="clear" w:color="auto" w:fill="auto"/>
                  <w:noWrap w:val="0"/>
                  <w:vAlign w:val="center"/>
                </w:tcPr>
                <w:p w14:paraId="6235A4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N1</w:t>
                  </w:r>
                </w:p>
              </w:tc>
              <w:tc>
                <w:tcPr>
                  <w:tcW w:w="1950" w:type="dxa"/>
                  <w:shd w:val="clear" w:color="auto" w:fill="auto"/>
                  <w:noWrap w:val="0"/>
                  <w:vAlign w:val="center"/>
                </w:tcPr>
                <w:p w14:paraId="64B133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剥离</w:t>
                  </w:r>
                </w:p>
              </w:tc>
              <w:tc>
                <w:tcPr>
                  <w:tcW w:w="2435" w:type="dxa"/>
                  <w:tcBorders>
                    <w:right w:val="nil"/>
                  </w:tcBorders>
                  <w:shd w:val="clear" w:color="auto" w:fill="auto"/>
                  <w:noWrap w:val="0"/>
                  <w:vAlign w:val="center"/>
                </w:tcPr>
                <w:p w14:paraId="1C549A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Leq（A）</w:t>
                  </w:r>
                </w:p>
              </w:tc>
            </w:tr>
            <w:tr w14:paraId="75C1290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3289A2D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1469E3F4">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0" w:type="dxa"/>
                  <w:shd w:val="clear" w:color="auto" w:fill="auto"/>
                  <w:noWrap w:val="0"/>
                  <w:vAlign w:val="center"/>
                </w:tcPr>
                <w:p w14:paraId="09A46D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N</w:t>
                  </w:r>
                  <w:r>
                    <w:rPr>
                      <w:rFonts w:hint="eastAsia" w:ascii="Times New Roman" w:hAnsi="Times New Roman" w:eastAsia="宋体" w:cs="Times New Roman"/>
                      <w:i w:val="0"/>
                      <w:iCs w:val="0"/>
                      <w:color w:val="000000"/>
                      <w:kern w:val="0"/>
                      <w:sz w:val="21"/>
                      <w:szCs w:val="21"/>
                      <w:u w:val="none"/>
                      <w:lang w:val="en-US" w:eastAsia="zh-CN" w:bidi="ar"/>
                    </w:rPr>
                    <w:t>2</w:t>
                  </w:r>
                </w:p>
              </w:tc>
              <w:tc>
                <w:tcPr>
                  <w:tcW w:w="1950" w:type="dxa"/>
                  <w:shd w:val="clear" w:color="auto" w:fill="auto"/>
                  <w:noWrap w:val="0"/>
                  <w:vAlign w:val="center"/>
                </w:tcPr>
                <w:p w14:paraId="2FC96E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开采、装卸</w:t>
                  </w:r>
                </w:p>
              </w:tc>
              <w:tc>
                <w:tcPr>
                  <w:tcW w:w="2435" w:type="dxa"/>
                  <w:tcBorders>
                    <w:right w:val="nil"/>
                  </w:tcBorders>
                  <w:shd w:val="clear" w:color="auto" w:fill="auto"/>
                  <w:noWrap w:val="0"/>
                  <w:vAlign w:val="center"/>
                </w:tcPr>
                <w:p w14:paraId="35869D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Leq（A）</w:t>
                  </w:r>
                </w:p>
              </w:tc>
            </w:tr>
            <w:tr w14:paraId="6C39624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3D01BB6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105F84E0">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0" w:type="dxa"/>
                  <w:shd w:val="clear" w:color="auto" w:fill="auto"/>
                  <w:noWrap w:val="0"/>
                  <w:vAlign w:val="center"/>
                </w:tcPr>
                <w:p w14:paraId="56BB30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w:t>
                  </w:r>
                  <w:r>
                    <w:rPr>
                      <w:rFonts w:hint="eastAsia" w:ascii="Times New Roman" w:hAnsi="Times New Roman" w:eastAsia="宋体" w:cs="Times New Roman"/>
                      <w:i w:val="0"/>
                      <w:iCs w:val="0"/>
                      <w:color w:val="000000"/>
                      <w:kern w:val="0"/>
                      <w:sz w:val="21"/>
                      <w:szCs w:val="21"/>
                      <w:u w:val="none"/>
                      <w:lang w:val="en-US" w:eastAsia="zh-CN" w:bidi="ar"/>
                    </w:rPr>
                    <w:t>3-N5</w:t>
                  </w:r>
                </w:p>
              </w:tc>
              <w:tc>
                <w:tcPr>
                  <w:tcW w:w="1950" w:type="dxa"/>
                  <w:shd w:val="clear" w:color="auto" w:fill="auto"/>
                  <w:noWrap w:val="0"/>
                  <w:vAlign w:val="center"/>
                </w:tcPr>
                <w:p w14:paraId="54E527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运输车辆</w:t>
                  </w:r>
                </w:p>
              </w:tc>
              <w:tc>
                <w:tcPr>
                  <w:tcW w:w="2435" w:type="dxa"/>
                  <w:tcBorders>
                    <w:right w:val="nil"/>
                  </w:tcBorders>
                  <w:shd w:val="clear" w:color="auto" w:fill="auto"/>
                  <w:noWrap w:val="0"/>
                  <w:vAlign w:val="center"/>
                </w:tcPr>
                <w:p w14:paraId="053B66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Leq（A）</w:t>
                  </w:r>
                </w:p>
              </w:tc>
            </w:tr>
            <w:tr w14:paraId="1C96F78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49DBC71C">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restart"/>
                  <w:shd w:val="clear" w:color="auto" w:fill="auto"/>
                  <w:noWrap w:val="0"/>
                  <w:vAlign w:val="center"/>
                </w:tcPr>
                <w:p w14:paraId="726904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固废</w:t>
                  </w:r>
                </w:p>
              </w:tc>
              <w:tc>
                <w:tcPr>
                  <w:tcW w:w="1350" w:type="dxa"/>
                  <w:shd w:val="clear" w:color="auto" w:fill="auto"/>
                  <w:noWrap w:val="0"/>
                  <w:vAlign w:val="center"/>
                </w:tcPr>
                <w:p w14:paraId="1EC2DF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S1</w:t>
                  </w:r>
                </w:p>
              </w:tc>
              <w:tc>
                <w:tcPr>
                  <w:tcW w:w="1950" w:type="dxa"/>
                  <w:shd w:val="clear" w:color="auto" w:fill="auto"/>
                  <w:noWrap w:val="0"/>
                  <w:vAlign w:val="center"/>
                </w:tcPr>
                <w:p w14:paraId="3878EB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开采剥离物</w:t>
                  </w:r>
                </w:p>
              </w:tc>
              <w:tc>
                <w:tcPr>
                  <w:tcW w:w="2435" w:type="dxa"/>
                  <w:tcBorders>
                    <w:right w:val="nil"/>
                  </w:tcBorders>
                  <w:shd w:val="clear" w:color="auto" w:fill="auto"/>
                  <w:noWrap w:val="0"/>
                  <w:vAlign w:val="center"/>
                </w:tcPr>
                <w:p w14:paraId="506B72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表土、废石</w:t>
                  </w:r>
                </w:p>
              </w:tc>
            </w:tr>
            <w:tr w14:paraId="44E771A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0D6CD489">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2513F1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50" w:type="dxa"/>
                  <w:shd w:val="clear" w:color="auto" w:fill="auto"/>
                  <w:noWrap w:val="0"/>
                  <w:vAlign w:val="center"/>
                </w:tcPr>
                <w:p w14:paraId="3D5AC6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S2</w:t>
                  </w:r>
                </w:p>
              </w:tc>
              <w:tc>
                <w:tcPr>
                  <w:tcW w:w="1950" w:type="dxa"/>
                  <w:shd w:val="clear" w:color="auto" w:fill="auto"/>
                  <w:noWrap w:val="0"/>
                  <w:vAlign w:val="center"/>
                </w:tcPr>
                <w:p w14:paraId="704C7C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办公生活</w:t>
                  </w:r>
                </w:p>
              </w:tc>
              <w:tc>
                <w:tcPr>
                  <w:tcW w:w="2435" w:type="dxa"/>
                  <w:tcBorders>
                    <w:right w:val="nil"/>
                  </w:tcBorders>
                  <w:shd w:val="clear" w:color="auto" w:fill="auto"/>
                  <w:noWrap w:val="0"/>
                  <w:vAlign w:val="center"/>
                </w:tcPr>
                <w:p w14:paraId="78BAA0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vertAlign w:val="baseline"/>
                      <w:lang w:val="en-US" w:eastAsia="zh-CN"/>
                    </w:rPr>
                    <w:t>生活垃圾</w:t>
                  </w:r>
                </w:p>
              </w:tc>
            </w:tr>
            <w:tr w14:paraId="7DA5632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6CFF46A6">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vMerge w:val="continue"/>
                  <w:shd w:val="clear" w:color="auto" w:fill="auto"/>
                  <w:noWrap w:val="0"/>
                  <w:vAlign w:val="center"/>
                </w:tcPr>
                <w:p w14:paraId="05CEDF1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350" w:type="dxa"/>
                  <w:shd w:val="clear" w:color="auto" w:fill="auto"/>
                  <w:noWrap w:val="0"/>
                  <w:vAlign w:val="center"/>
                </w:tcPr>
                <w:p w14:paraId="70743A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950" w:type="dxa"/>
                  <w:shd w:val="clear" w:color="auto" w:fill="auto"/>
                  <w:noWrap w:val="0"/>
                  <w:vAlign w:val="center"/>
                </w:tcPr>
                <w:p w14:paraId="37E385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机械设备维修保养</w:t>
                  </w:r>
                </w:p>
              </w:tc>
              <w:tc>
                <w:tcPr>
                  <w:tcW w:w="2435" w:type="dxa"/>
                  <w:tcBorders>
                    <w:right w:val="nil"/>
                  </w:tcBorders>
                  <w:shd w:val="clear" w:color="auto" w:fill="auto"/>
                  <w:noWrap w:val="0"/>
                  <w:vAlign w:val="center"/>
                </w:tcPr>
                <w:p w14:paraId="10D834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废润滑油、废机油</w:t>
                  </w:r>
                  <w:r>
                    <w:rPr>
                      <w:rFonts w:hint="eastAsia" w:cs="Times New Roman"/>
                      <w:i w:val="0"/>
                      <w:iCs w:val="0"/>
                      <w:color w:val="000000"/>
                      <w:kern w:val="0"/>
                      <w:sz w:val="21"/>
                      <w:szCs w:val="21"/>
                      <w:u w:val="none"/>
                      <w:lang w:val="en-US" w:eastAsia="zh-CN" w:bidi="ar"/>
                    </w:rPr>
                    <w:t>、废机油桶</w:t>
                  </w:r>
                </w:p>
              </w:tc>
            </w:tr>
            <w:tr w14:paraId="37A9FE6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tcBorders>
                  <w:shd w:val="clear" w:color="auto" w:fill="auto"/>
                  <w:noWrap w:val="0"/>
                  <w:vAlign w:val="center"/>
                </w:tcPr>
                <w:p w14:paraId="5A3BD01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shd w:val="clear" w:color="auto" w:fill="auto"/>
                  <w:noWrap w:val="0"/>
                  <w:vAlign w:val="center"/>
                </w:tcPr>
                <w:p w14:paraId="47230A1C">
                  <w:pPr>
                    <w:keepNext w:val="0"/>
                    <w:keepLines w:val="0"/>
                    <w:pageBreakBefore w:val="0"/>
                    <w:widowControl/>
                    <w:kinsoku/>
                    <w:wordWrap/>
                    <w:overflowPunct/>
                    <w:topLinePunct w:val="0"/>
                    <w:autoSpaceDE/>
                    <w:autoSpaceDN/>
                    <w:bidi w:val="0"/>
                    <w:adjustRightInd/>
                    <w:snapToGrid/>
                    <w:jc w:val="center"/>
                    <w:rPr>
                      <w:rFonts w:hint="eastAsia"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废水</w:t>
                  </w:r>
                </w:p>
              </w:tc>
              <w:tc>
                <w:tcPr>
                  <w:tcW w:w="1350" w:type="dxa"/>
                  <w:shd w:val="clear" w:color="auto" w:fill="auto"/>
                  <w:noWrap w:val="0"/>
                  <w:vAlign w:val="center"/>
                </w:tcPr>
                <w:p w14:paraId="54B36C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vertAlign w:val="baseline"/>
                      <w:lang w:val="en-US" w:eastAsia="zh-CN"/>
                    </w:rPr>
                    <w:t>W1</w:t>
                  </w:r>
                </w:p>
              </w:tc>
              <w:tc>
                <w:tcPr>
                  <w:tcW w:w="1950" w:type="dxa"/>
                  <w:shd w:val="clear" w:color="auto" w:fill="auto"/>
                  <w:noWrap w:val="0"/>
                  <w:vAlign w:val="center"/>
                </w:tcPr>
                <w:p w14:paraId="0297C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vertAlign w:val="baseline"/>
                      <w:lang w:val="en-US" w:eastAsia="zh-CN"/>
                    </w:rPr>
                    <w:t>办公生活</w:t>
                  </w:r>
                </w:p>
              </w:tc>
              <w:tc>
                <w:tcPr>
                  <w:tcW w:w="2435" w:type="dxa"/>
                  <w:tcBorders>
                    <w:right w:val="nil"/>
                  </w:tcBorders>
                  <w:shd w:val="clear" w:color="auto" w:fill="auto"/>
                  <w:noWrap w:val="0"/>
                  <w:vAlign w:val="center"/>
                </w:tcPr>
                <w:p w14:paraId="259A8A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vertAlign w:val="baseline"/>
                      <w:lang w:val="en-US" w:eastAsia="zh-CN"/>
                    </w:rPr>
                    <w:t>CODcr、BOD、SS等</w:t>
                  </w:r>
                </w:p>
              </w:tc>
            </w:tr>
            <w:tr w14:paraId="038B5EA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trPr>
              <w:tc>
                <w:tcPr>
                  <w:tcW w:w="978" w:type="dxa"/>
                  <w:vMerge w:val="continue"/>
                  <w:tcBorders>
                    <w:left w:val="nil"/>
                    <w:bottom w:val="single" w:color="000000" w:sz="8" w:space="0"/>
                  </w:tcBorders>
                  <w:shd w:val="clear" w:color="auto" w:fill="auto"/>
                  <w:noWrap w:val="0"/>
                  <w:vAlign w:val="center"/>
                </w:tcPr>
                <w:p w14:paraId="23A6837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rPr>
                  </w:pPr>
                </w:p>
              </w:tc>
              <w:tc>
                <w:tcPr>
                  <w:tcW w:w="1167" w:type="dxa"/>
                  <w:tcBorders>
                    <w:bottom w:val="single" w:color="000000" w:sz="8" w:space="0"/>
                  </w:tcBorders>
                  <w:shd w:val="clear" w:color="auto" w:fill="auto"/>
                  <w:noWrap w:val="0"/>
                  <w:vAlign w:val="center"/>
                </w:tcPr>
                <w:p w14:paraId="285E982A">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生态</w:t>
                  </w:r>
                </w:p>
              </w:tc>
              <w:tc>
                <w:tcPr>
                  <w:tcW w:w="1350" w:type="dxa"/>
                  <w:tcBorders>
                    <w:bottom w:val="single" w:color="000000" w:sz="8" w:space="0"/>
                  </w:tcBorders>
                  <w:shd w:val="clear" w:color="auto" w:fill="auto"/>
                  <w:noWrap w:val="0"/>
                  <w:vAlign w:val="center"/>
                </w:tcPr>
                <w:p w14:paraId="3AD909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vertAlign w:val="baseline"/>
                      <w:lang w:val="en-US" w:eastAsia="zh-CN"/>
                    </w:rPr>
                    <w:t>T1</w:t>
                  </w:r>
                </w:p>
              </w:tc>
              <w:tc>
                <w:tcPr>
                  <w:tcW w:w="1950" w:type="dxa"/>
                  <w:tcBorders>
                    <w:bottom w:val="single" w:color="000000" w:sz="8" w:space="0"/>
                  </w:tcBorders>
                  <w:shd w:val="clear" w:color="auto" w:fill="auto"/>
                  <w:noWrap w:val="0"/>
                  <w:vAlign w:val="center"/>
                </w:tcPr>
                <w:p w14:paraId="1B3564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vertAlign w:val="baseline"/>
                      <w:lang w:val="en-US" w:eastAsia="zh-CN"/>
                    </w:rPr>
                    <w:t>剥离作业</w:t>
                  </w:r>
                </w:p>
              </w:tc>
              <w:tc>
                <w:tcPr>
                  <w:tcW w:w="2435" w:type="dxa"/>
                  <w:tcBorders>
                    <w:bottom w:val="single" w:color="000000" w:sz="8" w:space="0"/>
                    <w:right w:val="nil"/>
                  </w:tcBorders>
                  <w:shd w:val="clear" w:color="auto" w:fill="auto"/>
                  <w:noWrap w:val="0"/>
                  <w:vAlign w:val="center"/>
                </w:tcPr>
                <w:p w14:paraId="083397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 w:val="0"/>
                      <w:color w:val="000000"/>
                      <w:sz w:val="21"/>
                      <w:szCs w:val="21"/>
                      <w:vertAlign w:val="baseline"/>
                      <w:lang w:val="en-US" w:eastAsia="zh-CN"/>
                    </w:rPr>
                    <w:t>占地、植被破坏、水土流失</w:t>
                  </w:r>
                </w:p>
              </w:tc>
            </w:tr>
          </w:tbl>
          <w:p w14:paraId="3DA86949">
            <w:pPr>
              <w:pStyle w:val="45"/>
              <w:keepNext w:val="0"/>
              <w:keepLines w:val="0"/>
              <w:pageBreakBefore w:val="0"/>
              <w:widowControl w:val="0"/>
              <w:kinsoku/>
              <w:wordWrap/>
              <w:overflowPunct/>
              <w:topLinePunct w:val="0"/>
              <w:autoSpaceDE/>
              <w:autoSpaceDN/>
              <w:bidi w:val="0"/>
              <w:spacing w:line="360" w:lineRule="auto"/>
              <w:ind w:left="0" w:right="0" w:firstLine="49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2、运营期环境影响分析</w:t>
            </w:r>
          </w:p>
          <w:p w14:paraId="7E3EFAEA">
            <w:pPr>
              <w:pStyle w:val="45"/>
              <w:keepNext w:val="0"/>
              <w:keepLines w:val="0"/>
              <w:pageBreakBefore w:val="0"/>
              <w:widowControl w:val="0"/>
              <w:kinsoku/>
              <w:wordWrap/>
              <w:overflowPunct/>
              <w:topLinePunct w:val="0"/>
              <w:autoSpaceDE/>
              <w:autoSpaceDN/>
              <w:bidi w:val="0"/>
              <w:spacing w:line="360" w:lineRule="auto"/>
              <w:ind w:left="0" w:right="0" w:firstLine="49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2</w:t>
            </w:r>
            <w:r>
              <w:rPr>
                <w:rFonts w:hint="eastAsia" w:ascii="Times New Roman" w:hAnsi="Times New Roman" w:eastAsia="宋体" w:cs="Times New Roman"/>
                <w:b/>
                <w:bCs/>
                <w:spacing w:val="3"/>
                <w:sz w:val="24"/>
                <w:szCs w:val="24"/>
                <w:lang w:val="en-US" w:eastAsia="zh-CN"/>
              </w:rPr>
              <w:t>.1</w:t>
            </w:r>
            <w:r>
              <w:rPr>
                <w:rFonts w:hint="default" w:ascii="Times New Roman" w:hAnsi="Times New Roman" w:eastAsia="宋体" w:cs="Times New Roman"/>
                <w:b/>
                <w:bCs/>
                <w:spacing w:val="3"/>
                <w:sz w:val="24"/>
                <w:szCs w:val="24"/>
              </w:rPr>
              <w:t>大气环境影响分析</w:t>
            </w:r>
          </w:p>
          <w:p w14:paraId="79EF4123">
            <w:pPr>
              <w:pStyle w:val="45"/>
              <w:keepNext w:val="0"/>
              <w:keepLines w:val="0"/>
              <w:pageBreakBefore w:val="0"/>
              <w:widowControl w:val="0"/>
              <w:kinsoku/>
              <w:wordWrap/>
              <w:overflowPunct/>
              <w:topLinePunct w:val="0"/>
              <w:autoSpaceDE/>
              <w:autoSpaceDN/>
              <w:bidi w:val="0"/>
              <w:spacing w:line="360" w:lineRule="auto"/>
              <w:ind w:left="0" w:right="0" w:firstLine="514" w:firstLineChars="200"/>
              <w:textAlignment w:val="auto"/>
              <w:rPr>
                <w:rFonts w:hint="default" w:ascii="Times New Roman" w:hAnsi="Times New Roman" w:eastAsia="宋体" w:cs="Times New Roman"/>
                <w:b/>
                <w:bCs/>
                <w:spacing w:val="-2"/>
                <w:sz w:val="24"/>
                <w:szCs w:val="24"/>
              </w:rPr>
            </w:pPr>
            <w:r>
              <w:rPr>
                <w:rFonts w:hint="eastAsia" w:ascii="Times New Roman" w:hAnsi="Times New Roman" w:eastAsia="宋体" w:cs="Times New Roman"/>
                <w:b/>
                <w:bCs/>
                <w:spacing w:val="8"/>
                <w:sz w:val="24"/>
                <w:szCs w:val="24"/>
                <w:lang w:val="en-US" w:eastAsia="zh-CN"/>
              </w:rPr>
              <w:t>2.1.1</w:t>
            </w:r>
            <w:r>
              <w:rPr>
                <w:rFonts w:hint="default" w:ascii="Times New Roman" w:hAnsi="Times New Roman" w:eastAsia="宋体" w:cs="Times New Roman"/>
                <w:b/>
                <w:bCs/>
                <w:spacing w:val="8"/>
                <w:sz w:val="24"/>
                <w:szCs w:val="24"/>
              </w:rPr>
              <w:t>废气源强</w:t>
            </w:r>
          </w:p>
          <w:p w14:paraId="6F83A120">
            <w:pPr>
              <w:keepNext w:val="0"/>
              <w:keepLines w:val="0"/>
              <w:pageBreakBefore w:val="0"/>
              <w:widowControl w:val="0"/>
              <w:kinsoku/>
              <w:wordWrap/>
              <w:overflowPunct/>
              <w:topLinePunct w:val="0"/>
              <w:autoSpaceDE/>
              <w:autoSpaceDN/>
              <w:bidi w:val="0"/>
              <w:adjustRightInd w:val="0"/>
              <w:snapToGrid w:val="0"/>
              <w:spacing w:line="360" w:lineRule="auto"/>
              <w:ind w:left="0" w:right="0" w:firstLine="472" w:firstLineChars="200"/>
              <w:textAlignment w:val="auto"/>
              <w:rPr>
                <w:rFonts w:hint="eastAsia" w:ascii="Times New Roman" w:hAnsi="Times New Roman" w:eastAsia="宋体" w:cs="Times New Roman"/>
                <w:b/>
                <w:bCs/>
                <w:spacing w:val="-2"/>
                <w:sz w:val="24"/>
                <w:szCs w:val="24"/>
                <w:lang w:eastAsia="zh-CN"/>
              </w:rPr>
            </w:pPr>
            <w:r>
              <w:rPr>
                <w:rFonts w:hint="default" w:ascii="Times New Roman" w:hAnsi="Times New Roman" w:eastAsia="宋体" w:cs="Times New Roman"/>
                <w:b w:val="0"/>
                <w:bCs w:val="0"/>
                <w:spacing w:val="-2"/>
                <w:sz w:val="24"/>
                <w:szCs w:val="24"/>
              </w:rPr>
              <w:t>本项目运营期废气主要来源于开采区</w:t>
            </w:r>
            <w:r>
              <w:rPr>
                <w:rFonts w:hint="eastAsia" w:ascii="Times New Roman" w:hAnsi="Times New Roman" w:eastAsia="宋体" w:cs="Times New Roman"/>
                <w:b w:val="0"/>
                <w:bCs w:val="0"/>
                <w:spacing w:val="-2"/>
                <w:sz w:val="24"/>
                <w:szCs w:val="24"/>
                <w:lang w:eastAsia="zh-CN"/>
              </w:rPr>
              <w:t>。</w:t>
            </w:r>
            <w:r>
              <w:rPr>
                <w:rFonts w:hint="default" w:ascii="Times New Roman" w:hAnsi="Times New Roman" w:eastAsia="宋体" w:cs="Times New Roman"/>
                <w:b w:val="0"/>
                <w:bCs w:val="0"/>
                <w:spacing w:val="-2"/>
                <w:sz w:val="24"/>
                <w:szCs w:val="24"/>
              </w:rPr>
              <w:t>开采区废气主要来源于露天矿山开采、道路运输、排土场</w:t>
            </w:r>
            <w:r>
              <w:rPr>
                <w:rFonts w:hint="eastAsia" w:ascii="Times New Roman" w:hAnsi="Times New Roman" w:eastAsia="宋体" w:cs="Times New Roman"/>
                <w:b w:val="0"/>
                <w:bCs w:val="0"/>
                <w:spacing w:val="-2"/>
                <w:sz w:val="24"/>
                <w:szCs w:val="24"/>
                <w:lang w:val="en-US" w:eastAsia="zh-CN"/>
              </w:rPr>
              <w:t>和堆矿场</w:t>
            </w:r>
            <w:r>
              <w:rPr>
                <w:rFonts w:hint="default" w:ascii="Times New Roman" w:hAnsi="Times New Roman" w:eastAsia="宋体" w:cs="Times New Roman"/>
                <w:b w:val="0"/>
                <w:bCs w:val="0"/>
                <w:spacing w:val="-2"/>
                <w:sz w:val="24"/>
                <w:szCs w:val="24"/>
              </w:rPr>
              <w:t>等工序产生的粉尘</w:t>
            </w:r>
            <w:r>
              <w:rPr>
                <w:rFonts w:hint="eastAsia" w:ascii="Times New Roman" w:hAnsi="Times New Roman" w:eastAsia="宋体" w:cs="Times New Roman"/>
                <w:b w:val="0"/>
                <w:bCs w:val="0"/>
                <w:spacing w:val="-2"/>
                <w:sz w:val="24"/>
                <w:szCs w:val="24"/>
                <w:lang w:eastAsia="zh-CN"/>
              </w:rPr>
              <w:t>。</w:t>
            </w:r>
          </w:p>
          <w:p w14:paraId="6286A006">
            <w:pPr>
              <w:pStyle w:val="45"/>
              <w:keepNext w:val="0"/>
              <w:keepLines w:val="0"/>
              <w:pageBreakBefore w:val="0"/>
              <w:widowControl w:val="0"/>
              <w:kinsoku/>
              <w:wordWrap/>
              <w:overflowPunct/>
              <w:topLinePunct w:val="0"/>
              <w:autoSpaceDE/>
              <w:autoSpaceDN/>
              <w:bidi w:val="0"/>
              <w:spacing w:line="360" w:lineRule="auto"/>
              <w:ind w:left="0" w:right="0" w:firstLine="48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1"/>
                <w:sz w:val="24"/>
                <w:szCs w:val="24"/>
                <w:lang w:eastAsia="zh-CN"/>
              </w:rPr>
              <w:t>（</w:t>
            </w:r>
            <w:r>
              <w:rPr>
                <w:rFonts w:hint="eastAsia" w:ascii="Times New Roman" w:hAnsi="Times New Roman" w:eastAsia="宋体" w:cs="Times New Roman"/>
                <w:b/>
                <w:bCs/>
                <w:spacing w:val="1"/>
                <w:sz w:val="24"/>
                <w:szCs w:val="24"/>
                <w:lang w:val="en-US" w:eastAsia="zh-CN"/>
              </w:rPr>
              <w:t>1</w:t>
            </w:r>
            <w:r>
              <w:rPr>
                <w:rFonts w:hint="eastAsia" w:ascii="Times New Roman" w:hAnsi="Times New Roman" w:eastAsia="宋体" w:cs="Times New Roman"/>
                <w:b/>
                <w:bCs/>
                <w:spacing w:val="1"/>
                <w:sz w:val="24"/>
                <w:szCs w:val="24"/>
                <w:lang w:eastAsia="zh-CN"/>
              </w:rPr>
              <w:t>）</w:t>
            </w:r>
            <w:r>
              <w:rPr>
                <w:rFonts w:hint="default" w:ascii="Times New Roman" w:hAnsi="Times New Roman" w:eastAsia="宋体" w:cs="Times New Roman"/>
                <w:b/>
                <w:bCs/>
                <w:spacing w:val="1"/>
                <w:sz w:val="24"/>
                <w:szCs w:val="24"/>
              </w:rPr>
              <w:t>开采期废气</w:t>
            </w:r>
          </w:p>
          <w:p w14:paraId="548BDB6C">
            <w:pPr>
              <w:pStyle w:val="45"/>
              <w:keepNext w:val="0"/>
              <w:keepLines w:val="0"/>
              <w:pageBreakBefore w:val="0"/>
              <w:widowControl w:val="0"/>
              <w:kinsoku/>
              <w:wordWrap/>
              <w:overflowPunct/>
              <w:topLinePunct w:val="0"/>
              <w:autoSpaceDE/>
              <w:autoSpaceDN/>
              <w:bidi w:val="0"/>
              <w:spacing w:line="360" w:lineRule="auto"/>
              <w:ind w:left="0" w:right="0" w:firstLine="504" w:firstLineChars="200"/>
              <w:textAlignment w:val="auto"/>
              <w:rPr>
                <w:rFonts w:hint="eastAsia" w:ascii="Times New Roman" w:hAnsi="Times New Roman" w:eastAsia="宋体" w:cs="Times New Roman"/>
                <w:sz w:val="24"/>
                <w:szCs w:val="24"/>
                <w:highlight w:val="yellow"/>
                <w:lang w:eastAsia="zh-CN"/>
              </w:rPr>
            </w:pPr>
            <w:r>
              <w:rPr>
                <w:rFonts w:hint="default" w:ascii="Times New Roman" w:hAnsi="Times New Roman" w:eastAsia="宋体" w:cs="Times New Roman"/>
                <w:spacing w:val="6"/>
                <w:sz w:val="24"/>
                <w:szCs w:val="24"/>
              </w:rPr>
              <w:t>①矿山露天开采粉尘</w:t>
            </w:r>
            <w:r>
              <w:rPr>
                <w:rFonts w:hint="eastAsia" w:ascii="Times New Roman" w:hAnsi="Times New Roman" w:eastAsia="宋体" w:cs="Times New Roman"/>
                <w:spacing w:val="6"/>
                <w:sz w:val="24"/>
                <w:szCs w:val="24"/>
                <w:lang w:eastAsia="zh-CN"/>
              </w:rPr>
              <w:t>（</w:t>
            </w:r>
            <w:r>
              <w:rPr>
                <w:rFonts w:hint="eastAsia" w:ascii="Times New Roman" w:hAnsi="Times New Roman" w:eastAsia="宋体" w:cs="Times New Roman"/>
                <w:spacing w:val="6"/>
                <w:sz w:val="24"/>
                <w:szCs w:val="24"/>
                <w:lang w:val="en-US" w:eastAsia="zh-CN"/>
              </w:rPr>
              <w:t>G1</w:t>
            </w:r>
            <w:r>
              <w:rPr>
                <w:rFonts w:hint="eastAsia" w:ascii="Times New Roman" w:hAnsi="Times New Roman" w:eastAsia="宋体" w:cs="Times New Roman"/>
                <w:spacing w:val="6"/>
                <w:sz w:val="24"/>
                <w:szCs w:val="24"/>
                <w:lang w:eastAsia="zh-CN"/>
              </w:rPr>
              <w:t>）</w:t>
            </w:r>
          </w:p>
          <w:p w14:paraId="53B97FB2">
            <w:pPr>
              <w:pStyle w:val="4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矿山露天开采粉尘主要来源于</w:t>
            </w:r>
            <w:r>
              <w:rPr>
                <w:rFonts w:hint="eastAsia" w:ascii="Times New Roman" w:hAnsi="Times New Roman" w:eastAsia="宋体" w:cs="Times New Roman"/>
                <w:sz w:val="24"/>
                <w:szCs w:val="24"/>
                <w:lang w:val="en-US" w:eastAsia="zh-CN"/>
              </w:rPr>
              <w:t>覆盖层</w:t>
            </w:r>
            <w:r>
              <w:rPr>
                <w:rFonts w:hint="default" w:ascii="Times New Roman" w:hAnsi="Times New Roman" w:eastAsia="宋体" w:cs="Times New Roman"/>
                <w:sz w:val="24"/>
                <w:szCs w:val="24"/>
              </w:rPr>
              <w:t>剥离、</w:t>
            </w:r>
            <w:r>
              <w:rPr>
                <w:rFonts w:hint="default" w:ascii="Times New Roman" w:hAnsi="Times New Roman" w:eastAsia="宋体" w:cs="Times New Roman"/>
                <w:sz w:val="24"/>
                <w:szCs w:val="24"/>
                <w:highlight w:val="none"/>
              </w:rPr>
              <w:t>铲装卸</w:t>
            </w:r>
            <w:r>
              <w:rPr>
                <w:rFonts w:hint="default" w:ascii="Times New Roman" w:hAnsi="Times New Roman" w:eastAsia="宋体" w:cs="Times New Roman"/>
                <w:sz w:val="24"/>
                <w:szCs w:val="24"/>
              </w:rPr>
              <w:t>等</w:t>
            </w:r>
            <w:r>
              <w:rPr>
                <w:rFonts w:hint="default" w:ascii="Times New Roman" w:hAnsi="Times New Roman" w:eastAsia="宋体" w:cs="Times New Roman"/>
                <w:spacing w:val="-1"/>
                <w:sz w:val="24"/>
                <w:szCs w:val="24"/>
              </w:rPr>
              <w:t>开采工序，粉尘的产生量与开采条件、地形地貌、气</w:t>
            </w:r>
            <w:r>
              <w:rPr>
                <w:rFonts w:hint="default" w:ascii="Times New Roman" w:hAnsi="Times New Roman" w:eastAsia="宋体" w:cs="Times New Roman"/>
                <w:spacing w:val="-2"/>
                <w:sz w:val="24"/>
                <w:szCs w:val="24"/>
              </w:rPr>
              <w:t>候条件等有关。本次评价矿</w:t>
            </w:r>
            <w:r>
              <w:rPr>
                <w:rFonts w:hint="default" w:ascii="Times New Roman" w:hAnsi="Times New Roman" w:eastAsia="宋体" w:cs="Times New Roman"/>
                <w:spacing w:val="-7"/>
                <w:sz w:val="24"/>
                <w:szCs w:val="24"/>
              </w:rPr>
              <w:t>山露天开采粉尘源强核算采用《排放源统计调查产排污核算方法和系数手册》中《10190粘土及其他土砂石开采行业系数手册》的经验系数，本次参考露天开采膨润土原矿颗粒物系数约0.082kg/t产品</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5"/>
                <w:sz w:val="24"/>
                <w:szCs w:val="24"/>
              </w:rPr>
              <w:t>本矿山开采规模为</w:t>
            </w:r>
            <w:r>
              <w:rPr>
                <w:rFonts w:hint="default" w:ascii="Times New Roman" w:hAnsi="Times New Roman" w:eastAsia="宋体" w:cs="Times New Roman"/>
                <w:spacing w:val="2"/>
                <w:sz w:val="24"/>
                <w:szCs w:val="24"/>
              </w:rPr>
              <w:t>5万t/a</w:t>
            </w:r>
            <w:r>
              <w:rPr>
                <w:rFonts w:hint="eastAsia" w:ascii="Times New Roman" w:hAnsi="Times New Roman" w:eastAsia="宋体" w:cs="Times New Roman"/>
                <w:spacing w:val="2"/>
                <w:sz w:val="24"/>
                <w:szCs w:val="24"/>
                <w:lang w:eastAsia="zh-CN"/>
              </w:rPr>
              <w:t>。</w:t>
            </w:r>
          </w:p>
          <w:p w14:paraId="18A7578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本项目露天开采粉尘源强核算详见表4-</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14:paraId="486ACD2C">
            <w:pPr>
              <w:pStyle w:val="45"/>
              <w:keepNext w:val="0"/>
              <w:keepLines w:val="0"/>
              <w:pageBreakBefore w:val="0"/>
              <w:widowControl w:val="0"/>
              <w:kinsoku/>
              <w:wordWrap/>
              <w:overflowPunct/>
              <w:topLinePunct w:val="0"/>
              <w:autoSpaceDE/>
              <w:autoSpaceDN/>
              <w:bidi w:val="0"/>
              <w:adjustRightInd/>
              <w:snapToGrid/>
              <w:spacing w:line="201" w:lineRule="auto"/>
              <w:ind w:left="0"/>
              <w:jc w:val="center"/>
              <w:textAlignment w:val="auto"/>
              <w:rPr>
                <w:rFonts w:hint="default" w:ascii="Times New Roman" w:hAnsi="Times New Roman" w:eastAsia="宋体" w:cs="Times New Roman"/>
                <w:b/>
                <w:bCs/>
                <w:spacing w:val="4"/>
                <w:sz w:val="21"/>
                <w:szCs w:val="21"/>
              </w:rPr>
            </w:pPr>
            <w:r>
              <w:rPr>
                <w:rFonts w:hint="default" w:ascii="Times New Roman" w:hAnsi="Times New Roman" w:eastAsia="宋体" w:cs="Times New Roman"/>
                <w:b/>
                <w:bCs/>
                <w:spacing w:val="4"/>
                <w:sz w:val="21"/>
                <w:szCs w:val="21"/>
              </w:rPr>
              <w:t>表4-</w:t>
            </w:r>
            <w:r>
              <w:rPr>
                <w:rFonts w:hint="eastAsia" w:ascii="Times New Roman" w:hAnsi="Times New Roman" w:eastAsia="宋体" w:cs="Times New Roman"/>
                <w:b/>
                <w:bCs/>
                <w:spacing w:val="4"/>
                <w:sz w:val="21"/>
                <w:szCs w:val="21"/>
                <w:lang w:val="en-US" w:eastAsia="zh-CN"/>
              </w:rPr>
              <w:t>5</w:t>
            </w:r>
            <w:r>
              <w:rPr>
                <w:rFonts w:hint="default" w:ascii="Times New Roman" w:hAnsi="Times New Roman" w:eastAsia="宋体" w:cs="Times New Roman"/>
                <w:b/>
                <w:bCs/>
                <w:spacing w:val="4"/>
                <w:sz w:val="21"/>
                <w:szCs w:val="21"/>
                <w:lang w:val="en-US" w:eastAsia="zh-CN"/>
              </w:rPr>
              <w:t xml:space="preserve">    </w:t>
            </w:r>
            <w:r>
              <w:rPr>
                <w:rFonts w:hint="default" w:ascii="Times New Roman" w:hAnsi="Times New Roman" w:eastAsia="宋体" w:cs="Times New Roman"/>
                <w:b/>
                <w:bCs/>
                <w:spacing w:val="4"/>
                <w:sz w:val="21"/>
                <w:szCs w:val="21"/>
              </w:rPr>
              <w:t>露天开采废气源强一览表</w:t>
            </w:r>
          </w:p>
          <w:p w14:paraId="39F207C8">
            <w:pPr>
              <w:spacing w:line="137" w:lineRule="exact"/>
              <w:rPr>
                <w:rFonts w:hint="default" w:ascii="Times New Roman" w:hAnsi="Times New Roman" w:eastAsia="宋体" w:cs="Times New Roman"/>
                <w:sz w:val="24"/>
                <w:szCs w:val="24"/>
              </w:rPr>
            </w:pPr>
          </w:p>
          <w:tbl>
            <w:tblPr>
              <w:tblStyle w:val="46"/>
              <w:tblW w:w="80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849"/>
              <w:gridCol w:w="852"/>
              <w:gridCol w:w="1134"/>
              <w:gridCol w:w="993"/>
              <w:gridCol w:w="899"/>
              <w:gridCol w:w="1654"/>
              <w:gridCol w:w="856"/>
            </w:tblGrid>
            <w:tr w14:paraId="27851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799" w:type="dxa"/>
                  <w:tcBorders>
                    <w:top w:val="single" w:color="000000" w:sz="10" w:space="0"/>
                    <w:left w:val="nil"/>
                  </w:tcBorders>
                  <w:noWrap w:val="0"/>
                  <w:vAlign w:val="center"/>
                </w:tcPr>
                <w:p w14:paraId="5C4E44FC">
                  <w:pPr>
                    <w:jc w:val="center"/>
                    <w:rPr>
                      <w:rFonts w:hint="default"/>
                      <w:b/>
                      <w:bCs/>
                    </w:rPr>
                  </w:pPr>
                  <w:r>
                    <w:rPr>
                      <w:rFonts w:hint="default"/>
                      <w:b/>
                      <w:bCs/>
                    </w:rPr>
                    <w:t>工段</w:t>
                  </w:r>
                </w:p>
                <w:p w14:paraId="3CFC02B8">
                  <w:pPr>
                    <w:jc w:val="center"/>
                    <w:rPr>
                      <w:rFonts w:hint="default"/>
                      <w:b/>
                      <w:bCs/>
                    </w:rPr>
                  </w:pPr>
                  <w:r>
                    <w:rPr>
                      <w:rFonts w:hint="default"/>
                      <w:b/>
                      <w:bCs/>
                    </w:rPr>
                    <w:t>名称</w:t>
                  </w:r>
                </w:p>
              </w:tc>
              <w:tc>
                <w:tcPr>
                  <w:tcW w:w="849" w:type="dxa"/>
                  <w:tcBorders>
                    <w:top w:val="single" w:color="000000" w:sz="10" w:space="0"/>
                  </w:tcBorders>
                  <w:noWrap w:val="0"/>
                  <w:vAlign w:val="center"/>
                </w:tcPr>
                <w:p w14:paraId="619A925B">
                  <w:pPr>
                    <w:jc w:val="center"/>
                    <w:rPr>
                      <w:rFonts w:hint="default"/>
                      <w:b/>
                      <w:bCs/>
                    </w:rPr>
                  </w:pPr>
                  <w:r>
                    <w:rPr>
                      <w:rFonts w:hint="default"/>
                      <w:b/>
                      <w:bCs/>
                    </w:rPr>
                    <w:t>产品</w:t>
                  </w:r>
                </w:p>
                <w:p w14:paraId="389FEEFF">
                  <w:pPr>
                    <w:jc w:val="center"/>
                    <w:rPr>
                      <w:rFonts w:hint="default"/>
                      <w:b/>
                      <w:bCs/>
                    </w:rPr>
                  </w:pPr>
                  <w:r>
                    <w:rPr>
                      <w:rFonts w:hint="default"/>
                      <w:b/>
                      <w:bCs/>
                    </w:rPr>
                    <w:t>名称</w:t>
                  </w:r>
                </w:p>
              </w:tc>
              <w:tc>
                <w:tcPr>
                  <w:tcW w:w="852" w:type="dxa"/>
                  <w:tcBorders>
                    <w:top w:val="single" w:color="000000" w:sz="10" w:space="0"/>
                  </w:tcBorders>
                  <w:noWrap w:val="0"/>
                  <w:vAlign w:val="center"/>
                </w:tcPr>
                <w:p w14:paraId="27B33405">
                  <w:pPr>
                    <w:jc w:val="center"/>
                    <w:rPr>
                      <w:rFonts w:hint="default"/>
                      <w:b/>
                      <w:bCs/>
                    </w:rPr>
                  </w:pPr>
                  <w:r>
                    <w:rPr>
                      <w:rFonts w:hint="default"/>
                      <w:b/>
                      <w:bCs/>
                    </w:rPr>
                    <w:t>原料</w:t>
                  </w:r>
                </w:p>
                <w:p w14:paraId="2982E565">
                  <w:pPr>
                    <w:jc w:val="center"/>
                    <w:rPr>
                      <w:rFonts w:hint="default"/>
                      <w:b/>
                      <w:bCs/>
                    </w:rPr>
                  </w:pPr>
                  <w:r>
                    <w:rPr>
                      <w:rFonts w:hint="default"/>
                      <w:b/>
                      <w:bCs/>
                    </w:rPr>
                    <w:t>名称</w:t>
                  </w:r>
                </w:p>
              </w:tc>
              <w:tc>
                <w:tcPr>
                  <w:tcW w:w="1134" w:type="dxa"/>
                  <w:tcBorders>
                    <w:top w:val="single" w:color="000000" w:sz="10" w:space="0"/>
                  </w:tcBorders>
                  <w:noWrap w:val="0"/>
                  <w:vAlign w:val="center"/>
                </w:tcPr>
                <w:p w14:paraId="713917C6">
                  <w:pPr>
                    <w:jc w:val="center"/>
                    <w:rPr>
                      <w:rFonts w:hint="default"/>
                      <w:b/>
                      <w:bCs/>
                    </w:rPr>
                  </w:pPr>
                  <w:r>
                    <w:rPr>
                      <w:rFonts w:hint="default"/>
                      <w:b/>
                      <w:bCs/>
                    </w:rPr>
                    <w:t>工艺名称</w:t>
                  </w:r>
                </w:p>
              </w:tc>
              <w:tc>
                <w:tcPr>
                  <w:tcW w:w="993" w:type="dxa"/>
                  <w:tcBorders>
                    <w:top w:val="single" w:color="000000" w:sz="10" w:space="0"/>
                  </w:tcBorders>
                  <w:noWrap w:val="0"/>
                  <w:vAlign w:val="center"/>
                </w:tcPr>
                <w:p w14:paraId="512E4AB3">
                  <w:pPr>
                    <w:jc w:val="center"/>
                    <w:rPr>
                      <w:rFonts w:hint="default"/>
                      <w:b/>
                      <w:bCs/>
                    </w:rPr>
                  </w:pPr>
                  <w:r>
                    <w:rPr>
                      <w:rFonts w:hint="default"/>
                      <w:b/>
                      <w:bCs/>
                    </w:rPr>
                    <w:t>规模（t/a）</w:t>
                  </w:r>
                </w:p>
              </w:tc>
              <w:tc>
                <w:tcPr>
                  <w:tcW w:w="899" w:type="dxa"/>
                  <w:tcBorders>
                    <w:top w:val="single" w:color="000000" w:sz="10" w:space="0"/>
                  </w:tcBorders>
                  <w:noWrap w:val="0"/>
                  <w:vAlign w:val="center"/>
                </w:tcPr>
                <w:p w14:paraId="1377F9E3">
                  <w:pPr>
                    <w:jc w:val="center"/>
                    <w:rPr>
                      <w:rFonts w:hint="default"/>
                      <w:b/>
                      <w:bCs/>
                    </w:rPr>
                  </w:pPr>
                  <w:r>
                    <w:rPr>
                      <w:rFonts w:hint="default"/>
                      <w:b/>
                      <w:bCs/>
                    </w:rPr>
                    <w:t>污染物</w:t>
                  </w:r>
                </w:p>
              </w:tc>
              <w:tc>
                <w:tcPr>
                  <w:tcW w:w="1654" w:type="dxa"/>
                  <w:tcBorders>
                    <w:top w:val="single" w:color="000000" w:sz="10" w:space="0"/>
                  </w:tcBorders>
                  <w:noWrap w:val="0"/>
                  <w:vAlign w:val="center"/>
                </w:tcPr>
                <w:p w14:paraId="70F0BED9">
                  <w:pPr>
                    <w:jc w:val="center"/>
                    <w:rPr>
                      <w:rFonts w:hint="default"/>
                      <w:b/>
                      <w:bCs/>
                    </w:rPr>
                  </w:pPr>
                  <w:r>
                    <w:rPr>
                      <w:rFonts w:hint="default"/>
                      <w:b/>
                      <w:bCs/>
                    </w:rPr>
                    <w:t>产污系数（kg/t产品）</w:t>
                  </w:r>
                </w:p>
              </w:tc>
              <w:tc>
                <w:tcPr>
                  <w:tcW w:w="856" w:type="dxa"/>
                  <w:tcBorders>
                    <w:top w:val="single" w:color="000000" w:sz="10" w:space="0"/>
                    <w:right w:val="nil"/>
                  </w:tcBorders>
                  <w:noWrap w:val="0"/>
                  <w:vAlign w:val="center"/>
                </w:tcPr>
                <w:p w14:paraId="41CA15D7">
                  <w:pPr>
                    <w:jc w:val="center"/>
                    <w:rPr>
                      <w:rFonts w:hint="default"/>
                      <w:b/>
                      <w:bCs/>
                    </w:rPr>
                  </w:pPr>
                  <w:r>
                    <w:rPr>
                      <w:rFonts w:hint="default"/>
                      <w:b/>
                      <w:bCs/>
                    </w:rPr>
                    <w:t>产生量（t/a）</w:t>
                  </w:r>
                </w:p>
              </w:tc>
            </w:tr>
            <w:tr w14:paraId="7A441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jc w:val="center"/>
              </w:trPr>
              <w:tc>
                <w:tcPr>
                  <w:tcW w:w="799" w:type="dxa"/>
                  <w:tcBorders>
                    <w:left w:val="nil"/>
                    <w:bottom w:val="single" w:color="000000" w:sz="10" w:space="0"/>
                  </w:tcBorders>
                  <w:noWrap w:val="0"/>
                  <w:vAlign w:val="center"/>
                </w:tcPr>
                <w:p w14:paraId="5B7D09D0">
                  <w:pPr>
                    <w:jc w:val="center"/>
                    <w:rPr>
                      <w:rFonts w:hint="default"/>
                    </w:rPr>
                  </w:pPr>
                  <w:r>
                    <w:rPr>
                      <w:rFonts w:hint="default"/>
                    </w:rPr>
                    <w:t>开采</w:t>
                  </w:r>
                </w:p>
              </w:tc>
              <w:tc>
                <w:tcPr>
                  <w:tcW w:w="849" w:type="dxa"/>
                  <w:tcBorders>
                    <w:bottom w:val="single" w:color="000000" w:sz="10" w:space="0"/>
                  </w:tcBorders>
                  <w:noWrap w:val="0"/>
                  <w:vAlign w:val="center"/>
                </w:tcPr>
                <w:p w14:paraId="2C1D40F9">
                  <w:pPr>
                    <w:jc w:val="center"/>
                    <w:rPr>
                      <w:rFonts w:hint="default"/>
                    </w:rPr>
                  </w:pPr>
                  <w:r>
                    <w:rPr>
                      <w:rFonts w:hint="default"/>
                      <w:lang w:val="en-US" w:eastAsia="zh-CN"/>
                    </w:rPr>
                    <w:t>凹凸棒石粘土矿及石膏</w:t>
                  </w:r>
                </w:p>
              </w:tc>
              <w:tc>
                <w:tcPr>
                  <w:tcW w:w="852" w:type="dxa"/>
                  <w:tcBorders>
                    <w:bottom w:val="single" w:color="000000" w:sz="10" w:space="0"/>
                  </w:tcBorders>
                  <w:noWrap w:val="0"/>
                  <w:vAlign w:val="center"/>
                </w:tcPr>
                <w:p w14:paraId="6E0C2ADC">
                  <w:pPr>
                    <w:jc w:val="center"/>
                    <w:rPr>
                      <w:rFonts w:hint="default"/>
                    </w:rPr>
                  </w:pPr>
                  <w:r>
                    <w:rPr>
                      <w:rFonts w:hint="default"/>
                    </w:rPr>
                    <w:t>原矿</w:t>
                  </w:r>
                </w:p>
              </w:tc>
              <w:tc>
                <w:tcPr>
                  <w:tcW w:w="1134" w:type="dxa"/>
                  <w:tcBorders>
                    <w:bottom w:val="single" w:color="000000" w:sz="10" w:space="0"/>
                  </w:tcBorders>
                  <w:noWrap w:val="0"/>
                  <w:vAlign w:val="center"/>
                </w:tcPr>
                <w:p w14:paraId="6B384B62">
                  <w:pPr>
                    <w:jc w:val="center"/>
                    <w:rPr>
                      <w:rFonts w:hint="default"/>
                    </w:rPr>
                  </w:pPr>
                  <w:r>
                    <w:rPr>
                      <w:rFonts w:hint="default"/>
                    </w:rPr>
                    <w:t>露天开采</w:t>
                  </w:r>
                </w:p>
              </w:tc>
              <w:tc>
                <w:tcPr>
                  <w:tcW w:w="993" w:type="dxa"/>
                  <w:tcBorders>
                    <w:bottom w:val="single" w:color="000000" w:sz="10" w:space="0"/>
                  </w:tcBorders>
                  <w:noWrap w:val="0"/>
                  <w:vAlign w:val="center"/>
                </w:tcPr>
                <w:p w14:paraId="0890FFF1">
                  <w:pPr>
                    <w:jc w:val="center"/>
                    <w:rPr>
                      <w:rFonts w:hint="default"/>
                    </w:rPr>
                  </w:pPr>
                  <w:r>
                    <w:rPr>
                      <w:rFonts w:hint="default"/>
                    </w:rPr>
                    <w:t>5万</w:t>
                  </w:r>
                </w:p>
              </w:tc>
              <w:tc>
                <w:tcPr>
                  <w:tcW w:w="899" w:type="dxa"/>
                  <w:tcBorders>
                    <w:bottom w:val="single" w:color="000000" w:sz="10" w:space="0"/>
                  </w:tcBorders>
                  <w:noWrap w:val="0"/>
                  <w:vAlign w:val="center"/>
                </w:tcPr>
                <w:p w14:paraId="12328EA4">
                  <w:pPr>
                    <w:jc w:val="center"/>
                    <w:rPr>
                      <w:rFonts w:hint="default"/>
                    </w:rPr>
                  </w:pPr>
                  <w:r>
                    <w:rPr>
                      <w:rFonts w:hint="default"/>
                    </w:rPr>
                    <w:t>颗粒物</w:t>
                  </w:r>
                </w:p>
              </w:tc>
              <w:tc>
                <w:tcPr>
                  <w:tcW w:w="1654" w:type="dxa"/>
                  <w:tcBorders>
                    <w:bottom w:val="single" w:color="000000" w:sz="10" w:space="0"/>
                  </w:tcBorders>
                  <w:noWrap w:val="0"/>
                  <w:vAlign w:val="center"/>
                </w:tcPr>
                <w:p w14:paraId="0D62D2AB">
                  <w:pPr>
                    <w:jc w:val="center"/>
                    <w:rPr>
                      <w:rFonts w:hint="default"/>
                    </w:rPr>
                  </w:pPr>
                  <w:r>
                    <w:rPr>
                      <w:rFonts w:hint="default"/>
                    </w:rPr>
                    <w:t>0.082</w:t>
                  </w:r>
                </w:p>
              </w:tc>
              <w:tc>
                <w:tcPr>
                  <w:tcW w:w="856" w:type="dxa"/>
                  <w:tcBorders>
                    <w:bottom w:val="single" w:color="000000" w:sz="10" w:space="0"/>
                    <w:right w:val="nil"/>
                  </w:tcBorders>
                  <w:noWrap w:val="0"/>
                  <w:vAlign w:val="center"/>
                </w:tcPr>
                <w:p w14:paraId="0B2A74F2">
                  <w:pPr>
                    <w:jc w:val="center"/>
                    <w:rPr>
                      <w:rFonts w:hint="default" w:eastAsia="宋体"/>
                      <w:lang w:val="en-US" w:eastAsia="zh-CN"/>
                    </w:rPr>
                  </w:pPr>
                  <w:r>
                    <w:rPr>
                      <w:rFonts w:hint="eastAsia"/>
                      <w:lang w:val="en-US" w:eastAsia="zh-CN"/>
                    </w:rPr>
                    <w:t>4.1</w:t>
                  </w:r>
                </w:p>
              </w:tc>
            </w:tr>
          </w:tbl>
          <w:p w14:paraId="30F52022">
            <w:pPr>
              <w:adjustRightInd w:val="0"/>
              <w:snapToGrid w:val="0"/>
              <w:rPr>
                <w:rFonts w:hint="default" w:ascii="Times New Roman" w:hAnsi="Times New Roman" w:eastAsia="宋体" w:cs="Times New Roman"/>
                <w:b/>
                <w:bCs/>
                <w:spacing w:val="-2"/>
                <w:sz w:val="24"/>
                <w:szCs w:val="24"/>
              </w:rPr>
            </w:pPr>
          </w:p>
          <w:p w14:paraId="57E4657B">
            <w:pPr>
              <w:pStyle w:val="4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b/>
                <w:bCs/>
                <w:spacing w:val="-2"/>
                <w:sz w:val="24"/>
                <w:szCs w:val="24"/>
              </w:rPr>
            </w:pPr>
            <w:r>
              <w:rPr>
                <w:rFonts w:hint="default" w:ascii="Times New Roman" w:hAnsi="Times New Roman" w:eastAsia="宋体" w:cs="Times New Roman"/>
                <w:sz w:val="24"/>
                <w:szCs w:val="24"/>
              </w:rPr>
              <w:t>为降低矿山露天开采过程中粉尘产生量，本项目采</w:t>
            </w:r>
            <w:r>
              <w:rPr>
                <w:rFonts w:hint="default" w:ascii="Times New Roman" w:hAnsi="Times New Roman" w:eastAsia="宋体" w:cs="Times New Roman"/>
                <w:spacing w:val="-1"/>
                <w:sz w:val="24"/>
                <w:szCs w:val="24"/>
              </w:rPr>
              <w:t>取</w:t>
            </w:r>
            <w:r>
              <w:rPr>
                <w:rFonts w:hint="default" w:ascii="Times New Roman" w:hAnsi="Times New Roman" w:eastAsia="宋体" w:cs="Times New Roman"/>
                <w:color w:val="auto"/>
                <w:spacing w:val="-1"/>
                <w:sz w:val="24"/>
                <w:szCs w:val="24"/>
                <w:shd w:val="clear"/>
              </w:rPr>
              <w:t>湿法作业</w:t>
            </w:r>
            <w:r>
              <w:rPr>
                <w:rFonts w:hint="default" w:ascii="Times New Roman" w:hAnsi="Times New Roman" w:eastAsia="宋体" w:cs="Times New Roman"/>
                <w:color w:val="auto"/>
                <w:sz w:val="24"/>
                <w:szCs w:val="24"/>
                <w:shd w:val="clear"/>
              </w:rPr>
              <w:t>、铲装前采用洒水降尘</w:t>
            </w:r>
            <w:r>
              <w:rPr>
                <w:rFonts w:hint="default" w:ascii="Times New Roman" w:hAnsi="Times New Roman" w:eastAsia="宋体" w:cs="Times New Roman"/>
                <w:color w:val="auto"/>
                <w:spacing w:val="2"/>
                <w:sz w:val="24"/>
                <w:szCs w:val="24"/>
                <w:shd w:val="clear"/>
              </w:rPr>
              <w:t>措施</w:t>
            </w:r>
            <w:r>
              <w:rPr>
                <w:rFonts w:hint="default" w:ascii="Times New Roman" w:hAnsi="Times New Roman" w:eastAsia="宋体" w:cs="Times New Roman"/>
                <w:spacing w:val="2"/>
                <w:sz w:val="24"/>
                <w:szCs w:val="24"/>
              </w:rPr>
              <w:t>，根据《逸散性工业粉尘控制技术》综</w:t>
            </w:r>
            <w:r>
              <w:rPr>
                <w:rFonts w:hint="default" w:ascii="Times New Roman" w:hAnsi="Times New Roman" w:eastAsia="宋体" w:cs="Times New Roman"/>
                <w:spacing w:val="1"/>
                <w:sz w:val="24"/>
                <w:szCs w:val="24"/>
              </w:rPr>
              <w:t>合抑尘效率可达80%，则本项</w:t>
            </w:r>
            <w:r>
              <w:rPr>
                <w:rFonts w:hint="default" w:ascii="Times New Roman" w:hAnsi="Times New Roman" w:eastAsia="宋体" w:cs="Times New Roman"/>
                <w:spacing w:val="-1"/>
                <w:sz w:val="24"/>
                <w:szCs w:val="24"/>
              </w:rPr>
              <w:t>目矿山露天开采粉尘排放量为</w:t>
            </w:r>
            <w:r>
              <w:rPr>
                <w:rFonts w:hint="eastAsia" w:ascii="Times New Roman" w:hAnsi="Times New Roman" w:eastAsia="宋体" w:cs="Times New Roman"/>
                <w:spacing w:val="-1"/>
                <w:sz w:val="24"/>
                <w:szCs w:val="24"/>
                <w:lang w:val="en-US" w:eastAsia="zh-CN"/>
              </w:rPr>
              <w:t>0.82</w:t>
            </w:r>
            <w:r>
              <w:rPr>
                <w:rFonts w:hint="default" w:ascii="Times New Roman" w:hAnsi="Times New Roman" w:eastAsia="宋体" w:cs="Times New Roman"/>
                <w:spacing w:val="-1"/>
                <w:sz w:val="24"/>
                <w:szCs w:val="24"/>
              </w:rPr>
              <w:t>t/a。</w:t>
            </w:r>
          </w:p>
          <w:p w14:paraId="472E9943">
            <w:pPr>
              <w:pStyle w:val="45"/>
              <w:keepNext w:val="0"/>
              <w:keepLines w:val="0"/>
              <w:pageBreakBefore w:val="0"/>
              <w:widowControl w:val="0"/>
              <w:kinsoku/>
              <w:wordWrap/>
              <w:overflowPunct/>
              <w:topLinePunct w:val="0"/>
              <w:autoSpaceDE/>
              <w:autoSpaceDN/>
              <w:bidi w:val="0"/>
              <w:spacing w:line="360" w:lineRule="auto"/>
              <w:ind w:left="0" w:right="0" w:firstLine="486"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b/>
                <w:bCs/>
                <w:spacing w:val="1"/>
                <w:sz w:val="24"/>
                <w:szCs w:val="24"/>
                <w:lang w:eastAsia="zh-CN"/>
              </w:rPr>
              <w:t>（</w:t>
            </w:r>
            <w:r>
              <w:rPr>
                <w:rFonts w:hint="eastAsia" w:ascii="Times New Roman" w:hAnsi="Times New Roman" w:eastAsia="宋体" w:cs="Times New Roman"/>
                <w:b/>
                <w:bCs/>
                <w:spacing w:val="1"/>
                <w:sz w:val="24"/>
                <w:szCs w:val="24"/>
                <w:lang w:val="en-US" w:eastAsia="zh-CN"/>
              </w:rPr>
              <w:t>2</w:t>
            </w:r>
            <w:r>
              <w:rPr>
                <w:rFonts w:hint="eastAsia" w:ascii="Times New Roman" w:hAnsi="Times New Roman" w:eastAsia="宋体" w:cs="Times New Roman"/>
                <w:b/>
                <w:bCs/>
                <w:spacing w:val="1"/>
                <w:sz w:val="24"/>
                <w:szCs w:val="24"/>
                <w:lang w:eastAsia="zh-CN"/>
              </w:rPr>
              <w:t>）</w:t>
            </w:r>
            <w:r>
              <w:rPr>
                <w:rFonts w:hint="eastAsia" w:ascii="Times New Roman" w:hAnsi="Times New Roman" w:eastAsia="宋体" w:cs="Times New Roman"/>
                <w:b/>
                <w:bCs/>
                <w:spacing w:val="1"/>
                <w:sz w:val="24"/>
                <w:szCs w:val="24"/>
                <w:lang w:val="en-US" w:eastAsia="zh-CN"/>
              </w:rPr>
              <w:t>矿石</w:t>
            </w:r>
            <w:r>
              <w:rPr>
                <w:rFonts w:hint="default" w:ascii="Times New Roman" w:hAnsi="Times New Roman" w:eastAsia="宋体" w:cs="Times New Roman"/>
                <w:b/>
                <w:bCs/>
                <w:spacing w:val="-3"/>
                <w:sz w:val="24"/>
                <w:szCs w:val="24"/>
              </w:rPr>
              <w:t>装卸扬尘</w:t>
            </w:r>
            <w:r>
              <w:rPr>
                <w:rFonts w:hint="eastAsia" w:ascii="Times New Roman" w:hAnsi="Times New Roman" w:eastAsia="宋体" w:cs="Times New Roman"/>
                <w:b/>
                <w:bCs/>
                <w:spacing w:val="-3"/>
                <w:sz w:val="24"/>
                <w:szCs w:val="24"/>
                <w:lang w:eastAsia="zh-CN"/>
              </w:rPr>
              <w:t>（</w:t>
            </w:r>
            <w:r>
              <w:rPr>
                <w:rFonts w:hint="eastAsia" w:ascii="Times New Roman" w:hAnsi="Times New Roman" w:eastAsia="宋体" w:cs="Times New Roman"/>
                <w:spacing w:val="6"/>
                <w:sz w:val="24"/>
                <w:szCs w:val="24"/>
                <w:lang w:val="en-US" w:eastAsia="zh-CN"/>
              </w:rPr>
              <w:t>G2</w:t>
            </w:r>
            <w:r>
              <w:rPr>
                <w:rFonts w:hint="eastAsia" w:ascii="Times New Roman" w:hAnsi="Times New Roman" w:eastAsia="宋体" w:cs="Times New Roman"/>
                <w:b/>
                <w:bCs/>
                <w:spacing w:val="-3"/>
                <w:sz w:val="24"/>
                <w:szCs w:val="24"/>
                <w:lang w:eastAsia="zh-CN"/>
              </w:rPr>
              <w:t>）</w:t>
            </w:r>
          </w:p>
          <w:p w14:paraId="1811EE47">
            <w:pPr>
              <w:pStyle w:val="45"/>
              <w:keepNext w:val="0"/>
              <w:keepLines w:val="0"/>
              <w:pageBreakBefore w:val="0"/>
              <w:widowControl w:val="0"/>
              <w:kinsoku/>
              <w:wordWrap/>
              <w:overflowPunct/>
              <w:topLinePunct w:val="0"/>
              <w:autoSpaceDE/>
              <w:autoSpaceDN/>
              <w:bidi w:val="0"/>
              <w:spacing w:line="360" w:lineRule="auto"/>
              <w:ind w:left="0" w:right="0" w:firstLine="47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
                <w:sz w:val="24"/>
                <w:szCs w:val="24"/>
              </w:rPr>
              <w:t>源强核算：</w:t>
            </w:r>
            <w:r>
              <w:rPr>
                <w:rFonts w:hint="eastAsia" w:ascii="Times New Roman" w:hAnsi="Times New Roman" w:eastAsia="宋体" w:cs="Times New Roman"/>
                <w:spacing w:val="-1"/>
                <w:sz w:val="24"/>
                <w:szCs w:val="24"/>
                <w:lang w:val="en-US" w:eastAsia="zh-CN"/>
              </w:rPr>
              <w:t>矿石</w:t>
            </w:r>
            <w:r>
              <w:rPr>
                <w:rFonts w:hint="default" w:ascii="Times New Roman" w:hAnsi="Times New Roman" w:eastAsia="宋体" w:cs="Times New Roman"/>
                <w:spacing w:val="-1"/>
                <w:sz w:val="24"/>
                <w:szCs w:val="24"/>
              </w:rPr>
              <w:t>装卸过程中会产生一定量的装卸扬尘。装卸扬尘量采用清华大学煤</w:t>
            </w:r>
            <w:r>
              <w:rPr>
                <w:rFonts w:hint="default" w:ascii="Times New Roman" w:hAnsi="Times New Roman" w:eastAsia="宋体" w:cs="Times New Roman"/>
                <w:spacing w:val="-2"/>
                <w:sz w:val="24"/>
                <w:szCs w:val="24"/>
              </w:rPr>
              <w:t>炭装卸扬尘公式估算：</w:t>
            </w:r>
          </w:p>
          <w:p w14:paraId="45173948">
            <w:pPr>
              <w:keepNext w:val="0"/>
              <w:keepLines w:val="0"/>
              <w:pageBreakBefore w:val="0"/>
              <w:widowControl w:val="0"/>
              <w:kinsoku/>
              <w:wordWrap/>
              <w:overflowPunct/>
              <w:topLinePunct w:val="0"/>
              <w:autoSpaceDE/>
              <w:autoSpaceDN/>
              <w:bidi w:val="0"/>
              <w:spacing w:line="360" w:lineRule="auto"/>
              <w:ind w:left="0" w:right="0" w:firstLine="516" w:firstLineChars="200"/>
              <w:jc w:val="center"/>
              <w:textAlignment w:val="auto"/>
              <w:rPr>
                <w:rFonts w:hint="default" w:ascii="Times New Roman" w:hAnsi="Times New Roman" w:eastAsia="宋体" w:cs="Times New Roman"/>
                <w:i w:val="0"/>
                <w:iCs w:val="0"/>
                <w:sz w:val="24"/>
                <w:szCs w:val="24"/>
              </w:rPr>
            </w:pPr>
            <w:r>
              <w:rPr>
                <w:rFonts w:hint="default" w:ascii="Times New Roman" w:hAnsi="Times New Roman" w:eastAsia="宋体" w:cs="Times New Roman"/>
                <w:i w:val="0"/>
                <w:iCs w:val="0"/>
                <w:spacing w:val="9"/>
                <w:position w:val="6"/>
                <w:sz w:val="24"/>
                <w:szCs w:val="24"/>
              </w:rPr>
              <w:t>Q=M×e</w:t>
            </w:r>
            <w:r>
              <w:rPr>
                <w:rFonts w:hint="default" w:ascii="Times New Roman" w:hAnsi="Times New Roman" w:eastAsia="宋体" w:cs="Times New Roman"/>
                <w:i w:val="0"/>
                <w:iCs w:val="0"/>
                <w:spacing w:val="9"/>
                <w:position w:val="15"/>
                <w:sz w:val="24"/>
                <w:szCs w:val="24"/>
              </w:rPr>
              <w:t>0.64U</w:t>
            </w:r>
            <w:r>
              <w:rPr>
                <w:rFonts w:hint="default" w:ascii="Times New Roman" w:hAnsi="Times New Roman" w:eastAsia="宋体" w:cs="Times New Roman"/>
                <w:i w:val="0"/>
                <w:iCs w:val="0"/>
                <w:spacing w:val="9"/>
                <w:position w:val="6"/>
                <w:sz w:val="24"/>
                <w:szCs w:val="24"/>
              </w:rPr>
              <w:t>×e</w:t>
            </w:r>
            <w:r>
              <w:rPr>
                <w:rFonts w:hint="default" w:ascii="Times New Roman" w:hAnsi="Times New Roman" w:eastAsia="宋体" w:cs="Times New Roman"/>
                <w:i w:val="0"/>
                <w:iCs w:val="0"/>
                <w:spacing w:val="9"/>
                <w:position w:val="15"/>
                <w:sz w:val="24"/>
                <w:szCs w:val="24"/>
              </w:rPr>
              <w:t>-0.27W</w:t>
            </w:r>
            <w:r>
              <w:rPr>
                <w:rFonts w:hint="default" w:ascii="Times New Roman" w:hAnsi="Times New Roman" w:eastAsia="宋体" w:cs="Times New Roman"/>
                <w:i w:val="0"/>
                <w:iCs w:val="0"/>
                <w:spacing w:val="9"/>
                <w:position w:val="6"/>
                <w:sz w:val="24"/>
                <w:szCs w:val="24"/>
              </w:rPr>
              <w:t>×H</w:t>
            </w:r>
            <w:r>
              <w:rPr>
                <w:rFonts w:hint="default" w:ascii="Times New Roman" w:hAnsi="Times New Roman" w:eastAsia="宋体" w:cs="Times New Roman"/>
                <w:i w:val="0"/>
                <w:iCs w:val="0"/>
                <w:spacing w:val="9"/>
                <w:position w:val="15"/>
                <w:sz w:val="24"/>
                <w:szCs w:val="24"/>
              </w:rPr>
              <w:t>1.283</w:t>
            </w:r>
          </w:p>
          <w:p w14:paraId="49951BB2">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式中：Q——装卸扬尘，g/次；</w:t>
            </w:r>
          </w:p>
          <w:p w14:paraId="2405A79B">
            <w:pPr>
              <w:pStyle w:val="45"/>
              <w:keepNext w:val="0"/>
              <w:keepLines w:val="0"/>
              <w:pageBreakBefore w:val="0"/>
              <w:widowControl w:val="0"/>
              <w:kinsoku/>
              <w:wordWrap/>
              <w:overflowPunct/>
              <w:topLinePunct w:val="0"/>
              <w:autoSpaceDE/>
              <w:autoSpaceDN/>
              <w:bidi w:val="0"/>
              <w:spacing w:line="360" w:lineRule="auto"/>
              <w:ind w:right="0" w:firstLine="119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U——风速，取4m/s；</w:t>
            </w:r>
          </w:p>
          <w:p w14:paraId="7D67F04C">
            <w:pPr>
              <w:pStyle w:val="45"/>
              <w:keepNext w:val="0"/>
              <w:keepLines w:val="0"/>
              <w:pageBreakBefore w:val="0"/>
              <w:widowControl w:val="0"/>
              <w:kinsoku/>
              <w:wordWrap/>
              <w:overflowPunct/>
              <w:topLinePunct w:val="0"/>
              <w:autoSpaceDE/>
              <w:autoSpaceDN/>
              <w:bidi w:val="0"/>
              <w:spacing w:line="360" w:lineRule="auto"/>
              <w:ind w:left="0" w:right="0" w:firstLine="119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W——矿石物料湿度，取6%；</w:t>
            </w:r>
          </w:p>
          <w:p w14:paraId="04E822B6">
            <w:pPr>
              <w:pStyle w:val="45"/>
              <w:keepNext w:val="0"/>
              <w:keepLines w:val="0"/>
              <w:pageBreakBefore w:val="0"/>
              <w:widowControl w:val="0"/>
              <w:kinsoku/>
              <w:wordWrap/>
              <w:overflowPunct/>
              <w:topLinePunct w:val="0"/>
              <w:autoSpaceDE/>
              <w:autoSpaceDN/>
              <w:bidi w:val="0"/>
              <w:spacing w:line="360" w:lineRule="auto"/>
              <w:ind w:left="0" w:right="0" w:firstLine="119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M——车辆吨位，取10；</w:t>
            </w:r>
          </w:p>
          <w:p w14:paraId="698E18BA">
            <w:pPr>
              <w:pStyle w:val="45"/>
              <w:keepNext w:val="0"/>
              <w:keepLines w:val="0"/>
              <w:pageBreakBefore w:val="0"/>
              <w:widowControl w:val="0"/>
              <w:kinsoku/>
              <w:wordWrap/>
              <w:overflowPunct/>
              <w:topLinePunct w:val="0"/>
              <w:autoSpaceDE/>
              <w:autoSpaceDN/>
              <w:bidi w:val="0"/>
              <w:spacing w:line="360" w:lineRule="auto"/>
              <w:ind w:left="0" w:right="0" w:firstLine="119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H——装卸高度，取2m。</w:t>
            </w:r>
          </w:p>
          <w:p w14:paraId="7FDED6EF">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经计算，每车次装卸产品时产生的扬尘量为62.30g/次。</w:t>
            </w:r>
          </w:p>
          <w:p w14:paraId="3C638E8C">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每年需要装卸矿石</w:t>
            </w:r>
            <w:r>
              <w:rPr>
                <w:rFonts w:hint="default" w:ascii="Times New Roman" w:hAnsi="Times New Roman" w:eastAsia="宋体" w:cs="Times New Roman"/>
                <w:spacing w:val="2"/>
                <w:sz w:val="24"/>
                <w:szCs w:val="24"/>
              </w:rPr>
              <w:t>5万t/a</w:t>
            </w: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2.93万m</w:t>
            </w:r>
            <w:r>
              <w:rPr>
                <w:rFonts w:hint="eastAsia" w:ascii="Times New Roman" w:hAnsi="Times New Roman" w:eastAsia="宋体" w:cs="Times New Roman"/>
                <w:spacing w:val="2"/>
                <w:sz w:val="24"/>
                <w:szCs w:val="24"/>
                <w:vertAlign w:val="superscript"/>
                <w:lang w:val="en-US" w:eastAsia="zh-CN"/>
              </w:rPr>
              <w:t>3</w:t>
            </w:r>
            <w:r>
              <w:rPr>
                <w:rFonts w:hint="eastAsia" w:ascii="Times New Roman" w:hAnsi="Times New Roman" w:eastAsia="宋体" w:cs="Times New Roman"/>
                <w:spacing w:val="2"/>
                <w:sz w:val="24"/>
                <w:szCs w:val="24"/>
                <w:lang w:val="en-US" w:eastAsia="zh-CN"/>
              </w:rPr>
              <w:t>/a)</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1"/>
                <w:sz w:val="24"/>
                <w:szCs w:val="24"/>
              </w:rPr>
              <w:t>用载重20m</w:t>
            </w:r>
            <w:r>
              <w:rPr>
                <w:rFonts w:hint="eastAsia" w:ascii="Times New Roman" w:hAnsi="Times New Roman" w:eastAsia="宋体" w:cs="Times New Roman"/>
                <w:spacing w:val="-1"/>
                <w:sz w:val="24"/>
                <w:szCs w:val="24"/>
                <w:vertAlign w:val="superscript"/>
                <w:lang w:val="en-US" w:eastAsia="zh-CN"/>
              </w:rPr>
              <w:t>3</w:t>
            </w:r>
            <w:r>
              <w:rPr>
                <w:rFonts w:hint="default" w:ascii="Times New Roman" w:hAnsi="Times New Roman" w:eastAsia="宋体" w:cs="Times New Roman"/>
                <w:spacing w:val="-2"/>
                <w:sz w:val="24"/>
                <w:szCs w:val="24"/>
              </w:rPr>
              <w:t>/车计，需装卸</w:t>
            </w:r>
            <w:r>
              <w:rPr>
                <w:rFonts w:hint="eastAsia" w:ascii="Times New Roman" w:hAnsi="Times New Roman" w:eastAsia="宋体" w:cs="Times New Roman"/>
                <w:spacing w:val="-2"/>
                <w:sz w:val="24"/>
                <w:szCs w:val="24"/>
                <w:lang w:val="en-US" w:eastAsia="zh-CN"/>
              </w:rPr>
              <w:t>1465</w:t>
            </w:r>
            <w:r>
              <w:rPr>
                <w:rFonts w:hint="default" w:ascii="Times New Roman" w:hAnsi="Times New Roman" w:eastAsia="宋体" w:cs="Times New Roman"/>
                <w:spacing w:val="-2"/>
                <w:sz w:val="24"/>
                <w:szCs w:val="24"/>
              </w:rPr>
              <w:t>车次，装卸扬尘约为0.</w:t>
            </w:r>
            <w:r>
              <w:rPr>
                <w:rFonts w:hint="eastAsia" w:ascii="Times New Roman" w:hAnsi="Times New Roman" w:eastAsia="宋体" w:cs="Times New Roman"/>
                <w:spacing w:val="-2"/>
                <w:sz w:val="24"/>
                <w:szCs w:val="24"/>
                <w:lang w:val="en-US" w:eastAsia="zh-CN"/>
              </w:rPr>
              <w:t>1</w:t>
            </w:r>
            <w:r>
              <w:rPr>
                <w:rFonts w:hint="default" w:ascii="Times New Roman" w:hAnsi="Times New Roman" w:eastAsia="宋体" w:cs="Times New Roman"/>
                <w:spacing w:val="-2"/>
                <w:sz w:val="24"/>
                <w:szCs w:val="24"/>
              </w:rPr>
              <w:t>t/a；</w:t>
            </w:r>
          </w:p>
          <w:p w14:paraId="59F11888">
            <w:pPr>
              <w:keepNext w:val="0"/>
              <w:keepLines w:val="0"/>
              <w:pageBreakBefore w:val="0"/>
              <w:widowControl w:val="0"/>
              <w:kinsoku/>
              <w:wordWrap/>
              <w:overflowPunct/>
              <w:topLinePunct w:val="0"/>
              <w:autoSpaceDE/>
              <w:autoSpaceDN/>
              <w:bidi w:val="0"/>
              <w:adjustRightInd w:val="0"/>
              <w:snapToGrid w:val="0"/>
              <w:spacing w:line="360" w:lineRule="auto"/>
              <w:ind w:left="0" w:right="0" w:firstLine="478" w:firstLineChars="200"/>
              <w:textAlignment w:val="auto"/>
              <w:rPr>
                <w:rFonts w:hint="default" w:ascii="Times New Roman" w:hAnsi="Times New Roman" w:eastAsia="宋体" w:cs="Times New Roman"/>
                <w:b/>
                <w:bCs/>
                <w:spacing w:val="-2"/>
                <w:sz w:val="24"/>
                <w:szCs w:val="24"/>
              </w:rPr>
            </w:pPr>
            <w:r>
              <w:rPr>
                <w:rFonts w:hint="default" w:ascii="Times New Roman" w:hAnsi="Times New Roman" w:eastAsia="宋体" w:cs="Times New Roman"/>
                <w:b/>
                <w:bCs/>
                <w:spacing w:val="-1"/>
                <w:sz w:val="24"/>
                <w:szCs w:val="24"/>
              </w:rPr>
              <w:t>拟采取治理措施：</w:t>
            </w:r>
            <w:r>
              <w:rPr>
                <w:rFonts w:hint="default" w:ascii="Times New Roman" w:hAnsi="Times New Roman" w:eastAsia="宋体" w:cs="Times New Roman"/>
                <w:spacing w:val="-1"/>
                <w:sz w:val="24"/>
                <w:szCs w:val="24"/>
              </w:rPr>
              <w:t>通过采取洒水降尘措施后，除尘率约为80%。</w:t>
            </w:r>
          </w:p>
          <w:p w14:paraId="3E2C3D84">
            <w:pPr>
              <w:pStyle w:val="45"/>
              <w:keepNext w:val="0"/>
              <w:keepLines w:val="0"/>
              <w:pageBreakBefore w:val="0"/>
              <w:widowControl w:val="0"/>
              <w:kinsoku/>
              <w:wordWrap/>
              <w:overflowPunct/>
              <w:topLinePunct w:val="0"/>
              <w:autoSpaceDE/>
              <w:autoSpaceDN/>
              <w:bidi w:val="0"/>
              <w:spacing w:line="360" w:lineRule="auto"/>
              <w:ind w:left="0" w:right="0" w:firstLine="478" w:firstLineChars="200"/>
              <w:textAlignment w:val="auto"/>
              <w:rPr>
                <w:rFonts w:hint="default" w:ascii="Times New Roman" w:hAnsi="Times New Roman" w:eastAsia="宋体" w:cs="Times New Roman"/>
                <w:b/>
                <w:bCs/>
                <w:spacing w:val="-2"/>
                <w:sz w:val="24"/>
                <w:szCs w:val="24"/>
              </w:rPr>
            </w:pPr>
            <w:r>
              <w:rPr>
                <w:rFonts w:hint="default" w:ascii="Times New Roman" w:hAnsi="Times New Roman" w:eastAsia="宋体" w:cs="Times New Roman"/>
                <w:b/>
                <w:bCs/>
                <w:spacing w:val="-1"/>
                <w:sz w:val="24"/>
                <w:szCs w:val="24"/>
              </w:rPr>
              <w:t>排放情况：</w:t>
            </w:r>
            <w:r>
              <w:rPr>
                <w:rFonts w:hint="default" w:ascii="Times New Roman" w:hAnsi="Times New Roman" w:eastAsia="宋体" w:cs="Times New Roman"/>
                <w:spacing w:val="-1"/>
                <w:sz w:val="24"/>
                <w:szCs w:val="24"/>
              </w:rPr>
              <w:t>经计算，本项目产品装卸扬尘产生、治理及排放情况见下表。</w:t>
            </w:r>
          </w:p>
          <w:p w14:paraId="569A0781">
            <w:pPr>
              <w:keepNext w:val="0"/>
              <w:keepLines w:val="0"/>
              <w:pageBreakBefore w:val="0"/>
              <w:widowControl w:val="0"/>
              <w:kinsoku/>
              <w:wordWrap/>
              <w:overflowPunct/>
              <w:topLinePunct w:val="0"/>
              <w:autoSpaceDE/>
              <w:autoSpaceDN/>
              <w:bidi w:val="0"/>
              <w:adjustRightInd w:val="0"/>
              <w:snapToGrid w:val="0"/>
              <w:spacing w:line="360" w:lineRule="auto"/>
              <w:ind w:left="0" w:right="0" w:firstLine="414" w:firstLineChars="200"/>
              <w:jc w:val="center"/>
              <w:textAlignment w:val="auto"/>
              <w:rPr>
                <w:rFonts w:hint="default" w:ascii="Times New Roman" w:hAnsi="Times New Roman" w:eastAsia="宋体" w:cs="Times New Roman"/>
                <w:b/>
                <w:bCs/>
                <w:spacing w:val="-2"/>
                <w:sz w:val="21"/>
                <w:szCs w:val="21"/>
              </w:rPr>
            </w:pPr>
            <w:r>
              <w:rPr>
                <w:rFonts w:hint="default" w:ascii="Times New Roman" w:hAnsi="Times New Roman" w:eastAsia="宋体" w:cs="Times New Roman"/>
                <w:b/>
                <w:bCs/>
                <w:spacing w:val="-2"/>
                <w:sz w:val="21"/>
                <w:szCs w:val="21"/>
              </w:rPr>
              <w:t>表4-</w:t>
            </w:r>
            <w:r>
              <w:rPr>
                <w:rFonts w:hint="eastAsia" w:cs="Times New Roman"/>
                <w:b/>
                <w:bCs/>
                <w:spacing w:val="-2"/>
                <w:sz w:val="21"/>
                <w:szCs w:val="21"/>
                <w:lang w:val="en-US" w:eastAsia="zh-CN"/>
              </w:rPr>
              <w:t>6</w:t>
            </w:r>
            <w:r>
              <w:rPr>
                <w:rFonts w:hint="eastAsia" w:ascii="Times New Roman" w:hAnsi="Times New Roman" w:eastAsia="宋体" w:cs="Times New Roman"/>
                <w:b/>
                <w:bCs/>
                <w:spacing w:val="1"/>
                <w:sz w:val="21"/>
                <w:szCs w:val="21"/>
                <w:lang w:val="en-US" w:eastAsia="zh-CN"/>
              </w:rPr>
              <w:t>矿石</w:t>
            </w:r>
            <w:r>
              <w:rPr>
                <w:rFonts w:hint="default" w:ascii="Times New Roman" w:hAnsi="Times New Roman" w:eastAsia="宋体" w:cs="Times New Roman"/>
                <w:b/>
                <w:bCs/>
                <w:spacing w:val="-2"/>
                <w:sz w:val="21"/>
                <w:szCs w:val="21"/>
              </w:rPr>
              <w:t>装卸扬尘产排情况一览表</w:t>
            </w:r>
          </w:p>
          <w:tbl>
            <w:tblPr>
              <w:tblStyle w:val="23"/>
              <w:tblW w:w="8057" w:type="dxa"/>
              <w:tblInd w:w="113"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1151"/>
              <w:gridCol w:w="1151"/>
              <w:gridCol w:w="1151"/>
              <w:gridCol w:w="1151"/>
              <w:gridCol w:w="1151"/>
              <w:gridCol w:w="1151"/>
            </w:tblGrid>
            <w:tr w14:paraId="4C37D1F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151" w:type="dxa"/>
                  <w:vMerge w:val="restart"/>
                  <w:tcBorders>
                    <w:top w:val="single" w:color="000000" w:sz="12" w:space="0"/>
                    <w:left w:val="nil"/>
                    <w:tl2br w:val="nil"/>
                  </w:tcBorders>
                  <w:noWrap w:val="0"/>
                  <w:vAlign w:val="center"/>
                </w:tcPr>
                <w:p w14:paraId="50DE2F3B">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产污环节</w:t>
                  </w:r>
                </w:p>
              </w:tc>
              <w:tc>
                <w:tcPr>
                  <w:tcW w:w="1151" w:type="dxa"/>
                  <w:vMerge w:val="restart"/>
                  <w:tcBorders>
                    <w:top w:val="single" w:color="000000" w:sz="12" w:space="0"/>
                  </w:tcBorders>
                  <w:noWrap w:val="0"/>
                  <w:vAlign w:val="center"/>
                </w:tcPr>
                <w:p w14:paraId="3E3B7C00">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产污位置</w:t>
                  </w:r>
                </w:p>
              </w:tc>
              <w:tc>
                <w:tcPr>
                  <w:tcW w:w="2302" w:type="dxa"/>
                  <w:gridSpan w:val="2"/>
                  <w:tcBorders>
                    <w:top w:val="single" w:color="000000" w:sz="12" w:space="0"/>
                  </w:tcBorders>
                  <w:noWrap w:val="0"/>
                  <w:vAlign w:val="center"/>
                </w:tcPr>
                <w:p w14:paraId="5F0BD5FB">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产生情况</w:t>
                  </w:r>
                </w:p>
              </w:tc>
              <w:tc>
                <w:tcPr>
                  <w:tcW w:w="1151" w:type="dxa"/>
                  <w:vMerge w:val="restart"/>
                  <w:tcBorders>
                    <w:top w:val="single" w:color="000000" w:sz="12" w:space="0"/>
                  </w:tcBorders>
                  <w:noWrap w:val="0"/>
                  <w:vAlign w:val="center"/>
                </w:tcPr>
                <w:p w14:paraId="088A47DD">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治理措施及效率</w:t>
                  </w:r>
                </w:p>
              </w:tc>
              <w:tc>
                <w:tcPr>
                  <w:tcW w:w="2302" w:type="dxa"/>
                  <w:gridSpan w:val="2"/>
                  <w:tcBorders>
                    <w:top w:val="single" w:color="000000" w:sz="12" w:space="0"/>
                    <w:right w:val="nil"/>
                  </w:tcBorders>
                  <w:noWrap w:val="0"/>
                  <w:vAlign w:val="center"/>
                </w:tcPr>
                <w:p w14:paraId="3CF363F3">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排放情况</w:t>
                  </w:r>
                </w:p>
              </w:tc>
            </w:tr>
            <w:tr w14:paraId="544AF94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1" w:type="dxa"/>
                  <w:vMerge w:val="continue"/>
                  <w:tcBorders>
                    <w:left w:val="nil"/>
                  </w:tcBorders>
                  <w:noWrap w:val="0"/>
                  <w:vAlign w:val="center"/>
                </w:tcPr>
                <w:p w14:paraId="3D63EBC7">
                  <w:pPr>
                    <w:jc w:val="center"/>
                    <w:rPr>
                      <w:rFonts w:hint="default" w:ascii="Times New Roman" w:hAnsi="Times New Roman" w:eastAsia="宋体" w:cs="Times New Roman"/>
                      <w:b/>
                      <w:bCs w:val="0"/>
                      <w:color w:val="000000"/>
                      <w:sz w:val="21"/>
                      <w:szCs w:val="21"/>
                    </w:rPr>
                  </w:pPr>
                </w:p>
              </w:tc>
              <w:tc>
                <w:tcPr>
                  <w:tcW w:w="1151" w:type="dxa"/>
                  <w:vMerge w:val="continue"/>
                  <w:noWrap w:val="0"/>
                  <w:vAlign w:val="center"/>
                </w:tcPr>
                <w:p w14:paraId="32CD6A94">
                  <w:pPr>
                    <w:jc w:val="center"/>
                    <w:rPr>
                      <w:rFonts w:hint="default" w:ascii="Times New Roman" w:hAnsi="Times New Roman" w:eastAsia="宋体" w:cs="Times New Roman"/>
                      <w:b/>
                      <w:bCs w:val="0"/>
                      <w:color w:val="000000"/>
                      <w:sz w:val="21"/>
                      <w:szCs w:val="21"/>
                    </w:rPr>
                  </w:pPr>
                </w:p>
              </w:tc>
              <w:tc>
                <w:tcPr>
                  <w:tcW w:w="1151" w:type="dxa"/>
                  <w:noWrap w:val="0"/>
                  <w:vAlign w:val="center"/>
                </w:tcPr>
                <w:p w14:paraId="4EE1113D">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产生量（t/a）</w:t>
                  </w:r>
                </w:p>
              </w:tc>
              <w:tc>
                <w:tcPr>
                  <w:tcW w:w="1151" w:type="dxa"/>
                  <w:noWrap w:val="0"/>
                  <w:vAlign w:val="center"/>
                </w:tcPr>
                <w:p w14:paraId="7981E2DE">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产生速率（kg/h）</w:t>
                  </w:r>
                </w:p>
              </w:tc>
              <w:tc>
                <w:tcPr>
                  <w:tcW w:w="1151" w:type="dxa"/>
                  <w:vMerge w:val="continue"/>
                  <w:noWrap w:val="0"/>
                  <w:vAlign w:val="center"/>
                </w:tcPr>
                <w:p w14:paraId="15C77DFC">
                  <w:pPr>
                    <w:jc w:val="center"/>
                    <w:rPr>
                      <w:rFonts w:hint="default" w:ascii="Times New Roman" w:hAnsi="Times New Roman" w:eastAsia="宋体" w:cs="Times New Roman"/>
                      <w:b/>
                      <w:bCs w:val="0"/>
                      <w:color w:val="000000"/>
                      <w:sz w:val="21"/>
                      <w:szCs w:val="21"/>
                    </w:rPr>
                  </w:pPr>
                </w:p>
              </w:tc>
              <w:tc>
                <w:tcPr>
                  <w:tcW w:w="1151" w:type="dxa"/>
                  <w:noWrap w:val="0"/>
                  <w:vAlign w:val="center"/>
                </w:tcPr>
                <w:p w14:paraId="1E5A8E90">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排放量（t/a）</w:t>
                  </w:r>
                </w:p>
              </w:tc>
              <w:tc>
                <w:tcPr>
                  <w:tcW w:w="1151" w:type="dxa"/>
                  <w:tcBorders>
                    <w:right w:val="nil"/>
                  </w:tcBorders>
                  <w:noWrap w:val="0"/>
                  <w:vAlign w:val="center"/>
                </w:tcPr>
                <w:p w14:paraId="5392A760">
                  <w:pPr>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val="en-US" w:eastAsia="zh-CN"/>
                    </w:rPr>
                    <w:t>排放速率（kg/h）</w:t>
                  </w:r>
                </w:p>
              </w:tc>
            </w:tr>
            <w:tr w14:paraId="53A9DEE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151" w:type="dxa"/>
                  <w:tcBorders>
                    <w:left w:val="nil"/>
                    <w:bottom w:val="single" w:color="000000" w:sz="12" w:space="0"/>
                  </w:tcBorders>
                  <w:noWrap w:val="0"/>
                  <w:vAlign w:val="center"/>
                </w:tcPr>
                <w:p w14:paraId="45104BE2">
                  <w:pPr>
                    <w:jc w:val="center"/>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矿石</w:t>
                  </w:r>
                  <w:r>
                    <w:rPr>
                      <w:rFonts w:hint="default" w:ascii="Times New Roman" w:hAnsi="Times New Roman" w:eastAsia="宋体" w:cs="Times New Roman"/>
                      <w:spacing w:val="-1"/>
                      <w:sz w:val="21"/>
                      <w:szCs w:val="21"/>
                      <w:lang w:val="en-US" w:eastAsia="zh-CN"/>
                    </w:rPr>
                    <w:t>装卸</w:t>
                  </w:r>
                </w:p>
              </w:tc>
              <w:tc>
                <w:tcPr>
                  <w:tcW w:w="1151" w:type="dxa"/>
                  <w:tcBorders>
                    <w:bottom w:val="single" w:color="000000" w:sz="12" w:space="0"/>
                  </w:tcBorders>
                  <w:noWrap w:val="0"/>
                  <w:vAlign w:val="center"/>
                </w:tcPr>
                <w:p w14:paraId="7D37215C">
                  <w:pPr>
                    <w:jc w:val="center"/>
                    <w:rPr>
                      <w:rFonts w:hint="default" w:ascii="Times New Roman" w:hAnsi="Times New Roman" w:eastAsia="宋体" w:cs="Times New Roman"/>
                      <w:spacing w:val="-1"/>
                      <w:sz w:val="21"/>
                      <w:szCs w:val="21"/>
                      <w:lang w:val="en-US" w:eastAsia="zh-CN"/>
                    </w:rPr>
                  </w:pPr>
                  <w:r>
                    <w:rPr>
                      <w:rFonts w:hint="eastAsia" w:ascii="Times New Roman" w:hAnsi="Times New Roman" w:eastAsia="宋体" w:cs="Times New Roman"/>
                      <w:spacing w:val="-1"/>
                      <w:sz w:val="21"/>
                      <w:szCs w:val="21"/>
                      <w:lang w:val="en-US" w:eastAsia="zh-CN"/>
                    </w:rPr>
                    <w:t>矿石</w:t>
                  </w:r>
                  <w:r>
                    <w:rPr>
                      <w:rFonts w:hint="default" w:ascii="Times New Roman" w:hAnsi="Times New Roman" w:eastAsia="宋体" w:cs="Times New Roman"/>
                      <w:spacing w:val="-1"/>
                      <w:sz w:val="21"/>
                      <w:szCs w:val="21"/>
                      <w:lang w:val="en-US" w:eastAsia="zh-CN"/>
                    </w:rPr>
                    <w:t>装卸区</w:t>
                  </w:r>
                </w:p>
              </w:tc>
              <w:tc>
                <w:tcPr>
                  <w:tcW w:w="1151" w:type="dxa"/>
                  <w:tcBorders>
                    <w:bottom w:val="single" w:color="000000" w:sz="12" w:space="0"/>
                  </w:tcBorders>
                  <w:noWrap w:val="0"/>
                  <w:vAlign w:val="center"/>
                </w:tcPr>
                <w:p w14:paraId="2461EC9F">
                  <w:pPr>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0.1</w:t>
                  </w:r>
                </w:p>
              </w:tc>
              <w:tc>
                <w:tcPr>
                  <w:tcW w:w="1151" w:type="dxa"/>
                  <w:tcBorders>
                    <w:bottom w:val="single" w:color="000000" w:sz="12" w:space="0"/>
                  </w:tcBorders>
                  <w:noWrap w:val="0"/>
                  <w:vAlign w:val="center"/>
                </w:tcPr>
                <w:p w14:paraId="64CB0BDC">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0.0625</w:t>
                  </w:r>
                </w:p>
              </w:tc>
              <w:tc>
                <w:tcPr>
                  <w:tcW w:w="1151" w:type="dxa"/>
                  <w:tcBorders>
                    <w:bottom w:val="single" w:color="000000" w:sz="12" w:space="0"/>
                  </w:tcBorders>
                  <w:noWrap w:val="0"/>
                  <w:vAlign w:val="center"/>
                </w:tcPr>
                <w:p w14:paraId="0CB22D72">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val="en-US" w:eastAsia="zh-CN"/>
                    </w:rPr>
                    <w:t>洒水降尘（80%）</w:t>
                  </w:r>
                </w:p>
              </w:tc>
              <w:tc>
                <w:tcPr>
                  <w:tcW w:w="1151" w:type="dxa"/>
                  <w:tcBorders>
                    <w:bottom w:val="single" w:color="000000" w:sz="12" w:space="0"/>
                  </w:tcBorders>
                  <w:noWrap w:val="0"/>
                  <w:vAlign w:val="center"/>
                </w:tcPr>
                <w:p w14:paraId="45EC45B4">
                  <w:pPr>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0.02</w:t>
                  </w:r>
                </w:p>
              </w:tc>
              <w:tc>
                <w:tcPr>
                  <w:tcW w:w="1151" w:type="dxa"/>
                  <w:tcBorders>
                    <w:bottom w:val="single" w:color="000000" w:sz="12" w:space="0"/>
                    <w:right w:val="nil"/>
                  </w:tcBorders>
                  <w:noWrap w:val="0"/>
                  <w:vAlign w:val="center"/>
                </w:tcPr>
                <w:p w14:paraId="0D9E1989">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0.0125</w:t>
                  </w:r>
                </w:p>
              </w:tc>
            </w:tr>
          </w:tbl>
          <w:p w14:paraId="20225A24">
            <w:pPr>
              <w:adjustRightInd w:val="0"/>
              <w:snapToGrid w:val="0"/>
              <w:rPr>
                <w:rFonts w:hint="default" w:ascii="Times New Roman" w:hAnsi="Times New Roman" w:eastAsia="宋体" w:cs="Times New Roman"/>
                <w:b/>
                <w:bCs/>
                <w:spacing w:val="-2"/>
                <w:sz w:val="24"/>
                <w:szCs w:val="24"/>
              </w:rPr>
            </w:pPr>
          </w:p>
          <w:p w14:paraId="1117DEAD">
            <w:pPr>
              <w:pStyle w:val="45"/>
              <w:keepNext w:val="0"/>
              <w:keepLines w:val="0"/>
              <w:pageBreakBefore w:val="0"/>
              <w:widowControl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w:t>
            </w:r>
            <w:r>
              <w:rPr>
                <w:rFonts w:hint="eastAsia" w:ascii="Times New Roman" w:hAnsi="Times New Roman" w:eastAsia="宋体" w:cs="Times New Roman"/>
                <w:b/>
                <w:bCs/>
                <w:spacing w:val="-3"/>
                <w:sz w:val="24"/>
                <w:szCs w:val="24"/>
                <w:lang w:val="en-US" w:eastAsia="zh-CN"/>
              </w:rPr>
              <w:t>3</w:t>
            </w:r>
            <w:r>
              <w:rPr>
                <w:rFonts w:hint="default" w:ascii="Times New Roman" w:hAnsi="Times New Roman" w:eastAsia="宋体" w:cs="Times New Roman"/>
                <w:b/>
                <w:bCs/>
                <w:spacing w:val="-3"/>
                <w:sz w:val="24"/>
                <w:szCs w:val="24"/>
              </w:rPr>
              <w:t>）道路运输扬尘</w:t>
            </w:r>
            <w:r>
              <w:rPr>
                <w:rFonts w:hint="eastAsia" w:ascii="Times New Roman" w:hAnsi="Times New Roman" w:eastAsia="宋体" w:cs="Times New Roman"/>
                <w:b/>
                <w:bCs/>
                <w:spacing w:val="-3"/>
                <w:sz w:val="24"/>
                <w:szCs w:val="24"/>
                <w:lang w:eastAsia="zh-CN"/>
              </w:rPr>
              <w:t>（</w:t>
            </w:r>
            <w:r>
              <w:rPr>
                <w:rFonts w:hint="eastAsia" w:ascii="Times New Roman" w:hAnsi="Times New Roman" w:eastAsia="宋体" w:cs="Times New Roman"/>
                <w:spacing w:val="6"/>
                <w:sz w:val="24"/>
                <w:szCs w:val="24"/>
                <w:lang w:val="en-US" w:eastAsia="zh-CN"/>
              </w:rPr>
              <w:t>G3</w:t>
            </w:r>
            <w:r>
              <w:rPr>
                <w:rFonts w:hint="eastAsia" w:ascii="Times New Roman" w:hAnsi="Times New Roman" w:eastAsia="宋体" w:cs="Times New Roman"/>
                <w:b/>
                <w:bCs/>
                <w:spacing w:val="-3"/>
                <w:sz w:val="24"/>
                <w:szCs w:val="24"/>
                <w:lang w:eastAsia="zh-CN"/>
              </w:rPr>
              <w:t>）</w:t>
            </w:r>
          </w:p>
          <w:p w14:paraId="2C89457F">
            <w:pPr>
              <w:pStyle w:val="45"/>
              <w:keepNext w:val="0"/>
              <w:keepLines w:val="0"/>
              <w:pageBreakBefore w:val="0"/>
              <w:widowControl w:val="0"/>
              <w:kinsoku/>
              <w:wordWrap/>
              <w:overflowPunct/>
              <w:topLinePunct w:val="0"/>
              <w:autoSpaceDE/>
              <w:autoSpaceDN/>
              <w:bidi w:val="0"/>
              <w:adjustRightInd/>
              <w:snapToGrid/>
              <w:spacing w:line="360" w:lineRule="auto"/>
              <w:ind w:left="0" w:firstLine="47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源强核算：</w:t>
            </w:r>
            <w:r>
              <w:rPr>
                <w:rFonts w:hint="default" w:ascii="Times New Roman" w:hAnsi="Times New Roman" w:eastAsia="宋体" w:cs="Times New Roman"/>
                <w:spacing w:val="-2"/>
                <w:sz w:val="24"/>
                <w:szCs w:val="24"/>
              </w:rPr>
              <w:t>矿石运输过程中会产生一定量的运输扬尘，本项目道路运输扬尘采用上</w:t>
            </w:r>
            <w:r>
              <w:rPr>
                <w:rFonts w:hint="default" w:ascii="Times New Roman" w:hAnsi="Times New Roman" w:eastAsia="宋体" w:cs="Times New Roman"/>
                <w:spacing w:val="-1"/>
                <w:sz w:val="24"/>
                <w:szCs w:val="24"/>
              </w:rPr>
              <w:t>海港环境保护中心和武汉水运工程学院提出的经验公式进行估算。具体公式为：</w:t>
            </w:r>
          </w:p>
          <w:p w14:paraId="6FF2A441">
            <w:pPr>
              <w:spacing w:before="152" w:line="754" w:lineRule="exact"/>
              <w:rPr>
                <w:rFonts w:hint="eastAsia" w:ascii="Times New Roman" w:hAnsi="Times New Roman" w:eastAsia="宋体" w:cs="Times New Roman"/>
                <w:sz w:val="24"/>
                <w:szCs w:val="24"/>
                <w:lang w:eastAsia="zh-CN"/>
              </w:rPr>
            </w:pPr>
            <w:r>
              <w:rPr>
                <w:rFonts w:hint="eastAsia" w:ascii="Times New Roman" w:hAnsi="Times New Roman" w:eastAsia="宋体" w:cs="Times New Roman"/>
                <w:position w:val="-15"/>
                <w:sz w:val="24"/>
                <w:szCs w:val="24"/>
                <w:lang w:val="en-US" w:eastAsia="zh-CN"/>
              </w:rPr>
              <w:t xml:space="preserve">                </w:t>
            </w:r>
            <w:r>
              <w:rPr>
                <w:rFonts w:hint="default" w:ascii="Times New Roman" w:hAnsi="Times New Roman" w:eastAsia="宋体" w:cs="Times New Roman"/>
                <w:position w:val="-15"/>
                <w:sz w:val="24"/>
                <w:szCs w:val="24"/>
                <w:lang w:val="en-US" w:eastAsia="zh-CN"/>
              </w:rPr>
              <w:t xml:space="preserve"> </w:t>
            </w:r>
            <w:r>
              <w:rPr>
                <w:rFonts w:hint="eastAsia" w:ascii="Times New Roman" w:hAnsi="Times New Roman" w:eastAsia="宋体" w:cs="Times New Roman"/>
                <w:i w:val="0"/>
                <w:iCs w:val="0"/>
                <w:sz w:val="24"/>
                <w:szCs w:val="24"/>
                <w:lang w:eastAsia="zh-CN"/>
              </w:rPr>
              <w:drawing>
                <wp:inline distT="0" distB="0" distL="114300" distR="114300">
                  <wp:extent cx="2326640" cy="499110"/>
                  <wp:effectExtent l="0" t="0" r="16510" b="15240"/>
                  <wp:docPr id="1" name="图片 1" descr="10e0233500c21db6f0b465c3df895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e0233500c21db6f0b465c3df8953e0"/>
                          <pic:cNvPicPr>
                            <a:picLocks noChangeAspect="1"/>
                          </pic:cNvPicPr>
                        </pic:nvPicPr>
                        <pic:blipFill>
                          <a:blip r:embed="rId12"/>
                          <a:stretch>
                            <a:fillRect/>
                          </a:stretch>
                        </pic:blipFill>
                        <pic:spPr>
                          <a:xfrm>
                            <a:off x="0" y="0"/>
                            <a:ext cx="2326640" cy="499110"/>
                          </a:xfrm>
                          <a:prstGeom prst="rect">
                            <a:avLst/>
                          </a:prstGeom>
                        </pic:spPr>
                      </pic:pic>
                    </a:graphicData>
                  </a:graphic>
                </wp:inline>
              </w:drawing>
            </w:r>
          </w:p>
          <w:p w14:paraId="7BC8550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式中：Q——汽车行驶的起尘量（kg/辆</w:t>
            </w:r>
            <w:r>
              <w:rPr>
                <w:rFonts w:hint="default" w:ascii="Times New Roman" w:hAnsi="Times New Roman" w:eastAsia="宋体" w:cs="Times New Roman"/>
                <w:spacing w:val="11"/>
                <w:sz w:val="24"/>
                <w:szCs w:val="24"/>
              </w:rPr>
              <w:t>）；</w:t>
            </w:r>
          </w:p>
          <w:p w14:paraId="3F04035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115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V——汽车行驶速度（km/h</w:t>
            </w:r>
            <w:r>
              <w:rPr>
                <w:rFonts w:hint="default" w:ascii="Times New Roman" w:hAnsi="Times New Roman" w:eastAsia="宋体" w:cs="Times New Roman"/>
                <w:spacing w:val="7"/>
                <w:sz w:val="24"/>
                <w:szCs w:val="24"/>
              </w:rPr>
              <w:t>），</w:t>
            </w:r>
            <w:r>
              <w:rPr>
                <w:rFonts w:hint="default" w:ascii="Times New Roman" w:hAnsi="Times New Roman" w:eastAsia="宋体" w:cs="Times New Roman"/>
                <w:spacing w:val="-5"/>
                <w:sz w:val="24"/>
                <w:szCs w:val="24"/>
              </w:rPr>
              <w:t>本项目取20km/h；</w:t>
            </w:r>
          </w:p>
          <w:p w14:paraId="22925E9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118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M——汽车载重量（t</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2"/>
                <w:sz w:val="24"/>
                <w:szCs w:val="24"/>
              </w:rPr>
              <w:t>本项目取50t；</w:t>
            </w:r>
          </w:p>
          <w:p w14:paraId="63B1E38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116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P——道路表面物料量（kg/</w:t>
            </w:r>
            <w:r>
              <w:rPr>
                <w:rFonts w:hint="default" w:ascii="Times New Roman" w:hAnsi="Times New Roman" w:eastAsia="宋体" w:cs="Times New Roman"/>
                <w:spacing w:val="-4"/>
                <w:sz w:val="24"/>
                <w:szCs w:val="24"/>
                <w:lang w:val="en-US" w:eastAsia="zh-CN"/>
              </w:rPr>
              <w:t>m</w:t>
            </w:r>
            <w:r>
              <w:rPr>
                <w:rFonts w:hint="default" w:ascii="Times New Roman" w:hAnsi="Times New Roman" w:eastAsia="宋体" w:cs="Times New Roman"/>
                <w:spacing w:val="-4"/>
                <w:sz w:val="24"/>
                <w:szCs w:val="24"/>
                <w:vertAlign w:val="superscript"/>
                <w:lang w:val="en-US" w:eastAsia="zh-CN"/>
              </w:rPr>
              <w:t>2</w:t>
            </w:r>
            <w:r>
              <w:rPr>
                <w:rFonts w:hint="default" w:ascii="Times New Roman" w:hAnsi="Times New Roman" w:eastAsia="宋体" w:cs="Times New Roman"/>
                <w:spacing w:val="-6"/>
                <w:sz w:val="24"/>
                <w:szCs w:val="24"/>
              </w:rPr>
              <w:t>），</w:t>
            </w:r>
            <w:r>
              <w:rPr>
                <w:rFonts w:hint="default" w:ascii="Times New Roman" w:hAnsi="Times New Roman" w:eastAsia="宋体" w:cs="Times New Roman"/>
                <w:spacing w:val="-4"/>
                <w:sz w:val="24"/>
                <w:szCs w:val="24"/>
              </w:rPr>
              <w:t>本项目取0.1kg/</w:t>
            </w:r>
            <w:r>
              <w:rPr>
                <w:rFonts w:hint="default" w:ascii="Times New Roman" w:hAnsi="Times New Roman" w:eastAsia="宋体" w:cs="Times New Roman"/>
                <w:spacing w:val="-4"/>
                <w:sz w:val="24"/>
                <w:szCs w:val="24"/>
                <w:lang w:val="en-US" w:eastAsia="zh-CN"/>
              </w:rPr>
              <w:t>m</w:t>
            </w:r>
            <w:r>
              <w:rPr>
                <w:rFonts w:hint="default" w:ascii="Times New Roman" w:hAnsi="Times New Roman" w:eastAsia="宋体" w:cs="Times New Roman"/>
                <w:spacing w:val="-4"/>
                <w:sz w:val="24"/>
                <w:szCs w:val="24"/>
                <w:vertAlign w:val="superscript"/>
                <w:lang w:val="en-US" w:eastAsia="zh-CN"/>
              </w:rPr>
              <w:t>2</w:t>
            </w:r>
            <w:r>
              <w:rPr>
                <w:rFonts w:hint="default" w:ascii="Times New Roman" w:hAnsi="Times New Roman" w:eastAsia="宋体" w:cs="Times New Roman"/>
                <w:spacing w:val="-4"/>
                <w:sz w:val="24"/>
                <w:szCs w:val="24"/>
              </w:rPr>
              <w:t>；</w:t>
            </w:r>
          </w:p>
          <w:p w14:paraId="183A602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1200" w:firstLineChars="5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L——道路长度（km</w:t>
            </w:r>
            <w:r>
              <w:rPr>
                <w:rFonts w:hint="default" w:ascii="Times New Roman" w:hAnsi="Times New Roman" w:eastAsia="宋体" w:cs="Times New Roman"/>
                <w:spacing w:val="19"/>
                <w:sz w:val="24"/>
                <w:szCs w:val="24"/>
              </w:rPr>
              <w:t>），</w:t>
            </w:r>
            <w:r>
              <w:rPr>
                <w:rFonts w:hint="default" w:ascii="Times New Roman" w:hAnsi="Times New Roman" w:eastAsia="宋体" w:cs="Times New Roman"/>
                <w:sz w:val="24"/>
                <w:szCs w:val="24"/>
              </w:rPr>
              <w:t>本项目取2km</w:t>
            </w:r>
            <w:r>
              <w:rPr>
                <w:rFonts w:hint="eastAsia" w:ascii="Times New Roman" w:hAnsi="Times New Roman" w:eastAsia="宋体" w:cs="Times New Roman"/>
                <w:sz w:val="24"/>
                <w:szCs w:val="24"/>
                <w:lang w:eastAsia="zh-CN"/>
              </w:rPr>
              <w:t>。</w:t>
            </w:r>
          </w:p>
          <w:p w14:paraId="2737F48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通过计算，本矿区道路运输扬尘产生量为</w:t>
            </w:r>
            <w:r>
              <w:rPr>
                <w:rFonts w:hint="eastAsia" w:ascii="Times New Roman" w:hAnsi="Times New Roman" w:eastAsia="宋体" w:cs="Times New Roman"/>
                <w:sz w:val="24"/>
                <w:szCs w:val="24"/>
                <w:lang w:val="en-US" w:eastAsia="zh-CN"/>
              </w:rPr>
              <w:t>0.774</w:t>
            </w:r>
            <w:r>
              <w:rPr>
                <w:rFonts w:hint="default" w:ascii="Times New Roman" w:hAnsi="Times New Roman" w:eastAsia="宋体" w:cs="Times New Roman"/>
                <w:sz w:val="24"/>
                <w:szCs w:val="24"/>
              </w:rPr>
              <w:t>kg/辆。</w:t>
            </w:r>
            <w:r>
              <w:rPr>
                <w:rFonts w:hint="default" w:ascii="Times New Roman" w:hAnsi="Times New Roman" w:eastAsia="宋体" w:cs="Times New Roman"/>
                <w:spacing w:val="-1"/>
                <w:sz w:val="24"/>
                <w:szCs w:val="24"/>
              </w:rPr>
              <w:t>矿区</w:t>
            </w:r>
            <w:r>
              <w:rPr>
                <w:rFonts w:hint="eastAsia" w:ascii="Times New Roman" w:hAnsi="Times New Roman" w:eastAsia="宋体" w:cs="Times New Roman"/>
                <w:spacing w:val="-1"/>
                <w:sz w:val="24"/>
                <w:szCs w:val="24"/>
                <w:lang w:val="en-US" w:eastAsia="zh-CN"/>
              </w:rPr>
              <w:t>矿石</w:t>
            </w:r>
            <w:r>
              <w:rPr>
                <w:rFonts w:hint="default" w:ascii="Times New Roman" w:hAnsi="Times New Roman" w:eastAsia="宋体" w:cs="Times New Roman"/>
                <w:spacing w:val="-1"/>
                <w:sz w:val="24"/>
                <w:szCs w:val="24"/>
              </w:rPr>
              <w:t>年运输次数为</w:t>
            </w:r>
            <w:r>
              <w:rPr>
                <w:rFonts w:hint="eastAsia" w:ascii="Times New Roman" w:hAnsi="Times New Roman" w:eastAsia="宋体" w:cs="Times New Roman"/>
                <w:spacing w:val="-2"/>
                <w:sz w:val="24"/>
                <w:szCs w:val="24"/>
                <w:lang w:val="en-US" w:eastAsia="zh-CN"/>
              </w:rPr>
              <w:t>1465</w:t>
            </w:r>
            <w:r>
              <w:rPr>
                <w:rFonts w:hint="default" w:ascii="Times New Roman" w:hAnsi="Times New Roman" w:eastAsia="宋体" w:cs="Times New Roman"/>
                <w:spacing w:val="-1"/>
                <w:sz w:val="24"/>
                <w:szCs w:val="24"/>
              </w:rPr>
              <w:t>车次，则本矿区道路运输扬尘产生量约为1.</w:t>
            </w:r>
            <w:r>
              <w:rPr>
                <w:rFonts w:hint="eastAsia" w:ascii="Times New Roman" w:hAnsi="Times New Roman" w:eastAsia="宋体" w:cs="Times New Roman"/>
                <w:spacing w:val="-1"/>
                <w:sz w:val="24"/>
                <w:szCs w:val="24"/>
                <w:lang w:val="en-US" w:eastAsia="zh-CN"/>
              </w:rPr>
              <w:t>13</w:t>
            </w:r>
            <w:r>
              <w:rPr>
                <w:rFonts w:hint="default" w:ascii="Times New Roman" w:hAnsi="Times New Roman" w:eastAsia="宋体" w:cs="Times New Roman"/>
                <w:spacing w:val="-1"/>
                <w:sz w:val="24"/>
                <w:szCs w:val="24"/>
              </w:rPr>
              <w:t>t/a。</w:t>
            </w:r>
          </w:p>
          <w:p w14:paraId="388C6DDC">
            <w:pPr>
              <w:pStyle w:val="45"/>
              <w:spacing w:before="29" w:line="358" w:lineRule="auto"/>
              <w:ind w:left="4" w:right="107" w:firstLine="462"/>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拟采取治理措施：</w:t>
            </w:r>
            <w:r>
              <w:rPr>
                <w:rFonts w:hint="default" w:ascii="Times New Roman" w:hAnsi="Times New Roman" w:eastAsia="宋体" w:cs="Times New Roman"/>
                <w:b w:val="0"/>
                <w:bCs w:val="0"/>
                <w:spacing w:val="-3"/>
                <w:sz w:val="24"/>
                <w:szCs w:val="24"/>
                <w:lang w:val="en-US" w:eastAsia="zh-CN"/>
              </w:rPr>
              <w:t>运输过程中的粉尘通过洒水抑尘、车辆遮盖等措施后</w:t>
            </w:r>
            <w:r>
              <w:rPr>
                <w:rFonts w:hint="eastAsia" w:ascii="Times New Roman" w:hAnsi="Times New Roman" w:eastAsia="宋体" w:cs="Times New Roman"/>
                <w:b w:val="0"/>
                <w:bCs w:val="0"/>
                <w:spacing w:val="-3"/>
                <w:sz w:val="24"/>
                <w:szCs w:val="24"/>
                <w:lang w:val="en-US" w:eastAsia="zh-CN"/>
              </w:rPr>
              <w:t>，抑尘效率约为74%。</w:t>
            </w:r>
          </w:p>
          <w:p w14:paraId="14B6860E">
            <w:pPr>
              <w:pStyle w:val="45"/>
              <w:keepNext w:val="0"/>
              <w:keepLines w:val="0"/>
              <w:pageBreakBefore w:val="0"/>
              <w:widowControl w:val="0"/>
              <w:kinsoku/>
              <w:wordWrap/>
              <w:overflowPunct/>
              <w:topLinePunct w:val="0"/>
              <w:autoSpaceDE/>
              <w:autoSpaceDN/>
              <w:bidi w:val="0"/>
              <w:spacing w:line="360" w:lineRule="auto"/>
              <w:ind w:left="0" w:right="0" w:firstLine="478"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b/>
                <w:bCs/>
                <w:spacing w:val="-1"/>
                <w:sz w:val="24"/>
                <w:szCs w:val="24"/>
              </w:rPr>
              <w:t>排放情况：</w:t>
            </w:r>
            <w:r>
              <w:rPr>
                <w:rFonts w:hint="default" w:ascii="Times New Roman" w:hAnsi="Times New Roman" w:eastAsia="宋体" w:cs="Times New Roman"/>
                <w:spacing w:val="-1"/>
                <w:sz w:val="24"/>
                <w:szCs w:val="24"/>
              </w:rPr>
              <w:t>经计算，本项目道路运输扬尘产生、治理及排放情况见下表。</w:t>
            </w:r>
          </w:p>
          <w:p w14:paraId="5FCECAFE">
            <w:pPr>
              <w:pStyle w:val="45"/>
              <w:keepNext w:val="0"/>
              <w:keepLines w:val="0"/>
              <w:pageBreakBefore w:val="0"/>
              <w:widowControl w:val="0"/>
              <w:kinsoku/>
              <w:wordWrap/>
              <w:overflowPunct/>
              <w:topLinePunct w:val="0"/>
              <w:autoSpaceDE/>
              <w:autoSpaceDN/>
              <w:bidi w:val="0"/>
              <w:spacing w:line="360" w:lineRule="auto"/>
              <w:ind w:left="0" w:right="0" w:firstLine="418" w:firstLineChars="200"/>
              <w:jc w:val="center"/>
              <w:textAlignment w:val="auto"/>
              <w:rPr>
                <w:rFonts w:hint="default" w:ascii="Times New Roman" w:hAnsi="Times New Roman" w:eastAsia="宋体" w:cs="Times New Roman"/>
                <w:b/>
                <w:bCs/>
                <w:spacing w:val="-1"/>
                <w:sz w:val="21"/>
                <w:szCs w:val="21"/>
              </w:rPr>
            </w:pPr>
            <w:r>
              <w:rPr>
                <w:rFonts w:hint="default" w:ascii="Times New Roman" w:hAnsi="Times New Roman" w:eastAsia="宋体" w:cs="Times New Roman"/>
                <w:b/>
                <w:bCs/>
                <w:spacing w:val="-1"/>
                <w:sz w:val="21"/>
                <w:szCs w:val="21"/>
              </w:rPr>
              <w:t>表4-</w:t>
            </w:r>
            <w:r>
              <w:rPr>
                <w:rFonts w:hint="eastAsia" w:ascii="Times New Roman" w:hAnsi="Times New Roman" w:eastAsia="宋体" w:cs="Times New Roman"/>
                <w:b/>
                <w:bCs/>
                <w:spacing w:val="-1"/>
                <w:sz w:val="21"/>
                <w:szCs w:val="21"/>
                <w:lang w:val="en-US" w:eastAsia="zh-CN"/>
              </w:rPr>
              <w:t>7</w:t>
            </w:r>
            <w:r>
              <w:rPr>
                <w:rFonts w:hint="default" w:ascii="Times New Roman" w:hAnsi="Times New Roman" w:eastAsia="宋体" w:cs="Times New Roman"/>
                <w:b/>
                <w:bCs/>
                <w:spacing w:val="-1"/>
                <w:sz w:val="21"/>
                <w:szCs w:val="21"/>
              </w:rPr>
              <w:t>道路运输扬尘产排情况一览表</w:t>
            </w:r>
          </w:p>
          <w:tbl>
            <w:tblPr>
              <w:tblStyle w:val="23"/>
              <w:tblW w:w="7980" w:type="dxa"/>
              <w:tblInd w:w="113"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17"/>
              <w:gridCol w:w="1216"/>
              <w:gridCol w:w="1217"/>
              <w:gridCol w:w="1692"/>
              <w:gridCol w:w="1140"/>
              <w:gridCol w:w="1140"/>
            </w:tblGrid>
            <w:tr w14:paraId="4F19484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758" w:type="dxa"/>
                  <w:vMerge w:val="restart"/>
                  <w:tcBorders>
                    <w:top w:val="single" w:color="000000" w:sz="12" w:space="0"/>
                    <w:left w:val="nil"/>
                    <w:tl2br w:val="nil"/>
                  </w:tcBorders>
                  <w:noWrap w:val="0"/>
                  <w:vAlign w:val="center"/>
                </w:tcPr>
                <w:p w14:paraId="688D637A">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产污环节</w:t>
                  </w:r>
                </w:p>
              </w:tc>
              <w:tc>
                <w:tcPr>
                  <w:tcW w:w="817" w:type="dxa"/>
                  <w:vMerge w:val="restart"/>
                  <w:tcBorders>
                    <w:top w:val="single" w:color="000000" w:sz="12" w:space="0"/>
                  </w:tcBorders>
                  <w:noWrap w:val="0"/>
                  <w:vAlign w:val="center"/>
                </w:tcPr>
                <w:p w14:paraId="0EEFB174">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产污位置</w:t>
                  </w:r>
                </w:p>
              </w:tc>
              <w:tc>
                <w:tcPr>
                  <w:tcW w:w="2433" w:type="dxa"/>
                  <w:gridSpan w:val="2"/>
                  <w:tcBorders>
                    <w:top w:val="single" w:color="000000" w:sz="12" w:space="0"/>
                  </w:tcBorders>
                  <w:noWrap w:val="0"/>
                  <w:vAlign w:val="center"/>
                </w:tcPr>
                <w:p w14:paraId="3092FB6B">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产生情况</w:t>
                  </w:r>
                </w:p>
              </w:tc>
              <w:tc>
                <w:tcPr>
                  <w:tcW w:w="1692" w:type="dxa"/>
                  <w:vMerge w:val="restart"/>
                  <w:tcBorders>
                    <w:top w:val="single" w:color="000000" w:sz="12" w:space="0"/>
                  </w:tcBorders>
                  <w:noWrap w:val="0"/>
                  <w:vAlign w:val="center"/>
                </w:tcPr>
                <w:p w14:paraId="60C3E1D1">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治理措施及效率</w:t>
                  </w:r>
                </w:p>
              </w:tc>
              <w:tc>
                <w:tcPr>
                  <w:tcW w:w="2280" w:type="dxa"/>
                  <w:gridSpan w:val="2"/>
                  <w:tcBorders>
                    <w:top w:val="single" w:color="000000" w:sz="12" w:space="0"/>
                    <w:right w:val="nil"/>
                  </w:tcBorders>
                  <w:noWrap w:val="0"/>
                  <w:vAlign w:val="center"/>
                </w:tcPr>
                <w:p w14:paraId="3F56BB45">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排放情况</w:t>
                  </w:r>
                </w:p>
              </w:tc>
            </w:tr>
            <w:tr w14:paraId="40A703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58" w:type="dxa"/>
                  <w:vMerge w:val="continue"/>
                  <w:tcBorders>
                    <w:left w:val="nil"/>
                  </w:tcBorders>
                  <w:noWrap w:val="0"/>
                  <w:vAlign w:val="center"/>
                </w:tcPr>
                <w:p w14:paraId="1440540F">
                  <w:pPr>
                    <w:jc w:val="center"/>
                    <w:rPr>
                      <w:rFonts w:hint="default" w:ascii="Times New Roman" w:hAnsi="Times New Roman" w:eastAsia="宋体" w:cs="Times New Roman"/>
                      <w:b/>
                      <w:bCs w:val="0"/>
                      <w:i w:val="0"/>
                      <w:iCs w:val="0"/>
                      <w:color w:val="000000"/>
                      <w:sz w:val="21"/>
                      <w:szCs w:val="21"/>
                      <w:u w:val="none"/>
                    </w:rPr>
                  </w:pPr>
                </w:p>
              </w:tc>
              <w:tc>
                <w:tcPr>
                  <w:tcW w:w="817" w:type="dxa"/>
                  <w:vMerge w:val="continue"/>
                  <w:noWrap w:val="0"/>
                  <w:vAlign w:val="center"/>
                </w:tcPr>
                <w:p w14:paraId="3E67C0D8">
                  <w:pPr>
                    <w:jc w:val="center"/>
                    <w:rPr>
                      <w:rFonts w:hint="default" w:ascii="Times New Roman" w:hAnsi="Times New Roman" w:eastAsia="宋体" w:cs="Times New Roman"/>
                      <w:b/>
                      <w:bCs w:val="0"/>
                      <w:i w:val="0"/>
                      <w:iCs w:val="0"/>
                      <w:color w:val="000000"/>
                      <w:sz w:val="21"/>
                      <w:szCs w:val="21"/>
                      <w:u w:val="none"/>
                    </w:rPr>
                  </w:pPr>
                </w:p>
              </w:tc>
              <w:tc>
                <w:tcPr>
                  <w:tcW w:w="1216" w:type="dxa"/>
                  <w:noWrap w:val="0"/>
                  <w:vAlign w:val="center"/>
                </w:tcPr>
                <w:p w14:paraId="0443C44A">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产生量（t/a）</w:t>
                  </w:r>
                </w:p>
              </w:tc>
              <w:tc>
                <w:tcPr>
                  <w:tcW w:w="1217" w:type="dxa"/>
                  <w:noWrap w:val="0"/>
                  <w:vAlign w:val="center"/>
                </w:tcPr>
                <w:p w14:paraId="4FFF35A7">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产生速率（kg/h）</w:t>
                  </w:r>
                </w:p>
              </w:tc>
              <w:tc>
                <w:tcPr>
                  <w:tcW w:w="1692" w:type="dxa"/>
                  <w:vMerge w:val="continue"/>
                  <w:noWrap w:val="0"/>
                  <w:vAlign w:val="center"/>
                </w:tcPr>
                <w:p w14:paraId="561A4579">
                  <w:pPr>
                    <w:jc w:val="center"/>
                    <w:rPr>
                      <w:rFonts w:hint="default" w:ascii="Times New Roman" w:hAnsi="Times New Roman" w:eastAsia="宋体" w:cs="Times New Roman"/>
                      <w:b/>
                      <w:bCs w:val="0"/>
                      <w:i w:val="0"/>
                      <w:iCs w:val="0"/>
                      <w:color w:val="000000"/>
                      <w:sz w:val="21"/>
                      <w:szCs w:val="21"/>
                      <w:u w:val="none"/>
                    </w:rPr>
                  </w:pPr>
                </w:p>
              </w:tc>
              <w:tc>
                <w:tcPr>
                  <w:tcW w:w="1140" w:type="dxa"/>
                  <w:noWrap w:val="0"/>
                  <w:vAlign w:val="center"/>
                </w:tcPr>
                <w:p w14:paraId="6F06B0D2">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排放量（t/a）</w:t>
                  </w:r>
                </w:p>
              </w:tc>
              <w:tc>
                <w:tcPr>
                  <w:tcW w:w="1140" w:type="dxa"/>
                  <w:tcBorders>
                    <w:right w:val="nil"/>
                  </w:tcBorders>
                  <w:noWrap w:val="0"/>
                  <w:vAlign w:val="center"/>
                </w:tcPr>
                <w:p w14:paraId="7C621C88">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排放速率（kg/h）</w:t>
                  </w:r>
                </w:p>
              </w:tc>
            </w:tr>
            <w:tr w14:paraId="444DE17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58" w:type="dxa"/>
                  <w:tcBorders>
                    <w:left w:val="nil"/>
                    <w:bottom w:val="single" w:color="000000" w:sz="12" w:space="0"/>
                  </w:tcBorders>
                  <w:noWrap w:val="0"/>
                  <w:vAlign w:val="center"/>
                </w:tcPr>
                <w:p w14:paraId="7240D1A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道路运输</w:t>
                  </w:r>
                </w:p>
              </w:tc>
              <w:tc>
                <w:tcPr>
                  <w:tcW w:w="817" w:type="dxa"/>
                  <w:tcBorders>
                    <w:bottom w:val="single" w:color="000000" w:sz="12" w:space="0"/>
                  </w:tcBorders>
                  <w:noWrap w:val="0"/>
                  <w:vAlign w:val="center"/>
                </w:tcPr>
                <w:p w14:paraId="41BE9D2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道路运输车辆</w:t>
                  </w:r>
                </w:p>
              </w:tc>
              <w:tc>
                <w:tcPr>
                  <w:tcW w:w="1216" w:type="dxa"/>
                  <w:tcBorders>
                    <w:bottom w:val="single" w:color="000000" w:sz="12" w:space="0"/>
                  </w:tcBorders>
                  <w:noWrap w:val="0"/>
                  <w:vAlign w:val="center"/>
                </w:tcPr>
                <w:p w14:paraId="170EF908">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b w:val="0"/>
                      <w:i w:val="0"/>
                      <w:iCs w:val="0"/>
                      <w:color w:val="000000"/>
                      <w:sz w:val="21"/>
                      <w:szCs w:val="21"/>
                      <w:u w:val="none"/>
                      <w:lang w:val="en-US" w:eastAsia="zh-CN"/>
                    </w:rPr>
                    <w:t>1.</w:t>
                  </w:r>
                  <w:r>
                    <w:rPr>
                      <w:rFonts w:hint="eastAsia" w:cs="Times New Roman"/>
                      <w:b w:val="0"/>
                      <w:i w:val="0"/>
                      <w:iCs w:val="0"/>
                      <w:color w:val="000000"/>
                      <w:sz w:val="21"/>
                      <w:szCs w:val="21"/>
                      <w:u w:val="none"/>
                      <w:lang w:val="en-US" w:eastAsia="zh-CN"/>
                    </w:rPr>
                    <w:t>13</w:t>
                  </w:r>
                </w:p>
              </w:tc>
              <w:tc>
                <w:tcPr>
                  <w:tcW w:w="1217" w:type="dxa"/>
                  <w:tcBorders>
                    <w:bottom w:val="single" w:color="000000" w:sz="12" w:space="0"/>
                  </w:tcBorders>
                  <w:noWrap w:val="0"/>
                  <w:vAlign w:val="center"/>
                </w:tcPr>
                <w:p w14:paraId="0107CA0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eastAsia" w:cs="Times New Roman"/>
                      <w:b w:val="0"/>
                      <w:i w:val="0"/>
                      <w:iCs w:val="0"/>
                      <w:color w:val="000000"/>
                      <w:sz w:val="21"/>
                      <w:szCs w:val="21"/>
                      <w:u w:val="none"/>
                      <w:lang w:val="en-US" w:eastAsia="zh-CN"/>
                    </w:rPr>
                    <w:t>0.706</w:t>
                  </w:r>
                </w:p>
              </w:tc>
              <w:tc>
                <w:tcPr>
                  <w:tcW w:w="1692" w:type="dxa"/>
                  <w:tcBorders>
                    <w:bottom w:val="single" w:color="000000" w:sz="12" w:space="0"/>
                  </w:tcBorders>
                  <w:noWrap w:val="0"/>
                  <w:vAlign w:val="center"/>
                </w:tcPr>
                <w:p w14:paraId="6AB66AE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bCs w:val="0"/>
                      <w:color w:val="000000"/>
                      <w:spacing w:val="-3"/>
                      <w:sz w:val="21"/>
                      <w:szCs w:val="21"/>
                      <w:lang w:val="en-US" w:eastAsia="zh-CN"/>
                    </w:rPr>
                    <w:t>运输过程中的粉尘通过洒水抑尘、车辆遮盖等措施后，抑尘效率约为74%。</w:t>
                  </w:r>
                </w:p>
              </w:tc>
              <w:tc>
                <w:tcPr>
                  <w:tcW w:w="1140" w:type="dxa"/>
                  <w:tcBorders>
                    <w:bottom w:val="single" w:color="000000" w:sz="12" w:space="0"/>
                  </w:tcBorders>
                  <w:noWrap w:val="0"/>
                  <w:vAlign w:val="center"/>
                </w:tcPr>
                <w:p w14:paraId="716105FC">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eastAsia" w:cs="Times New Roman"/>
                      <w:b w:val="0"/>
                      <w:i w:val="0"/>
                      <w:iCs w:val="0"/>
                      <w:color w:val="000000"/>
                      <w:sz w:val="21"/>
                      <w:szCs w:val="21"/>
                      <w:u w:val="none"/>
                      <w:lang w:val="en-US" w:eastAsia="zh-CN"/>
                    </w:rPr>
                    <w:t>0.294</w:t>
                  </w:r>
                </w:p>
              </w:tc>
              <w:tc>
                <w:tcPr>
                  <w:tcW w:w="1140" w:type="dxa"/>
                  <w:tcBorders>
                    <w:bottom w:val="single" w:color="000000" w:sz="12" w:space="0"/>
                    <w:right w:val="nil"/>
                  </w:tcBorders>
                  <w:noWrap w:val="0"/>
                  <w:vAlign w:val="center"/>
                </w:tcPr>
                <w:p w14:paraId="5C74BCA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eastAsia" w:cs="Times New Roman"/>
                      <w:b w:val="0"/>
                      <w:i w:val="0"/>
                      <w:iCs w:val="0"/>
                      <w:color w:val="000000"/>
                      <w:sz w:val="21"/>
                      <w:szCs w:val="21"/>
                      <w:u w:val="none"/>
                      <w:lang w:val="en-US" w:eastAsia="zh-CN"/>
                    </w:rPr>
                    <w:t>0.49</w:t>
                  </w:r>
                </w:p>
              </w:tc>
            </w:tr>
          </w:tbl>
          <w:p w14:paraId="75DEBBE1">
            <w:pPr>
              <w:pStyle w:val="45"/>
              <w:keepNext w:val="0"/>
              <w:keepLines w:val="0"/>
              <w:pageBreakBefore w:val="0"/>
              <w:widowControl w:val="0"/>
              <w:kinsoku/>
              <w:wordWrap/>
              <w:overflowPunct/>
              <w:topLinePunct w:val="0"/>
              <w:autoSpaceDE/>
              <w:autoSpaceDN/>
              <w:bidi w:val="0"/>
              <w:spacing w:line="360" w:lineRule="auto"/>
              <w:ind w:right="0" w:firstLine="47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b/>
                <w:bCs/>
                <w:spacing w:val="-3"/>
                <w:sz w:val="24"/>
                <w:szCs w:val="24"/>
              </w:rPr>
              <w:t>（</w:t>
            </w:r>
            <w:r>
              <w:rPr>
                <w:rFonts w:hint="eastAsia" w:ascii="Times New Roman" w:hAnsi="Times New Roman" w:eastAsia="宋体" w:cs="Times New Roman"/>
                <w:b/>
                <w:bCs/>
                <w:spacing w:val="-3"/>
                <w:sz w:val="24"/>
                <w:szCs w:val="24"/>
                <w:lang w:val="en-US" w:eastAsia="zh-CN"/>
              </w:rPr>
              <w:t>4</w:t>
            </w:r>
            <w:r>
              <w:rPr>
                <w:rFonts w:hint="default" w:ascii="Times New Roman" w:hAnsi="Times New Roman" w:eastAsia="宋体" w:cs="Times New Roman"/>
                <w:b/>
                <w:bCs/>
                <w:spacing w:val="-3"/>
                <w:sz w:val="24"/>
                <w:szCs w:val="24"/>
              </w:rPr>
              <w:t>）堆</w:t>
            </w:r>
            <w:r>
              <w:rPr>
                <w:rFonts w:hint="eastAsia" w:ascii="Times New Roman" w:hAnsi="Times New Roman" w:eastAsia="宋体" w:cs="Times New Roman"/>
                <w:b/>
                <w:bCs/>
                <w:spacing w:val="-3"/>
                <w:sz w:val="24"/>
                <w:szCs w:val="24"/>
                <w:lang w:val="en-US" w:eastAsia="zh-CN"/>
              </w:rPr>
              <w:t>矿</w:t>
            </w:r>
            <w:r>
              <w:rPr>
                <w:rFonts w:hint="default" w:ascii="Times New Roman" w:hAnsi="Times New Roman" w:eastAsia="宋体" w:cs="Times New Roman"/>
                <w:b/>
                <w:bCs/>
                <w:spacing w:val="-3"/>
                <w:sz w:val="24"/>
                <w:szCs w:val="24"/>
              </w:rPr>
              <w:t>场扬尘</w:t>
            </w:r>
            <w:r>
              <w:rPr>
                <w:rFonts w:hint="eastAsia" w:ascii="Times New Roman" w:hAnsi="Times New Roman" w:eastAsia="宋体" w:cs="Times New Roman"/>
                <w:b/>
                <w:bCs/>
                <w:spacing w:val="-3"/>
                <w:sz w:val="24"/>
                <w:szCs w:val="24"/>
                <w:lang w:eastAsia="zh-CN"/>
              </w:rPr>
              <w:t>（</w:t>
            </w:r>
            <w:r>
              <w:rPr>
                <w:rFonts w:hint="eastAsia" w:ascii="Times New Roman" w:hAnsi="Times New Roman" w:eastAsia="宋体" w:cs="Times New Roman"/>
                <w:spacing w:val="6"/>
                <w:sz w:val="24"/>
                <w:szCs w:val="24"/>
                <w:lang w:val="en-US" w:eastAsia="zh-CN"/>
              </w:rPr>
              <w:t>G4</w:t>
            </w:r>
            <w:r>
              <w:rPr>
                <w:rFonts w:hint="eastAsia" w:ascii="Times New Roman" w:hAnsi="Times New Roman" w:eastAsia="宋体" w:cs="Times New Roman"/>
                <w:b/>
                <w:bCs/>
                <w:spacing w:val="-3"/>
                <w:sz w:val="24"/>
                <w:szCs w:val="24"/>
                <w:lang w:eastAsia="zh-CN"/>
              </w:rPr>
              <w:t>）</w:t>
            </w:r>
          </w:p>
          <w:p w14:paraId="6922F3B5">
            <w:pPr>
              <w:pStyle w:val="45"/>
              <w:keepNext w:val="0"/>
              <w:keepLines w:val="0"/>
              <w:pageBreakBefore w:val="0"/>
              <w:widowControl w:val="0"/>
              <w:kinsoku/>
              <w:wordWrap/>
              <w:overflowPunct/>
              <w:topLinePunct w:val="0"/>
              <w:autoSpaceDE/>
              <w:autoSpaceDN/>
              <w:bidi w:val="0"/>
              <w:spacing w:line="360" w:lineRule="auto"/>
              <w:ind w:left="0" w:right="0" w:firstLine="49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源强核算：</w:t>
            </w:r>
            <w:r>
              <w:rPr>
                <w:rFonts w:hint="default" w:ascii="Times New Roman" w:hAnsi="Times New Roman" w:eastAsia="宋体" w:cs="Times New Roman"/>
                <w:spacing w:val="2"/>
                <w:sz w:val="24"/>
                <w:szCs w:val="24"/>
              </w:rPr>
              <w:t>堆场主要为</w:t>
            </w:r>
            <w:r>
              <w:rPr>
                <w:rFonts w:hint="eastAsia" w:ascii="Times New Roman" w:hAnsi="Times New Roman" w:eastAsia="宋体" w:cs="Times New Roman"/>
                <w:spacing w:val="2"/>
                <w:sz w:val="24"/>
                <w:szCs w:val="24"/>
                <w:lang w:val="en-US" w:eastAsia="zh-CN"/>
              </w:rPr>
              <w:t>原料</w:t>
            </w:r>
            <w:r>
              <w:rPr>
                <w:rFonts w:hint="default" w:ascii="Times New Roman" w:hAnsi="Times New Roman" w:eastAsia="宋体" w:cs="Times New Roman"/>
                <w:spacing w:val="2"/>
                <w:sz w:val="24"/>
                <w:szCs w:val="24"/>
              </w:rPr>
              <w:t>堆场（</w:t>
            </w:r>
            <w:r>
              <w:rPr>
                <w:rFonts w:hint="eastAsia" w:ascii="Times New Roman" w:hAnsi="Times New Roman" w:eastAsia="宋体" w:cs="Times New Roman"/>
                <w:spacing w:val="2"/>
                <w:sz w:val="24"/>
                <w:szCs w:val="24"/>
                <w:lang w:val="en-US" w:eastAsia="zh-CN"/>
              </w:rPr>
              <w:t>1000m</w:t>
            </w:r>
            <w:r>
              <w:rPr>
                <w:rFonts w:hint="eastAsia" w:ascii="Times New Roman" w:hAnsi="Times New Roman" w:eastAsia="宋体" w:cs="Times New Roman"/>
                <w:spacing w:val="2"/>
                <w:sz w:val="24"/>
                <w:szCs w:val="24"/>
                <w:vertAlign w:val="superscript"/>
                <w:lang w:val="en-US" w:eastAsia="zh-CN"/>
              </w:rPr>
              <w:t>2</w:t>
            </w:r>
            <w:r>
              <w:rPr>
                <w:rFonts w:hint="default" w:ascii="Times New Roman" w:hAnsi="Times New Roman" w:eastAsia="宋体" w:cs="Times New Roman"/>
                <w:spacing w:val="2"/>
                <w:position w:val="1"/>
                <w:sz w:val="24"/>
                <w:szCs w:val="24"/>
              </w:rPr>
              <w:t>）</w:t>
            </w:r>
            <w:r>
              <w:rPr>
                <w:rFonts w:hint="default" w:ascii="Times New Roman" w:hAnsi="Times New Roman" w:eastAsia="宋体" w:cs="Times New Roman"/>
                <w:spacing w:val="2"/>
                <w:sz w:val="24"/>
                <w:szCs w:val="24"/>
              </w:rPr>
              <w:t>，堆场在大风天气下易形成无组织排放源，其排放量的大小与当地自然环境、矿石岩</w:t>
            </w:r>
            <w:r>
              <w:rPr>
                <w:rFonts w:hint="default" w:ascii="Times New Roman" w:hAnsi="Times New Roman" w:eastAsia="宋体" w:cs="Times New Roman"/>
                <w:spacing w:val="-3"/>
                <w:sz w:val="24"/>
                <w:szCs w:val="24"/>
              </w:rPr>
              <w:t>性、堆存方式等因素有关。采用清华大学在霍州电厂现场试验的模式进行</w:t>
            </w:r>
            <w:r>
              <w:rPr>
                <w:rFonts w:hint="default" w:ascii="Times New Roman" w:hAnsi="Times New Roman" w:eastAsia="宋体" w:cs="Times New Roman"/>
                <w:spacing w:val="-4"/>
                <w:sz w:val="24"/>
                <w:szCs w:val="24"/>
              </w:rPr>
              <w:t>计算，计算公式</w:t>
            </w:r>
            <w:r>
              <w:rPr>
                <w:rFonts w:hint="default" w:ascii="Times New Roman" w:hAnsi="Times New Roman" w:eastAsia="宋体" w:cs="Times New Roman"/>
                <w:spacing w:val="-8"/>
                <w:sz w:val="24"/>
                <w:szCs w:val="24"/>
              </w:rPr>
              <w:t>为：</w:t>
            </w:r>
          </w:p>
          <w:p w14:paraId="76C1CDCD">
            <w:pPr>
              <w:keepNext w:val="0"/>
              <w:keepLines w:val="0"/>
              <w:pageBreakBefore w:val="0"/>
              <w:widowControl w:val="0"/>
              <w:kinsoku/>
              <w:wordWrap/>
              <w:overflowPunct/>
              <w:topLinePunct w:val="0"/>
              <w:autoSpaceDE/>
              <w:autoSpaceDN/>
              <w:bidi w:val="0"/>
              <w:spacing w:line="360" w:lineRule="auto"/>
              <w:ind w:left="0" w:right="0" w:firstLine="488"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position w:val="5"/>
                <w:sz w:val="24"/>
                <w:szCs w:val="24"/>
              </w:rPr>
              <w:t>Q=11.7×U</w:t>
            </w:r>
            <w:r>
              <w:rPr>
                <w:rFonts w:hint="default" w:ascii="Times New Roman" w:hAnsi="Times New Roman" w:eastAsia="宋体" w:cs="Times New Roman"/>
                <w:spacing w:val="2"/>
                <w:position w:val="10"/>
                <w:sz w:val="24"/>
                <w:szCs w:val="24"/>
              </w:rPr>
              <w:t>2.45</w:t>
            </w:r>
            <w:r>
              <w:rPr>
                <w:rFonts w:hint="default" w:ascii="Times New Roman" w:hAnsi="Times New Roman" w:eastAsia="宋体" w:cs="Times New Roman"/>
                <w:spacing w:val="2"/>
                <w:position w:val="5"/>
                <w:sz w:val="24"/>
                <w:szCs w:val="24"/>
              </w:rPr>
              <w:t>×S</w:t>
            </w:r>
            <w:r>
              <w:rPr>
                <w:rFonts w:hint="default" w:ascii="Times New Roman" w:hAnsi="Times New Roman" w:eastAsia="宋体" w:cs="Times New Roman"/>
                <w:spacing w:val="2"/>
                <w:position w:val="10"/>
                <w:sz w:val="24"/>
                <w:szCs w:val="24"/>
              </w:rPr>
              <w:t>0.345</w:t>
            </w:r>
            <w:r>
              <w:rPr>
                <w:rFonts w:hint="default" w:ascii="Times New Roman" w:hAnsi="Times New Roman" w:eastAsia="宋体" w:cs="Times New Roman"/>
                <w:spacing w:val="2"/>
                <w:position w:val="5"/>
                <w:sz w:val="24"/>
                <w:szCs w:val="24"/>
              </w:rPr>
              <w:t>×e</w:t>
            </w:r>
            <w:r>
              <w:rPr>
                <w:rFonts w:hint="default" w:ascii="Times New Roman" w:hAnsi="Times New Roman" w:eastAsia="宋体" w:cs="Times New Roman"/>
                <w:spacing w:val="2"/>
                <w:position w:val="10"/>
                <w:sz w:val="24"/>
                <w:szCs w:val="24"/>
              </w:rPr>
              <w:t>-0.5w</w:t>
            </w:r>
          </w:p>
          <w:p w14:paraId="7681641C">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式中：Q——起尘强度，mg/s；</w:t>
            </w:r>
          </w:p>
          <w:p w14:paraId="7A1E274B">
            <w:pPr>
              <w:pStyle w:val="45"/>
              <w:keepNext w:val="0"/>
              <w:keepLines w:val="0"/>
              <w:pageBreakBefore w:val="0"/>
              <w:widowControl w:val="0"/>
              <w:kinsoku/>
              <w:wordWrap/>
              <w:overflowPunct/>
              <w:topLinePunct w:val="0"/>
              <w:autoSpaceDE/>
              <w:autoSpaceDN/>
              <w:bidi w:val="0"/>
              <w:spacing w:line="360" w:lineRule="auto"/>
              <w:ind w:left="0" w:right="0" w:firstLine="116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U——地面平均风速，m/s，取4m/s；</w:t>
            </w:r>
          </w:p>
          <w:p w14:paraId="6692260A">
            <w:pPr>
              <w:pStyle w:val="45"/>
              <w:keepNext w:val="0"/>
              <w:keepLines w:val="0"/>
              <w:pageBreakBefore w:val="0"/>
              <w:widowControl w:val="0"/>
              <w:kinsoku/>
              <w:wordWrap/>
              <w:overflowPunct/>
              <w:topLinePunct w:val="0"/>
              <w:autoSpaceDE/>
              <w:autoSpaceDN/>
              <w:bidi w:val="0"/>
              <w:spacing w:line="360" w:lineRule="auto"/>
              <w:ind w:left="0" w:right="0" w:firstLine="116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S——表面积，m</w:t>
            </w:r>
            <w:r>
              <w:rPr>
                <w:rFonts w:hint="eastAsia" w:ascii="Times New Roman" w:hAnsi="Times New Roman" w:eastAsia="宋体" w:cs="Times New Roman"/>
                <w:spacing w:val="-4"/>
                <w:sz w:val="24"/>
                <w:szCs w:val="24"/>
                <w:vertAlign w:val="superscript"/>
                <w:lang w:val="en-US" w:eastAsia="zh-CN"/>
              </w:rPr>
              <w:t>2</w:t>
            </w:r>
            <w:r>
              <w:rPr>
                <w:rFonts w:hint="default" w:ascii="Times New Roman" w:hAnsi="Times New Roman" w:eastAsia="宋体" w:cs="Times New Roman"/>
                <w:spacing w:val="-4"/>
                <w:sz w:val="24"/>
                <w:szCs w:val="24"/>
              </w:rPr>
              <w:t>，本项目堆场占地面积约为</w:t>
            </w:r>
            <w:r>
              <w:rPr>
                <w:rFonts w:hint="eastAsia" w:ascii="Times New Roman" w:hAnsi="Times New Roman" w:eastAsia="宋体" w:cs="Times New Roman"/>
                <w:spacing w:val="-4"/>
                <w:sz w:val="24"/>
                <w:szCs w:val="24"/>
                <w:lang w:val="en-US" w:eastAsia="zh-CN"/>
              </w:rPr>
              <w:t>1</w:t>
            </w:r>
            <w:r>
              <w:rPr>
                <w:rFonts w:hint="eastAsia" w:ascii="Times New Roman" w:hAnsi="Times New Roman" w:eastAsia="宋体" w:cs="Times New Roman"/>
                <w:spacing w:val="2"/>
                <w:sz w:val="24"/>
                <w:szCs w:val="24"/>
                <w:lang w:val="en-US" w:eastAsia="zh-CN"/>
              </w:rPr>
              <w:t>000</w:t>
            </w:r>
            <w:r>
              <w:rPr>
                <w:rFonts w:hint="default" w:ascii="Times New Roman" w:hAnsi="Times New Roman" w:eastAsia="宋体" w:cs="Times New Roman"/>
                <w:spacing w:val="-4"/>
                <w:sz w:val="24"/>
                <w:szCs w:val="24"/>
              </w:rPr>
              <w:t>m</w:t>
            </w:r>
            <w:r>
              <w:rPr>
                <w:rFonts w:hint="default" w:ascii="Times New Roman" w:hAnsi="Times New Roman" w:eastAsia="宋体" w:cs="Times New Roman"/>
                <w:spacing w:val="-4"/>
                <w:sz w:val="24"/>
                <w:szCs w:val="24"/>
                <w:vertAlign w:val="superscript"/>
              </w:rPr>
              <w:t>2</w:t>
            </w:r>
            <w:r>
              <w:rPr>
                <w:rFonts w:hint="default" w:ascii="Times New Roman" w:hAnsi="Times New Roman" w:eastAsia="宋体" w:cs="Times New Roman"/>
                <w:spacing w:val="-4"/>
                <w:sz w:val="24"/>
                <w:szCs w:val="24"/>
              </w:rPr>
              <w:t>；</w:t>
            </w:r>
          </w:p>
          <w:p w14:paraId="7ECA6BEF">
            <w:pPr>
              <w:pStyle w:val="45"/>
              <w:keepNext w:val="0"/>
              <w:keepLines w:val="0"/>
              <w:pageBreakBefore w:val="0"/>
              <w:widowControl w:val="0"/>
              <w:kinsoku/>
              <w:wordWrap/>
              <w:overflowPunct/>
              <w:topLinePunct w:val="0"/>
              <w:autoSpaceDE/>
              <w:autoSpaceDN/>
              <w:bidi w:val="0"/>
              <w:spacing w:line="360" w:lineRule="auto"/>
              <w:ind w:left="0" w:right="0" w:firstLine="114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W——物料含水率，%，取6%。</w:t>
            </w:r>
          </w:p>
          <w:p w14:paraId="58C59F6C">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pacing w:val="-2"/>
                <w:sz w:val="24"/>
                <w:szCs w:val="24"/>
                <w:lang w:val="en-US" w:eastAsia="zh-CN"/>
              </w:rPr>
              <w:t xml:space="preserve">经计算，项目堆场起尘强度为188.52mg/s，0.679kg/h，起尘时间按照365天，每天24h计算。本项目堆场总起尘量为5.948t/a。                                                                                                                                                                                                                                                                                                                                                                                                                                                                                                                                                                                                                                                                                                                                                                                                                                                                                                                                                                                                                                                                                                                                                                                                                                                                                                                                                                                                                                                                                                                                                                                                                                                                                                                                                                                                                                                                                                                                                                                                                                                                                                                                                                                                                                                                                                                                                                                                                                                                                                                                                                                                                                                                                                                                                                                                                                                                                                                                                                                                                                                                                                                                                                                                                                                                                                                                                                                                                                                                                                                                                                                                                                                                                                                                                                                                                                                                                                                                                                                                                                                                                                                                        </w:t>
            </w:r>
            <w:r>
              <w:rPr>
                <w:rFonts w:hint="eastAsia" w:ascii="Times New Roman" w:hAnsi="Times New Roman" w:eastAsia="宋体" w:cs="Times New Roman"/>
                <w:spacing w:val="-2"/>
                <w:sz w:val="24"/>
                <w:szCs w:val="24"/>
                <w:lang w:val="en-US" w:eastAsia="zh-CN"/>
              </w:rPr>
              <w:t xml:space="preserve">                                                                                                                                                                                                                                                                                                                                                                                                                                                                                                                                                                                                                                                                                                                                                                                                                                                                                                                                                                                                                                                                                                                                                                                                                                                                                                                                                                                                                                                                                                                                                                                                                                                                                                                                                                                                                                                                                                                                                                                                                                                                                                                                                                                                                                                                                                                                                                                                                                                                                                                                                                                                                                                                                                                                                                                                                                                                                                                                                                                                                                                                                                                                                                                                                                                                                                                                                                                                                                                                                                                                                                                                                                                                                    </w:t>
            </w:r>
          </w:p>
          <w:p w14:paraId="2C707766">
            <w:pPr>
              <w:pStyle w:val="45"/>
              <w:keepNext w:val="0"/>
              <w:keepLines w:val="0"/>
              <w:pageBreakBefore w:val="0"/>
              <w:widowControl w:val="0"/>
              <w:kinsoku/>
              <w:wordWrap/>
              <w:overflowPunct/>
              <w:topLinePunct w:val="0"/>
              <w:autoSpaceDE/>
              <w:autoSpaceDN/>
              <w:bidi w:val="0"/>
              <w:spacing w:line="360" w:lineRule="auto"/>
              <w:ind w:left="0" w:right="0" w:firstLine="466" w:firstLineChars="200"/>
              <w:textAlignment w:val="auto"/>
              <w:rPr>
                <w:rFonts w:hint="default" w:ascii="Times New Roman" w:hAnsi="Times New Roman" w:eastAsia="宋体" w:cs="Times New Roman"/>
                <w:b w:val="0"/>
                <w:bCs w:val="0"/>
                <w:spacing w:val="-5"/>
                <w:sz w:val="24"/>
                <w:szCs w:val="24"/>
                <w:lang w:val="en-US"/>
              </w:rPr>
            </w:pPr>
            <w:r>
              <w:rPr>
                <w:rFonts w:hint="default" w:ascii="Times New Roman" w:hAnsi="Times New Roman" w:eastAsia="宋体" w:cs="Times New Roman"/>
                <w:b/>
                <w:bCs/>
                <w:spacing w:val="-4"/>
                <w:sz w:val="24"/>
                <w:szCs w:val="24"/>
              </w:rPr>
              <w:t>拟采取治理措施：</w:t>
            </w:r>
            <w:r>
              <w:rPr>
                <w:rFonts w:hint="default" w:ascii="Times New Roman" w:hAnsi="Times New Roman" w:eastAsia="宋体" w:cs="Times New Roman"/>
                <w:b w:val="0"/>
                <w:bCs w:val="0"/>
                <w:spacing w:val="-4"/>
                <w:sz w:val="24"/>
                <w:szCs w:val="24"/>
                <w:lang w:val="en-US" w:eastAsia="zh-CN"/>
              </w:rPr>
              <w:t>堆料场采用三面围挡+顶棚式结构，并进行洒水抑尘，粉尘可降低74%左右</w:t>
            </w:r>
            <w:r>
              <w:rPr>
                <w:rFonts w:hint="eastAsia" w:ascii="Times New Roman" w:hAnsi="Times New Roman" w:eastAsia="宋体" w:cs="Times New Roman"/>
                <w:b w:val="0"/>
                <w:bCs w:val="0"/>
                <w:spacing w:val="-4"/>
                <w:sz w:val="24"/>
                <w:szCs w:val="24"/>
                <w:lang w:val="en-US" w:eastAsia="zh-CN"/>
              </w:rPr>
              <w:t>。</w:t>
            </w:r>
          </w:p>
          <w:p w14:paraId="00167892">
            <w:pPr>
              <w:pStyle w:val="45"/>
              <w:keepNext w:val="0"/>
              <w:keepLines w:val="0"/>
              <w:pageBreakBefore w:val="0"/>
              <w:widowControl w:val="0"/>
              <w:kinsoku/>
              <w:wordWrap/>
              <w:overflowPunct/>
              <w:topLinePunct w:val="0"/>
              <w:autoSpaceDE/>
              <w:autoSpaceDN/>
              <w:bidi w:val="0"/>
              <w:spacing w:line="360" w:lineRule="auto"/>
              <w:ind w:left="0" w:right="0" w:firstLine="478" w:firstLineChars="200"/>
              <w:textAlignment w:val="auto"/>
              <w:rPr>
                <w:rFonts w:hint="default" w:ascii="Times New Roman" w:hAnsi="Times New Roman" w:eastAsia="宋体" w:cs="Times New Roman"/>
                <w:b/>
                <w:bCs/>
                <w:spacing w:val="-2"/>
                <w:sz w:val="24"/>
                <w:szCs w:val="24"/>
              </w:rPr>
            </w:pPr>
            <w:r>
              <w:rPr>
                <w:rFonts w:hint="default" w:ascii="Times New Roman" w:hAnsi="Times New Roman" w:eastAsia="宋体" w:cs="Times New Roman"/>
                <w:b/>
                <w:bCs/>
                <w:spacing w:val="-1"/>
                <w:sz w:val="24"/>
                <w:szCs w:val="24"/>
              </w:rPr>
              <w:t>排放情况：</w:t>
            </w:r>
            <w:r>
              <w:rPr>
                <w:rFonts w:hint="default" w:ascii="Times New Roman" w:hAnsi="Times New Roman" w:eastAsia="宋体" w:cs="Times New Roman"/>
                <w:spacing w:val="-1"/>
                <w:sz w:val="24"/>
                <w:szCs w:val="24"/>
              </w:rPr>
              <w:t>抑尘后堆场颗粒物排放量为</w:t>
            </w:r>
            <w:r>
              <w:rPr>
                <w:rFonts w:hint="eastAsia" w:ascii="Times New Roman" w:hAnsi="Times New Roman" w:eastAsia="宋体" w:cs="Times New Roman"/>
                <w:spacing w:val="-1"/>
                <w:sz w:val="24"/>
                <w:szCs w:val="24"/>
                <w:lang w:val="en-US" w:eastAsia="zh-CN"/>
              </w:rPr>
              <w:t>3.166</w:t>
            </w:r>
            <w:r>
              <w:rPr>
                <w:rFonts w:hint="default" w:ascii="Times New Roman" w:hAnsi="Times New Roman" w:eastAsia="宋体" w:cs="Times New Roman"/>
                <w:spacing w:val="-2"/>
                <w:sz w:val="24"/>
                <w:szCs w:val="24"/>
              </w:rPr>
              <w:t>t/a。</w:t>
            </w:r>
          </w:p>
          <w:p w14:paraId="6235CCA1">
            <w:pPr>
              <w:adjustRightInd w:val="0"/>
              <w:snapToGrid w:val="0"/>
              <w:jc w:val="center"/>
              <w:rPr>
                <w:rFonts w:hint="default" w:ascii="Times New Roman" w:hAnsi="Times New Roman" w:eastAsia="宋体" w:cs="Times New Roman"/>
                <w:b/>
                <w:bCs/>
                <w:spacing w:val="-2"/>
                <w:sz w:val="21"/>
                <w:szCs w:val="21"/>
              </w:rPr>
            </w:pPr>
            <w:r>
              <w:rPr>
                <w:rFonts w:hint="default" w:ascii="Times New Roman" w:hAnsi="Times New Roman" w:eastAsia="宋体" w:cs="Times New Roman"/>
                <w:b/>
                <w:bCs/>
                <w:spacing w:val="-2"/>
                <w:sz w:val="21"/>
                <w:szCs w:val="21"/>
              </w:rPr>
              <w:t>表4-</w:t>
            </w:r>
            <w:r>
              <w:rPr>
                <w:rFonts w:hint="eastAsia" w:cs="Times New Roman"/>
                <w:b/>
                <w:bCs/>
                <w:spacing w:val="-2"/>
                <w:sz w:val="21"/>
                <w:szCs w:val="21"/>
                <w:lang w:val="en-US" w:eastAsia="zh-CN"/>
              </w:rPr>
              <w:t>8</w:t>
            </w:r>
            <w:r>
              <w:rPr>
                <w:rFonts w:hint="default" w:ascii="Times New Roman" w:hAnsi="Times New Roman" w:eastAsia="宋体" w:cs="Times New Roman"/>
                <w:b/>
                <w:bCs/>
                <w:spacing w:val="-2"/>
                <w:sz w:val="21"/>
                <w:szCs w:val="21"/>
              </w:rPr>
              <w:t>堆场扬尘产排情况一览表</w:t>
            </w:r>
          </w:p>
          <w:tbl>
            <w:tblPr>
              <w:tblStyle w:val="23"/>
              <w:tblW w:w="7980" w:type="dxa"/>
              <w:tblInd w:w="103"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17"/>
              <w:gridCol w:w="1216"/>
              <w:gridCol w:w="1217"/>
              <w:gridCol w:w="1692"/>
              <w:gridCol w:w="1140"/>
              <w:gridCol w:w="1140"/>
            </w:tblGrid>
            <w:tr w14:paraId="67E1F40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758" w:type="dxa"/>
                  <w:vMerge w:val="restart"/>
                  <w:tcBorders>
                    <w:top w:val="single" w:color="000000" w:sz="12" w:space="0"/>
                    <w:left w:val="nil"/>
                    <w:tl2br w:val="nil"/>
                  </w:tcBorders>
                  <w:noWrap w:val="0"/>
                  <w:vAlign w:val="center"/>
                </w:tcPr>
                <w:p w14:paraId="1C2DA4D0">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产污环节</w:t>
                  </w:r>
                </w:p>
              </w:tc>
              <w:tc>
                <w:tcPr>
                  <w:tcW w:w="817" w:type="dxa"/>
                  <w:vMerge w:val="restart"/>
                  <w:tcBorders>
                    <w:top w:val="single" w:color="000000" w:sz="12" w:space="0"/>
                  </w:tcBorders>
                  <w:noWrap w:val="0"/>
                  <w:vAlign w:val="center"/>
                </w:tcPr>
                <w:p w14:paraId="76767332">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产污位置</w:t>
                  </w:r>
                </w:p>
              </w:tc>
              <w:tc>
                <w:tcPr>
                  <w:tcW w:w="2433" w:type="dxa"/>
                  <w:gridSpan w:val="2"/>
                  <w:tcBorders>
                    <w:top w:val="single" w:color="000000" w:sz="12" w:space="0"/>
                  </w:tcBorders>
                  <w:noWrap w:val="0"/>
                  <w:vAlign w:val="center"/>
                </w:tcPr>
                <w:p w14:paraId="340C75A7">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产生情况</w:t>
                  </w:r>
                </w:p>
              </w:tc>
              <w:tc>
                <w:tcPr>
                  <w:tcW w:w="1692" w:type="dxa"/>
                  <w:vMerge w:val="restart"/>
                  <w:tcBorders>
                    <w:top w:val="single" w:color="000000" w:sz="12" w:space="0"/>
                  </w:tcBorders>
                  <w:noWrap w:val="0"/>
                  <w:vAlign w:val="center"/>
                </w:tcPr>
                <w:p w14:paraId="2A773517">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治理措施及效率</w:t>
                  </w:r>
                </w:p>
              </w:tc>
              <w:tc>
                <w:tcPr>
                  <w:tcW w:w="2280" w:type="dxa"/>
                  <w:gridSpan w:val="2"/>
                  <w:tcBorders>
                    <w:top w:val="single" w:color="000000" w:sz="12" w:space="0"/>
                    <w:right w:val="nil"/>
                  </w:tcBorders>
                  <w:noWrap w:val="0"/>
                  <w:vAlign w:val="center"/>
                </w:tcPr>
                <w:p w14:paraId="3E4430A8">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排放情况</w:t>
                  </w:r>
                </w:p>
              </w:tc>
            </w:tr>
            <w:tr w14:paraId="08B2838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58" w:type="dxa"/>
                  <w:vMerge w:val="continue"/>
                  <w:tcBorders>
                    <w:left w:val="nil"/>
                  </w:tcBorders>
                  <w:noWrap w:val="0"/>
                  <w:vAlign w:val="center"/>
                </w:tcPr>
                <w:p w14:paraId="2C06EFFD">
                  <w:pPr>
                    <w:jc w:val="center"/>
                    <w:rPr>
                      <w:rFonts w:hint="default" w:ascii="Times New Roman" w:hAnsi="Times New Roman" w:eastAsia="宋体" w:cs="Times New Roman"/>
                      <w:b/>
                      <w:bCs w:val="0"/>
                      <w:i w:val="0"/>
                      <w:iCs w:val="0"/>
                      <w:color w:val="000000"/>
                      <w:sz w:val="21"/>
                      <w:szCs w:val="21"/>
                      <w:u w:val="none"/>
                    </w:rPr>
                  </w:pPr>
                </w:p>
              </w:tc>
              <w:tc>
                <w:tcPr>
                  <w:tcW w:w="817" w:type="dxa"/>
                  <w:vMerge w:val="continue"/>
                  <w:noWrap w:val="0"/>
                  <w:vAlign w:val="center"/>
                </w:tcPr>
                <w:p w14:paraId="51F3C9D4">
                  <w:pPr>
                    <w:jc w:val="center"/>
                    <w:rPr>
                      <w:rFonts w:hint="default" w:ascii="Times New Roman" w:hAnsi="Times New Roman" w:eastAsia="宋体" w:cs="Times New Roman"/>
                      <w:b/>
                      <w:bCs w:val="0"/>
                      <w:i w:val="0"/>
                      <w:iCs w:val="0"/>
                      <w:color w:val="000000"/>
                      <w:sz w:val="21"/>
                      <w:szCs w:val="21"/>
                      <w:u w:val="none"/>
                    </w:rPr>
                  </w:pPr>
                </w:p>
              </w:tc>
              <w:tc>
                <w:tcPr>
                  <w:tcW w:w="1216" w:type="dxa"/>
                  <w:noWrap w:val="0"/>
                  <w:vAlign w:val="center"/>
                </w:tcPr>
                <w:p w14:paraId="196748A6">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产生量（t/a）</w:t>
                  </w:r>
                </w:p>
              </w:tc>
              <w:tc>
                <w:tcPr>
                  <w:tcW w:w="1217" w:type="dxa"/>
                  <w:noWrap w:val="0"/>
                  <w:vAlign w:val="center"/>
                </w:tcPr>
                <w:p w14:paraId="7AB11443">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产生速率（kg/h）</w:t>
                  </w:r>
                </w:p>
              </w:tc>
              <w:tc>
                <w:tcPr>
                  <w:tcW w:w="1692" w:type="dxa"/>
                  <w:vMerge w:val="continue"/>
                  <w:noWrap w:val="0"/>
                  <w:vAlign w:val="center"/>
                </w:tcPr>
                <w:p w14:paraId="4F21942D">
                  <w:pPr>
                    <w:jc w:val="center"/>
                    <w:rPr>
                      <w:rFonts w:hint="default" w:ascii="Times New Roman" w:hAnsi="Times New Roman" w:eastAsia="宋体" w:cs="Times New Roman"/>
                      <w:b/>
                      <w:bCs w:val="0"/>
                      <w:i w:val="0"/>
                      <w:iCs w:val="0"/>
                      <w:color w:val="000000"/>
                      <w:sz w:val="21"/>
                      <w:szCs w:val="21"/>
                      <w:u w:val="none"/>
                    </w:rPr>
                  </w:pPr>
                </w:p>
              </w:tc>
              <w:tc>
                <w:tcPr>
                  <w:tcW w:w="1140" w:type="dxa"/>
                  <w:noWrap w:val="0"/>
                  <w:vAlign w:val="center"/>
                </w:tcPr>
                <w:p w14:paraId="400E8A42">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排放量（t/a）</w:t>
                  </w:r>
                </w:p>
              </w:tc>
              <w:tc>
                <w:tcPr>
                  <w:tcW w:w="1140" w:type="dxa"/>
                  <w:tcBorders>
                    <w:right w:val="nil"/>
                  </w:tcBorders>
                  <w:noWrap w:val="0"/>
                  <w:vAlign w:val="center"/>
                </w:tcPr>
                <w:p w14:paraId="0AD2322B">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排放速率（kg/h）</w:t>
                  </w:r>
                </w:p>
              </w:tc>
            </w:tr>
            <w:tr w14:paraId="6B3CAF2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58" w:type="dxa"/>
                  <w:tcBorders>
                    <w:left w:val="nil"/>
                    <w:bottom w:val="single" w:color="000000" w:sz="12" w:space="0"/>
                  </w:tcBorders>
                  <w:noWrap w:val="0"/>
                  <w:vAlign w:val="center"/>
                </w:tcPr>
                <w:p w14:paraId="7BA6CDD5">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物料堆存</w:t>
                  </w:r>
                </w:p>
              </w:tc>
              <w:tc>
                <w:tcPr>
                  <w:tcW w:w="817" w:type="dxa"/>
                  <w:tcBorders>
                    <w:bottom w:val="single" w:color="000000" w:sz="12" w:space="0"/>
                  </w:tcBorders>
                  <w:noWrap w:val="0"/>
                  <w:vAlign w:val="center"/>
                </w:tcPr>
                <w:p w14:paraId="48DD35B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eastAsia" w:ascii="Times New Roman" w:hAnsi="Times New Roman" w:eastAsia="宋体" w:cs="Times New Roman"/>
                      <w:b w:val="0"/>
                      <w:i w:val="0"/>
                      <w:iCs w:val="0"/>
                      <w:color w:val="000000"/>
                      <w:sz w:val="21"/>
                      <w:szCs w:val="21"/>
                      <w:u w:val="none"/>
                      <w:lang w:val="en-US" w:eastAsia="zh-CN"/>
                    </w:rPr>
                    <w:t>原料堆场</w:t>
                  </w:r>
                </w:p>
              </w:tc>
              <w:tc>
                <w:tcPr>
                  <w:tcW w:w="1216" w:type="dxa"/>
                  <w:tcBorders>
                    <w:bottom w:val="single" w:color="000000" w:sz="12" w:space="0"/>
                  </w:tcBorders>
                  <w:noWrap w:val="0"/>
                  <w:vAlign w:val="center"/>
                </w:tcPr>
                <w:p w14:paraId="2EAEF930">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b w:val="0"/>
                      <w:i w:val="0"/>
                      <w:iCs w:val="0"/>
                      <w:color w:val="000000"/>
                      <w:sz w:val="21"/>
                      <w:szCs w:val="21"/>
                      <w:u w:val="none"/>
                      <w:lang w:val="en-US" w:eastAsia="zh-CN"/>
                    </w:rPr>
                    <w:t>5.948</w:t>
                  </w:r>
                </w:p>
              </w:tc>
              <w:tc>
                <w:tcPr>
                  <w:tcW w:w="1217" w:type="dxa"/>
                  <w:tcBorders>
                    <w:bottom w:val="single" w:color="000000" w:sz="12" w:space="0"/>
                  </w:tcBorders>
                  <w:noWrap w:val="0"/>
                  <w:vAlign w:val="center"/>
                </w:tcPr>
                <w:p w14:paraId="193F197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b w:val="0"/>
                      <w:i w:val="0"/>
                      <w:iCs w:val="0"/>
                      <w:color w:val="000000"/>
                      <w:sz w:val="21"/>
                      <w:szCs w:val="21"/>
                      <w:u w:val="none"/>
                      <w:lang w:val="en-US" w:eastAsia="zh-CN"/>
                    </w:rPr>
                    <w:t>0.679</w:t>
                  </w:r>
                </w:p>
              </w:tc>
              <w:tc>
                <w:tcPr>
                  <w:tcW w:w="1692" w:type="dxa"/>
                  <w:tcBorders>
                    <w:bottom w:val="single" w:color="000000" w:sz="12" w:space="0"/>
                  </w:tcBorders>
                  <w:noWrap w:val="0"/>
                  <w:vAlign w:val="center"/>
                </w:tcPr>
                <w:p w14:paraId="22F551B6">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rPr>
                  </w:pPr>
                  <w:r>
                    <w:rPr>
                      <w:rFonts w:hint="default" w:ascii="Times New Roman" w:hAnsi="Times New Roman" w:eastAsia="宋体" w:cs="Times New Roman"/>
                      <w:b w:val="0"/>
                      <w:i w:val="0"/>
                      <w:iCs w:val="0"/>
                      <w:color w:val="000000"/>
                      <w:sz w:val="21"/>
                      <w:szCs w:val="21"/>
                      <w:u w:val="none"/>
                      <w:lang w:val="en-US" w:eastAsia="zh-CN"/>
                    </w:rPr>
                    <w:t>堆料场采用三面围挡+顶棚式结构，并进行洒水抑尘，粉尘可降低74%左右</w:t>
                  </w:r>
                  <w:r>
                    <w:rPr>
                      <w:rFonts w:hint="eastAsia" w:ascii="Times New Roman" w:hAnsi="Times New Roman" w:eastAsia="宋体" w:cs="Times New Roman"/>
                      <w:b w:val="0"/>
                      <w:i w:val="0"/>
                      <w:iCs w:val="0"/>
                      <w:color w:val="000000"/>
                      <w:sz w:val="21"/>
                      <w:szCs w:val="21"/>
                      <w:u w:val="none"/>
                      <w:lang w:val="en-US" w:eastAsia="zh-CN"/>
                    </w:rPr>
                    <w:t>。</w:t>
                  </w:r>
                </w:p>
              </w:tc>
              <w:tc>
                <w:tcPr>
                  <w:tcW w:w="1140" w:type="dxa"/>
                  <w:tcBorders>
                    <w:bottom w:val="single" w:color="000000" w:sz="12" w:space="0"/>
                  </w:tcBorders>
                  <w:noWrap w:val="0"/>
                  <w:vAlign w:val="center"/>
                </w:tcPr>
                <w:p w14:paraId="6A23EFB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lang w:val="en-US" w:eastAsia="zh-CN"/>
                    </w:rPr>
                  </w:pPr>
                  <w:r>
                    <w:rPr>
                      <w:rFonts w:hint="eastAsia" w:cs="Times New Roman"/>
                      <w:b w:val="0"/>
                      <w:bCs w:val="0"/>
                      <w:i w:val="0"/>
                      <w:iCs w:val="0"/>
                      <w:color w:val="000000"/>
                      <w:sz w:val="21"/>
                      <w:szCs w:val="21"/>
                      <w:u w:val="none"/>
                      <w:lang w:val="en-US" w:eastAsia="zh-CN"/>
                    </w:rPr>
                    <w:t>1.546</w:t>
                  </w:r>
                </w:p>
              </w:tc>
              <w:tc>
                <w:tcPr>
                  <w:tcW w:w="1140" w:type="dxa"/>
                  <w:tcBorders>
                    <w:bottom w:val="single" w:color="000000" w:sz="12" w:space="0"/>
                    <w:right w:val="nil"/>
                  </w:tcBorders>
                  <w:noWrap w:val="0"/>
                  <w:vAlign w:val="center"/>
                </w:tcPr>
                <w:p w14:paraId="772A77B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b w:val="0"/>
                      <w:i w:val="0"/>
                      <w:iCs w:val="0"/>
                      <w:color w:val="000000"/>
                      <w:sz w:val="21"/>
                      <w:szCs w:val="21"/>
                      <w:u w:val="none"/>
                      <w:lang w:val="en-US" w:eastAsia="zh-CN"/>
                    </w:rPr>
                    <w:t>0.</w:t>
                  </w:r>
                  <w:r>
                    <w:rPr>
                      <w:rFonts w:hint="eastAsia" w:cs="Times New Roman"/>
                      <w:b w:val="0"/>
                      <w:i w:val="0"/>
                      <w:iCs w:val="0"/>
                      <w:color w:val="000000"/>
                      <w:sz w:val="21"/>
                      <w:szCs w:val="21"/>
                      <w:u w:val="none"/>
                      <w:lang w:val="en-US" w:eastAsia="zh-CN"/>
                    </w:rPr>
                    <w:t>18</w:t>
                  </w:r>
                </w:p>
              </w:tc>
            </w:tr>
          </w:tbl>
          <w:p w14:paraId="243A70D5">
            <w:pPr>
              <w:pStyle w:val="45"/>
              <w:keepNext w:val="0"/>
              <w:keepLines w:val="0"/>
              <w:pageBreakBefore w:val="0"/>
              <w:widowControl w:val="0"/>
              <w:numPr>
                <w:ilvl w:val="0"/>
                <w:numId w:val="0"/>
              </w:numPr>
              <w:kinsoku/>
              <w:wordWrap/>
              <w:overflowPunct/>
              <w:topLinePunct w:val="0"/>
              <w:autoSpaceDE/>
              <w:autoSpaceDN/>
              <w:bidi w:val="0"/>
              <w:spacing w:line="360" w:lineRule="auto"/>
              <w:ind w:leftChars="200" w:right="0" w:rightChars="0"/>
              <w:textAlignment w:val="auto"/>
              <w:rPr>
                <w:rFonts w:hint="eastAsia" w:ascii="Times New Roman" w:hAnsi="Times New Roman" w:eastAsia="宋体" w:cs="Times New Roman"/>
                <w:b/>
                <w:bCs/>
                <w:spacing w:val="-3"/>
                <w:sz w:val="24"/>
                <w:szCs w:val="24"/>
                <w:lang w:eastAsia="zh-CN"/>
              </w:rPr>
            </w:pPr>
            <w:r>
              <w:rPr>
                <w:rFonts w:hint="default" w:ascii="Times New Roman" w:hAnsi="Times New Roman" w:eastAsia="宋体" w:cs="Times New Roman"/>
                <w:b/>
                <w:bCs/>
                <w:spacing w:val="-3"/>
                <w:sz w:val="24"/>
                <w:szCs w:val="24"/>
              </w:rPr>
              <w:t>（</w:t>
            </w:r>
            <w:r>
              <w:rPr>
                <w:rFonts w:hint="eastAsia" w:ascii="Times New Roman" w:hAnsi="Times New Roman" w:eastAsia="宋体" w:cs="Times New Roman"/>
                <w:b/>
                <w:bCs/>
                <w:spacing w:val="-3"/>
                <w:sz w:val="24"/>
                <w:szCs w:val="24"/>
                <w:lang w:val="en-US" w:eastAsia="zh-CN"/>
              </w:rPr>
              <w:t>5</w:t>
            </w:r>
            <w:r>
              <w:rPr>
                <w:rFonts w:hint="default" w:ascii="Times New Roman" w:hAnsi="Times New Roman" w:eastAsia="宋体" w:cs="Times New Roman"/>
                <w:b/>
                <w:bCs/>
                <w:spacing w:val="-3"/>
                <w:sz w:val="24"/>
                <w:szCs w:val="24"/>
              </w:rPr>
              <w:t>）排土场堆场扬尘</w:t>
            </w:r>
            <w:r>
              <w:rPr>
                <w:rFonts w:hint="eastAsia" w:ascii="Times New Roman" w:hAnsi="Times New Roman" w:eastAsia="宋体" w:cs="Times New Roman"/>
                <w:b/>
                <w:bCs/>
                <w:spacing w:val="-3"/>
                <w:sz w:val="24"/>
                <w:szCs w:val="24"/>
                <w:lang w:eastAsia="zh-CN"/>
              </w:rPr>
              <w:t>（</w:t>
            </w:r>
            <w:r>
              <w:rPr>
                <w:rFonts w:hint="eastAsia" w:ascii="Times New Roman" w:hAnsi="Times New Roman" w:eastAsia="宋体" w:cs="Times New Roman"/>
                <w:spacing w:val="6"/>
                <w:sz w:val="24"/>
                <w:szCs w:val="24"/>
                <w:lang w:val="en-US" w:eastAsia="zh-CN"/>
              </w:rPr>
              <w:t>G5</w:t>
            </w:r>
            <w:r>
              <w:rPr>
                <w:rFonts w:hint="eastAsia" w:ascii="Times New Roman" w:hAnsi="Times New Roman" w:eastAsia="宋体" w:cs="Times New Roman"/>
                <w:b/>
                <w:bCs/>
                <w:spacing w:val="-3"/>
                <w:sz w:val="24"/>
                <w:szCs w:val="24"/>
                <w:lang w:eastAsia="zh-CN"/>
              </w:rPr>
              <w:t>）</w:t>
            </w:r>
          </w:p>
          <w:p w14:paraId="36D29243">
            <w:pPr>
              <w:pStyle w:val="45"/>
              <w:keepNext w:val="0"/>
              <w:keepLines w:val="0"/>
              <w:pageBreakBefore w:val="0"/>
              <w:widowControl w:val="0"/>
              <w:numPr>
                <w:ilvl w:val="0"/>
                <w:numId w:val="0"/>
              </w:numPr>
              <w:kinsoku/>
              <w:wordWrap/>
              <w:overflowPunct/>
              <w:topLinePunct w:val="0"/>
              <w:autoSpaceDE/>
              <w:autoSpaceDN/>
              <w:bidi w:val="0"/>
              <w:spacing w:line="360" w:lineRule="auto"/>
              <w:ind w:right="0" w:rightChars="0" w:firstLine="49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源强核算：</w:t>
            </w:r>
            <w:r>
              <w:rPr>
                <w:rFonts w:hint="default" w:ascii="Times New Roman" w:hAnsi="Times New Roman" w:eastAsia="宋体" w:cs="Times New Roman"/>
                <w:spacing w:val="4"/>
                <w:sz w:val="24"/>
                <w:szCs w:val="24"/>
              </w:rPr>
              <w:t>项目设置排土场1座，</w:t>
            </w:r>
            <w:r>
              <w:rPr>
                <w:rFonts w:hint="default" w:ascii="Times New Roman" w:hAnsi="Times New Roman" w:eastAsia="宋体" w:cs="Times New Roman"/>
                <w:spacing w:val="-60"/>
                <w:sz w:val="24"/>
                <w:szCs w:val="24"/>
              </w:rPr>
              <w:t xml:space="preserve"> </w:t>
            </w:r>
            <w:r>
              <w:rPr>
                <w:rFonts w:hint="default" w:ascii="Times New Roman" w:hAnsi="Times New Roman" w:eastAsia="宋体" w:cs="Times New Roman"/>
                <w:spacing w:val="4"/>
                <w:sz w:val="24"/>
                <w:szCs w:val="24"/>
              </w:rPr>
              <w:t>占地面积66675</w:t>
            </w:r>
            <w:r>
              <w:rPr>
                <w:rFonts w:hint="eastAsia" w:ascii="Times New Roman" w:hAnsi="Times New Roman" w:eastAsia="宋体" w:cs="Times New Roman"/>
                <w:spacing w:val="4"/>
                <w:sz w:val="24"/>
                <w:szCs w:val="24"/>
                <w:lang w:val="en-US" w:eastAsia="zh-CN"/>
              </w:rPr>
              <w:t>m</w:t>
            </w:r>
            <w:r>
              <w:rPr>
                <w:rFonts w:hint="eastAsia" w:ascii="Times New Roman" w:hAnsi="Times New Roman" w:eastAsia="宋体" w:cs="Times New Roman"/>
                <w:spacing w:val="4"/>
                <w:sz w:val="24"/>
                <w:szCs w:val="24"/>
                <w:vertAlign w:val="superscript"/>
                <w:lang w:val="en-US" w:eastAsia="zh-CN"/>
              </w:rPr>
              <w:t>2</w:t>
            </w:r>
            <w:r>
              <w:rPr>
                <w:rFonts w:hint="default" w:ascii="Times New Roman" w:hAnsi="Times New Roman" w:eastAsia="宋体" w:cs="Times New Roman"/>
                <w:spacing w:val="3"/>
                <w:sz w:val="24"/>
                <w:szCs w:val="24"/>
              </w:rPr>
              <w:t>，用于堆存矿石开采过程中剥离的废石，堆场在大风天气下易形成无组织排放源，其排放量的大小与当地自然环境、矿</w:t>
            </w:r>
            <w:r>
              <w:rPr>
                <w:rFonts w:hint="default" w:ascii="Times New Roman" w:hAnsi="Times New Roman" w:eastAsia="宋体" w:cs="Times New Roman"/>
                <w:spacing w:val="-3"/>
                <w:sz w:val="24"/>
                <w:szCs w:val="24"/>
              </w:rPr>
              <w:t>石岩性、堆存方式等因素有关。采用清华大学在霍州电厂现场试验的模式进行计算，计算</w:t>
            </w:r>
            <w:r>
              <w:rPr>
                <w:rFonts w:hint="default" w:ascii="Times New Roman" w:hAnsi="Times New Roman" w:eastAsia="宋体" w:cs="Times New Roman"/>
                <w:spacing w:val="-4"/>
                <w:sz w:val="24"/>
                <w:szCs w:val="24"/>
              </w:rPr>
              <w:t>公式为：</w:t>
            </w:r>
          </w:p>
          <w:p w14:paraId="275E6C3A">
            <w:pPr>
              <w:keepNext w:val="0"/>
              <w:keepLines w:val="0"/>
              <w:pageBreakBefore w:val="0"/>
              <w:widowControl w:val="0"/>
              <w:kinsoku/>
              <w:wordWrap/>
              <w:overflowPunct/>
              <w:topLinePunct w:val="0"/>
              <w:autoSpaceDE/>
              <w:autoSpaceDN/>
              <w:bidi w:val="0"/>
              <w:spacing w:line="360" w:lineRule="auto"/>
              <w:ind w:left="0" w:right="0" w:firstLine="488"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position w:val="5"/>
                <w:sz w:val="24"/>
                <w:szCs w:val="24"/>
              </w:rPr>
              <w:t>Q=11.7×U</w:t>
            </w:r>
            <w:r>
              <w:rPr>
                <w:rFonts w:hint="default" w:ascii="Times New Roman" w:hAnsi="Times New Roman" w:eastAsia="宋体" w:cs="Times New Roman"/>
                <w:spacing w:val="2"/>
                <w:position w:val="10"/>
                <w:sz w:val="24"/>
                <w:szCs w:val="24"/>
              </w:rPr>
              <w:t>2.45</w:t>
            </w:r>
            <w:r>
              <w:rPr>
                <w:rFonts w:hint="default" w:ascii="Times New Roman" w:hAnsi="Times New Roman" w:eastAsia="宋体" w:cs="Times New Roman"/>
                <w:spacing w:val="2"/>
                <w:position w:val="5"/>
                <w:sz w:val="24"/>
                <w:szCs w:val="24"/>
              </w:rPr>
              <w:t>×S</w:t>
            </w:r>
            <w:r>
              <w:rPr>
                <w:rFonts w:hint="default" w:ascii="Times New Roman" w:hAnsi="Times New Roman" w:eastAsia="宋体" w:cs="Times New Roman"/>
                <w:spacing w:val="2"/>
                <w:position w:val="10"/>
                <w:sz w:val="24"/>
                <w:szCs w:val="24"/>
              </w:rPr>
              <w:t>0.345</w:t>
            </w:r>
            <w:r>
              <w:rPr>
                <w:rFonts w:hint="default" w:ascii="Times New Roman" w:hAnsi="Times New Roman" w:eastAsia="宋体" w:cs="Times New Roman"/>
                <w:spacing w:val="2"/>
                <w:position w:val="5"/>
                <w:sz w:val="24"/>
                <w:szCs w:val="24"/>
              </w:rPr>
              <w:t>×e</w:t>
            </w:r>
            <w:r>
              <w:rPr>
                <w:rFonts w:hint="default" w:ascii="Times New Roman" w:hAnsi="Times New Roman" w:eastAsia="宋体" w:cs="Times New Roman"/>
                <w:spacing w:val="2"/>
                <w:position w:val="10"/>
                <w:sz w:val="24"/>
                <w:szCs w:val="24"/>
              </w:rPr>
              <w:t>-0.5w</w:t>
            </w:r>
          </w:p>
          <w:p w14:paraId="5F4FC55D">
            <w:pPr>
              <w:pStyle w:val="45"/>
              <w:spacing w:before="193" w:line="210" w:lineRule="auto"/>
              <w:ind w:left="496"/>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式中：Q——起尘强度，mg/s；</w:t>
            </w:r>
          </w:p>
          <w:p w14:paraId="5ACACDD2">
            <w:pPr>
              <w:pStyle w:val="45"/>
              <w:spacing w:before="194" w:line="217" w:lineRule="auto"/>
              <w:ind w:left="1176"/>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U——地面平均风速，m/s，取4m/s；</w:t>
            </w:r>
          </w:p>
          <w:p w14:paraId="0FE05A35">
            <w:pPr>
              <w:pStyle w:val="45"/>
              <w:spacing w:before="186" w:line="217" w:lineRule="auto"/>
              <w:ind w:left="1190"/>
              <w:rPr>
                <w:rFonts w:hint="eastAsia" w:ascii="Times New Roman" w:hAnsi="Times New Roman" w:eastAsia="宋体" w:cs="Times New Roman"/>
                <w:spacing w:val="-4"/>
                <w:sz w:val="24"/>
                <w:szCs w:val="24"/>
                <w:vertAlign w:val="superscript"/>
                <w:lang w:val="en-US" w:eastAsia="zh-CN"/>
              </w:rPr>
            </w:pPr>
            <w:r>
              <w:rPr>
                <w:rFonts w:hint="default" w:ascii="Times New Roman" w:hAnsi="Times New Roman" w:eastAsia="宋体" w:cs="Times New Roman"/>
                <w:spacing w:val="-4"/>
                <w:sz w:val="24"/>
                <w:szCs w:val="24"/>
              </w:rPr>
              <w:t>S——表面积，m</w:t>
            </w:r>
            <w:r>
              <w:rPr>
                <w:rFonts w:hint="eastAsia" w:ascii="Times New Roman" w:hAnsi="Times New Roman" w:eastAsia="宋体" w:cs="Times New Roman"/>
                <w:spacing w:val="-4"/>
                <w:sz w:val="24"/>
                <w:szCs w:val="24"/>
                <w:vertAlign w:val="superscript"/>
                <w:lang w:val="en-US" w:eastAsia="zh-CN"/>
              </w:rPr>
              <w:t>2</w:t>
            </w:r>
            <w:r>
              <w:rPr>
                <w:rFonts w:hint="default" w:ascii="Times New Roman" w:hAnsi="Times New Roman" w:eastAsia="宋体" w:cs="Times New Roman"/>
                <w:spacing w:val="-4"/>
                <w:sz w:val="24"/>
                <w:szCs w:val="24"/>
              </w:rPr>
              <w:t>，本项目排土场占地面积为66675m</w:t>
            </w:r>
            <w:r>
              <w:rPr>
                <w:rFonts w:hint="default" w:ascii="Times New Roman" w:hAnsi="Times New Roman" w:eastAsia="宋体" w:cs="Times New Roman"/>
                <w:spacing w:val="-4"/>
                <w:sz w:val="24"/>
                <w:szCs w:val="24"/>
                <w:vertAlign w:val="superscript"/>
              </w:rPr>
              <w:t>2</w:t>
            </w:r>
            <w:r>
              <w:rPr>
                <w:rFonts w:hint="default" w:ascii="Times New Roman" w:hAnsi="Times New Roman" w:eastAsia="宋体" w:cs="Times New Roman"/>
                <w:spacing w:val="-4"/>
                <w:sz w:val="24"/>
                <w:szCs w:val="24"/>
              </w:rPr>
              <w:t>；</w:t>
            </w:r>
          </w:p>
          <w:p w14:paraId="415F60D6">
            <w:pPr>
              <w:pStyle w:val="45"/>
              <w:spacing w:before="183" w:line="215" w:lineRule="auto"/>
              <w:ind w:left="1156"/>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W——物料含水率，%，取6%。</w:t>
            </w:r>
          </w:p>
          <w:p w14:paraId="55DA1340">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5"/>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经计算，项目堆场起尘强度为802.82mg/s，2.89kg/h，起尘时间按照365天，每天24h计算。本项目堆场总起尘量为25.316t/a。</w:t>
            </w:r>
          </w:p>
          <w:p w14:paraId="090A1A5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5"/>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拟采取治理措施：</w:t>
            </w:r>
            <w:r>
              <w:rPr>
                <w:rFonts w:hint="default" w:ascii="Times New Roman" w:hAnsi="Times New Roman" w:eastAsia="宋体" w:cs="Times New Roman"/>
                <w:spacing w:val="-2"/>
                <w:sz w:val="24"/>
                <w:szCs w:val="24"/>
                <w:lang w:val="en-US" w:eastAsia="zh-CN"/>
              </w:rPr>
              <w:t>对排土场进行规范管理，分层梯级推进压实堆放，并采取洒水抑尘、密目网苫盖等措施后，粉尘可降低74%左右</w:t>
            </w:r>
            <w:r>
              <w:rPr>
                <w:rFonts w:hint="eastAsia" w:ascii="Times New Roman" w:hAnsi="Times New Roman" w:eastAsia="宋体" w:cs="Times New Roman"/>
                <w:spacing w:val="-2"/>
                <w:sz w:val="24"/>
                <w:szCs w:val="24"/>
                <w:lang w:val="en-US" w:eastAsia="zh-CN"/>
              </w:rPr>
              <w:t>。</w:t>
            </w:r>
          </w:p>
          <w:p w14:paraId="646DFAD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8"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pacing w:val="-1"/>
                <w:sz w:val="24"/>
                <w:szCs w:val="24"/>
              </w:rPr>
              <w:t>排放情况：</w:t>
            </w:r>
            <w:r>
              <w:rPr>
                <w:rFonts w:hint="default" w:ascii="Times New Roman" w:hAnsi="Times New Roman" w:eastAsia="宋体" w:cs="Times New Roman"/>
                <w:spacing w:val="-1"/>
                <w:sz w:val="24"/>
                <w:szCs w:val="24"/>
              </w:rPr>
              <w:t>抑尘后堆场颗粒物排放量为</w:t>
            </w:r>
            <w:r>
              <w:rPr>
                <w:rFonts w:hint="eastAsia" w:ascii="Times New Roman" w:hAnsi="Times New Roman" w:eastAsia="宋体" w:cs="Times New Roman"/>
                <w:spacing w:val="-1"/>
                <w:sz w:val="24"/>
                <w:szCs w:val="24"/>
                <w:lang w:val="en-US" w:eastAsia="zh-CN"/>
              </w:rPr>
              <w:t>6.582</w:t>
            </w:r>
            <w:r>
              <w:rPr>
                <w:rFonts w:hint="default" w:ascii="Times New Roman" w:hAnsi="Times New Roman" w:eastAsia="宋体" w:cs="Times New Roman"/>
                <w:spacing w:val="-2"/>
                <w:sz w:val="24"/>
                <w:szCs w:val="24"/>
              </w:rPr>
              <w:t>t/a。</w:t>
            </w:r>
          </w:p>
          <w:p w14:paraId="566496D7">
            <w:pPr>
              <w:adjustRightInd w:val="0"/>
              <w:snapToGrid w:val="0"/>
              <w:jc w:val="center"/>
              <w:rPr>
                <w:rFonts w:hint="default" w:ascii="Times New Roman" w:hAnsi="Times New Roman" w:eastAsia="宋体" w:cs="Times New Roman"/>
                <w:b/>
                <w:bCs/>
                <w:spacing w:val="-2"/>
                <w:sz w:val="21"/>
                <w:szCs w:val="21"/>
              </w:rPr>
            </w:pPr>
            <w:r>
              <w:rPr>
                <w:rFonts w:hint="default" w:ascii="Times New Roman" w:hAnsi="Times New Roman" w:eastAsia="宋体" w:cs="Times New Roman"/>
                <w:b/>
                <w:bCs/>
                <w:spacing w:val="-2"/>
                <w:sz w:val="21"/>
                <w:szCs w:val="21"/>
              </w:rPr>
              <w:t>表4-</w:t>
            </w:r>
            <w:r>
              <w:rPr>
                <w:rFonts w:hint="eastAsia" w:ascii="Times New Roman" w:hAnsi="Times New Roman" w:eastAsia="宋体" w:cs="Times New Roman"/>
                <w:b/>
                <w:bCs/>
                <w:spacing w:val="-2"/>
                <w:sz w:val="21"/>
                <w:szCs w:val="21"/>
                <w:lang w:val="en-US" w:eastAsia="zh-CN"/>
              </w:rPr>
              <w:t>9</w:t>
            </w:r>
            <w:r>
              <w:rPr>
                <w:rFonts w:hint="default" w:ascii="Times New Roman" w:hAnsi="Times New Roman" w:eastAsia="宋体" w:cs="Times New Roman"/>
                <w:b/>
                <w:bCs/>
                <w:spacing w:val="-2"/>
                <w:sz w:val="21"/>
                <w:szCs w:val="21"/>
              </w:rPr>
              <w:t>堆场扬尘产排情况一览表</w:t>
            </w:r>
          </w:p>
          <w:tbl>
            <w:tblPr>
              <w:tblStyle w:val="23"/>
              <w:tblW w:w="7980" w:type="dxa"/>
              <w:tblInd w:w="103"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17"/>
              <w:gridCol w:w="1216"/>
              <w:gridCol w:w="1217"/>
              <w:gridCol w:w="1692"/>
              <w:gridCol w:w="1140"/>
              <w:gridCol w:w="1140"/>
            </w:tblGrid>
            <w:tr w14:paraId="02C4F76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758" w:type="dxa"/>
                  <w:vMerge w:val="restart"/>
                  <w:tcBorders>
                    <w:top w:val="single" w:color="000000" w:sz="12" w:space="0"/>
                    <w:left w:val="nil"/>
                    <w:tl2br w:val="nil"/>
                  </w:tcBorders>
                  <w:noWrap w:val="0"/>
                  <w:vAlign w:val="center"/>
                </w:tcPr>
                <w:p w14:paraId="173AA196">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产污环节</w:t>
                  </w:r>
                </w:p>
              </w:tc>
              <w:tc>
                <w:tcPr>
                  <w:tcW w:w="817" w:type="dxa"/>
                  <w:vMerge w:val="restart"/>
                  <w:tcBorders>
                    <w:top w:val="single" w:color="000000" w:sz="12" w:space="0"/>
                  </w:tcBorders>
                  <w:noWrap w:val="0"/>
                  <w:vAlign w:val="center"/>
                </w:tcPr>
                <w:p w14:paraId="061BC132">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产污位置</w:t>
                  </w:r>
                </w:p>
              </w:tc>
              <w:tc>
                <w:tcPr>
                  <w:tcW w:w="2433" w:type="dxa"/>
                  <w:gridSpan w:val="2"/>
                  <w:tcBorders>
                    <w:top w:val="single" w:color="000000" w:sz="12" w:space="0"/>
                  </w:tcBorders>
                  <w:noWrap w:val="0"/>
                  <w:vAlign w:val="center"/>
                </w:tcPr>
                <w:p w14:paraId="48409800">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产生情况</w:t>
                  </w:r>
                </w:p>
              </w:tc>
              <w:tc>
                <w:tcPr>
                  <w:tcW w:w="1692" w:type="dxa"/>
                  <w:vMerge w:val="restart"/>
                  <w:tcBorders>
                    <w:top w:val="single" w:color="000000" w:sz="12" w:space="0"/>
                  </w:tcBorders>
                  <w:noWrap w:val="0"/>
                  <w:vAlign w:val="center"/>
                </w:tcPr>
                <w:p w14:paraId="3D354CF7">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治理措施及效率</w:t>
                  </w:r>
                </w:p>
              </w:tc>
              <w:tc>
                <w:tcPr>
                  <w:tcW w:w="2280" w:type="dxa"/>
                  <w:gridSpan w:val="2"/>
                  <w:tcBorders>
                    <w:top w:val="single" w:color="000000" w:sz="12" w:space="0"/>
                    <w:right w:val="nil"/>
                  </w:tcBorders>
                  <w:noWrap w:val="0"/>
                  <w:vAlign w:val="center"/>
                </w:tcPr>
                <w:p w14:paraId="196D0B20">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排放情况</w:t>
                  </w:r>
                </w:p>
              </w:tc>
            </w:tr>
            <w:tr w14:paraId="2AE3656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58" w:type="dxa"/>
                  <w:vMerge w:val="continue"/>
                  <w:tcBorders>
                    <w:left w:val="nil"/>
                  </w:tcBorders>
                  <w:noWrap w:val="0"/>
                  <w:vAlign w:val="center"/>
                </w:tcPr>
                <w:p w14:paraId="3DD1B70B">
                  <w:pPr>
                    <w:jc w:val="center"/>
                    <w:rPr>
                      <w:rFonts w:hint="default" w:ascii="Times New Roman" w:hAnsi="Times New Roman" w:eastAsia="宋体" w:cs="Times New Roman"/>
                      <w:b/>
                      <w:bCs w:val="0"/>
                      <w:i w:val="0"/>
                      <w:iCs w:val="0"/>
                      <w:color w:val="000000"/>
                      <w:sz w:val="21"/>
                      <w:szCs w:val="21"/>
                      <w:u w:val="none"/>
                    </w:rPr>
                  </w:pPr>
                </w:p>
              </w:tc>
              <w:tc>
                <w:tcPr>
                  <w:tcW w:w="817" w:type="dxa"/>
                  <w:vMerge w:val="continue"/>
                  <w:noWrap w:val="0"/>
                  <w:vAlign w:val="center"/>
                </w:tcPr>
                <w:p w14:paraId="6F5C2A32">
                  <w:pPr>
                    <w:jc w:val="center"/>
                    <w:rPr>
                      <w:rFonts w:hint="default" w:ascii="Times New Roman" w:hAnsi="Times New Roman" w:eastAsia="宋体" w:cs="Times New Roman"/>
                      <w:b/>
                      <w:bCs w:val="0"/>
                      <w:i w:val="0"/>
                      <w:iCs w:val="0"/>
                      <w:color w:val="000000"/>
                      <w:sz w:val="21"/>
                      <w:szCs w:val="21"/>
                      <w:u w:val="none"/>
                    </w:rPr>
                  </w:pPr>
                </w:p>
              </w:tc>
              <w:tc>
                <w:tcPr>
                  <w:tcW w:w="1216" w:type="dxa"/>
                  <w:noWrap w:val="0"/>
                  <w:vAlign w:val="center"/>
                </w:tcPr>
                <w:p w14:paraId="7933F4D8">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产生量（t/a）</w:t>
                  </w:r>
                </w:p>
              </w:tc>
              <w:tc>
                <w:tcPr>
                  <w:tcW w:w="1217" w:type="dxa"/>
                  <w:noWrap w:val="0"/>
                  <w:vAlign w:val="center"/>
                </w:tcPr>
                <w:p w14:paraId="77CB79E2">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产生速率（kg/h）</w:t>
                  </w:r>
                </w:p>
              </w:tc>
              <w:tc>
                <w:tcPr>
                  <w:tcW w:w="1692" w:type="dxa"/>
                  <w:vMerge w:val="continue"/>
                  <w:noWrap w:val="0"/>
                  <w:vAlign w:val="center"/>
                </w:tcPr>
                <w:p w14:paraId="0FF879CF">
                  <w:pPr>
                    <w:jc w:val="center"/>
                    <w:rPr>
                      <w:rFonts w:hint="default" w:ascii="Times New Roman" w:hAnsi="Times New Roman" w:eastAsia="宋体" w:cs="Times New Roman"/>
                      <w:b/>
                      <w:bCs w:val="0"/>
                      <w:i w:val="0"/>
                      <w:iCs w:val="0"/>
                      <w:color w:val="000000"/>
                      <w:sz w:val="21"/>
                      <w:szCs w:val="21"/>
                      <w:u w:val="none"/>
                    </w:rPr>
                  </w:pPr>
                </w:p>
              </w:tc>
              <w:tc>
                <w:tcPr>
                  <w:tcW w:w="1140" w:type="dxa"/>
                  <w:noWrap w:val="0"/>
                  <w:vAlign w:val="center"/>
                </w:tcPr>
                <w:p w14:paraId="1DF67FEE">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排放量（t/a）</w:t>
                  </w:r>
                </w:p>
              </w:tc>
              <w:tc>
                <w:tcPr>
                  <w:tcW w:w="1140" w:type="dxa"/>
                  <w:tcBorders>
                    <w:right w:val="nil"/>
                  </w:tcBorders>
                  <w:noWrap w:val="0"/>
                  <w:vAlign w:val="center"/>
                </w:tcPr>
                <w:p w14:paraId="5B4DAF49">
                  <w:pPr>
                    <w:keepNext w:val="0"/>
                    <w:keepLines w:val="0"/>
                    <w:widowControl/>
                    <w:suppressLineNumbers w:val="0"/>
                    <w:jc w:val="center"/>
                    <w:textAlignment w:val="center"/>
                    <w:rPr>
                      <w:rFonts w:hint="default" w:ascii="Times New Roman" w:hAnsi="Times New Roman" w:eastAsia="宋体" w:cs="Times New Roman"/>
                      <w:b/>
                      <w:bCs w:val="0"/>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排放速率（kg/h）</w:t>
                  </w:r>
                </w:p>
              </w:tc>
            </w:tr>
            <w:tr w14:paraId="51569B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58" w:type="dxa"/>
                  <w:tcBorders>
                    <w:left w:val="nil"/>
                    <w:bottom w:val="single" w:color="000000" w:sz="12" w:space="0"/>
                  </w:tcBorders>
                  <w:noWrap w:val="0"/>
                  <w:vAlign w:val="center"/>
                </w:tcPr>
                <w:p w14:paraId="21C5478B">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物料堆存</w:t>
                  </w:r>
                </w:p>
                <w:p w14:paraId="0B0223C6">
                  <w:pPr>
                    <w:keepNext w:val="0"/>
                    <w:keepLines w:val="0"/>
                    <w:widowControl/>
                    <w:suppressLineNumbers w:val="0"/>
                    <w:jc w:val="both"/>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p>
              </w:tc>
              <w:tc>
                <w:tcPr>
                  <w:tcW w:w="817" w:type="dxa"/>
                  <w:tcBorders>
                    <w:bottom w:val="single" w:color="000000" w:sz="12" w:space="0"/>
                  </w:tcBorders>
                  <w:noWrap w:val="0"/>
                  <w:vAlign w:val="center"/>
                </w:tcPr>
                <w:p w14:paraId="1C43BC94">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排土场</w:t>
                  </w:r>
                </w:p>
                <w:p w14:paraId="664DCDC0">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p>
              </w:tc>
              <w:tc>
                <w:tcPr>
                  <w:tcW w:w="1216" w:type="dxa"/>
                  <w:tcBorders>
                    <w:bottom w:val="single" w:color="000000" w:sz="12" w:space="0"/>
                  </w:tcBorders>
                  <w:noWrap w:val="0"/>
                  <w:vAlign w:val="center"/>
                </w:tcPr>
                <w:p w14:paraId="0B555A3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spacing w:val="-2"/>
                      <w:sz w:val="24"/>
                      <w:szCs w:val="24"/>
                    </w:rPr>
                    <w:t>25.316</w:t>
                  </w:r>
                </w:p>
              </w:tc>
              <w:tc>
                <w:tcPr>
                  <w:tcW w:w="1217" w:type="dxa"/>
                  <w:tcBorders>
                    <w:bottom w:val="single" w:color="000000" w:sz="12" w:space="0"/>
                  </w:tcBorders>
                  <w:noWrap w:val="0"/>
                  <w:vAlign w:val="center"/>
                </w:tcPr>
                <w:p w14:paraId="107F166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spacing w:val="-2"/>
                      <w:sz w:val="24"/>
                      <w:szCs w:val="24"/>
                    </w:rPr>
                    <w:t>2.89</w:t>
                  </w:r>
                </w:p>
              </w:tc>
              <w:tc>
                <w:tcPr>
                  <w:tcW w:w="1692" w:type="dxa"/>
                  <w:tcBorders>
                    <w:bottom w:val="single" w:color="000000" w:sz="12" w:space="0"/>
                  </w:tcBorders>
                  <w:noWrap w:val="0"/>
                  <w:vAlign w:val="center"/>
                </w:tcPr>
                <w:p w14:paraId="64FBC208">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sz w:val="21"/>
                      <w:szCs w:val="21"/>
                      <w:u w:val="none"/>
                      <w:lang w:val="en-US" w:eastAsia="zh-CN"/>
                    </w:rPr>
                    <w:t>洒水抑尘、密目网苫盖等措施后，粉尘可降低74%左右</w:t>
                  </w:r>
                </w:p>
              </w:tc>
              <w:tc>
                <w:tcPr>
                  <w:tcW w:w="1140" w:type="dxa"/>
                  <w:tcBorders>
                    <w:bottom w:val="single" w:color="000000" w:sz="12" w:space="0"/>
                  </w:tcBorders>
                  <w:noWrap w:val="0"/>
                  <w:vAlign w:val="center"/>
                </w:tcPr>
                <w:p w14:paraId="0751730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eastAsia" w:ascii="Times New Roman" w:hAnsi="Times New Roman" w:eastAsia="宋体" w:cs="Times New Roman"/>
                      <w:spacing w:val="-1"/>
                      <w:sz w:val="24"/>
                      <w:szCs w:val="24"/>
                      <w:lang w:val="en-US" w:eastAsia="zh-CN"/>
                    </w:rPr>
                    <w:t>6.582</w:t>
                  </w:r>
                </w:p>
              </w:tc>
              <w:tc>
                <w:tcPr>
                  <w:tcW w:w="1140" w:type="dxa"/>
                  <w:tcBorders>
                    <w:bottom w:val="single" w:color="000000" w:sz="12" w:space="0"/>
                    <w:right w:val="nil"/>
                  </w:tcBorders>
                  <w:noWrap w:val="0"/>
                  <w:vAlign w:val="center"/>
                </w:tcPr>
                <w:p w14:paraId="52EE81B7">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b w:val="0"/>
                      <w:i w:val="0"/>
                      <w:iCs w:val="0"/>
                      <w:color w:val="000000"/>
                      <w:sz w:val="21"/>
                      <w:szCs w:val="21"/>
                      <w:u w:val="none"/>
                      <w:lang w:val="en-US" w:eastAsia="zh-CN"/>
                    </w:rPr>
                    <w:t>0.75</w:t>
                  </w:r>
                </w:p>
              </w:tc>
            </w:tr>
          </w:tbl>
          <w:p w14:paraId="52BB6D04">
            <w:pPr>
              <w:pStyle w:val="45"/>
              <w:keepNext w:val="0"/>
              <w:keepLines w:val="0"/>
              <w:pageBreakBefore w:val="0"/>
              <w:widowControl w:val="0"/>
              <w:numPr>
                <w:ilvl w:val="0"/>
                <w:numId w:val="0"/>
              </w:numPr>
              <w:kinsoku/>
              <w:wordWrap/>
              <w:overflowPunct/>
              <w:topLinePunct w:val="0"/>
              <w:autoSpaceDE/>
              <w:autoSpaceDN/>
              <w:bidi w:val="0"/>
              <w:spacing w:line="360" w:lineRule="auto"/>
              <w:ind w:leftChars="200" w:right="0" w:rightChars="0"/>
              <w:textAlignment w:val="auto"/>
              <w:rPr>
                <w:rFonts w:hint="eastAsia" w:ascii="Times New Roman" w:hAnsi="Times New Roman" w:eastAsia="宋体" w:cs="Times New Roman"/>
                <w:b/>
                <w:bCs/>
                <w:spacing w:val="-7"/>
                <w:sz w:val="24"/>
                <w:szCs w:val="24"/>
                <w:lang w:val="en-US" w:eastAsia="zh-CN"/>
              </w:rPr>
            </w:pPr>
            <w:r>
              <w:rPr>
                <w:rFonts w:hint="eastAsia" w:ascii="Times New Roman" w:hAnsi="Times New Roman" w:eastAsia="宋体" w:cs="Times New Roman"/>
                <w:b/>
                <w:bCs/>
                <w:spacing w:val="-7"/>
                <w:sz w:val="24"/>
                <w:szCs w:val="24"/>
                <w:lang w:val="en-US" w:eastAsia="zh-CN"/>
              </w:rPr>
              <w:t>（5）机械燃油废气</w:t>
            </w:r>
            <w:r>
              <w:rPr>
                <w:rFonts w:hint="eastAsia" w:ascii="Times New Roman" w:hAnsi="Times New Roman" w:eastAsia="宋体" w:cs="Times New Roman"/>
                <w:b/>
                <w:bCs/>
                <w:spacing w:val="-3"/>
                <w:sz w:val="24"/>
                <w:szCs w:val="24"/>
                <w:lang w:eastAsia="zh-CN"/>
              </w:rPr>
              <w:t>（</w:t>
            </w:r>
            <w:r>
              <w:rPr>
                <w:rFonts w:hint="eastAsia" w:ascii="Times New Roman" w:hAnsi="Times New Roman" w:eastAsia="宋体" w:cs="Times New Roman"/>
                <w:spacing w:val="6"/>
                <w:sz w:val="24"/>
                <w:szCs w:val="24"/>
                <w:lang w:val="en-US" w:eastAsia="zh-CN"/>
              </w:rPr>
              <w:t>G6</w:t>
            </w:r>
            <w:r>
              <w:rPr>
                <w:rFonts w:hint="eastAsia" w:ascii="Times New Roman" w:hAnsi="Times New Roman" w:eastAsia="宋体" w:cs="Times New Roman"/>
                <w:b/>
                <w:bCs/>
                <w:spacing w:val="-3"/>
                <w:sz w:val="24"/>
                <w:szCs w:val="24"/>
                <w:lang w:eastAsia="zh-CN"/>
              </w:rPr>
              <w:t>）</w:t>
            </w:r>
          </w:p>
          <w:p w14:paraId="1A9D1885">
            <w:pPr>
              <w:pStyle w:val="45"/>
              <w:keepNext w:val="0"/>
              <w:keepLines w:val="0"/>
              <w:pageBreakBefore w:val="0"/>
              <w:widowControl w:val="0"/>
              <w:kinsoku/>
              <w:wordWrap/>
              <w:overflowPunct/>
              <w:topLinePunct w:val="0"/>
              <w:autoSpaceDE/>
              <w:autoSpaceDN/>
              <w:bidi w:val="0"/>
              <w:spacing w:line="360" w:lineRule="auto"/>
              <w:ind w:firstLine="452" w:firstLineChars="200"/>
              <w:textAlignment w:val="auto"/>
              <w:rPr>
                <w:rFonts w:hint="eastAsia" w:ascii="Times New Roman" w:hAnsi="Times New Roman" w:eastAsia="宋体" w:cs="Times New Roman"/>
                <w:b w:val="0"/>
                <w:bCs w:val="0"/>
                <w:spacing w:val="-7"/>
                <w:sz w:val="24"/>
                <w:szCs w:val="24"/>
                <w:lang w:val="en-US" w:eastAsia="zh-CN"/>
              </w:rPr>
            </w:pPr>
            <w:r>
              <w:rPr>
                <w:rFonts w:hint="eastAsia" w:ascii="Times New Roman" w:hAnsi="Times New Roman" w:eastAsia="宋体" w:cs="Times New Roman"/>
                <w:b w:val="0"/>
                <w:bCs w:val="0"/>
                <w:spacing w:val="-7"/>
                <w:sz w:val="24"/>
                <w:szCs w:val="24"/>
                <w:lang w:val="en-US" w:eastAsia="zh-CN"/>
              </w:rPr>
              <w:t>矿山挖掘、装载机、自卸车辆、洒水车等设备需消耗柴油，场内不存储柴油，未设置油罐，随买随用。根据建设单位提供资料，项目年耗柴油30t（ρ=0.845kg/L计），折合为35.50m</w:t>
            </w:r>
            <w:r>
              <w:rPr>
                <w:rFonts w:hint="eastAsia" w:ascii="Times New Roman" w:hAnsi="Times New Roman" w:eastAsia="宋体" w:cs="Times New Roman"/>
                <w:b w:val="0"/>
                <w:bCs w:val="0"/>
                <w:spacing w:val="-7"/>
                <w:sz w:val="24"/>
                <w:szCs w:val="24"/>
                <w:vertAlign w:val="superscript"/>
                <w:lang w:val="en-US" w:eastAsia="zh-CN"/>
              </w:rPr>
              <w:t>3</w:t>
            </w:r>
            <w:r>
              <w:rPr>
                <w:rFonts w:hint="eastAsia" w:ascii="Times New Roman" w:hAnsi="Times New Roman" w:eastAsia="宋体" w:cs="Times New Roman"/>
                <w:b w:val="0"/>
                <w:bCs w:val="0"/>
                <w:spacing w:val="-7"/>
                <w:sz w:val="24"/>
                <w:szCs w:val="24"/>
                <w:lang w:val="en-US" w:eastAsia="zh-CN"/>
              </w:rPr>
              <w:t>。根据有关研究结果，柴油发动机尾气的污染物系数及本项目排放量见下表所示：</w:t>
            </w:r>
          </w:p>
          <w:p w14:paraId="15D1B000">
            <w:pPr>
              <w:pStyle w:val="45"/>
              <w:keepNext w:val="0"/>
              <w:keepLines w:val="0"/>
              <w:pageBreakBefore w:val="0"/>
              <w:widowControl w:val="0"/>
              <w:kinsoku/>
              <w:wordWrap/>
              <w:overflowPunct/>
              <w:topLinePunct w:val="0"/>
              <w:autoSpaceDE/>
              <w:autoSpaceDN/>
              <w:bidi w:val="0"/>
              <w:spacing w:line="360" w:lineRule="auto"/>
              <w:ind w:firstLine="394" w:firstLineChars="200"/>
              <w:jc w:val="center"/>
              <w:textAlignment w:val="auto"/>
              <w:rPr>
                <w:rFonts w:hint="eastAsia" w:ascii="Times New Roman" w:hAnsi="Times New Roman" w:eastAsia="宋体" w:cs="Times New Roman"/>
                <w:b/>
                <w:bCs/>
                <w:spacing w:val="-7"/>
                <w:sz w:val="21"/>
                <w:szCs w:val="21"/>
                <w:lang w:val="en-US" w:eastAsia="zh-CN"/>
              </w:rPr>
            </w:pPr>
            <w:r>
              <w:rPr>
                <w:rFonts w:hint="eastAsia" w:ascii="Times New Roman" w:hAnsi="Times New Roman" w:eastAsia="宋体" w:cs="Times New Roman"/>
                <w:b/>
                <w:bCs/>
                <w:spacing w:val="-7"/>
                <w:sz w:val="21"/>
                <w:szCs w:val="21"/>
                <w:lang w:val="en-US" w:eastAsia="zh-CN"/>
              </w:rPr>
              <w:t>表4-10    燃油产污系数及排放情况一览表</w:t>
            </w:r>
          </w:p>
          <w:tbl>
            <w:tblPr>
              <w:tblStyle w:val="24"/>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42"/>
              <w:gridCol w:w="2037"/>
              <w:gridCol w:w="2037"/>
            </w:tblGrid>
            <w:tr w14:paraId="09EE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tcBorders>
                    <w:top w:val="single" w:color="000000" w:sz="12" w:space="0"/>
                    <w:left w:val="nil"/>
                    <w:tl2br w:val="nil"/>
                  </w:tcBorders>
                  <w:noWrap w:val="0"/>
                  <w:vAlign w:val="center"/>
                </w:tcPr>
                <w:p w14:paraId="70A3662C">
                  <w:pPr>
                    <w:jc w:val="center"/>
                    <w:rPr>
                      <w:rFonts w:hint="eastAsia" w:ascii="Times New Roman" w:hAnsi="Times New Roman" w:eastAsia="宋体" w:cs="Times New Roman"/>
                      <w:b w:val="0"/>
                      <w:bCs w:val="0"/>
                      <w:i w:val="0"/>
                      <w:iCs w:val="0"/>
                      <w:color w:val="000000"/>
                      <w:sz w:val="21"/>
                      <w:szCs w:val="21"/>
                      <w:u w:val="none"/>
                      <w:lang w:val="en-US" w:eastAsia="zh-CN"/>
                    </w:rPr>
                  </w:pPr>
                  <w:r>
                    <w:rPr>
                      <w:rFonts w:hint="default" w:ascii="Times New Roman" w:hAnsi="Times New Roman" w:eastAsia="宋体" w:cs="Times New Roman"/>
                      <w:b w:val="0"/>
                      <w:bCs w:val="0"/>
                      <w:i w:val="0"/>
                      <w:iCs w:val="0"/>
                      <w:color w:val="000000"/>
                      <w:sz w:val="21"/>
                      <w:szCs w:val="21"/>
                      <w:u w:val="none"/>
                      <w:lang w:val="en-US" w:eastAsia="zh-CN"/>
                    </w:rPr>
                    <w:t>车型</w:t>
                  </w:r>
                </w:p>
              </w:tc>
              <w:tc>
                <w:tcPr>
                  <w:tcW w:w="1942" w:type="dxa"/>
                  <w:tcBorders>
                    <w:top w:val="single" w:color="000000" w:sz="12" w:space="0"/>
                  </w:tcBorders>
                  <w:noWrap w:val="0"/>
                  <w:vAlign w:val="center"/>
                </w:tcPr>
                <w:p w14:paraId="4EA6A409">
                  <w:pPr>
                    <w:jc w:val="center"/>
                    <w:rPr>
                      <w:rFonts w:hint="eastAsia"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NO</w:t>
                  </w:r>
                  <w:r>
                    <w:rPr>
                      <w:rFonts w:hint="eastAsia" w:ascii="Times New Roman" w:hAnsi="Times New Roman" w:eastAsia="宋体" w:cs="Times New Roman"/>
                      <w:b w:val="0"/>
                      <w:bCs w:val="0"/>
                      <w:i w:val="0"/>
                      <w:iCs w:val="0"/>
                      <w:color w:val="000000"/>
                      <w:sz w:val="21"/>
                      <w:szCs w:val="21"/>
                      <w:u w:val="none"/>
                      <w:vertAlign w:val="subscript"/>
                      <w:lang w:val="en-US" w:eastAsia="zh-CN"/>
                    </w:rPr>
                    <w:t>2</w:t>
                  </w:r>
                </w:p>
              </w:tc>
              <w:tc>
                <w:tcPr>
                  <w:tcW w:w="2037" w:type="dxa"/>
                  <w:tcBorders>
                    <w:top w:val="single" w:color="000000" w:sz="12" w:space="0"/>
                  </w:tcBorders>
                  <w:noWrap w:val="0"/>
                  <w:vAlign w:val="center"/>
                </w:tcPr>
                <w:p w14:paraId="78472BE7">
                  <w:pPr>
                    <w:jc w:val="center"/>
                    <w:rPr>
                      <w:rFonts w:hint="eastAsia"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CO</w:t>
                  </w:r>
                </w:p>
              </w:tc>
              <w:tc>
                <w:tcPr>
                  <w:tcW w:w="2037" w:type="dxa"/>
                  <w:tcBorders>
                    <w:top w:val="single" w:color="000000" w:sz="12" w:space="0"/>
                    <w:right w:val="nil"/>
                  </w:tcBorders>
                  <w:noWrap w:val="0"/>
                  <w:vAlign w:val="center"/>
                </w:tcPr>
                <w:p w14:paraId="5A91CE07">
                  <w:pPr>
                    <w:jc w:val="center"/>
                    <w:rPr>
                      <w:rFonts w:hint="eastAsia"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HmCn</w:t>
                  </w:r>
                </w:p>
              </w:tc>
            </w:tr>
            <w:tr w14:paraId="2991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1" w:type="dxa"/>
                  <w:tcBorders>
                    <w:left w:val="nil"/>
                  </w:tcBorders>
                  <w:noWrap w:val="0"/>
                  <w:vAlign w:val="center"/>
                </w:tcPr>
                <w:p w14:paraId="29B7204E">
                  <w:pPr>
                    <w:jc w:val="center"/>
                    <w:rPr>
                      <w:rFonts w:hint="eastAsia"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产生系数（kg/m</w:t>
                  </w:r>
                  <w:r>
                    <w:rPr>
                      <w:rFonts w:hint="eastAsia" w:ascii="Times New Roman" w:hAnsi="Times New Roman" w:eastAsia="宋体" w:cs="Times New Roman"/>
                      <w:b w:val="0"/>
                      <w:bCs w:val="0"/>
                      <w:i w:val="0"/>
                      <w:iCs w:val="0"/>
                      <w:color w:val="000000"/>
                      <w:sz w:val="21"/>
                      <w:szCs w:val="21"/>
                      <w:u w:val="none"/>
                      <w:vertAlign w:val="superscript"/>
                      <w:lang w:val="en-US" w:eastAsia="zh-CN"/>
                    </w:rPr>
                    <w:t>3</w:t>
                  </w:r>
                  <w:r>
                    <w:rPr>
                      <w:rFonts w:hint="eastAsia" w:ascii="Times New Roman" w:hAnsi="Times New Roman" w:eastAsia="宋体" w:cs="Times New Roman"/>
                      <w:b w:val="0"/>
                      <w:bCs w:val="0"/>
                      <w:i w:val="0"/>
                      <w:iCs w:val="0"/>
                      <w:color w:val="000000"/>
                      <w:sz w:val="21"/>
                      <w:szCs w:val="21"/>
                      <w:u w:val="none"/>
                      <w:lang w:val="en-US" w:eastAsia="zh-CN"/>
                    </w:rPr>
                    <w:t>柴油）</w:t>
                  </w:r>
                </w:p>
              </w:tc>
              <w:tc>
                <w:tcPr>
                  <w:tcW w:w="1942" w:type="dxa"/>
                  <w:noWrap w:val="0"/>
                  <w:vAlign w:val="center"/>
                </w:tcPr>
                <w:p w14:paraId="65A8FE54">
                  <w:pPr>
                    <w:jc w:val="center"/>
                    <w:rPr>
                      <w:rFonts w:hint="eastAsia"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8.57</w:t>
                  </w:r>
                </w:p>
              </w:tc>
              <w:tc>
                <w:tcPr>
                  <w:tcW w:w="2037" w:type="dxa"/>
                  <w:noWrap w:val="0"/>
                  <w:vAlign w:val="center"/>
                </w:tcPr>
                <w:p w14:paraId="6C10DB0F">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0.238</w:t>
                  </w:r>
                </w:p>
              </w:tc>
              <w:tc>
                <w:tcPr>
                  <w:tcW w:w="2037" w:type="dxa"/>
                  <w:tcBorders>
                    <w:right w:val="nil"/>
                  </w:tcBorders>
                  <w:noWrap w:val="0"/>
                  <w:vAlign w:val="center"/>
                </w:tcPr>
                <w:p w14:paraId="0FFAD9A0">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0.357</w:t>
                  </w:r>
                </w:p>
              </w:tc>
            </w:tr>
            <w:tr w14:paraId="196C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131" w:type="dxa"/>
                  <w:tcBorders>
                    <w:left w:val="nil"/>
                    <w:bottom w:val="single" w:color="000000" w:sz="12" w:space="0"/>
                  </w:tcBorders>
                  <w:noWrap w:val="0"/>
                  <w:vAlign w:val="center"/>
                </w:tcPr>
                <w:p w14:paraId="73E963BF">
                  <w:pPr>
                    <w:jc w:val="center"/>
                    <w:rPr>
                      <w:rFonts w:hint="eastAsia" w:ascii="Times New Roman" w:hAnsi="Times New Roman" w:eastAsia="宋体" w:cs="Times New Roman"/>
                      <w:b w:val="0"/>
                      <w:bCs w:val="0"/>
                      <w:i w:val="0"/>
                      <w:iCs w:val="0"/>
                      <w:color w:val="000000"/>
                      <w:sz w:val="21"/>
                      <w:szCs w:val="21"/>
                      <w:u w:val="none"/>
                      <w:lang w:val="en-US" w:eastAsia="zh-CN"/>
                    </w:rPr>
                  </w:pPr>
                  <w:r>
                    <w:rPr>
                      <w:rFonts w:hint="default" w:ascii="Times New Roman" w:hAnsi="Times New Roman" w:eastAsia="宋体" w:cs="Times New Roman"/>
                      <w:b w:val="0"/>
                      <w:bCs w:val="0"/>
                      <w:i w:val="0"/>
                      <w:iCs w:val="0"/>
                      <w:color w:val="000000"/>
                      <w:sz w:val="21"/>
                      <w:szCs w:val="21"/>
                      <w:u w:val="none"/>
                      <w:lang w:val="en-US" w:eastAsia="zh-CN"/>
                    </w:rPr>
                    <w:t>本项目年排放量（t/a）</w:t>
                  </w:r>
                </w:p>
              </w:tc>
              <w:tc>
                <w:tcPr>
                  <w:tcW w:w="1942" w:type="dxa"/>
                  <w:tcBorders>
                    <w:bottom w:val="single" w:color="000000" w:sz="12" w:space="0"/>
                  </w:tcBorders>
                  <w:noWrap w:val="0"/>
                  <w:vAlign w:val="center"/>
                </w:tcPr>
                <w:p w14:paraId="631F0745">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0.</w:t>
                  </w:r>
                  <w:r>
                    <w:rPr>
                      <w:rFonts w:hint="eastAsia" w:cs="Times New Roman"/>
                      <w:b w:val="0"/>
                      <w:bCs w:val="0"/>
                      <w:i w:val="0"/>
                      <w:iCs w:val="0"/>
                      <w:color w:val="000000"/>
                      <w:sz w:val="21"/>
                      <w:szCs w:val="21"/>
                      <w:u w:val="none"/>
                      <w:lang w:val="en-US" w:eastAsia="zh-CN"/>
                    </w:rPr>
                    <w:t>304</w:t>
                  </w:r>
                </w:p>
              </w:tc>
              <w:tc>
                <w:tcPr>
                  <w:tcW w:w="2037" w:type="dxa"/>
                  <w:tcBorders>
                    <w:bottom w:val="single" w:color="000000" w:sz="12" w:space="0"/>
                  </w:tcBorders>
                  <w:noWrap w:val="0"/>
                  <w:vAlign w:val="center"/>
                </w:tcPr>
                <w:p w14:paraId="6C89B833">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0.00</w:t>
                  </w:r>
                  <w:r>
                    <w:rPr>
                      <w:rFonts w:hint="eastAsia" w:cs="Times New Roman"/>
                      <w:b w:val="0"/>
                      <w:bCs w:val="0"/>
                      <w:i w:val="0"/>
                      <w:iCs w:val="0"/>
                      <w:color w:val="000000"/>
                      <w:sz w:val="21"/>
                      <w:szCs w:val="21"/>
                      <w:u w:val="none"/>
                      <w:lang w:val="en-US" w:eastAsia="zh-CN"/>
                    </w:rPr>
                    <w:t>8</w:t>
                  </w:r>
                </w:p>
              </w:tc>
              <w:tc>
                <w:tcPr>
                  <w:tcW w:w="2037" w:type="dxa"/>
                  <w:tcBorders>
                    <w:bottom w:val="single" w:color="000000" w:sz="12" w:space="0"/>
                    <w:right w:val="nil"/>
                  </w:tcBorders>
                  <w:noWrap w:val="0"/>
                  <w:vAlign w:val="center"/>
                </w:tcPr>
                <w:p w14:paraId="29F6332C">
                  <w:pPr>
                    <w:jc w:val="center"/>
                    <w:rPr>
                      <w:rFonts w:hint="default" w:ascii="Times New Roman" w:hAnsi="Times New Roman" w:eastAsia="宋体" w:cs="Times New Roman"/>
                      <w:b w:val="0"/>
                      <w:bCs w:val="0"/>
                      <w:i w:val="0"/>
                      <w:iCs w:val="0"/>
                      <w:color w:val="000000"/>
                      <w:sz w:val="21"/>
                      <w:szCs w:val="21"/>
                      <w:u w:val="none"/>
                      <w:lang w:val="en-US" w:eastAsia="zh-CN"/>
                    </w:rPr>
                  </w:pPr>
                  <w:r>
                    <w:rPr>
                      <w:rFonts w:hint="eastAsia" w:ascii="Times New Roman" w:hAnsi="Times New Roman" w:eastAsia="宋体" w:cs="Times New Roman"/>
                      <w:b w:val="0"/>
                      <w:bCs w:val="0"/>
                      <w:i w:val="0"/>
                      <w:iCs w:val="0"/>
                      <w:color w:val="000000"/>
                      <w:sz w:val="21"/>
                      <w:szCs w:val="21"/>
                      <w:u w:val="none"/>
                      <w:lang w:val="en-US" w:eastAsia="zh-CN"/>
                    </w:rPr>
                    <w:t>0.0</w:t>
                  </w:r>
                  <w:r>
                    <w:rPr>
                      <w:rFonts w:hint="eastAsia" w:cs="Times New Roman"/>
                      <w:b w:val="0"/>
                      <w:bCs w:val="0"/>
                      <w:i w:val="0"/>
                      <w:iCs w:val="0"/>
                      <w:color w:val="000000"/>
                      <w:sz w:val="21"/>
                      <w:szCs w:val="21"/>
                      <w:u w:val="none"/>
                      <w:lang w:val="en-US" w:eastAsia="zh-CN"/>
                    </w:rPr>
                    <w:t>13</w:t>
                  </w:r>
                </w:p>
              </w:tc>
            </w:tr>
          </w:tbl>
          <w:p w14:paraId="0147CABA">
            <w:pPr>
              <w:pStyle w:val="45"/>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7"/>
                <w:sz w:val="24"/>
                <w:szCs w:val="24"/>
                <w:lang w:val="en-US" w:eastAsia="zh-CN"/>
              </w:rPr>
              <w:t>2</w:t>
            </w:r>
            <w:r>
              <w:rPr>
                <w:rFonts w:hint="default" w:ascii="Times New Roman" w:hAnsi="Times New Roman" w:eastAsia="宋体" w:cs="Times New Roman"/>
                <w:b/>
                <w:bCs/>
                <w:spacing w:val="-7"/>
                <w:sz w:val="24"/>
                <w:szCs w:val="24"/>
              </w:rPr>
              <w:t>、大气污染物排放情况</w:t>
            </w:r>
          </w:p>
          <w:p w14:paraId="3AAE6114">
            <w:pPr>
              <w:keepNext w:val="0"/>
              <w:keepLines w:val="0"/>
              <w:pageBreakBefore w:val="0"/>
              <w:widowControl w:val="0"/>
              <w:kinsoku/>
              <w:wordWrap/>
              <w:overflowPunct/>
              <w:topLinePunct w:val="0"/>
              <w:autoSpaceDE/>
              <w:autoSpaceDN/>
              <w:bidi w:val="0"/>
              <w:adjustRightInd w:val="0"/>
              <w:snapToGrid w:val="0"/>
              <w:spacing w:line="360" w:lineRule="auto"/>
              <w:ind w:firstLine="476" w:firstLineChars="200"/>
              <w:textAlignment w:val="auto"/>
              <w:rPr>
                <w:rFonts w:hint="default" w:ascii="Times New Roman" w:hAnsi="Times New Roman" w:eastAsia="宋体" w:cs="Times New Roman"/>
                <w:b/>
                <w:bCs/>
                <w:spacing w:val="-2"/>
                <w:sz w:val="24"/>
                <w:szCs w:val="24"/>
              </w:rPr>
            </w:pPr>
            <w:r>
              <w:rPr>
                <w:rFonts w:hint="default" w:ascii="Times New Roman" w:hAnsi="Times New Roman" w:eastAsia="宋体" w:cs="Times New Roman"/>
                <w:spacing w:val="-1"/>
                <w:sz w:val="24"/>
                <w:szCs w:val="24"/>
              </w:rPr>
              <w:t>本项目大气污染物排放情况见下表。</w:t>
            </w:r>
          </w:p>
          <w:p w14:paraId="723568D4">
            <w:pPr>
              <w:adjustRightInd w:val="0"/>
              <w:snapToGrid w:val="0"/>
              <w:rPr>
                <w:rFonts w:hint="default" w:ascii="Times New Roman" w:hAnsi="Times New Roman" w:eastAsia="宋体" w:cs="Times New Roman"/>
                <w:b/>
                <w:bCs/>
                <w:spacing w:val="-2"/>
                <w:sz w:val="24"/>
                <w:szCs w:val="24"/>
              </w:rPr>
            </w:pPr>
          </w:p>
        </w:tc>
      </w:tr>
    </w:tbl>
    <w:p w14:paraId="1B848CD7">
      <w:pPr>
        <w:pStyle w:val="20"/>
        <w:jc w:val="center"/>
        <w:rPr>
          <w:rFonts w:hint="default" w:ascii="Times New Roman" w:hAnsi="Times New Roman" w:eastAsia="宋体" w:cs="Times New Roman"/>
          <w:snapToGrid w:val="0"/>
          <w:sz w:val="24"/>
          <w:szCs w:val="24"/>
        </w:rPr>
        <w:sectPr>
          <w:pgSz w:w="11906" w:h="16838"/>
          <w:pgMar w:top="1440" w:right="1800" w:bottom="1440" w:left="1800" w:header="851" w:footer="1077" w:gutter="0"/>
          <w:pgNumType w:fmt="decimal"/>
          <w:cols w:space="720" w:num="1"/>
          <w:docGrid w:linePitch="312" w:charSpace="0"/>
        </w:sectPr>
      </w:pPr>
    </w:p>
    <w:p w14:paraId="67402E05">
      <w:pPr>
        <w:spacing w:before="78" w:line="211" w:lineRule="auto"/>
        <w:ind w:left="5485"/>
        <w:rPr>
          <w:rFonts w:hint="default" w:ascii="Times New Roman" w:hAnsi="Times New Roman" w:eastAsia="宋体" w:cs="Times New Roman"/>
          <w:sz w:val="21"/>
          <w:szCs w:val="21"/>
        </w:rPr>
      </w:pPr>
      <w:r>
        <w:rPr>
          <w:rFonts w:hint="default" w:ascii="Times New Roman" w:hAnsi="Times New Roman" w:eastAsia="宋体" w:cs="Times New Roman"/>
          <w:b/>
          <w:bCs/>
          <w:spacing w:val="-4"/>
          <w:sz w:val="21"/>
          <w:szCs w:val="21"/>
        </w:rPr>
        <w:t>表4-1</w:t>
      </w:r>
      <w:r>
        <w:rPr>
          <w:rFonts w:hint="eastAsia" w:cs="Times New Roman"/>
          <w:b/>
          <w:bCs/>
          <w:spacing w:val="-4"/>
          <w:sz w:val="21"/>
          <w:szCs w:val="21"/>
          <w:lang w:val="en-US" w:eastAsia="zh-CN"/>
        </w:rPr>
        <w:t>1</w:t>
      </w:r>
      <w:r>
        <w:rPr>
          <w:rFonts w:hint="eastAsia" w:ascii="Times New Roman" w:hAnsi="Times New Roman" w:eastAsia="宋体" w:cs="Times New Roman"/>
          <w:b/>
          <w:bCs/>
          <w:spacing w:val="-4"/>
          <w:sz w:val="21"/>
          <w:szCs w:val="21"/>
          <w:lang w:val="en-US" w:eastAsia="zh-CN"/>
        </w:rPr>
        <w:t xml:space="preserve">   </w:t>
      </w:r>
      <w:r>
        <w:rPr>
          <w:rFonts w:hint="default" w:ascii="Times New Roman" w:hAnsi="Times New Roman" w:eastAsia="宋体" w:cs="Times New Roman"/>
          <w:b/>
          <w:bCs/>
          <w:spacing w:val="-4"/>
          <w:sz w:val="21"/>
          <w:szCs w:val="21"/>
        </w:rPr>
        <w:t>大气污染物排放情况汇总表</w:t>
      </w:r>
    </w:p>
    <w:tbl>
      <w:tblPr>
        <w:tblStyle w:val="46"/>
        <w:tblW w:w="14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91"/>
        <w:gridCol w:w="1183"/>
        <w:gridCol w:w="717"/>
        <w:gridCol w:w="916"/>
        <w:gridCol w:w="867"/>
        <w:gridCol w:w="867"/>
        <w:gridCol w:w="1233"/>
        <w:gridCol w:w="1183"/>
        <w:gridCol w:w="2267"/>
        <w:gridCol w:w="883"/>
        <w:gridCol w:w="767"/>
        <w:gridCol w:w="900"/>
        <w:gridCol w:w="883"/>
        <w:gridCol w:w="939"/>
      </w:tblGrid>
      <w:tr w14:paraId="081A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1" w:hRule="atLeast"/>
          <w:jc w:val="center"/>
        </w:trPr>
        <w:tc>
          <w:tcPr>
            <w:tcW w:w="591" w:type="dxa"/>
            <w:vMerge w:val="restart"/>
            <w:tcBorders>
              <w:top w:val="single" w:color="000000" w:sz="12" w:space="0"/>
              <w:left w:val="nil"/>
              <w:tl2br w:val="nil"/>
            </w:tcBorders>
            <w:shd w:val="clear" w:color="auto" w:fill="FFFFFF"/>
            <w:noWrap w:val="0"/>
            <w:textDirection w:val="tbRlV"/>
            <w:vAlign w:val="center"/>
          </w:tcPr>
          <w:p w14:paraId="2CC8F242">
            <w:pPr>
              <w:jc w:val="center"/>
              <w:rPr>
                <w:rFonts w:hint="default"/>
              </w:rPr>
            </w:pPr>
            <w:r>
              <w:rPr>
                <w:rFonts w:hint="default"/>
              </w:rPr>
              <w:t>序 号</w:t>
            </w:r>
          </w:p>
        </w:tc>
        <w:tc>
          <w:tcPr>
            <w:tcW w:w="1183" w:type="dxa"/>
            <w:vMerge w:val="restart"/>
            <w:tcBorders>
              <w:top w:val="single" w:color="000000" w:sz="12" w:space="0"/>
            </w:tcBorders>
            <w:shd w:val="clear" w:color="auto" w:fill="FFFFFF"/>
            <w:noWrap w:val="0"/>
            <w:vAlign w:val="center"/>
          </w:tcPr>
          <w:p w14:paraId="33120C21">
            <w:pPr>
              <w:jc w:val="center"/>
              <w:rPr>
                <w:rFonts w:hint="default"/>
              </w:rPr>
            </w:pPr>
          </w:p>
          <w:p w14:paraId="1E09BC17">
            <w:pPr>
              <w:jc w:val="center"/>
              <w:rPr>
                <w:rFonts w:hint="default"/>
              </w:rPr>
            </w:pPr>
            <w:r>
              <w:rPr>
                <w:rFonts w:hint="default"/>
              </w:rPr>
              <w:t>产污环节</w:t>
            </w:r>
          </w:p>
        </w:tc>
        <w:tc>
          <w:tcPr>
            <w:tcW w:w="717" w:type="dxa"/>
            <w:vMerge w:val="restart"/>
            <w:tcBorders>
              <w:top w:val="single" w:color="000000" w:sz="12" w:space="0"/>
            </w:tcBorders>
            <w:shd w:val="clear" w:color="auto" w:fill="FFFFFF"/>
            <w:noWrap w:val="0"/>
            <w:vAlign w:val="center"/>
          </w:tcPr>
          <w:p w14:paraId="31EDF6FF">
            <w:pPr>
              <w:jc w:val="center"/>
              <w:rPr>
                <w:rFonts w:hint="default"/>
              </w:rPr>
            </w:pPr>
          </w:p>
          <w:p w14:paraId="2CF09F83">
            <w:pPr>
              <w:jc w:val="center"/>
              <w:rPr>
                <w:rFonts w:hint="default"/>
              </w:rPr>
            </w:pPr>
            <w:r>
              <w:rPr>
                <w:rFonts w:hint="default"/>
              </w:rPr>
              <w:t>污染物种类</w:t>
            </w:r>
          </w:p>
        </w:tc>
        <w:tc>
          <w:tcPr>
            <w:tcW w:w="916" w:type="dxa"/>
            <w:vMerge w:val="restart"/>
            <w:tcBorders>
              <w:top w:val="single" w:color="000000" w:sz="12" w:space="0"/>
            </w:tcBorders>
            <w:shd w:val="clear" w:color="auto" w:fill="FFFFFF"/>
            <w:noWrap w:val="0"/>
            <w:vAlign w:val="center"/>
          </w:tcPr>
          <w:p w14:paraId="47F3F2ED">
            <w:pPr>
              <w:jc w:val="center"/>
              <w:rPr>
                <w:rFonts w:hint="default"/>
                <w:lang w:val="en-US" w:eastAsia="zh-CN"/>
              </w:rPr>
            </w:pPr>
            <w:r>
              <w:rPr>
                <w:rFonts w:hint="default"/>
                <w:lang w:val="en-US" w:eastAsia="zh-CN"/>
              </w:rPr>
              <w:t>核算方法</w:t>
            </w:r>
          </w:p>
        </w:tc>
        <w:tc>
          <w:tcPr>
            <w:tcW w:w="867" w:type="dxa"/>
            <w:vMerge w:val="restart"/>
            <w:tcBorders>
              <w:top w:val="single" w:color="000000" w:sz="12" w:space="0"/>
            </w:tcBorders>
            <w:shd w:val="clear" w:color="auto" w:fill="FFFFFF"/>
            <w:noWrap w:val="0"/>
            <w:vAlign w:val="center"/>
          </w:tcPr>
          <w:p w14:paraId="04B0FE75">
            <w:pPr>
              <w:jc w:val="center"/>
              <w:rPr>
                <w:rFonts w:hint="default"/>
              </w:rPr>
            </w:pPr>
          </w:p>
          <w:p w14:paraId="3B546670">
            <w:pPr>
              <w:jc w:val="center"/>
              <w:rPr>
                <w:rFonts w:hint="default"/>
              </w:rPr>
            </w:pPr>
            <w:r>
              <w:rPr>
                <w:rFonts w:hint="default"/>
              </w:rPr>
              <w:t>排放形式</w:t>
            </w:r>
          </w:p>
        </w:tc>
        <w:tc>
          <w:tcPr>
            <w:tcW w:w="3283" w:type="dxa"/>
            <w:gridSpan w:val="3"/>
            <w:tcBorders>
              <w:top w:val="single" w:color="000000" w:sz="12" w:space="0"/>
            </w:tcBorders>
            <w:shd w:val="clear" w:color="auto" w:fill="FFFFFF"/>
            <w:noWrap w:val="0"/>
            <w:vAlign w:val="center"/>
          </w:tcPr>
          <w:p w14:paraId="276DB945">
            <w:pPr>
              <w:jc w:val="center"/>
              <w:rPr>
                <w:rFonts w:hint="default"/>
              </w:rPr>
            </w:pPr>
            <w:r>
              <w:rPr>
                <w:rFonts w:hint="default"/>
              </w:rPr>
              <w:t>产生情况</w:t>
            </w:r>
          </w:p>
        </w:tc>
        <w:tc>
          <w:tcPr>
            <w:tcW w:w="3150" w:type="dxa"/>
            <w:gridSpan w:val="2"/>
            <w:tcBorders>
              <w:top w:val="single" w:color="000000" w:sz="12" w:space="0"/>
            </w:tcBorders>
            <w:shd w:val="clear" w:color="auto" w:fill="FFFFFF"/>
            <w:noWrap w:val="0"/>
            <w:vAlign w:val="center"/>
          </w:tcPr>
          <w:p w14:paraId="3999A721">
            <w:pPr>
              <w:jc w:val="center"/>
              <w:rPr>
                <w:rFonts w:hint="default"/>
              </w:rPr>
            </w:pPr>
          </w:p>
          <w:p w14:paraId="7415D3FD">
            <w:pPr>
              <w:jc w:val="center"/>
              <w:rPr>
                <w:rFonts w:hint="default"/>
              </w:rPr>
            </w:pPr>
            <w:r>
              <w:rPr>
                <w:rFonts w:hint="default"/>
              </w:rPr>
              <w:t>主要污染防治措施</w:t>
            </w:r>
          </w:p>
        </w:tc>
        <w:tc>
          <w:tcPr>
            <w:tcW w:w="2550" w:type="dxa"/>
            <w:gridSpan w:val="3"/>
            <w:tcBorders>
              <w:top w:val="single" w:color="000000" w:sz="12" w:space="0"/>
            </w:tcBorders>
            <w:shd w:val="clear" w:color="auto" w:fill="FFFFFF"/>
            <w:noWrap w:val="0"/>
            <w:vAlign w:val="center"/>
          </w:tcPr>
          <w:p w14:paraId="60DA030A">
            <w:pPr>
              <w:jc w:val="center"/>
              <w:rPr>
                <w:rFonts w:hint="default"/>
              </w:rPr>
            </w:pPr>
            <w:r>
              <w:rPr>
                <w:rFonts w:hint="default"/>
              </w:rPr>
              <w:t>排放情况</w:t>
            </w:r>
          </w:p>
        </w:tc>
        <w:tc>
          <w:tcPr>
            <w:tcW w:w="939" w:type="dxa"/>
            <w:vMerge w:val="restart"/>
            <w:tcBorders>
              <w:top w:val="single" w:color="000000" w:sz="12" w:space="0"/>
              <w:right w:val="nil"/>
            </w:tcBorders>
            <w:shd w:val="clear" w:color="auto" w:fill="FFFFFF"/>
            <w:noWrap w:val="0"/>
            <w:vAlign w:val="center"/>
          </w:tcPr>
          <w:p w14:paraId="4FD27E4D">
            <w:pPr>
              <w:jc w:val="center"/>
              <w:rPr>
                <w:rFonts w:hint="default"/>
              </w:rPr>
            </w:pPr>
          </w:p>
          <w:p w14:paraId="1A6D49C9">
            <w:pPr>
              <w:jc w:val="center"/>
              <w:rPr>
                <w:rFonts w:hint="default"/>
                <w:lang w:val="en-US" w:eastAsia="zh-CN"/>
              </w:rPr>
            </w:pPr>
            <w:r>
              <w:rPr>
                <w:rFonts w:hint="default"/>
                <w:lang w:val="en-US" w:eastAsia="zh-CN"/>
              </w:rPr>
              <w:t>产排时间（h）</w:t>
            </w:r>
          </w:p>
        </w:tc>
      </w:tr>
      <w:tr w14:paraId="78B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3" w:hRule="atLeast"/>
          <w:jc w:val="center"/>
        </w:trPr>
        <w:tc>
          <w:tcPr>
            <w:tcW w:w="591" w:type="dxa"/>
            <w:vMerge w:val="continue"/>
            <w:tcBorders>
              <w:left w:val="nil"/>
            </w:tcBorders>
            <w:shd w:val="clear" w:color="auto" w:fill="FFFFFF"/>
            <w:noWrap w:val="0"/>
            <w:textDirection w:val="tbRlV"/>
            <w:vAlign w:val="center"/>
          </w:tcPr>
          <w:p w14:paraId="568A349E">
            <w:pPr>
              <w:jc w:val="center"/>
              <w:rPr>
                <w:rFonts w:hint="default"/>
              </w:rPr>
            </w:pPr>
          </w:p>
        </w:tc>
        <w:tc>
          <w:tcPr>
            <w:tcW w:w="1183" w:type="dxa"/>
            <w:vMerge w:val="continue"/>
            <w:shd w:val="clear" w:color="auto" w:fill="FFFFFF"/>
            <w:noWrap w:val="0"/>
            <w:vAlign w:val="center"/>
          </w:tcPr>
          <w:p w14:paraId="2C3BE666">
            <w:pPr>
              <w:jc w:val="center"/>
              <w:rPr>
                <w:rFonts w:hint="default"/>
              </w:rPr>
            </w:pPr>
          </w:p>
        </w:tc>
        <w:tc>
          <w:tcPr>
            <w:tcW w:w="717" w:type="dxa"/>
            <w:vMerge w:val="continue"/>
            <w:shd w:val="clear" w:color="auto" w:fill="FFFFFF"/>
            <w:noWrap w:val="0"/>
            <w:vAlign w:val="center"/>
          </w:tcPr>
          <w:p w14:paraId="52320F37">
            <w:pPr>
              <w:jc w:val="center"/>
              <w:rPr>
                <w:rFonts w:hint="default"/>
              </w:rPr>
            </w:pPr>
          </w:p>
        </w:tc>
        <w:tc>
          <w:tcPr>
            <w:tcW w:w="916" w:type="dxa"/>
            <w:vMerge w:val="continue"/>
            <w:shd w:val="clear" w:color="auto" w:fill="FFFFFF"/>
            <w:noWrap w:val="0"/>
            <w:vAlign w:val="center"/>
          </w:tcPr>
          <w:p w14:paraId="3AAD6658">
            <w:pPr>
              <w:jc w:val="center"/>
              <w:rPr>
                <w:rFonts w:hint="default"/>
              </w:rPr>
            </w:pPr>
          </w:p>
        </w:tc>
        <w:tc>
          <w:tcPr>
            <w:tcW w:w="867" w:type="dxa"/>
            <w:vMerge w:val="continue"/>
            <w:shd w:val="clear" w:color="auto" w:fill="FFFFFF"/>
            <w:noWrap w:val="0"/>
            <w:vAlign w:val="center"/>
          </w:tcPr>
          <w:p w14:paraId="0FE0FA3A">
            <w:pPr>
              <w:jc w:val="center"/>
              <w:rPr>
                <w:rFonts w:hint="default"/>
              </w:rPr>
            </w:pPr>
          </w:p>
        </w:tc>
        <w:tc>
          <w:tcPr>
            <w:tcW w:w="867" w:type="dxa"/>
            <w:shd w:val="clear" w:color="auto" w:fill="FFFFFF"/>
            <w:noWrap w:val="0"/>
            <w:vAlign w:val="center"/>
          </w:tcPr>
          <w:p w14:paraId="6C8E7F7D">
            <w:pPr>
              <w:jc w:val="center"/>
              <w:rPr>
                <w:rFonts w:hint="default"/>
              </w:rPr>
            </w:pPr>
            <w:r>
              <w:rPr>
                <w:rFonts w:hint="default"/>
              </w:rPr>
              <w:t>产生量(t/a)</w:t>
            </w:r>
          </w:p>
        </w:tc>
        <w:tc>
          <w:tcPr>
            <w:tcW w:w="1233" w:type="dxa"/>
            <w:shd w:val="clear" w:color="auto" w:fill="FFFFFF"/>
            <w:noWrap w:val="0"/>
            <w:vAlign w:val="center"/>
          </w:tcPr>
          <w:p w14:paraId="1944F693">
            <w:pPr>
              <w:jc w:val="center"/>
              <w:rPr>
                <w:rFonts w:hint="default"/>
              </w:rPr>
            </w:pPr>
            <w:r>
              <w:rPr>
                <w:rFonts w:hint="default"/>
              </w:rPr>
              <w:t>产生速率(kg/h)</w:t>
            </w:r>
          </w:p>
        </w:tc>
        <w:tc>
          <w:tcPr>
            <w:tcW w:w="1183" w:type="dxa"/>
            <w:shd w:val="clear" w:color="auto" w:fill="FFFFFF"/>
            <w:noWrap w:val="0"/>
            <w:vAlign w:val="center"/>
          </w:tcPr>
          <w:p w14:paraId="1A6F7444">
            <w:pPr>
              <w:jc w:val="center"/>
              <w:rPr>
                <w:rFonts w:hint="default"/>
              </w:rPr>
            </w:pPr>
            <w:r>
              <w:rPr>
                <w:rFonts w:hint="default"/>
              </w:rPr>
              <w:t>产生浓度(mg/m</w:t>
            </w:r>
            <w:r>
              <w:rPr>
                <w:rFonts w:hint="default"/>
                <w:vertAlign w:val="superscript"/>
              </w:rPr>
              <w:t>3</w:t>
            </w:r>
            <w:r>
              <w:rPr>
                <w:rFonts w:hint="default"/>
              </w:rPr>
              <w:t>)</w:t>
            </w:r>
          </w:p>
        </w:tc>
        <w:tc>
          <w:tcPr>
            <w:tcW w:w="2267" w:type="dxa"/>
            <w:shd w:val="clear" w:color="auto" w:fill="FFFFFF"/>
            <w:noWrap w:val="0"/>
            <w:vAlign w:val="center"/>
          </w:tcPr>
          <w:p w14:paraId="2F7C1FAC">
            <w:pPr>
              <w:jc w:val="center"/>
              <w:rPr>
                <w:rFonts w:hint="default"/>
                <w:lang w:val="en-US" w:eastAsia="zh-CN"/>
              </w:rPr>
            </w:pPr>
          </w:p>
          <w:p w14:paraId="5D750ED4">
            <w:pPr>
              <w:jc w:val="center"/>
              <w:rPr>
                <w:rFonts w:hint="default"/>
              </w:rPr>
            </w:pPr>
            <w:r>
              <w:rPr>
                <w:rFonts w:hint="default"/>
                <w:lang w:val="en-US" w:eastAsia="zh-CN"/>
              </w:rPr>
              <w:t>采取的治理措施及去除效率</w:t>
            </w:r>
          </w:p>
          <w:p w14:paraId="4BFAB8C0">
            <w:pPr>
              <w:jc w:val="center"/>
              <w:rPr>
                <w:rFonts w:hint="default"/>
              </w:rPr>
            </w:pPr>
          </w:p>
        </w:tc>
        <w:tc>
          <w:tcPr>
            <w:tcW w:w="883" w:type="dxa"/>
            <w:shd w:val="clear" w:color="auto" w:fill="FFFFFF"/>
            <w:noWrap w:val="0"/>
            <w:vAlign w:val="center"/>
          </w:tcPr>
          <w:p w14:paraId="581D27A5">
            <w:pPr>
              <w:jc w:val="center"/>
              <w:rPr>
                <w:rFonts w:hint="default"/>
              </w:rPr>
            </w:pPr>
            <w:r>
              <w:rPr>
                <w:rFonts w:hint="default"/>
                <w:lang w:val="en-US" w:eastAsia="zh-CN"/>
              </w:rPr>
              <w:t>效率（%）</w:t>
            </w:r>
          </w:p>
          <w:p w14:paraId="3C59B96B">
            <w:pPr>
              <w:jc w:val="center"/>
              <w:rPr>
                <w:rFonts w:hint="default"/>
              </w:rPr>
            </w:pPr>
          </w:p>
        </w:tc>
        <w:tc>
          <w:tcPr>
            <w:tcW w:w="767" w:type="dxa"/>
            <w:shd w:val="clear" w:color="auto" w:fill="FFFFFF"/>
            <w:noWrap w:val="0"/>
            <w:vAlign w:val="center"/>
          </w:tcPr>
          <w:p w14:paraId="3C38DBCE">
            <w:pPr>
              <w:jc w:val="center"/>
              <w:rPr>
                <w:rFonts w:hint="default"/>
              </w:rPr>
            </w:pPr>
            <w:r>
              <w:rPr>
                <w:rFonts w:hint="default"/>
              </w:rPr>
              <w:t>排放量(t/a)</w:t>
            </w:r>
          </w:p>
        </w:tc>
        <w:tc>
          <w:tcPr>
            <w:tcW w:w="900" w:type="dxa"/>
            <w:shd w:val="clear" w:color="auto" w:fill="FFFFFF"/>
            <w:noWrap w:val="0"/>
            <w:vAlign w:val="center"/>
          </w:tcPr>
          <w:p w14:paraId="166D8D0A">
            <w:pPr>
              <w:jc w:val="center"/>
              <w:rPr>
                <w:rFonts w:hint="default"/>
              </w:rPr>
            </w:pPr>
            <w:r>
              <w:rPr>
                <w:rFonts w:hint="default"/>
              </w:rPr>
              <w:t>排放速率(kg/h)</w:t>
            </w:r>
          </w:p>
        </w:tc>
        <w:tc>
          <w:tcPr>
            <w:tcW w:w="883" w:type="dxa"/>
            <w:shd w:val="clear" w:color="auto" w:fill="FFFFFF"/>
            <w:noWrap w:val="0"/>
            <w:vAlign w:val="center"/>
          </w:tcPr>
          <w:p w14:paraId="61A4FBD7">
            <w:pPr>
              <w:jc w:val="center"/>
              <w:rPr>
                <w:rFonts w:hint="default"/>
              </w:rPr>
            </w:pPr>
            <w:r>
              <w:rPr>
                <w:rFonts w:hint="default"/>
              </w:rPr>
              <w:t>排放浓度(mg/m</w:t>
            </w:r>
            <w:r>
              <w:rPr>
                <w:rFonts w:hint="default"/>
                <w:vertAlign w:val="superscript"/>
              </w:rPr>
              <w:t>3</w:t>
            </w:r>
            <w:r>
              <w:rPr>
                <w:rFonts w:hint="default"/>
              </w:rPr>
              <w:t>)</w:t>
            </w:r>
          </w:p>
        </w:tc>
        <w:tc>
          <w:tcPr>
            <w:tcW w:w="939" w:type="dxa"/>
            <w:vMerge w:val="continue"/>
            <w:tcBorders>
              <w:right w:val="nil"/>
            </w:tcBorders>
            <w:shd w:val="clear" w:color="auto" w:fill="FFFFFF"/>
            <w:noWrap w:val="0"/>
            <w:vAlign w:val="center"/>
          </w:tcPr>
          <w:p w14:paraId="1D1CA52F">
            <w:pPr>
              <w:jc w:val="center"/>
              <w:rPr>
                <w:rFonts w:hint="default"/>
              </w:rPr>
            </w:pPr>
          </w:p>
        </w:tc>
      </w:tr>
      <w:tr w14:paraId="4D6E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63" w:hRule="atLeast"/>
          <w:jc w:val="center"/>
        </w:trPr>
        <w:tc>
          <w:tcPr>
            <w:tcW w:w="591" w:type="dxa"/>
            <w:tcBorders>
              <w:left w:val="nil"/>
            </w:tcBorders>
            <w:shd w:val="clear" w:color="auto" w:fill="FFFFFF"/>
            <w:noWrap w:val="0"/>
            <w:vAlign w:val="center"/>
          </w:tcPr>
          <w:p w14:paraId="79A7E801">
            <w:pPr>
              <w:jc w:val="center"/>
              <w:rPr>
                <w:rFonts w:hint="default"/>
              </w:rPr>
            </w:pPr>
          </w:p>
          <w:p w14:paraId="08B99FDC">
            <w:pPr>
              <w:jc w:val="center"/>
              <w:rPr>
                <w:rFonts w:hint="default"/>
              </w:rPr>
            </w:pPr>
            <w:r>
              <w:rPr>
                <w:rFonts w:hint="default"/>
              </w:rPr>
              <w:t>1</w:t>
            </w:r>
          </w:p>
        </w:tc>
        <w:tc>
          <w:tcPr>
            <w:tcW w:w="1183" w:type="dxa"/>
            <w:shd w:val="clear" w:color="auto" w:fill="FFFFFF"/>
            <w:noWrap w:val="0"/>
            <w:vAlign w:val="center"/>
          </w:tcPr>
          <w:p w14:paraId="1A91692E">
            <w:pPr>
              <w:jc w:val="center"/>
              <w:rPr>
                <w:rFonts w:hint="default"/>
              </w:rPr>
            </w:pPr>
          </w:p>
          <w:p w14:paraId="2AA60B33">
            <w:pPr>
              <w:jc w:val="center"/>
              <w:rPr>
                <w:rFonts w:hint="default"/>
              </w:rPr>
            </w:pPr>
            <w:r>
              <w:rPr>
                <w:rFonts w:hint="default"/>
                <w:lang w:val="en-US" w:eastAsia="zh-CN"/>
              </w:rPr>
              <w:t>露天矿开采</w:t>
            </w:r>
          </w:p>
          <w:p w14:paraId="66566622">
            <w:pPr>
              <w:jc w:val="center"/>
              <w:rPr>
                <w:rFonts w:hint="default"/>
              </w:rPr>
            </w:pPr>
            <w:r>
              <w:rPr>
                <w:rFonts w:hint="default"/>
                <w:lang w:val="en-US" w:eastAsia="zh-CN"/>
              </w:rPr>
              <w:t>（表土剥离）</w:t>
            </w:r>
          </w:p>
        </w:tc>
        <w:tc>
          <w:tcPr>
            <w:tcW w:w="717" w:type="dxa"/>
            <w:shd w:val="clear" w:color="auto" w:fill="FFFFFF"/>
            <w:noWrap w:val="0"/>
            <w:vAlign w:val="center"/>
          </w:tcPr>
          <w:p w14:paraId="2D0D9860">
            <w:pPr>
              <w:jc w:val="center"/>
              <w:rPr>
                <w:rFonts w:hint="default"/>
              </w:rPr>
            </w:pPr>
            <w:r>
              <w:rPr>
                <w:rFonts w:hint="default"/>
              </w:rPr>
              <w:t>颗粒物</w:t>
            </w:r>
          </w:p>
        </w:tc>
        <w:tc>
          <w:tcPr>
            <w:tcW w:w="916" w:type="dxa"/>
            <w:shd w:val="clear" w:color="auto" w:fill="FFFFFF"/>
            <w:noWrap w:val="0"/>
            <w:vAlign w:val="center"/>
          </w:tcPr>
          <w:p w14:paraId="73E80337">
            <w:pPr>
              <w:jc w:val="center"/>
              <w:rPr>
                <w:rFonts w:hint="default"/>
                <w:lang w:val="en-US" w:eastAsia="zh-CN"/>
              </w:rPr>
            </w:pPr>
            <w:r>
              <w:rPr>
                <w:rFonts w:hint="default"/>
                <w:lang w:val="en-US" w:eastAsia="zh-CN"/>
              </w:rPr>
              <w:t>产物系数法</w:t>
            </w:r>
          </w:p>
        </w:tc>
        <w:tc>
          <w:tcPr>
            <w:tcW w:w="867" w:type="dxa"/>
            <w:shd w:val="clear" w:color="auto" w:fill="FFFFFF"/>
            <w:noWrap w:val="0"/>
            <w:vAlign w:val="center"/>
          </w:tcPr>
          <w:p w14:paraId="65F91DEB">
            <w:pPr>
              <w:jc w:val="center"/>
              <w:rPr>
                <w:rFonts w:hint="default"/>
              </w:rPr>
            </w:pPr>
          </w:p>
          <w:p w14:paraId="05C7473D">
            <w:pPr>
              <w:jc w:val="center"/>
              <w:rPr>
                <w:rFonts w:hint="default"/>
              </w:rPr>
            </w:pPr>
            <w:r>
              <w:rPr>
                <w:rFonts w:hint="default"/>
              </w:rPr>
              <w:t>无组织</w:t>
            </w:r>
          </w:p>
        </w:tc>
        <w:tc>
          <w:tcPr>
            <w:tcW w:w="867" w:type="dxa"/>
            <w:shd w:val="clear" w:color="auto" w:fill="FFFFFF"/>
            <w:noWrap w:val="0"/>
            <w:vAlign w:val="center"/>
          </w:tcPr>
          <w:p w14:paraId="4BC608A5">
            <w:pPr>
              <w:jc w:val="center"/>
              <w:rPr>
                <w:rFonts w:hint="default"/>
              </w:rPr>
            </w:pPr>
            <w:r>
              <w:rPr>
                <w:rFonts w:hint="eastAsia"/>
                <w:lang w:val="en-US" w:eastAsia="zh-CN"/>
              </w:rPr>
              <w:t>4.1</w:t>
            </w:r>
          </w:p>
        </w:tc>
        <w:tc>
          <w:tcPr>
            <w:tcW w:w="1233" w:type="dxa"/>
            <w:shd w:val="clear" w:color="auto" w:fill="FFFFFF"/>
            <w:noWrap w:val="0"/>
            <w:vAlign w:val="center"/>
          </w:tcPr>
          <w:p w14:paraId="304E8DA8">
            <w:pPr>
              <w:jc w:val="center"/>
              <w:rPr>
                <w:rFonts w:hint="default"/>
                <w:lang w:val="en-US" w:eastAsia="zh-CN"/>
              </w:rPr>
            </w:pPr>
            <w:r>
              <w:rPr>
                <w:rFonts w:hint="eastAsia"/>
                <w:lang w:val="en-US" w:eastAsia="zh-CN"/>
              </w:rPr>
              <w:t>2.56</w:t>
            </w:r>
          </w:p>
        </w:tc>
        <w:tc>
          <w:tcPr>
            <w:tcW w:w="1183" w:type="dxa"/>
            <w:shd w:val="clear" w:color="auto" w:fill="FFFFFF"/>
            <w:noWrap w:val="0"/>
            <w:vAlign w:val="center"/>
          </w:tcPr>
          <w:p w14:paraId="755268D3">
            <w:pPr>
              <w:jc w:val="center"/>
              <w:rPr>
                <w:rFonts w:hint="default"/>
                <w:lang w:val="en-US" w:eastAsia="zh-CN"/>
              </w:rPr>
            </w:pPr>
            <w:r>
              <w:rPr>
                <w:rFonts w:hint="default"/>
                <w:lang w:val="en-US" w:eastAsia="zh-CN"/>
              </w:rPr>
              <w:t>/</w:t>
            </w:r>
          </w:p>
        </w:tc>
        <w:tc>
          <w:tcPr>
            <w:tcW w:w="2267" w:type="dxa"/>
            <w:shd w:val="clear" w:color="auto" w:fill="FFFFFF"/>
            <w:noWrap w:val="0"/>
            <w:vAlign w:val="center"/>
          </w:tcPr>
          <w:p w14:paraId="436CB0C0">
            <w:pPr>
              <w:jc w:val="center"/>
              <w:rPr>
                <w:rFonts w:hint="default"/>
              </w:rPr>
            </w:pPr>
            <w:r>
              <w:rPr>
                <w:rFonts w:hint="default"/>
              </w:rPr>
              <w:t>采取湿法作业、铲装前采用</w:t>
            </w:r>
            <w:r>
              <w:rPr>
                <w:rFonts w:hint="eastAsia"/>
                <w:lang w:val="en-US" w:eastAsia="zh-CN"/>
              </w:rPr>
              <w:t>洒水车</w:t>
            </w:r>
            <w:r>
              <w:rPr>
                <w:rFonts w:hint="default"/>
              </w:rPr>
              <w:t>洒水降尘措施</w:t>
            </w:r>
          </w:p>
        </w:tc>
        <w:tc>
          <w:tcPr>
            <w:tcW w:w="883" w:type="dxa"/>
            <w:shd w:val="clear" w:color="auto" w:fill="FFFFFF"/>
            <w:noWrap w:val="0"/>
            <w:vAlign w:val="center"/>
          </w:tcPr>
          <w:p w14:paraId="1D282BE0">
            <w:pPr>
              <w:jc w:val="center"/>
              <w:rPr>
                <w:rFonts w:hint="default"/>
                <w:lang w:val="en-US" w:eastAsia="zh-CN"/>
              </w:rPr>
            </w:pPr>
            <w:r>
              <w:rPr>
                <w:rFonts w:hint="default"/>
                <w:lang w:val="en-US" w:eastAsia="zh-CN"/>
              </w:rPr>
              <w:t>80</w:t>
            </w:r>
          </w:p>
        </w:tc>
        <w:tc>
          <w:tcPr>
            <w:tcW w:w="767" w:type="dxa"/>
            <w:shd w:val="clear" w:color="auto" w:fill="FFFFFF"/>
            <w:noWrap w:val="0"/>
            <w:vAlign w:val="center"/>
          </w:tcPr>
          <w:p w14:paraId="23BFEF9A">
            <w:pPr>
              <w:jc w:val="center"/>
              <w:rPr>
                <w:rFonts w:hint="default"/>
              </w:rPr>
            </w:pPr>
            <w:r>
              <w:rPr>
                <w:rFonts w:hint="default"/>
                <w:lang w:val="en-US" w:eastAsia="zh-CN"/>
              </w:rPr>
              <w:t>0.82</w:t>
            </w:r>
          </w:p>
        </w:tc>
        <w:tc>
          <w:tcPr>
            <w:tcW w:w="900" w:type="dxa"/>
            <w:shd w:val="clear" w:color="auto" w:fill="FFFFFF"/>
            <w:noWrap w:val="0"/>
            <w:vAlign w:val="center"/>
          </w:tcPr>
          <w:p w14:paraId="65084FFF">
            <w:pPr>
              <w:jc w:val="center"/>
              <w:rPr>
                <w:rFonts w:hint="default"/>
                <w:lang w:val="en-US" w:eastAsia="zh-CN"/>
              </w:rPr>
            </w:pPr>
            <w:r>
              <w:rPr>
                <w:rFonts w:hint="eastAsia"/>
                <w:lang w:val="en-US" w:eastAsia="zh-CN"/>
              </w:rPr>
              <w:t>0.51</w:t>
            </w:r>
          </w:p>
        </w:tc>
        <w:tc>
          <w:tcPr>
            <w:tcW w:w="883" w:type="dxa"/>
            <w:shd w:val="clear" w:color="auto" w:fill="FFFFFF"/>
            <w:noWrap w:val="0"/>
            <w:vAlign w:val="center"/>
          </w:tcPr>
          <w:p w14:paraId="1D7195FB">
            <w:pPr>
              <w:jc w:val="center"/>
              <w:rPr>
                <w:rFonts w:hint="default"/>
                <w:lang w:val="en-US" w:eastAsia="zh-CN"/>
              </w:rPr>
            </w:pPr>
            <w:r>
              <w:rPr>
                <w:rFonts w:hint="default"/>
                <w:lang w:val="en-US" w:eastAsia="zh-CN"/>
              </w:rPr>
              <w:t>/</w:t>
            </w:r>
          </w:p>
        </w:tc>
        <w:tc>
          <w:tcPr>
            <w:tcW w:w="939" w:type="dxa"/>
            <w:tcBorders>
              <w:right w:val="nil"/>
            </w:tcBorders>
            <w:shd w:val="clear" w:color="auto" w:fill="FFFFFF"/>
            <w:noWrap w:val="0"/>
            <w:vAlign w:val="center"/>
          </w:tcPr>
          <w:p w14:paraId="0F809F7D">
            <w:pPr>
              <w:jc w:val="center"/>
              <w:rPr>
                <w:rFonts w:hint="default"/>
                <w:lang w:val="en-US" w:eastAsia="zh-CN"/>
              </w:rPr>
            </w:pPr>
            <w:r>
              <w:rPr>
                <w:rFonts w:hint="default"/>
                <w:lang w:val="en-US" w:eastAsia="zh-CN"/>
              </w:rPr>
              <w:t>1600</w:t>
            </w:r>
          </w:p>
        </w:tc>
      </w:tr>
      <w:tr w14:paraId="3E7D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591" w:type="dxa"/>
            <w:tcBorders>
              <w:left w:val="nil"/>
            </w:tcBorders>
            <w:shd w:val="clear" w:color="auto" w:fill="FFFFFF"/>
            <w:noWrap w:val="0"/>
            <w:vAlign w:val="center"/>
          </w:tcPr>
          <w:p w14:paraId="5C0CB2FF">
            <w:pPr>
              <w:jc w:val="center"/>
              <w:rPr>
                <w:rFonts w:hint="default"/>
              </w:rPr>
            </w:pPr>
            <w:r>
              <w:rPr>
                <w:rFonts w:hint="default"/>
              </w:rPr>
              <w:t>2</w:t>
            </w:r>
          </w:p>
        </w:tc>
        <w:tc>
          <w:tcPr>
            <w:tcW w:w="1183" w:type="dxa"/>
            <w:shd w:val="clear" w:color="auto" w:fill="FFFFFF"/>
            <w:noWrap w:val="0"/>
            <w:vAlign w:val="center"/>
          </w:tcPr>
          <w:p w14:paraId="7BD2905F">
            <w:pPr>
              <w:jc w:val="center"/>
              <w:rPr>
                <w:rFonts w:hint="default"/>
              </w:rPr>
            </w:pPr>
            <w:r>
              <w:rPr>
                <w:rFonts w:hint="default"/>
                <w:lang w:val="en-US" w:eastAsia="zh-CN"/>
              </w:rPr>
              <w:t>矿石</w:t>
            </w:r>
            <w:r>
              <w:rPr>
                <w:rFonts w:hint="default"/>
              </w:rPr>
              <w:t>装卸</w:t>
            </w:r>
          </w:p>
        </w:tc>
        <w:tc>
          <w:tcPr>
            <w:tcW w:w="717" w:type="dxa"/>
            <w:shd w:val="clear" w:color="auto" w:fill="FFFFFF"/>
            <w:noWrap w:val="0"/>
            <w:vAlign w:val="center"/>
          </w:tcPr>
          <w:p w14:paraId="1F295563">
            <w:pPr>
              <w:jc w:val="center"/>
              <w:rPr>
                <w:rFonts w:hint="default"/>
              </w:rPr>
            </w:pPr>
            <w:r>
              <w:rPr>
                <w:rFonts w:hint="default"/>
              </w:rPr>
              <w:t>颗粒物</w:t>
            </w:r>
          </w:p>
        </w:tc>
        <w:tc>
          <w:tcPr>
            <w:tcW w:w="916" w:type="dxa"/>
            <w:shd w:val="clear" w:color="auto" w:fill="FFFFFF"/>
            <w:noWrap w:val="0"/>
            <w:vAlign w:val="center"/>
          </w:tcPr>
          <w:p w14:paraId="3EA8994D">
            <w:pPr>
              <w:jc w:val="center"/>
              <w:rPr>
                <w:rFonts w:hint="default"/>
              </w:rPr>
            </w:pPr>
            <w:r>
              <w:rPr>
                <w:rFonts w:hint="default"/>
                <w:lang w:val="en-US" w:eastAsia="zh-CN"/>
              </w:rPr>
              <w:t>产物系数法</w:t>
            </w:r>
          </w:p>
        </w:tc>
        <w:tc>
          <w:tcPr>
            <w:tcW w:w="867" w:type="dxa"/>
            <w:shd w:val="clear" w:color="auto" w:fill="FFFFFF"/>
            <w:noWrap w:val="0"/>
            <w:vAlign w:val="center"/>
          </w:tcPr>
          <w:p w14:paraId="4777E740">
            <w:pPr>
              <w:jc w:val="center"/>
              <w:rPr>
                <w:rFonts w:hint="default"/>
              </w:rPr>
            </w:pPr>
            <w:r>
              <w:rPr>
                <w:rFonts w:hint="default"/>
              </w:rPr>
              <w:t>无组织</w:t>
            </w:r>
          </w:p>
        </w:tc>
        <w:tc>
          <w:tcPr>
            <w:tcW w:w="867" w:type="dxa"/>
            <w:shd w:val="clear" w:color="auto" w:fill="FFFFFF"/>
            <w:noWrap w:val="0"/>
            <w:vAlign w:val="center"/>
          </w:tcPr>
          <w:p w14:paraId="4EE688E4">
            <w:pPr>
              <w:jc w:val="center"/>
              <w:rPr>
                <w:rFonts w:hint="default"/>
              </w:rPr>
            </w:pPr>
            <w:r>
              <w:rPr>
                <w:rFonts w:hint="default"/>
                <w:lang w:val="en-US" w:eastAsia="zh-CN"/>
              </w:rPr>
              <w:t>0.1</w:t>
            </w:r>
          </w:p>
        </w:tc>
        <w:tc>
          <w:tcPr>
            <w:tcW w:w="1233" w:type="dxa"/>
            <w:shd w:val="clear" w:color="auto" w:fill="FFFFFF"/>
            <w:noWrap w:val="0"/>
            <w:vAlign w:val="center"/>
          </w:tcPr>
          <w:p w14:paraId="18806E10">
            <w:pPr>
              <w:jc w:val="center"/>
              <w:rPr>
                <w:rFonts w:hint="default"/>
              </w:rPr>
            </w:pPr>
            <w:r>
              <w:rPr>
                <w:rFonts w:hint="default"/>
              </w:rPr>
              <w:t>0.0625</w:t>
            </w:r>
          </w:p>
        </w:tc>
        <w:tc>
          <w:tcPr>
            <w:tcW w:w="1183" w:type="dxa"/>
            <w:shd w:val="clear" w:color="auto" w:fill="FFFFFF"/>
            <w:noWrap w:val="0"/>
            <w:vAlign w:val="center"/>
          </w:tcPr>
          <w:p w14:paraId="3BA8934D">
            <w:pPr>
              <w:jc w:val="center"/>
              <w:rPr>
                <w:rFonts w:hint="default"/>
              </w:rPr>
            </w:pPr>
            <w:r>
              <w:rPr>
                <w:rFonts w:hint="default"/>
              </w:rPr>
              <w:t>/</w:t>
            </w:r>
          </w:p>
        </w:tc>
        <w:tc>
          <w:tcPr>
            <w:tcW w:w="2267" w:type="dxa"/>
            <w:shd w:val="clear" w:color="auto" w:fill="FFFFFF"/>
            <w:noWrap w:val="0"/>
            <w:vAlign w:val="center"/>
          </w:tcPr>
          <w:p w14:paraId="54EF02BA">
            <w:pPr>
              <w:jc w:val="center"/>
              <w:rPr>
                <w:rFonts w:hint="default"/>
              </w:rPr>
            </w:pPr>
            <w:r>
              <w:rPr>
                <w:rFonts w:hint="default"/>
                <w:lang w:val="en-US" w:eastAsia="zh-CN"/>
              </w:rPr>
              <w:t>洒水降尘</w:t>
            </w:r>
          </w:p>
        </w:tc>
        <w:tc>
          <w:tcPr>
            <w:tcW w:w="883" w:type="dxa"/>
            <w:shd w:val="clear" w:color="auto" w:fill="FFFFFF"/>
            <w:noWrap w:val="0"/>
            <w:vAlign w:val="center"/>
          </w:tcPr>
          <w:p w14:paraId="624B0A0B">
            <w:pPr>
              <w:jc w:val="center"/>
              <w:rPr>
                <w:rFonts w:hint="default"/>
              </w:rPr>
            </w:pPr>
            <w:r>
              <w:rPr>
                <w:rFonts w:hint="default"/>
                <w:lang w:val="en-US" w:eastAsia="zh-CN"/>
              </w:rPr>
              <w:t>80</w:t>
            </w:r>
          </w:p>
        </w:tc>
        <w:tc>
          <w:tcPr>
            <w:tcW w:w="767" w:type="dxa"/>
            <w:shd w:val="clear" w:color="auto" w:fill="FFFFFF"/>
            <w:noWrap w:val="0"/>
            <w:vAlign w:val="center"/>
          </w:tcPr>
          <w:p w14:paraId="7A8FFF14">
            <w:pPr>
              <w:jc w:val="center"/>
              <w:rPr>
                <w:rFonts w:hint="default"/>
              </w:rPr>
            </w:pPr>
            <w:r>
              <w:rPr>
                <w:rFonts w:hint="default"/>
                <w:lang w:val="en-US" w:eastAsia="zh-CN"/>
              </w:rPr>
              <w:t>0.02</w:t>
            </w:r>
          </w:p>
        </w:tc>
        <w:tc>
          <w:tcPr>
            <w:tcW w:w="900" w:type="dxa"/>
            <w:shd w:val="clear" w:color="auto" w:fill="FFFFFF"/>
            <w:noWrap w:val="0"/>
            <w:vAlign w:val="center"/>
          </w:tcPr>
          <w:p w14:paraId="225E06AA">
            <w:pPr>
              <w:jc w:val="center"/>
              <w:rPr>
                <w:rFonts w:hint="default"/>
              </w:rPr>
            </w:pPr>
            <w:r>
              <w:rPr>
                <w:rFonts w:hint="default"/>
              </w:rPr>
              <w:t>0.0125</w:t>
            </w:r>
          </w:p>
        </w:tc>
        <w:tc>
          <w:tcPr>
            <w:tcW w:w="883" w:type="dxa"/>
            <w:shd w:val="clear" w:color="auto" w:fill="FFFFFF"/>
            <w:noWrap w:val="0"/>
            <w:vAlign w:val="center"/>
          </w:tcPr>
          <w:p w14:paraId="7A69168E">
            <w:pPr>
              <w:jc w:val="center"/>
              <w:rPr>
                <w:rFonts w:hint="default"/>
              </w:rPr>
            </w:pPr>
            <w:r>
              <w:rPr>
                <w:rFonts w:hint="default"/>
              </w:rPr>
              <w:t>/</w:t>
            </w:r>
          </w:p>
        </w:tc>
        <w:tc>
          <w:tcPr>
            <w:tcW w:w="939" w:type="dxa"/>
            <w:tcBorders>
              <w:right w:val="nil"/>
            </w:tcBorders>
            <w:shd w:val="clear" w:color="auto" w:fill="FFFFFF"/>
            <w:noWrap w:val="0"/>
            <w:vAlign w:val="center"/>
          </w:tcPr>
          <w:p w14:paraId="24C0CB17">
            <w:pPr>
              <w:jc w:val="center"/>
              <w:rPr>
                <w:rFonts w:hint="default"/>
              </w:rPr>
            </w:pPr>
            <w:r>
              <w:rPr>
                <w:rFonts w:hint="default"/>
                <w:lang w:val="en-US" w:eastAsia="zh-CN"/>
              </w:rPr>
              <w:t>1600</w:t>
            </w:r>
          </w:p>
        </w:tc>
      </w:tr>
      <w:tr w14:paraId="78D3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591" w:type="dxa"/>
            <w:tcBorders>
              <w:left w:val="nil"/>
            </w:tcBorders>
            <w:shd w:val="clear" w:color="auto" w:fill="FFFFFF"/>
            <w:noWrap w:val="0"/>
            <w:vAlign w:val="center"/>
          </w:tcPr>
          <w:p w14:paraId="313CBBE1">
            <w:pPr>
              <w:jc w:val="center"/>
              <w:rPr>
                <w:rFonts w:hint="default"/>
              </w:rPr>
            </w:pPr>
            <w:r>
              <w:rPr>
                <w:rFonts w:hint="default"/>
              </w:rPr>
              <w:t>3</w:t>
            </w:r>
          </w:p>
        </w:tc>
        <w:tc>
          <w:tcPr>
            <w:tcW w:w="1183" w:type="dxa"/>
            <w:shd w:val="clear" w:color="auto" w:fill="FFFFFF"/>
            <w:noWrap w:val="0"/>
            <w:vAlign w:val="center"/>
          </w:tcPr>
          <w:p w14:paraId="2DCF0855">
            <w:pPr>
              <w:jc w:val="center"/>
              <w:rPr>
                <w:rFonts w:hint="default"/>
              </w:rPr>
            </w:pPr>
            <w:r>
              <w:rPr>
                <w:rFonts w:hint="default"/>
              </w:rPr>
              <w:t>道路运输</w:t>
            </w:r>
          </w:p>
        </w:tc>
        <w:tc>
          <w:tcPr>
            <w:tcW w:w="717" w:type="dxa"/>
            <w:shd w:val="clear" w:color="auto" w:fill="FFFFFF"/>
            <w:noWrap w:val="0"/>
            <w:vAlign w:val="center"/>
          </w:tcPr>
          <w:p w14:paraId="28D9B825">
            <w:pPr>
              <w:jc w:val="center"/>
              <w:rPr>
                <w:rFonts w:hint="default"/>
              </w:rPr>
            </w:pPr>
            <w:r>
              <w:rPr>
                <w:rFonts w:hint="default"/>
              </w:rPr>
              <w:t>颗粒物</w:t>
            </w:r>
          </w:p>
        </w:tc>
        <w:tc>
          <w:tcPr>
            <w:tcW w:w="916" w:type="dxa"/>
            <w:shd w:val="clear" w:color="auto" w:fill="FFFFFF"/>
            <w:noWrap w:val="0"/>
            <w:vAlign w:val="center"/>
          </w:tcPr>
          <w:p w14:paraId="4B17D5CE">
            <w:pPr>
              <w:jc w:val="center"/>
              <w:rPr>
                <w:rFonts w:hint="default"/>
              </w:rPr>
            </w:pPr>
            <w:r>
              <w:rPr>
                <w:rFonts w:hint="default"/>
                <w:lang w:val="en-US" w:eastAsia="zh-CN"/>
              </w:rPr>
              <w:t>产物系数法</w:t>
            </w:r>
          </w:p>
        </w:tc>
        <w:tc>
          <w:tcPr>
            <w:tcW w:w="867" w:type="dxa"/>
            <w:shd w:val="clear" w:color="auto" w:fill="FFFFFF"/>
            <w:noWrap w:val="0"/>
            <w:vAlign w:val="center"/>
          </w:tcPr>
          <w:p w14:paraId="02677813">
            <w:pPr>
              <w:jc w:val="center"/>
              <w:rPr>
                <w:rFonts w:hint="default"/>
              </w:rPr>
            </w:pPr>
            <w:r>
              <w:rPr>
                <w:rFonts w:hint="default"/>
              </w:rPr>
              <w:t>无组织</w:t>
            </w:r>
          </w:p>
        </w:tc>
        <w:tc>
          <w:tcPr>
            <w:tcW w:w="867" w:type="dxa"/>
            <w:shd w:val="clear" w:color="auto" w:fill="FFFFFF"/>
            <w:noWrap w:val="0"/>
            <w:vAlign w:val="center"/>
          </w:tcPr>
          <w:p w14:paraId="0595BFA5">
            <w:pPr>
              <w:jc w:val="center"/>
              <w:rPr>
                <w:rFonts w:hint="default"/>
                <w:lang w:val="en-US"/>
              </w:rPr>
            </w:pPr>
            <w:r>
              <w:rPr>
                <w:rFonts w:hint="default"/>
                <w:lang w:val="en-US" w:eastAsia="zh-CN"/>
              </w:rPr>
              <w:t>1.</w:t>
            </w:r>
            <w:r>
              <w:rPr>
                <w:rFonts w:hint="eastAsia"/>
                <w:lang w:val="en-US" w:eastAsia="zh-CN"/>
              </w:rPr>
              <w:t>33</w:t>
            </w:r>
          </w:p>
        </w:tc>
        <w:tc>
          <w:tcPr>
            <w:tcW w:w="1233" w:type="dxa"/>
            <w:shd w:val="clear" w:color="auto" w:fill="FFFFFF"/>
            <w:noWrap w:val="0"/>
            <w:vAlign w:val="center"/>
          </w:tcPr>
          <w:p w14:paraId="307F0CD8">
            <w:pPr>
              <w:jc w:val="center"/>
              <w:rPr>
                <w:rFonts w:hint="default"/>
                <w:lang w:val="en-US" w:eastAsia="zh-CN"/>
              </w:rPr>
            </w:pPr>
            <w:r>
              <w:rPr>
                <w:rFonts w:hint="default"/>
              </w:rPr>
              <w:t>0.</w:t>
            </w:r>
            <w:r>
              <w:rPr>
                <w:rFonts w:hint="eastAsia"/>
                <w:lang w:val="en-US" w:eastAsia="zh-CN"/>
              </w:rPr>
              <w:t>706</w:t>
            </w:r>
          </w:p>
        </w:tc>
        <w:tc>
          <w:tcPr>
            <w:tcW w:w="1183" w:type="dxa"/>
            <w:shd w:val="clear" w:color="auto" w:fill="FFFFFF"/>
            <w:noWrap w:val="0"/>
            <w:vAlign w:val="center"/>
          </w:tcPr>
          <w:p w14:paraId="4F309E8B">
            <w:pPr>
              <w:jc w:val="center"/>
              <w:rPr>
                <w:rFonts w:hint="default"/>
              </w:rPr>
            </w:pPr>
            <w:r>
              <w:rPr>
                <w:rFonts w:hint="default"/>
              </w:rPr>
              <w:t>/</w:t>
            </w:r>
          </w:p>
        </w:tc>
        <w:tc>
          <w:tcPr>
            <w:tcW w:w="2267" w:type="dxa"/>
            <w:shd w:val="clear" w:color="auto" w:fill="FFFFFF"/>
            <w:noWrap w:val="0"/>
            <w:vAlign w:val="center"/>
          </w:tcPr>
          <w:p w14:paraId="5480F2CA">
            <w:pPr>
              <w:jc w:val="center"/>
              <w:rPr>
                <w:rFonts w:hint="default"/>
              </w:rPr>
            </w:pPr>
            <w:r>
              <w:rPr>
                <w:rFonts w:hint="default"/>
                <w:lang w:val="en-US" w:eastAsia="zh-CN"/>
              </w:rPr>
              <w:t>运输过程中的粉尘通过洒水抑尘、车辆遮盖等</w:t>
            </w:r>
          </w:p>
        </w:tc>
        <w:tc>
          <w:tcPr>
            <w:tcW w:w="883" w:type="dxa"/>
            <w:shd w:val="clear" w:color="auto" w:fill="FFFFFF"/>
            <w:noWrap w:val="0"/>
            <w:vAlign w:val="center"/>
          </w:tcPr>
          <w:p w14:paraId="7D302AAB">
            <w:pPr>
              <w:jc w:val="center"/>
              <w:rPr>
                <w:rFonts w:hint="default"/>
                <w:lang w:val="en-US" w:eastAsia="zh-CN"/>
              </w:rPr>
            </w:pPr>
            <w:r>
              <w:rPr>
                <w:rFonts w:hint="default"/>
                <w:lang w:val="en-US" w:eastAsia="zh-CN"/>
              </w:rPr>
              <w:t>74</w:t>
            </w:r>
          </w:p>
        </w:tc>
        <w:tc>
          <w:tcPr>
            <w:tcW w:w="767" w:type="dxa"/>
            <w:shd w:val="clear" w:color="auto" w:fill="FFFFFF"/>
            <w:noWrap w:val="0"/>
            <w:vAlign w:val="center"/>
          </w:tcPr>
          <w:p w14:paraId="2423AE94">
            <w:pPr>
              <w:jc w:val="center"/>
              <w:rPr>
                <w:rFonts w:hint="default"/>
                <w:lang w:val="en-US"/>
              </w:rPr>
            </w:pPr>
            <w:r>
              <w:rPr>
                <w:rFonts w:hint="default"/>
                <w:lang w:val="en-US" w:eastAsia="zh-CN"/>
              </w:rPr>
              <w:t>0.</w:t>
            </w:r>
            <w:r>
              <w:rPr>
                <w:rFonts w:hint="eastAsia"/>
                <w:lang w:val="en-US" w:eastAsia="zh-CN"/>
              </w:rPr>
              <w:t>294</w:t>
            </w:r>
          </w:p>
        </w:tc>
        <w:tc>
          <w:tcPr>
            <w:tcW w:w="900" w:type="dxa"/>
            <w:shd w:val="clear" w:color="auto" w:fill="FFFFFF"/>
            <w:noWrap w:val="0"/>
            <w:vAlign w:val="center"/>
          </w:tcPr>
          <w:p w14:paraId="20D6C058">
            <w:pPr>
              <w:jc w:val="center"/>
              <w:rPr>
                <w:rFonts w:hint="default"/>
                <w:lang w:val="en-US" w:eastAsia="zh-CN"/>
              </w:rPr>
            </w:pPr>
            <w:r>
              <w:rPr>
                <w:rFonts w:hint="default"/>
              </w:rPr>
              <w:t>0.</w:t>
            </w:r>
            <w:r>
              <w:rPr>
                <w:rFonts w:hint="eastAsia"/>
                <w:lang w:val="en-US" w:eastAsia="zh-CN"/>
              </w:rPr>
              <w:t>49</w:t>
            </w:r>
          </w:p>
        </w:tc>
        <w:tc>
          <w:tcPr>
            <w:tcW w:w="883" w:type="dxa"/>
            <w:shd w:val="clear" w:color="auto" w:fill="FFFFFF"/>
            <w:noWrap w:val="0"/>
            <w:vAlign w:val="center"/>
          </w:tcPr>
          <w:p w14:paraId="7646A324">
            <w:pPr>
              <w:jc w:val="center"/>
              <w:rPr>
                <w:rFonts w:hint="default"/>
              </w:rPr>
            </w:pPr>
            <w:r>
              <w:rPr>
                <w:rFonts w:hint="default"/>
              </w:rPr>
              <w:t>/</w:t>
            </w:r>
          </w:p>
        </w:tc>
        <w:tc>
          <w:tcPr>
            <w:tcW w:w="939" w:type="dxa"/>
            <w:tcBorders>
              <w:right w:val="nil"/>
            </w:tcBorders>
            <w:shd w:val="clear" w:color="auto" w:fill="FFFFFF"/>
            <w:noWrap w:val="0"/>
            <w:vAlign w:val="center"/>
          </w:tcPr>
          <w:p w14:paraId="3DA65C73">
            <w:pPr>
              <w:jc w:val="center"/>
              <w:rPr>
                <w:rFonts w:hint="default"/>
              </w:rPr>
            </w:pPr>
            <w:r>
              <w:rPr>
                <w:rFonts w:hint="default"/>
                <w:lang w:val="en-US" w:eastAsia="zh-CN"/>
              </w:rPr>
              <w:t>1600</w:t>
            </w:r>
          </w:p>
        </w:tc>
      </w:tr>
      <w:tr w14:paraId="0758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591" w:type="dxa"/>
            <w:tcBorders>
              <w:left w:val="nil"/>
            </w:tcBorders>
            <w:shd w:val="clear" w:color="auto" w:fill="FFFFFF"/>
            <w:noWrap w:val="0"/>
            <w:vAlign w:val="center"/>
          </w:tcPr>
          <w:p w14:paraId="3F52BD94">
            <w:pPr>
              <w:jc w:val="center"/>
              <w:rPr>
                <w:rFonts w:hint="default"/>
              </w:rPr>
            </w:pPr>
          </w:p>
          <w:p w14:paraId="375526BE">
            <w:pPr>
              <w:jc w:val="center"/>
              <w:rPr>
                <w:rFonts w:hint="default"/>
              </w:rPr>
            </w:pPr>
            <w:r>
              <w:rPr>
                <w:rFonts w:hint="default"/>
              </w:rPr>
              <w:t>4</w:t>
            </w:r>
          </w:p>
        </w:tc>
        <w:tc>
          <w:tcPr>
            <w:tcW w:w="1183" w:type="dxa"/>
            <w:shd w:val="clear" w:color="auto" w:fill="FFFFFF"/>
            <w:noWrap w:val="0"/>
            <w:vAlign w:val="center"/>
          </w:tcPr>
          <w:p w14:paraId="6C5D9A04">
            <w:pPr>
              <w:jc w:val="center"/>
              <w:rPr>
                <w:rFonts w:hint="default"/>
              </w:rPr>
            </w:pPr>
            <w:r>
              <w:rPr>
                <w:rFonts w:hint="default"/>
              </w:rPr>
              <w:t>排土场堆场</w:t>
            </w:r>
          </w:p>
        </w:tc>
        <w:tc>
          <w:tcPr>
            <w:tcW w:w="717" w:type="dxa"/>
            <w:shd w:val="clear" w:color="auto" w:fill="FFFFFF"/>
            <w:noWrap w:val="0"/>
            <w:vAlign w:val="center"/>
          </w:tcPr>
          <w:p w14:paraId="2927BD27">
            <w:pPr>
              <w:jc w:val="center"/>
              <w:rPr>
                <w:rFonts w:hint="default"/>
              </w:rPr>
            </w:pPr>
          </w:p>
          <w:p w14:paraId="1D4BB232">
            <w:pPr>
              <w:jc w:val="center"/>
              <w:rPr>
                <w:rFonts w:hint="default"/>
              </w:rPr>
            </w:pPr>
            <w:r>
              <w:rPr>
                <w:rFonts w:hint="default"/>
              </w:rPr>
              <w:t>颗粒物</w:t>
            </w:r>
          </w:p>
        </w:tc>
        <w:tc>
          <w:tcPr>
            <w:tcW w:w="916" w:type="dxa"/>
            <w:shd w:val="clear" w:color="auto" w:fill="FFFFFF"/>
            <w:noWrap w:val="0"/>
            <w:vAlign w:val="center"/>
          </w:tcPr>
          <w:p w14:paraId="75E3931C">
            <w:pPr>
              <w:jc w:val="center"/>
              <w:rPr>
                <w:rFonts w:hint="default"/>
              </w:rPr>
            </w:pPr>
            <w:r>
              <w:rPr>
                <w:rFonts w:hint="default"/>
                <w:lang w:val="en-US" w:eastAsia="zh-CN"/>
              </w:rPr>
              <w:t>产物系数法</w:t>
            </w:r>
          </w:p>
        </w:tc>
        <w:tc>
          <w:tcPr>
            <w:tcW w:w="867" w:type="dxa"/>
            <w:shd w:val="clear" w:color="auto" w:fill="FFFFFF"/>
            <w:noWrap w:val="0"/>
            <w:vAlign w:val="center"/>
          </w:tcPr>
          <w:p w14:paraId="7894C15C">
            <w:pPr>
              <w:jc w:val="center"/>
              <w:rPr>
                <w:rFonts w:hint="default"/>
              </w:rPr>
            </w:pPr>
          </w:p>
          <w:p w14:paraId="72C9529B">
            <w:pPr>
              <w:jc w:val="center"/>
              <w:rPr>
                <w:rFonts w:hint="default"/>
              </w:rPr>
            </w:pPr>
            <w:r>
              <w:rPr>
                <w:rFonts w:hint="default"/>
              </w:rPr>
              <w:t>无组织</w:t>
            </w:r>
          </w:p>
        </w:tc>
        <w:tc>
          <w:tcPr>
            <w:tcW w:w="867" w:type="dxa"/>
            <w:shd w:val="clear" w:color="auto" w:fill="FFFFFF"/>
            <w:noWrap w:val="0"/>
            <w:vAlign w:val="center"/>
          </w:tcPr>
          <w:p w14:paraId="1B249CD8">
            <w:pPr>
              <w:jc w:val="center"/>
              <w:rPr>
                <w:rFonts w:hint="default"/>
                <w:lang w:val="en-US" w:eastAsia="zh-CN"/>
              </w:rPr>
            </w:pPr>
            <w:r>
              <w:rPr>
                <w:rFonts w:hint="default"/>
                <w:lang w:val="en-US" w:eastAsia="zh-CN"/>
              </w:rPr>
              <w:t>25.316</w:t>
            </w:r>
          </w:p>
        </w:tc>
        <w:tc>
          <w:tcPr>
            <w:tcW w:w="1233" w:type="dxa"/>
            <w:shd w:val="clear" w:color="auto" w:fill="FFFFFF"/>
            <w:noWrap w:val="0"/>
            <w:vAlign w:val="center"/>
          </w:tcPr>
          <w:p w14:paraId="34E6DA5B">
            <w:pPr>
              <w:jc w:val="center"/>
              <w:rPr>
                <w:rFonts w:hint="default"/>
                <w:lang w:val="en-US" w:eastAsia="zh-CN"/>
              </w:rPr>
            </w:pPr>
            <w:r>
              <w:rPr>
                <w:rFonts w:hint="default"/>
              </w:rPr>
              <w:t>2.89</w:t>
            </w:r>
          </w:p>
        </w:tc>
        <w:tc>
          <w:tcPr>
            <w:tcW w:w="1183" w:type="dxa"/>
            <w:shd w:val="clear" w:color="auto" w:fill="FFFFFF"/>
            <w:noWrap w:val="0"/>
            <w:vAlign w:val="center"/>
          </w:tcPr>
          <w:p w14:paraId="4332B864">
            <w:pPr>
              <w:jc w:val="center"/>
              <w:rPr>
                <w:rFonts w:hint="default"/>
              </w:rPr>
            </w:pPr>
          </w:p>
          <w:p w14:paraId="7375A7C4">
            <w:pPr>
              <w:jc w:val="center"/>
              <w:rPr>
                <w:rFonts w:hint="default"/>
              </w:rPr>
            </w:pPr>
            <w:r>
              <w:rPr>
                <w:rFonts w:hint="default"/>
              </w:rPr>
              <w:t>/</w:t>
            </w:r>
          </w:p>
        </w:tc>
        <w:tc>
          <w:tcPr>
            <w:tcW w:w="2267" w:type="dxa"/>
            <w:shd w:val="clear" w:color="auto" w:fill="FFFFFF"/>
            <w:noWrap w:val="0"/>
            <w:vAlign w:val="center"/>
          </w:tcPr>
          <w:p w14:paraId="3785618D">
            <w:pPr>
              <w:jc w:val="center"/>
              <w:rPr>
                <w:rFonts w:hint="default"/>
              </w:rPr>
            </w:pPr>
            <w:r>
              <w:rPr>
                <w:rFonts w:hint="default"/>
                <w:lang w:val="en-US" w:eastAsia="zh-CN"/>
              </w:rPr>
              <w:t>洒水抑尘、密目网苫盖</w:t>
            </w:r>
          </w:p>
        </w:tc>
        <w:tc>
          <w:tcPr>
            <w:tcW w:w="883" w:type="dxa"/>
            <w:shd w:val="clear" w:color="auto" w:fill="FFFFFF"/>
            <w:noWrap w:val="0"/>
            <w:vAlign w:val="center"/>
          </w:tcPr>
          <w:p w14:paraId="0660F6BB">
            <w:pPr>
              <w:jc w:val="center"/>
              <w:rPr>
                <w:rFonts w:hint="default"/>
                <w:lang w:val="en-US" w:eastAsia="zh-CN"/>
              </w:rPr>
            </w:pPr>
            <w:r>
              <w:rPr>
                <w:rFonts w:hint="default"/>
                <w:lang w:val="en-US" w:eastAsia="zh-CN"/>
              </w:rPr>
              <w:t>74</w:t>
            </w:r>
          </w:p>
        </w:tc>
        <w:tc>
          <w:tcPr>
            <w:tcW w:w="767" w:type="dxa"/>
            <w:shd w:val="clear" w:color="auto" w:fill="FFFFFF"/>
            <w:noWrap w:val="0"/>
            <w:vAlign w:val="center"/>
          </w:tcPr>
          <w:p w14:paraId="6B6AF5C6">
            <w:pPr>
              <w:jc w:val="center"/>
              <w:rPr>
                <w:rFonts w:hint="default"/>
              </w:rPr>
            </w:pPr>
          </w:p>
          <w:p w14:paraId="34D6D4E0">
            <w:pPr>
              <w:jc w:val="center"/>
              <w:rPr>
                <w:rFonts w:hint="default"/>
              </w:rPr>
            </w:pPr>
            <w:r>
              <w:rPr>
                <w:rFonts w:hint="default"/>
                <w:lang w:val="en-US" w:eastAsia="zh-CN"/>
              </w:rPr>
              <w:t>6.582</w:t>
            </w:r>
          </w:p>
        </w:tc>
        <w:tc>
          <w:tcPr>
            <w:tcW w:w="900" w:type="dxa"/>
            <w:shd w:val="clear" w:color="auto" w:fill="FFFFFF"/>
            <w:noWrap w:val="0"/>
            <w:vAlign w:val="center"/>
          </w:tcPr>
          <w:p w14:paraId="0FEB79AD">
            <w:pPr>
              <w:jc w:val="center"/>
              <w:rPr>
                <w:rFonts w:hint="default"/>
              </w:rPr>
            </w:pPr>
          </w:p>
          <w:p w14:paraId="15A561F7">
            <w:pPr>
              <w:jc w:val="center"/>
              <w:rPr>
                <w:rFonts w:hint="default"/>
              </w:rPr>
            </w:pPr>
            <w:r>
              <w:rPr>
                <w:rFonts w:hint="default"/>
                <w:lang w:val="en-US" w:eastAsia="zh-CN"/>
              </w:rPr>
              <w:t>0.75</w:t>
            </w:r>
          </w:p>
        </w:tc>
        <w:tc>
          <w:tcPr>
            <w:tcW w:w="883" w:type="dxa"/>
            <w:shd w:val="clear" w:color="auto" w:fill="FFFFFF"/>
            <w:noWrap w:val="0"/>
            <w:vAlign w:val="center"/>
          </w:tcPr>
          <w:p w14:paraId="127B232C">
            <w:pPr>
              <w:jc w:val="center"/>
              <w:rPr>
                <w:rFonts w:hint="default"/>
              </w:rPr>
            </w:pPr>
          </w:p>
          <w:p w14:paraId="129CE92E">
            <w:pPr>
              <w:jc w:val="center"/>
              <w:rPr>
                <w:rFonts w:hint="default"/>
              </w:rPr>
            </w:pPr>
            <w:r>
              <w:rPr>
                <w:rFonts w:hint="default"/>
              </w:rPr>
              <w:t>/</w:t>
            </w:r>
          </w:p>
        </w:tc>
        <w:tc>
          <w:tcPr>
            <w:tcW w:w="939" w:type="dxa"/>
            <w:tcBorders>
              <w:right w:val="nil"/>
            </w:tcBorders>
            <w:shd w:val="clear" w:color="auto" w:fill="FFFFFF"/>
            <w:noWrap w:val="0"/>
            <w:vAlign w:val="center"/>
          </w:tcPr>
          <w:p w14:paraId="28FF1A0F">
            <w:pPr>
              <w:jc w:val="center"/>
              <w:rPr>
                <w:rFonts w:hint="default"/>
                <w:lang w:val="en-US" w:eastAsia="zh-CN"/>
              </w:rPr>
            </w:pPr>
            <w:r>
              <w:rPr>
                <w:rFonts w:hint="default"/>
                <w:lang w:val="en-US" w:eastAsia="zh-CN"/>
              </w:rPr>
              <w:t>8760</w:t>
            </w:r>
          </w:p>
        </w:tc>
      </w:tr>
      <w:tr w14:paraId="38EC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591" w:type="dxa"/>
            <w:tcBorders>
              <w:left w:val="nil"/>
            </w:tcBorders>
            <w:shd w:val="clear" w:color="auto" w:fill="FFFFFF"/>
            <w:noWrap w:val="0"/>
            <w:vAlign w:val="center"/>
          </w:tcPr>
          <w:p w14:paraId="02F4555F">
            <w:pPr>
              <w:jc w:val="center"/>
              <w:rPr>
                <w:rFonts w:hint="default"/>
              </w:rPr>
            </w:pPr>
          </w:p>
          <w:p w14:paraId="596501D8">
            <w:pPr>
              <w:jc w:val="center"/>
              <w:rPr>
                <w:rFonts w:hint="default"/>
              </w:rPr>
            </w:pPr>
            <w:r>
              <w:rPr>
                <w:rFonts w:hint="default"/>
              </w:rPr>
              <w:t>5</w:t>
            </w:r>
          </w:p>
        </w:tc>
        <w:tc>
          <w:tcPr>
            <w:tcW w:w="1183" w:type="dxa"/>
            <w:shd w:val="clear" w:color="auto" w:fill="FFFFFF"/>
            <w:noWrap w:val="0"/>
            <w:vAlign w:val="center"/>
          </w:tcPr>
          <w:p w14:paraId="0BB7659F">
            <w:pPr>
              <w:jc w:val="center"/>
              <w:rPr>
                <w:rFonts w:hint="default"/>
              </w:rPr>
            </w:pPr>
            <w:r>
              <w:rPr>
                <w:rFonts w:hint="default"/>
              </w:rPr>
              <w:t>堆</w:t>
            </w:r>
            <w:r>
              <w:rPr>
                <w:rFonts w:hint="default"/>
                <w:lang w:val="en-US" w:eastAsia="zh-CN"/>
              </w:rPr>
              <w:t>矿</w:t>
            </w:r>
            <w:r>
              <w:rPr>
                <w:rFonts w:hint="default"/>
              </w:rPr>
              <w:t>场</w:t>
            </w:r>
          </w:p>
        </w:tc>
        <w:tc>
          <w:tcPr>
            <w:tcW w:w="717" w:type="dxa"/>
            <w:shd w:val="clear" w:color="auto" w:fill="FFFFFF"/>
            <w:noWrap w:val="0"/>
            <w:vAlign w:val="center"/>
          </w:tcPr>
          <w:p w14:paraId="76F23E36">
            <w:pPr>
              <w:jc w:val="center"/>
              <w:rPr>
                <w:rFonts w:hint="default"/>
              </w:rPr>
            </w:pPr>
            <w:r>
              <w:rPr>
                <w:rFonts w:hint="default"/>
              </w:rPr>
              <w:t>颗粒物</w:t>
            </w:r>
          </w:p>
        </w:tc>
        <w:tc>
          <w:tcPr>
            <w:tcW w:w="916" w:type="dxa"/>
            <w:shd w:val="clear" w:color="auto" w:fill="FFFFFF"/>
            <w:noWrap w:val="0"/>
            <w:vAlign w:val="center"/>
          </w:tcPr>
          <w:p w14:paraId="5380B182">
            <w:pPr>
              <w:jc w:val="center"/>
              <w:rPr>
                <w:rFonts w:hint="default"/>
              </w:rPr>
            </w:pPr>
            <w:r>
              <w:rPr>
                <w:rFonts w:hint="default"/>
                <w:lang w:val="en-US" w:eastAsia="zh-CN"/>
              </w:rPr>
              <w:t>产物系数法</w:t>
            </w:r>
          </w:p>
        </w:tc>
        <w:tc>
          <w:tcPr>
            <w:tcW w:w="867" w:type="dxa"/>
            <w:shd w:val="clear" w:color="auto" w:fill="FFFFFF"/>
            <w:noWrap w:val="0"/>
            <w:vAlign w:val="center"/>
          </w:tcPr>
          <w:p w14:paraId="53AE04B2">
            <w:pPr>
              <w:jc w:val="center"/>
              <w:rPr>
                <w:rFonts w:hint="default"/>
              </w:rPr>
            </w:pPr>
          </w:p>
          <w:p w14:paraId="734DAE50">
            <w:pPr>
              <w:jc w:val="center"/>
              <w:rPr>
                <w:rFonts w:hint="default"/>
              </w:rPr>
            </w:pPr>
            <w:r>
              <w:rPr>
                <w:rFonts w:hint="default"/>
              </w:rPr>
              <w:t>无组织</w:t>
            </w:r>
          </w:p>
        </w:tc>
        <w:tc>
          <w:tcPr>
            <w:tcW w:w="867" w:type="dxa"/>
            <w:shd w:val="clear" w:color="auto" w:fill="FFFFFF"/>
            <w:noWrap w:val="0"/>
            <w:vAlign w:val="center"/>
          </w:tcPr>
          <w:p w14:paraId="3DAD0EDF">
            <w:pPr>
              <w:ind w:firstLine="210" w:firstLineChars="100"/>
              <w:jc w:val="both"/>
              <w:rPr>
                <w:rFonts w:hint="default"/>
                <w:lang w:val="en-US" w:eastAsia="zh-CN"/>
              </w:rPr>
            </w:pPr>
            <w:r>
              <w:rPr>
                <w:rFonts w:hint="default"/>
                <w:lang w:val="en-US" w:eastAsia="zh-CN"/>
              </w:rPr>
              <w:t>5.948</w:t>
            </w:r>
          </w:p>
        </w:tc>
        <w:tc>
          <w:tcPr>
            <w:tcW w:w="1233" w:type="dxa"/>
            <w:shd w:val="clear" w:color="auto" w:fill="FFFFFF"/>
            <w:noWrap w:val="0"/>
            <w:vAlign w:val="center"/>
          </w:tcPr>
          <w:p w14:paraId="62768D86">
            <w:pPr>
              <w:jc w:val="center"/>
              <w:rPr>
                <w:rFonts w:hint="default"/>
                <w:lang w:val="en-US" w:eastAsia="zh-CN"/>
              </w:rPr>
            </w:pPr>
            <w:r>
              <w:rPr>
                <w:rFonts w:hint="default"/>
                <w:lang w:val="en-US" w:eastAsia="zh-CN"/>
              </w:rPr>
              <w:t>0.679</w:t>
            </w:r>
          </w:p>
        </w:tc>
        <w:tc>
          <w:tcPr>
            <w:tcW w:w="1183" w:type="dxa"/>
            <w:shd w:val="clear" w:color="auto" w:fill="FFFFFF"/>
            <w:noWrap w:val="0"/>
            <w:vAlign w:val="center"/>
          </w:tcPr>
          <w:p w14:paraId="44FE7FD4">
            <w:pPr>
              <w:jc w:val="center"/>
              <w:rPr>
                <w:rFonts w:hint="default"/>
              </w:rPr>
            </w:pPr>
          </w:p>
          <w:p w14:paraId="64565C33">
            <w:pPr>
              <w:jc w:val="center"/>
              <w:rPr>
                <w:rFonts w:hint="default"/>
              </w:rPr>
            </w:pPr>
            <w:r>
              <w:rPr>
                <w:rFonts w:hint="default"/>
              </w:rPr>
              <w:t>/</w:t>
            </w:r>
          </w:p>
        </w:tc>
        <w:tc>
          <w:tcPr>
            <w:tcW w:w="2267" w:type="dxa"/>
            <w:shd w:val="clear" w:color="auto" w:fill="FFFFFF"/>
            <w:noWrap w:val="0"/>
            <w:vAlign w:val="center"/>
          </w:tcPr>
          <w:p w14:paraId="754F2FEE">
            <w:pPr>
              <w:jc w:val="center"/>
              <w:rPr>
                <w:rFonts w:hint="default"/>
              </w:rPr>
            </w:pPr>
            <w:r>
              <w:rPr>
                <w:rFonts w:hint="default"/>
                <w:lang w:val="en-US" w:eastAsia="zh-CN"/>
              </w:rPr>
              <w:t>堆料场采用三面围挡+顶棚式结构，并进行洒水抑尘</w:t>
            </w:r>
          </w:p>
        </w:tc>
        <w:tc>
          <w:tcPr>
            <w:tcW w:w="883" w:type="dxa"/>
            <w:shd w:val="clear" w:color="auto" w:fill="FFFFFF"/>
            <w:noWrap w:val="0"/>
            <w:vAlign w:val="center"/>
          </w:tcPr>
          <w:p w14:paraId="6214B6E3">
            <w:pPr>
              <w:jc w:val="center"/>
              <w:rPr>
                <w:rFonts w:hint="default"/>
                <w:lang w:val="en-US" w:eastAsia="zh-CN"/>
              </w:rPr>
            </w:pPr>
            <w:r>
              <w:rPr>
                <w:rFonts w:hint="default"/>
                <w:lang w:val="en-US" w:eastAsia="zh-CN"/>
              </w:rPr>
              <w:t>74</w:t>
            </w:r>
          </w:p>
        </w:tc>
        <w:tc>
          <w:tcPr>
            <w:tcW w:w="767" w:type="dxa"/>
            <w:shd w:val="clear" w:color="auto" w:fill="FFFFFF"/>
            <w:noWrap w:val="0"/>
            <w:vAlign w:val="center"/>
          </w:tcPr>
          <w:p w14:paraId="1D60C8EF">
            <w:pPr>
              <w:jc w:val="center"/>
              <w:rPr>
                <w:rFonts w:hint="default"/>
                <w:lang w:val="en-US" w:eastAsia="zh-CN"/>
              </w:rPr>
            </w:pPr>
            <w:r>
              <w:rPr>
                <w:rFonts w:hint="default"/>
                <w:lang w:val="en-US" w:eastAsia="zh-CN"/>
              </w:rPr>
              <w:t>1.546</w:t>
            </w:r>
          </w:p>
        </w:tc>
        <w:tc>
          <w:tcPr>
            <w:tcW w:w="900" w:type="dxa"/>
            <w:shd w:val="clear" w:color="auto" w:fill="FFFFFF"/>
            <w:noWrap w:val="0"/>
            <w:vAlign w:val="center"/>
          </w:tcPr>
          <w:p w14:paraId="0B4B843A">
            <w:pPr>
              <w:jc w:val="center"/>
              <w:rPr>
                <w:rFonts w:hint="default"/>
                <w:lang w:val="en-US" w:eastAsia="zh-CN"/>
              </w:rPr>
            </w:pPr>
            <w:r>
              <w:rPr>
                <w:rFonts w:hint="default"/>
                <w:lang w:val="en-US" w:eastAsia="zh-CN"/>
              </w:rPr>
              <w:t>0.18</w:t>
            </w:r>
          </w:p>
        </w:tc>
        <w:tc>
          <w:tcPr>
            <w:tcW w:w="883" w:type="dxa"/>
            <w:shd w:val="clear" w:color="auto" w:fill="FFFFFF"/>
            <w:noWrap w:val="0"/>
            <w:vAlign w:val="center"/>
          </w:tcPr>
          <w:p w14:paraId="23E78391">
            <w:pPr>
              <w:jc w:val="center"/>
              <w:rPr>
                <w:rFonts w:hint="default"/>
              </w:rPr>
            </w:pPr>
          </w:p>
          <w:p w14:paraId="16F75502">
            <w:pPr>
              <w:jc w:val="center"/>
              <w:rPr>
                <w:rFonts w:hint="default"/>
              </w:rPr>
            </w:pPr>
            <w:r>
              <w:rPr>
                <w:rFonts w:hint="default"/>
              </w:rPr>
              <w:t>/</w:t>
            </w:r>
          </w:p>
        </w:tc>
        <w:tc>
          <w:tcPr>
            <w:tcW w:w="939" w:type="dxa"/>
            <w:tcBorders>
              <w:right w:val="nil"/>
            </w:tcBorders>
            <w:shd w:val="clear" w:color="auto" w:fill="FFFFFF"/>
            <w:noWrap w:val="0"/>
            <w:vAlign w:val="center"/>
          </w:tcPr>
          <w:p w14:paraId="4AC546F6">
            <w:pPr>
              <w:jc w:val="center"/>
              <w:rPr>
                <w:rFonts w:hint="default"/>
              </w:rPr>
            </w:pPr>
            <w:r>
              <w:rPr>
                <w:rFonts w:hint="default"/>
                <w:lang w:val="en-US" w:eastAsia="zh-CN"/>
              </w:rPr>
              <w:t>8760</w:t>
            </w:r>
          </w:p>
        </w:tc>
      </w:tr>
      <w:tr w14:paraId="2380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591" w:type="dxa"/>
            <w:vMerge w:val="restart"/>
            <w:tcBorders>
              <w:left w:val="nil"/>
            </w:tcBorders>
            <w:shd w:val="clear" w:color="auto" w:fill="FFFFFF"/>
            <w:noWrap w:val="0"/>
            <w:vAlign w:val="center"/>
          </w:tcPr>
          <w:p w14:paraId="7636C11B">
            <w:pPr>
              <w:jc w:val="center"/>
              <w:rPr>
                <w:rFonts w:hint="default"/>
              </w:rPr>
            </w:pPr>
          </w:p>
          <w:p w14:paraId="6DF70137">
            <w:pPr>
              <w:jc w:val="center"/>
              <w:rPr>
                <w:rFonts w:hint="default"/>
              </w:rPr>
            </w:pPr>
          </w:p>
          <w:p w14:paraId="07A8B61E">
            <w:pPr>
              <w:jc w:val="center"/>
              <w:rPr>
                <w:rFonts w:hint="default"/>
              </w:rPr>
            </w:pPr>
          </w:p>
          <w:p w14:paraId="505E7BC5">
            <w:pPr>
              <w:jc w:val="center"/>
              <w:rPr>
                <w:rFonts w:hint="default"/>
                <w:lang w:val="en-US" w:eastAsia="zh-CN"/>
              </w:rPr>
            </w:pPr>
            <w:r>
              <w:rPr>
                <w:rFonts w:hint="default"/>
                <w:lang w:val="en-US" w:eastAsia="zh-CN"/>
              </w:rPr>
              <w:t>6</w:t>
            </w:r>
          </w:p>
        </w:tc>
        <w:tc>
          <w:tcPr>
            <w:tcW w:w="1183" w:type="dxa"/>
            <w:vMerge w:val="restart"/>
            <w:shd w:val="clear" w:color="auto" w:fill="FFFFFF"/>
            <w:noWrap w:val="0"/>
            <w:vAlign w:val="center"/>
          </w:tcPr>
          <w:p w14:paraId="2EB0941C">
            <w:pPr>
              <w:jc w:val="center"/>
              <w:rPr>
                <w:rFonts w:hint="default"/>
              </w:rPr>
            </w:pPr>
          </w:p>
          <w:p w14:paraId="7E6CA3FE">
            <w:pPr>
              <w:jc w:val="center"/>
              <w:rPr>
                <w:rFonts w:hint="default"/>
              </w:rPr>
            </w:pPr>
            <w:r>
              <w:rPr>
                <w:rFonts w:hint="default"/>
              </w:rPr>
              <w:t>机械作业燃油废气</w:t>
            </w:r>
          </w:p>
        </w:tc>
        <w:tc>
          <w:tcPr>
            <w:tcW w:w="717" w:type="dxa"/>
            <w:shd w:val="clear" w:color="auto" w:fill="FFFFFF"/>
            <w:noWrap w:val="0"/>
            <w:vAlign w:val="center"/>
          </w:tcPr>
          <w:p w14:paraId="3CECC8FC">
            <w:pPr>
              <w:jc w:val="center"/>
              <w:rPr>
                <w:rFonts w:hint="default"/>
              </w:rPr>
            </w:pPr>
            <w:r>
              <w:rPr>
                <w:rFonts w:hint="default"/>
                <w:lang w:val="en-US" w:eastAsia="zh-CN"/>
              </w:rPr>
              <w:t>NO2</w:t>
            </w:r>
          </w:p>
        </w:tc>
        <w:tc>
          <w:tcPr>
            <w:tcW w:w="916" w:type="dxa"/>
            <w:vMerge w:val="restart"/>
            <w:shd w:val="clear" w:color="auto" w:fill="FFFFFF"/>
            <w:noWrap w:val="0"/>
            <w:vAlign w:val="center"/>
          </w:tcPr>
          <w:p w14:paraId="47A329DE">
            <w:pPr>
              <w:jc w:val="center"/>
              <w:rPr>
                <w:rFonts w:hint="default"/>
              </w:rPr>
            </w:pPr>
            <w:r>
              <w:rPr>
                <w:rFonts w:hint="default"/>
                <w:lang w:val="en-US" w:eastAsia="zh-CN"/>
              </w:rPr>
              <w:t>产物系数法</w:t>
            </w:r>
          </w:p>
        </w:tc>
        <w:tc>
          <w:tcPr>
            <w:tcW w:w="867" w:type="dxa"/>
            <w:shd w:val="clear" w:color="auto" w:fill="FFFFFF"/>
            <w:noWrap w:val="0"/>
            <w:vAlign w:val="center"/>
          </w:tcPr>
          <w:p w14:paraId="350FE9BB">
            <w:pPr>
              <w:jc w:val="center"/>
              <w:rPr>
                <w:rFonts w:hint="default"/>
              </w:rPr>
            </w:pPr>
            <w:r>
              <w:rPr>
                <w:rFonts w:hint="default"/>
              </w:rPr>
              <w:t>无组织</w:t>
            </w:r>
          </w:p>
        </w:tc>
        <w:tc>
          <w:tcPr>
            <w:tcW w:w="867" w:type="dxa"/>
            <w:shd w:val="clear" w:color="auto" w:fill="FFFFFF"/>
            <w:noWrap w:val="0"/>
            <w:vAlign w:val="center"/>
          </w:tcPr>
          <w:p w14:paraId="41D114EA">
            <w:pPr>
              <w:jc w:val="center"/>
              <w:rPr>
                <w:rFonts w:hint="default"/>
                <w:lang w:val="en-US"/>
              </w:rPr>
            </w:pPr>
            <w:r>
              <w:rPr>
                <w:rFonts w:hint="default"/>
                <w:lang w:val="en-US" w:eastAsia="zh-CN"/>
              </w:rPr>
              <w:t>0.</w:t>
            </w:r>
            <w:r>
              <w:rPr>
                <w:rFonts w:hint="eastAsia"/>
                <w:lang w:val="en-US" w:eastAsia="zh-CN"/>
              </w:rPr>
              <w:t>304</w:t>
            </w:r>
          </w:p>
        </w:tc>
        <w:tc>
          <w:tcPr>
            <w:tcW w:w="1233" w:type="dxa"/>
            <w:shd w:val="clear" w:color="auto" w:fill="FFFFFF"/>
            <w:noWrap w:val="0"/>
            <w:vAlign w:val="center"/>
          </w:tcPr>
          <w:p w14:paraId="4E22406F">
            <w:pPr>
              <w:jc w:val="center"/>
              <w:rPr>
                <w:rFonts w:hint="default"/>
                <w:lang w:val="en-US" w:eastAsia="zh-CN"/>
              </w:rPr>
            </w:pPr>
            <w:r>
              <w:rPr>
                <w:rFonts w:hint="default"/>
                <w:lang w:val="en-US" w:eastAsia="zh-CN"/>
              </w:rPr>
              <w:t>/</w:t>
            </w:r>
          </w:p>
        </w:tc>
        <w:tc>
          <w:tcPr>
            <w:tcW w:w="1183" w:type="dxa"/>
            <w:shd w:val="clear" w:color="auto" w:fill="FFFFFF"/>
            <w:noWrap w:val="0"/>
            <w:vAlign w:val="center"/>
          </w:tcPr>
          <w:p w14:paraId="4AB9D695">
            <w:pPr>
              <w:jc w:val="center"/>
              <w:rPr>
                <w:rFonts w:hint="default"/>
                <w:lang w:val="en-US" w:eastAsia="zh-CN"/>
              </w:rPr>
            </w:pPr>
            <w:r>
              <w:rPr>
                <w:rFonts w:hint="default"/>
                <w:lang w:val="en-US" w:eastAsia="zh-CN"/>
              </w:rPr>
              <w:t>/</w:t>
            </w:r>
          </w:p>
        </w:tc>
        <w:tc>
          <w:tcPr>
            <w:tcW w:w="2267" w:type="dxa"/>
            <w:vMerge w:val="restart"/>
            <w:shd w:val="clear" w:color="auto" w:fill="FFFFFF"/>
            <w:noWrap w:val="0"/>
            <w:vAlign w:val="center"/>
          </w:tcPr>
          <w:p w14:paraId="145127AA">
            <w:pPr>
              <w:jc w:val="center"/>
              <w:rPr>
                <w:rFonts w:hint="default"/>
              </w:rPr>
            </w:pPr>
          </w:p>
          <w:p w14:paraId="45945433">
            <w:pPr>
              <w:jc w:val="center"/>
              <w:rPr>
                <w:rFonts w:hint="default"/>
              </w:rPr>
            </w:pPr>
          </w:p>
          <w:p w14:paraId="61AE2551">
            <w:pPr>
              <w:jc w:val="center"/>
              <w:rPr>
                <w:rFonts w:hint="default"/>
              </w:rPr>
            </w:pPr>
            <w:r>
              <w:rPr>
                <w:rFonts w:hint="default"/>
                <w:lang w:val="en-US" w:eastAsia="zh-CN"/>
              </w:rPr>
              <w:t>加强机械维护保养、控制行驶车速自由稀释、扩散</w:t>
            </w:r>
          </w:p>
          <w:p w14:paraId="25D8A569">
            <w:pPr>
              <w:jc w:val="center"/>
              <w:rPr>
                <w:rFonts w:hint="default"/>
              </w:rPr>
            </w:pPr>
          </w:p>
        </w:tc>
        <w:tc>
          <w:tcPr>
            <w:tcW w:w="883" w:type="dxa"/>
            <w:shd w:val="clear" w:color="auto" w:fill="FFFFFF"/>
            <w:noWrap w:val="0"/>
            <w:vAlign w:val="center"/>
          </w:tcPr>
          <w:p w14:paraId="17FD7ED8">
            <w:pPr>
              <w:jc w:val="center"/>
              <w:rPr>
                <w:rFonts w:hint="default"/>
                <w:lang w:val="en-US" w:eastAsia="zh-CN"/>
              </w:rPr>
            </w:pPr>
            <w:r>
              <w:rPr>
                <w:rFonts w:hint="default"/>
                <w:lang w:val="en-US" w:eastAsia="zh-CN"/>
              </w:rPr>
              <w:t>0</w:t>
            </w:r>
          </w:p>
        </w:tc>
        <w:tc>
          <w:tcPr>
            <w:tcW w:w="767" w:type="dxa"/>
            <w:shd w:val="clear" w:color="auto" w:fill="FFFFFF"/>
            <w:noWrap w:val="0"/>
            <w:vAlign w:val="center"/>
          </w:tcPr>
          <w:p w14:paraId="20EFF6F9">
            <w:pPr>
              <w:jc w:val="center"/>
              <w:rPr>
                <w:rFonts w:hint="default"/>
              </w:rPr>
            </w:pPr>
            <w:r>
              <w:rPr>
                <w:rFonts w:hint="default"/>
                <w:lang w:val="en-US" w:eastAsia="zh-CN"/>
              </w:rPr>
              <w:t>0.</w:t>
            </w:r>
            <w:r>
              <w:rPr>
                <w:rFonts w:hint="eastAsia"/>
                <w:lang w:val="en-US" w:eastAsia="zh-CN"/>
              </w:rPr>
              <w:t>304</w:t>
            </w:r>
          </w:p>
        </w:tc>
        <w:tc>
          <w:tcPr>
            <w:tcW w:w="900" w:type="dxa"/>
            <w:shd w:val="clear" w:color="auto" w:fill="FFFFFF"/>
            <w:noWrap w:val="0"/>
            <w:vAlign w:val="center"/>
          </w:tcPr>
          <w:p w14:paraId="6E9EE4D8">
            <w:pPr>
              <w:jc w:val="center"/>
              <w:rPr>
                <w:rFonts w:hint="default"/>
              </w:rPr>
            </w:pPr>
            <w:r>
              <w:rPr>
                <w:rFonts w:hint="default"/>
                <w:lang w:val="en-US" w:eastAsia="zh-CN"/>
              </w:rPr>
              <w:t>/</w:t>
            </w:r>
          </w:p>
        </w:tc>
        <w:tc>
          <w:tcPr>
            <w:tcW w:w="883" w:type="dxa"/>
            <w:shd w:val="clear" w:color="auto" w:fill="FFFFFF"/>
            <w:noWrap w:val="0"/>
            <w:vAlign w:val="center"/>
          </w:tcPr>
          <w:p w14:paraId="2213DF81">
            <w:pPr>
              <w:jc w:val="center"/>
              <w:rPr>
                <w:rFonts w:hint="default"/>
              </w:rPr>
            </w:pPr>
            <w:r>
              <w:rPr>
                <w:rFonts w:hint="default"/>
              </w:rPr>
              <w:t>/</w:t>
            </w:r>
          </w:p>
        </w:tc>
        <w:tc>
          <w:tcPr>
            <w:tcW w:w="939" w:type="dxa"/>
            <w:tcBorders>
              <w:right w:val="nil"/>
            </w:tcBorders>
            <w:shd w:val="clear" w:color="auto" w:fill="FFFFFF"/>
            <w:noWrap w:val="0"/>
            <w:vAlign w:val="center"/>
          </w:tcPr>
          <w:p w14:paraId="672DE2DA">
            <w:pPr>
              <w:jc w:val="center"/>
              <w:rPr>
                <w:rFonts w:hint="default"/>
              </w:rPr>
            </w:pPr>
            <w:r>
              <w:rPr>
                <w:rFonts w:hint="default"/>
              </w:rPr>
              <w:t>/</w:t>
            </w:r>
          </w:p>
        </w:tc>
      </w:tr>
      <w:tr w14:paraId="3AF7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591" w:type="dxa"/>
            <w:vMerge w:val="continue"/>
            <w:tcBorders>
              <w:left w:val="nil"/>
            </w:tcBorders>
            <w:shd w:val="clear" w:color="auto" w:fill="FFFFFF"/>
            <w:noWrap w:val="0"/>
            <w:vAlign w:val="center"/>
          </w:tcPr>
          <w:p w14:paraId="2B78B985">
            <w:pPr>
              <w:jc w:val="center"/>
              <w:rPr>
                <w:rFonts w:hint="default"/>
              </w:rPr>
            </w:pPr>
          </w:p>
        </w:tc>
        <w:tc>
          <w:tcPr>
            <w:tcW w:w="1183" w:type="dxa"/>
            <w:vMerge w:val="continue"/>
            <w:shd w:val="clear" w:color="auto" w:fill="FFFFFF"/>
            <w:noWrap w:val="0"/>
            <w:vAlign w:val="center"/>
          </w:tcPr>
          <w:p w14:paraId="1E50C918">
            <w:pPr>
              <w:jc w:val="center"/>
              <w:rPr>
                <w:rFonts w:hint="default"/>
              </w:rPr>
            </w:pPr>
          </w:p>
        </w:tc>
        <w:tc>
          <w:tcPr>
            <w:tcW w:w="717" w:type="dxa"/>
            <w:shd w:val="clear" w:color="auto" w:fill="FFFFFF"/>
            <w:noWrap w:val="0"/>
            <w:vAlign w:val="center"/>
          </w:tcPr>
          <w:p w14:paraId="33ACF8CF">
            <w:pPr>
              <w:jc w:val="center"/>
              <w:rPr>
                <w:rFonts w:hint="default"/>
              </w:rPr>
            </w:pPr>
            <w:r>
              <w:rPr>
                <w:rFonts w:hint="default"/>
                <w:lang w:val="en-US" w:eastAsia="zh-CN"/>
              </w:rPr>
              <w:t>CO</w:t>
            </w:r>
          </w:p>
        </w:tc>
        <w:tc>
          <w:tcPr>
            <w:tcW w:w="916" w:type="dxa"/>
            <w:vMerge w:val="continue"/>
            <w:shd w:val="clear" w:color="auto" w:fill="FFFFFF"/>
            <w:noWrap w:val="0"/>
            <w:vAlign w:val="center"/>
          </w:tcPr>
          <w:p w14:paraId="310D181E">
            <w:pPr>
              <w:jc w:val="center"/>
              <w:rPr>
                <w:rFonts w:hint="default"/>
              </w:rPr>
            </w:pPr>
          </w:p>
        </w:tc>
        <w:tc>
          <w:tcPr>
            <w:tcW w:w="867" w:type="dxa"/>
            <w:shd w:val="clear" w:color="auto" w:fill="FFFFFF"/>
            <w:noWrap w:val="0"/>
            <w:vAlign w:val="center"/>
          </w:tcPr>
          <w:p w14:paraId="7161FF24">
            <w:pPr>
              <w:jc w:val="center"/>
              <w:rPr>
                <w:rFonts w:hint="default"/>
              </w:rPr>
            </w:pPr>
            <w:r>
              <w:rPr>
                <w:rFonts w:hint="default"/>
              </w:rPr>
              <w:t>无组织</w:t>
            </w:r>
          </w:p>
        </w:tc>
        <w:tc>
          <w:tcPr>
            <w:tcW w:w="867" w:type="dxa"/>
            <w:shd w:val="clear" w:color="auto" w:fill="FFFFFF"/>
            <w:noWrap w:val="0"/>
            <w:vAlign w:val="center"/>
          </w:tcPr>
          <w:p w14:paraId="6786FC7C">
            <w:pPr>
              <w:jc w:val="center"/>
              <w:rPr>
                <w:rFonts w:hint="default"/>
                <w:lang w:val="en-US"/>
              </w:rPr>
            </w:pPr>
            <w:r>
              <w:rPr>
                <w:rFonts w:hint="default"/>
                <w:lang w:val="en-US" w:eastAsia="zh-CN"/>
              </w:rPr>
              <w:t>0.00</w:t>
            </w:r>
            <w:r>
              <w:rPr>
                <w:rFonts w:hint="eastAsia"/>
                <w:lang w:val="en-US" w:eastAsia="zh-CN"/>
              </w:rPr>
              <w:t>8</w:t>
            </w:r>
          </w:p>
        </w:tc>
        <w:tc>
          <w:tcPr>
            <w:tcW w:w="1233" w:type="dxa"/>
            <w:shd w:val="clear" w:color="auto" w:fill="FFFFFF"/>
            <w:noWrap w:val="0"/>
            <w:vAlign w:val="center"/>
          </w:tcPr>
          <w:p w14:paraId="0FDA8BBB">
            <w:pPr>
              <w:jc w:val="center"/>
              <w:rPr>
                <w:rFonts w:hint="default"/>
                <w:lang w:val="en-US" w:eastAsia="zh-CN"/>
              </w:rPr>
            </w:pPr>
            <w:r>
              <w:rPr>
                <w:rFonts w:hint="default"/>
                <w:lang w:val="en-US" w:eastAsia="zh-CN"/>
              </w:rPr>
              <w:t>/</w:t>
            </w:r>
          </w:p>
        </w:tc>
        <w:tc>
          <w:tcPr>
            <w:tcW w:w="1183" w:type="dxa"/>
            <w:shd w:val="clear" w:color="auto" w:fill="FFFFFF"/>
            <w:noWrap w:val="0"/>
            <w:vAlign w:val="center"/>
          </w:tcPr>
          <w:p w14:paraId="09C421BB">
            <w:pPr>
              <w:jc w:val="center"/>
              <w:rPr>
                <w:rFonts w:hint="default"/>
                <w:lang w:val="en-US" w:eastAsia="zh-CN"/>
              </w:rPr>
            </w:pPr>
            <w:r>
              <w:rPr>
                <w:rFonts w:hint="default"/>
                <w:lang w:val="en-US" w:eastAsia="zh-CN"/>
              </w:rPr>
              <w:t>/</w:t>
            </w:r>
          </w:p>
        </w:tc>
        <w:tc>
          <w:tcPr>
            <w:tcW w:w="2267" w:type="dxa"/>
            <w:vMerge w:val="continue"/>
            <w:shd w:val="clear" w:color="auto" w:fill="FFFFFF"/>
            <w:noWrap w:val="0"/>
            <w:vAlign w:val="center"/>
          </w:tcPr>
          <w:p w14:paraId="24F00AD1">
            <w:pPr>
              <w:jc w:val="center"/>
              <w:rPr>
                <w:rFonts w:hint="default"/>
              </w:rPr>
            </w:pPr>
          </w:p>
        </w:tc>
        <w:tc>
          <w:tcPr>
            <w:tcW w:w="883" w:type="dxa"/>
            <w:shd w:val="clear" w:color="auto" w:fill="FFFFFF"/>
            <w:noWrap w:val="0"/>
            <w:vAlign w:val="center"/>
          </w:tcPr>
          <w:p w14:paraId="5EDEE838">
            <w:pPr>
              <w:jc w:val="center"/>
              <w:rPr>
                <w:rFonts w:hint="default"/>
                <w:lang w:val="en-US" w:eastAsia="zh-CN"/>
              </w:rPr>
            </w:pPr>
            <w:r>
              <w:rPr>
                <w:rFonts w:hint="default"/>
                <w:lang w:val="en-US" w:eastAsia="zh-CN"/>
              </w:rPr>
              <w:t>0</w:t>
            </w:r>
          </w:p>
        </w:tc>
        <w:tc>
          <w:tcPr>
            <w:tcW w:w="767" w:type="dxa"/>
            <w:shd w:val="clear" w:color="auto" w:fill="FFFFFF"/>
            <w:noWrap w:val="0"/>
            <w:vAlign w:val="center"/>
          </w:tcPr>
          <w:p w14:paraId="026B3DC3">
            <w:pPr>
              <w:jc w:val="center"/>
              <w:rPr>
                <w:rFonts w:hint="default"/>
              </w:rPr>
            </w:pPr>
            <w:r>
              <w:rPr>
                <w:rFonts w:hint="default"/>
                <w:lang w:val="en-US" w:eastAsia="zh-CN"/>
              </w:rPr>
              <w:t>0.00</w:t>
            </w:r>
            <w:r>
              <w:rPr>
                <w:rFonts w:hint="eastAsia"/>
                <w:lang w:val="en-US" w:eastAsia="zh-CN"/>
              </w:rPr>
              <w:t>8</w:t>
            </w:r>
          </w:p>
        </w:tc>
        <w:tc>
          <w:tcPr>
            <w:tcW w:w="900" w:type="dxa"/>
            <w:shd w:val="clear" w:color="auto" w:fill="FFFFFF"/>
            <w:noWrap w:val="0"/>
            <w:vAlign w:val="center"/>
          </w:tcPr>
          <w:p w14:paraId="2D6FFA93">
            <w:pPr>
              <w:jc w:val="center"/>
              <w:rPr>
                <w:rFonts w:hint="default"/>
              </w:rPr>
            </w:pPr>
            <w:r>
              <w:rPr>
                <w:rFonts w:hint="default"/>
                <w:lang w:val="en-US" w:eastAsia="zh-CN"/>
              </w:rPr>
              <w:t>/</w:t>
            </w:r>
          </w:p>
        </w:tc>
        <w:tc>
          <w:tcPr>
            <w:tcW w:w="883" w:type="dxa"/>
            <w:shd w:val="clear" w:color="auto" w:fill="FFFFFF"/>
            <w:noWrap w:val="0"/>
            <w:vAlign w:val="center"/>
          </w:tcPr>
          <w:p w14:paraId="5CB8BF60">
            <w:pPr>
              <w:jc w:val="center"/>
              <w:rPr>
                <w:rFonts w:hint="default"/>
              </w:rPr>
            </w:pPr>
            <w:r>
              <w:rPr>
                <w:rFonts w:hint="default"/>
              </w:rPr>
              <w:t>/</w:t>
            </w:r>
          </w:p>
        </w:tc>
        <w:tc>
          <w:tcPr>
            <w:tcW w:w="939" w:type="dxa"/>
            <w:tcBorders>
              <w:right w:val="nil"/>
            </w:tcBorders>
            <w:shd w:val="clear" w:color="auto" w:fill="FFFFFF"/>
            <w:noWrap w:val="0"/>
            <w:vAlign w:val="center"/>
          </w:tcPr>
          <w:p w14:paraId="595F8CA0">
            <w:pPr>
              <w:jc w:val="center"/>
              <w:rPr>
                <w:rFonts w:hint="default"/>
              </w:rPr>
            </w:pPr>
            <w:r>
              <w:rPr>
                <w:rFonts w:hint="default"/>
              </w:rPr>
              <w:t>/</w:t>
            </w:r>
          </w:p>
        </w:tc>
      </w:tr>
      <w:tr w14:paraId="18DF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91" w:type="dxa"/>
            <w:vMerge w:val="continue"/>
            <w:tcBorders>
              <w:left w:val="nil"/>
              <w:bottom w:val="single" w:color="000000" w:sz="12" w:space="0"/>
            </w:tcBorders>
            <w:shd w:val="clear" w:color="auto" w:fill="FFFFFF"/>
            <w:noWrap w:val="0"/>
            <w:vAlign w:val="center"/>
          </w:tcPr>
          <w:p w14:paraId="1F0A3484">
            <w:pPr>
              <w:jc w:val="center"/>
              <w:rPr>
                <w:rFonts w:hint="default"/>
              </w:rPr>
            </w:pPr>
          </w:p>
        </w:tc>
        <w:tc>
          <w:tcPr>
            <w:tcW w:w="1183" w:type="dxa"/>
            <w:vMerge w:val="continue"/>
            <w:tcBorders>
              <w:bottom w:val="single" w:color="000000" w:sz="12" w:space="0"/>
            </w:tcBorders>
            <w:shd w:val="clear" w:color="auto" w:fill="FFFFFF"/>
            <w:noWrap w:val="0"/>
            <w:vAlign w:val="center"/>
          </w:tcPr>
          <w:p w14:paraId="050ECFB8">
            <w:pPr>
              <w:jc w:val="center"/>
              <w:rPr>
                <w:rFonts w:hint="default"/>
              </w:rPr>
            </w:pPr>
          </w:p>
        </w:tc>
        <w:tc>
          <w:tcPr>
            <w:tcW w:w="717" w:type="dxa"/>
            <w:tcBorders>
              <w:bottom w:val="single" w:color="000000" w:sz="12" w:space="0"/>
            </w:tcBorders>
            <w:shd w:val="clear" w:color="auto" w:fill="FFFFFF"/>
            <w:noWrap w:val="0"/>
            <w:vAlign w:val="center"/>
          </w:tcPr>
          <w:p w14:paraId="4BE936C2">
            <w:pPr>
              <w:jc w:val="center"/>
              <w:rPr>
                <w:rFonts w:hint="default"/>
              </w:rPr>
            </w:pPr>
            <w:r>
              <w:rPr>
                <w:rFonts w:hint="default"/>
                <w:lang w:val="en-US" w:eastAsia="zh-CN"/>
              </w:rPr>
              <w:t>HmCn</w:t>
            </w:r>
          </w:p>
        </w:tc>
        <w:tc>
          <w:tcPr>
            <w:tcW w:w="916" w:type="dxa"/>
            <w:vMerge w:val="continue"/>
            <w:tcBorders>
              <w:bottom w:val="single" w:color="000000" w:sz="12" w:space="0"/>
            </w:tcBorders>
            <w:shd w:val="clear" w:color="auto" w:fill="FFFFFF"/>
            <w:noWrap w:val="0"/>
            <w:vAlign w:val="center"/>
          </w:tcPr>
          <w:p w14:paraId="72CF9F24">
            <w:pPr>
              <w:jc w:val="center"/>
              <w:rPr>
                <w:rFonts w:hint="default"/>
              </w:rPr>
            </w:pPr>
          </w:p>
        </w:tc>
        <w:tc>
          <w:tcPr>
            <w:tcW w:w="867" w:type="dxa"/>
            <w:tcBorders>
              <w:bottom w:val="single" w:color="000000" w:sz="12" w:space="0"/>
            </w:tcBorders>
            <w:shd w:val="clear" w:color="auto" w:fill="FFFFFF"/>
            <w:noWrap w:val="0"/>
            <w:vAlign w:val="center"/>
          </w:tcPr>
          <w:p w14:paraId="4A8CC480">
            <w:pPr>
              <w:jc w:val="center"/>
              <w:rPr>
                <w:rFonts w:hint="default"/>
              </w:rPr>
            </w:pPr>
            <w:r>
              <w:rPr>
                <w:rFonts w:hint="default"/>
              </w:rPr>
              <w:t>无组织</w:t>
            </w:r>
          </w:p>
        </w:tc>
        <w:tc>
          <w:tcPr>
            <w:tcW w:w="867" w:type="dxa"/>
            <w:tcBorders>
              <w:bottom w:val="single" w:color="000000" w:sz="12" w:space="0"/>
            </w:tcBorders>
            <w:shd w:val="clear" w:color="auto" w:fill="FFFFFF"/>
            <w:noWrap w:val="0"/>
            <w:vAlign w:val="center"/>
          </w:tcPr>
          <w:p w14:paraId="425153B4">
            <w:pPr>
              <w:jc w:val="center"/>
              <w:rPr>
                <w:rFonts w:hint="default"/>
                <w:lang w:val="en-US"/>
              </w:rPr>
            </w:pPr>
            <w:r>
              <w:rPr>
                <w:rFonts w:hint="default"/>
                <w:lang w:val="en-US" w:eastAsia="zh-CN"/>
              </w:rPr>
              <w:t>0.0</w:t>
            </w:r>
            <w:r>
              <w:rPr>
                <w:rFonts w:hint="eastAsia"/>
                <w:lang w:val="en-US" w:eastAsia="zh-CN"/>
              </w:rPr>
              <w:t>13</w:t>
            </w:r>
          </w:p>
        </w:tc>
        <w:tc>
          <w:tcPr>
            <w:tcW w:w="1233" w:type="dxa"/>
            <w:tcBorders>
              <w:bottom w:val="single" w:color="000000" w:sz="12" w:space="0"/>
            </w:tcBorders>
            <w:shd w:val="clear" w:color="auto" w:fill="FFFFFF"/>
            <w:noWrap w:val="0"/>
            <w:vAlign w:val="center"/>
          </w:tcPr>
          <w:p w14:paraId="4BA285C1">
            <w:pPr>
              <w:jc w:val="center"/>
              <w:rPr>
                <w:rFonts w:hint="default"/>
                <w:lang w:val="en-US" w:eastAsia="zh-CN"/>
              </w:rPr>
            </w:pPr>
            <w:r>
              <w:rPr>
                <w:rFonts w:hint="default"/>
                <w:lang w:val="en-US" w:eastAsia="zh-CN"/>
              </w:rPr>
              <w:t>/</w:t>
            </w:r>
          </w:p>
        </w:tc>
        <w:tc>
          <w:tcPr>
            <w:tcW w:w="1183" w:type="dxa"/>
            <w:tcBorders>
              <w:bottom w:val="single" w:color="000000" w:sz="12" w:space="0"/>
            </w:tcBorders>
            <w:shd w:val="clear" w:color="auto" w:fill="FFFFFF"/>
            <w:noWrap w:val="0"/>
            <w:vAlign w:val="center"/>
          </w:tcPr>
          <w:p w14:paraId="3013D64B">
            <w:pPr>
              <w:jc w:val="center"/>
              <w:rPr>
                <w:rFonts w:hint="default"/>
                <w:lang w:val="en-US" w:eastAsia="zh-CN"/>
              </w:rPr>
            </w:pPr>
            <w:r>
              <w:rPr>
                <w:rFonts w:hint="default"/>
                <w:lang w:val="en-US" w:eastAsia="zh-CN"/>
              </w:rPr>
              <w:t>/</w:t>
            </w:r>
          </w:p>
        </w:tc>
        <w:tc>
          <w:tcPr>
            <w:tcW w:w="2267" w:type="dxa"/>
            <w:vMerge w:val="continue"/>
            <w:tcBorders>
              <w:bottom w:val="single" w:color="000000" w:sz="12" w:space="0"/>
            </w:tcBorders>
            <w:shd w:val="clear" w:color="auto" w:fill="FFFFFF"/>
            <w:noWrap w:val="0"/>
            <w:vAlign w:val="center"/>
          </w:tcPr>
          <w:p w14:paraId="47EA64EC">
            <w:pPr>
              <w:jc w:val="center"/>
              <w:rPr>
                <w:rFonts w:hint="default"/>
              </w:rPr>
            </w:pPr>
          </w:p>
        </w:tc>
        <w:tc>
          <w:tcPr>
            <w:tcW w:w="883" w:type="dxa"/>
            <w:tcBorders>
              <w:bottom w:val="single" w:color="000000" w:sz="12" w:space="0"/>
            </w:tcBorders>
            <w:shd w:val="clear" w:color="auto" w:fill="FFFFFF"/>
            <w:noWrap w:val="0"/>
            <w:vAlign w:val="center"/>
          </w:tcPr>
          <w:p w14:paraId="70769766">
            <w:pPr>
              <w:jc w:val="center"/>
              <w:rPr>
                <w:rFonts w:hint="default"/>
                <w:lang w:val="en-US" w:eastAsia="zh-CN"/>
              </w:rPr>
            </w:pPr>
            <w:r>
              <w:rPr>
                <w:rFonts w:hint="default"/>
                <w:lang w:val="en-US" w:eastAsia="zh-CN"/>
              </w:rPr>
              <w:t>0</w:t>
            </w:r>
          </w:p>
        </w:tc>
        <w:tc>
          <w:tcPr>
            <w:tcW w:w="767" w:type="dxa"/>
            <w:tcBorders>
              <w:bottom w:val="single" w:color="000000" w:sz="12" w:space="0"/>
            </w:tcBorders>
            <w:shd w:val="clear" w:color="auto" w:fill="FFFFFF"/>
            <w:noWrap w:val="0"/>
            <w:vAlign w:val="center"/>
          </w:tcPr>
          <w:p w14:paraId="468E3F1B">
            <w:pPr>
              <w:jc w:val="center"/>
              <w:rPr>
                <w:rFonts w:hint="default"/>
              </w:rPr>
            </w:pPr>
            <w:r>
              <w:rPr>
                <w:rFonts w:hint="default"/>
                <w:lang w:val="en-US" w:eastAsia="zh-CN"/>
              </w:rPr>
              <w:t>0.0</w:t>
            </w:r>
            <w:r>
              <w:rPr>
                <w:rFonts w:hint="eastAsia"/>
                <w:lang w:val="en-US" w:eastAsia="zh-CN"/>
              </w:rPr>
              <w:t>13</w:t>
            </w:r>
          </w:p>
        </w:tc>
        <w:tc>
          <w:tcPr>
            <w:tcW w:w="900" w:type="dxa"/>
            <w:tcBorders>
              <w:bottom w:val="single" w:color="000000" w:sz="12" w:space="0"/>
            </w:tcBorders>
            <w:shd w:val="clear" w:color="auto" w:fill="FFFFFF"/>
            <w:noWrap w:val="0"/>
            <w:vAlign w:val="center"/>
          </w:tcPr>
          <w:p w14:paraId="1479932E">
            <w:pPr>
              <w:jc w:val="center"/>
              <w:rPr>
                <w:rFonts w:hint="default"/>
              </w:rPr>
            </w:pPr>
            <w:r>
              <w:rPr>
                <w:rFonts w:hint="default"/>
                <w:lang w:val="en-US" w:eastAsia="zh-CN"/>
              </w:rPr>
              <w:t>/</w:t>
            </w:r>
          </w:p>
        </w:tc>
        <w:tc>
          <w:tcPr>
            <w:tcW w:w="883" w:type="dxa"/>
            <w:tcBorders>
              <w:bottom w:val="single" w:color="000000" w:sz="12" w:space="0"/>
            </w:tcBorders>
            <w:shd w:val="clear" w:color="auto" w:fill="FFFFFF"/>
            <w:noWrap w:val="0"/>
            <w:vAlign w:val="center"/>
          </w:tcPr>
          <w:p w14:paraId="5A391338">
            <w:pPr>
              <w:jc w:val="center"/>
              <w:rPr>
                <w:rFonts w:hint="default"/>
              </w:rPr>
            </w:pPr>
            <w:r>
              <w:rPr>
                <w:rFonts w:hint="default"/>
              </w:rPr>
              <w:t>/</w:t>
            </w:r>
          </w:p>
        </w:tc>
        <w:tc>
          <w:tcPr>
            <w:tcW w:w="939" w:type="dxa"/>
            <w:tcBorders>
              <w:bottom w:val="single" w:color="000000" w:sz="12" w:space="0"/>
              <w:right w:val="nil"/>
            </w:tcBorders>
            <w:shd w:val="clear" w:color="auto" w:fill="FFFFFF"/>
            <w:noWrap w:val="0"/>
            <w:vAlign w:val="center"/>
          </w:tcPr>
          <w:p w14:paraId="70ED545A">
            <w:pPr>
              <w:jc w:val="center"/>
              <w:rPr>
                <w:rFonts w:hint="default"/>
              </w:rPr>
            </w:pPr>
            <w:r>
              <w:rPr>
                <w:rFonts w:hint="default"/>
              </w:rPr>
              <w:t>/</w:t>
            </w:r>
          </w:p>
        </w:tc>
      </w:tr>
    </w:tbl>
    <w:p w14:paraId="16E8C79E">
      <w:pPr>
        <w:pStyle w:val="20"/>
        <w:jc w:val="both"/>
        <w:rPr>
          <w:rFonts w:hint="default" w:ascii="Times New Roman" w:hAnsi="Times New Roman" w:eastAsia="宋体" w:cs="Times New Roman"/>
          <w:snapToGrid w:val="0"/>
          <w:sz w:val="24"/>
          <w:szCs w:val="24"/>
        </w:rPr>
        <w:sectPr>
          <w:pgSz w:w="16838" w:h="11906" w:orient="landscape"/>
          <w:pgMar w:top="1800" w:right="1440" w:bottom="1800" w:left="1440" w:header="851" w:footer="1077" w:gutter="0"/>
          <w:pgNumType w:fmt="decimal"/>
          <w:cols w:space="720" w:num="1"/>
          <w:docGrid w:linePitch="312" w:charSpace="0"/>
        </w:sectPr>
      </w:pPr>
    </w:p>
    <w:tbl>
      <w:tblPr>
        <w:tblStyle w:val="46"/>
        <w:tblW w:w="87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13" w:type="dxa"/>
          <w:bottom w:w="0" w:type="dxa"/>
          <w:right w:w="113" w:type="dxa"/>
        </w:tblCellMar>
      </w:tblPr>
      <w:tblGrid>
        <w:gridCol w:w="454"/>
        <w:gridCol w:w="8344"/>
      </w:tblGrid>
      <w:tr w14:paraId="7BAF0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454" w:type="dxa"/>
            <w:noWrap w:val="0"/>
            <w:vAlign w:val="top"/>
          </w:tcPr>
          <w:p w14:paraId="7FFD6D5D">
            <w:pPr>
              <w:rPr>
                <w:rFonts w:hint="default" w:ascii="Times New Roman" w:hAnsi="Times New Roman" w:eastAsia="宋体" w:cs="Times New Roman"/>
                <w:sz w:val="24"/>
                <w:szCs w:val="24"/>
              </w:rPr>
            </w:pPr>
          </w:p>
        </w:tc>
        <w:tc>
          <w:tcPr>
            <w:tcW w:w="8344" w:type="dxa"/>
            <w:noWrap w:val="0"/>
            <w:vAlign w:val="top"/>
          </w:tcPr>
          <w:p w14:paraId="68241B8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 xml:space="preserve">2.1.2  </w:t>
            </w:r>
            <w:r>
              <w:rPr>
                <w:rFonts w:hint="default" w:ascii="Times New Roman" w:hAnsi="Times New Roman" w:eastAsia="宋体" w:cs="Times New Roman"/>
                <w:b/>
                <w:bCs/>
                <w:sz w:val="24"/>
                <w:szCs w:val="24"/>
              </w:rPr>
              <w:t>废气污染物影响分析</w:t>
            </w:r>
          </w:p>
          <w:p w14:paraId="50EF53B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项目建成运营后，采矿各环节均会产生粉尘，且粉尘产生量较大，对于各环节产生的粉尘，项目均采取一定的降尘措施，具体如下：</w:t>
            </w:r>
          </w:p>
          <w:p w14:paraId="79D0EE90">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①露天开采无组织粉尘影响分析</w:t>
            </w:r>
          </w:p>
          <w:p w14:paraId="76C3434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本项目露天开采及表土剥离作业期间，通过实施湿法施工、铲装作业前</w:t>
            </w:r>
            <w:r>
              <w:rPr>
                <w:rFonts w:hint="eastAsia" w:ascii="Times New Roman" w:hAnsi="Times New Roman" w:eastAsia="宋体" w:cs="Times New Roman"/>
                <w:sz w:val="24"/>
                <w:szCs w:val="24"/>
                <w:lang w:val="en-US" w:eastAsia="zh-CN"/>
              </w:rPr>
              <w:t>用洒水车</w:t>
            </w:r>
            <w:r>
              <w:rPr>
                <w:rFonts w:hint="default" w:ascii="Times New Roman" w:hAnsi="Times New Roman" w:eastAsia="宋体" w:cs="Times New Roman"/>
                <w:sz w:val="24"/>
                <w:szCs w:val="24"/>
              </w:rPr>
              <w:t>洒水可显著削减无组织粉尘产生量。</w:t>
            </w:r>
          </w:p>
          <w:p w14:paraId="5144908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过采取有效的降尘措施，能够大大降低采剥过程排放的无组织粉尘量，作业过程无组织粉尘排放在局部范围内会出现超标现象，但对露采境界100m以外的大气环境影响较小，这部分粉尘主要对操作工人产生一定的不利影响，可以通过相应的劳动保护措施减轻不利影响。</w:t>
            </w:r>
          </w:p>
          <w:p w14:paraId="7D41523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综上所述，采取相应措施后本项目露天开采无组织粉尘对周围的大气环境影响较小。</w:t>
            </w:r>
          </w:p>
          <w:p w14:paraId="266284E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②矿石</w:t>
            </w:r>
            <w:r>
              <w:rPr>
                <w:rFonts w:hint="eastAsia" w:ascii="Times New Roman" w:hAnsi="Times New Roman" w:eastAsia="宋体" w:cs="Times New Roman"/>
                <w:sz w:val="24"/>
                <w:szCs w:val="24"/>
                <w:lang w:val="en-US" w:eastAsia="zh-CN"/>
              </w:rPr>
              <w:t>装卸及</w:t>
            </w:r>
            <w:r>
              <w:rPr>
                <w:rFonts w:hint="default" w:ascii="Times New Roman" w:hAnsi="Times New Roman" w:eastAsia="宋体" w:cs="Times New Roman"/>
                <w:sz w:val="24"/>
                <w:szCs w:val="24"/>
              </w:rPr>
              <w:t>汽车运输扬尘影响分析</w:t>
            </w:r>
          </w:p>
          <w:p w14:paraId="719108E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产品装卸过程中会产生一定量的装卸扬尘。通过采取洒水降尘措施后，除尘率约为80%</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对周围环境影响较小</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剥离物汽车运输将产生运输扬尘，运输车辆在运输过程中，随着车速的加快，扬尘量将随之加大。矿山配有1辆洒水车，每天定期对运输道路进行洒水，保持路面湿润。运营期场内运输车辆在运输过程中车速较慢，一般为5~15km，物料运输车辆装载高度不得超过槽帮上沿，限速行驶，避免物料沿途撒漏。产品外运车辆篷布遮盖、严禁超载、控制车速。通过采取以上措施后，可以减少运输道路起尘量，降尘效率可达70-80%左右，对周围环境影响较小。</w:t>
            </w:r>
          </w:p>
          <w:p w14:paraId="5E0C118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
                <w:sz w:val="24"/>
                <w:szCs w:val="24"/>
                <w:lang w:val="en-US" w:eastAsia="zh-CN"/>
              </w:rPr>
              <w:t>③</w:t>
            </w:r>
            <w:r>
              <w:rPr>
                <w:rFonts w:hint="default" w:ascii="Times New Roman" w:hAnsi="Times New Roman" w:eastAsia="宋体" w:cs="Times New Roman"/>
                <w:spacing w:val="-1"/>
                <w:sz w:val="24"/>
                <w:szCs w:val="24"/>
              </w:rPr>
              <w:t>排土场及堆</w:t>
            </w:r>
            <w:r>
              <w:rPr>
                <w:rFonts w:hint="eastAsia" w:ascii="Times New Roman" w:hAnsi="Times New Roman" w:eastAsia="宋体" w:cs="Times New Roman"/>
                <w:spacing w:val="-1"/>
                <w:sz w:val="24"/>
                <w:szCs w:val="24"/>
                <w:lang w:val="en-US" w:eastAsia="zh-CN"/>
              </w:rPr>
              <w:t>矿</w:t>
            </w:r>
            <w:r>
              <w:rPr>
                <w:rFonts w:hint="default" w:ascii="Times New Roman" w:hAnsi="Times New Roman" w:eastAsia="宋体" w:cs="Times New Roman"/>
                <w:spacing w:val="-1"/>
                <w:sz w:val="24"/>
                <w:szCs w:val="24"/>
              </w:rPr>
              <w:t>场扬尘影响分析</w:t>
            </w:r>
          </w:p>
          <w:p w14:paraId="626CDC6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通过对排土场进行规范管理，采取分区堆放，分层梯级推进堆放、压</w:t>
            </w:r>
            <w:r>
              <w:rPr>
                <w:rFonts w:hint="default" w:ascii="Times New Roman" w:hAnsi="Times New Roman" w:eastAsia="宋体" w:cs="Times New Roman"/>
                <w:spacing w:val="2"/>
                <w:sz w:val="24"/>
                <w:szCs w:val="24"/>
              </w:rPr>
              <w:t>实处理，并进行表面定期洒水+密目网苫盖，及时进行生态恢复，排土场</w:t>
            </w:r>
            <w:r>
              <w:rPr>
                <w:rFonts w:hint="default" w:ascii="Times New Roman" w:hAnsi="Times New Roman" w:eastAsia="宋体" w:cs="Times New Roman"/>
                <w:spacing w:val="-3"/>
                <w:sz w:val="24"/>
                <w:szCs w:val="24"/>
              </w:rPr>
              <w:t>扬尘对大气环境的影响不大；原料堆场采</w:t>
            </w:r>
            <w:r>
              <w:rPr>
                <w:rFonts w:hint="default" w:ascii="Times New Roman" w:hAnsi="Times New Roman" w:eastAsia="宋体" w:cs="Times New Roman"/>
                <w:spacing w:val="-2"/>
                <w:sz w:val="24"/>
                <w:szCs w:val="24"/>
              </w:rPr>
              <w:t>取三面围挡+顶棚式结构</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4"/>
                <w:sz w:val="24"/>
                <w:szCs w:val="24"/>
              </w:rPr>
              <w:t>并定期喷雾洒水，降尘效率可到70-80%左右，堆场</w:t>
            </w:r>
            <w:r>
              <w:rPr>
                <w:rFonts w:hint="default" w:ascii="Times New Roman" w:hAnsi="Times New Roman" w:eastAsia="宋体" w:cs="Times New Roman"/>
                <w:spacing w:val="3"/>
                <w:sz w:val="24"/>
                <w:szCs w:val="24"/>
              </w:rPr>
              <w:t>扬尘对大气环境影响</w:t>
            </w:r>
            <w:r>
              <w:rPr>
                <w:rFonts w:hint="default" w:ascii="Times New Roman" w:hAnsi="Times New Roman" w:eastAsia="宋体" w:cs="Times New Roman"/>
                <w:sz w:val="24"/>
                <w:szCs w:val="24"/>
              </w:rPr>
              <w:t>不大。因此，排土场和堆场采取相应措施后，对大气环境影</w:t>
            </w:r>
            <w:r>
              <w:rPr>
                <w:rFonts w:hint="default" w:ascii="Times New Roman" w:hAnsi="Times New Roman" w:eastAsia="宋体" w:cs="Times New Roman"/>
                <w:spacing w:val="-1"/>
                <w:sz w:val="24"/>
                <w:szCs w:val="24"/>
              </w:rPr>
              <w:t>响较小。</w:t>
            </w:r>
          </w:p>
          <w:p w14:paraId="20D6CF3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outlineLvl w:val="1"/>
              <w:rPr>
                <w:rFonts w:hint="default" w:ascii="Times New Roman" w:hAnsi="Times New Roman" w:eastAsia="宋体" w:cs="Times New Roman"/>
                <w:sz w:val="24"/>
                <w:szCs w:val="24"/>
              </w:rPr>
            </w:pPr>
            <w:r>
              <w:rPr>
                <w:rFonts w:hint="eastAsia" w:ascii="Times New Roman" w:hAnsi="Times New Roman" w:eastAsia="宋体" w:cs="Times New Roman"/>
                <w:spacing w:val="-1"/>
                <w:sz w:val="24"/>
                <w:szCs w:val="24"/>
                <w:lang w:val="en-US" w:eastAsia="zh-CN"/>
              </w:rPr>
              <w:t>④</w:t>
            </w:r>
            <w:r>
              <w:rPr>
                <w:rFonts w:hint="default" w:ascii="Times New Roman" w:hAnsi="Times New Roman" w:eastAsia="宋体" w:cs="Times New Roman"/>
                <w:spacing w:val="-1"/>
                <w:sz w:val="24"/>
                <w:szCs w:val="24"/>
              </w:rPr>
              <w:t>机械燃油废气影响分析</w:t>
            </w:r>
          </w:p>
          <w:p w14:paraId="1D1F308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6"/>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矿山挖掘机等设备需消耗柴油，燃油废气中主要污染物为</w:t>
            </w:r>
            <w:r>
              <w:rPr>
                <w:rFonts w:hint="default" w:ascii="Times New Roman" w:hAnsi="Times New Roman" w:eastAsia="宋体" w:cs="Times New Roman"/>
                <w:sz w:val="24"/>
                <w:szCs w:val="24"/>
              </w:rPr>
              <w:t>NO</w:t>
            </w:r>
            <w:r>
              <w:rPr>
                <w:rFonts w:hint="default" w:ascii="Times New Roman" w:hAnsi="Times New Roman" w:eastAsia="宋体" w:cs="Times New Roman"/>
                <w:position w:val="-1"/>
                <w:sz w:val="24"/>
                <w:szCs w:val="24"/>
                <w:vertAlign w:val="subscript"/>
              </w:rPr>
              <w:t>X</w:t>
            </w:r>
            <w:r>
              <w:rPr>
                <w:rFonts w:hint="default" w:ascii="Times New Roman" w:hAnsi="Times New Roman" w:eastAsia="宋体" w:cs="Times New Roman"/>
                <w:spacing w:val="5"/>
                <w:sz w:val="24"/>
                <w:szCs w:val="24"/>
              </w:rPr>
              <w:t>、</w:t>
            </w:r>
            <w:r>
              <w:rPr>
                <w:rFonts w:hint="default" w:ascii="Times New Roman" w:hAnsi="Times New Roman" w:eastAsia="宋体" w:cs="Times New Roman"/>
                <w:sz w:val="24"/>
                <w:szCs w:val="24"/>
              </w:rPr>
              <w:t>CO</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4"/>
                <w:sz w:val="24"/>
                <w:szCs w:val="24"/>
              </w:rPr>
              <w:t>THC</w:t>
            </w:r>
            <w:r>
              <w:rPr>
                <w:rFonts w:hint="default" w:ascii="Times New Roman" w:hAnsi="Times New Roman" w:eastAsia="宋体" w:cs="Times New Roman"/>
                <w:spacing w:val="-47"/>
                <w:sz w:val="24"/>
                <w:szCs w:val="24"/>
              </w:rPr>
              <w:t xml:space="preserve"> </w:t>
            </w:r>
            <w:r>
              <w:rPr>
                <w:rFonts w:hint="default" w:ascii="Times New Roman" w:hAnsi="Times New Roman" w:eastAsia="宋体" w:cs="Times New Roman"/>
                <w:spacing w:val="-4"/>
                <w:sz w:val="24"/>
                <w:szCs w:val="24"/>
              </w:rPr>
              <w:t>等，设备燃料尽量使用清洁柴油、严禁使用其它污染相对较重的燃料、</w:t>
            </w:r>
            <w:r>
              <w:rPr>
                <w:rFonts w:hint="default" w:ascii="Times New Roman" w:hAnsi="Times New Roman" w:eastAsia="宋体" w:cs="Times New Roman"/>
                <w:spacing w:val="-1"/>
                <w:sz w:val="24"/>
                <w:szCs w:val="24"/>
              </w:rPr>
              <w:t>对不达标的设备应及时检修或停用。由于项目区场地空阔</w:t>
            </w:r>
            <w:r>
              <w:rPr>
                <w:rFonts w:hint="default" w:ascii="Times New Roman" w:hAnsi="Times New Roman" w:eastAsia="宋体" w:cs="Times New Roman"/>
                <w:spacing w:val="-2"/>
                <w:sz w:val="24"/>
                <w:szCs w:val="24"/>
              </w:rPr>
              <w:t>，空气扩散条件</w:t>
            </w:r>
            <w:r>
              <w:rPr>
                <w:rFonts w:hint="default" w:ascii="Times New Roman" w:hAnsi="Times New Roman" w:eastAsia="宋体" w:cs="Times New Roman"/>
                <w:spacing w:val="-1"/>
                <w:sz w:val="24"/>
                <w:szCs w:val="24"/>
              </w:rPr>
              <w:t>较好，燃油废气对周围空气环境影响不大，机械燃油废气</w:t>
            </w:r>
            <w:r>
              <w:rPr>
                <w:rFonts w:hint="default" w:ascii="Times New Roman" w:hAnsi="Times New Roman" w:eastAsia="宋体" w:cs="Times New Roman"/>
                <w:spacing w:val="-2"/>
                <w:sz w:val="24"/>
                <w:szCs w:val="24"/>
              </w:rPr>
              <w:t>对大气环境影响</w:t>
            </w:r>
            <w:r>
              <w:rPr>
                <w:rFonts w:hint="default" w:ascii="Times New Roman" w:hAnsi="Times New Roman" w:eastAsia="宋体" w:cs="Times New Roman"/>
                <w:sz w:val="24"/>
                <w:szCs w:val="24"/>
              </w:rPr>
              <w:t>程度可接受。</w:t>
            </w:r>
          </w:p>
          <w:p w14:paraId="155B236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0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2.1.3废气排放达标可行性分析</w:t>
            </w:r>
          </w:p>
          <w:p w14:paraId="5EC48D7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23" w:firstLineChars="222"/>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项目矿山开采扬尘、</w:t>
            </w:r>
            <w:r>
              <w:rPr>
                <w:rFonts w:hint="default" w:ascii="Times New Roman" w:hAnsi="Times New Roman" w:eastAsia="宋体" w:cs="Times New Roman"/>
                <w:spacing w:val="-2"/>
                <w:sz w:val="24"/>
                <w:szCs w:val="24"/>
                <w:lang w:val="en-US" w:eastAsia="zh-CN"/>
              </w:rPr>
              <w:t>矿石</w:t>
            </w:r>
            <w:r>
              <w:rPr>
                <w:rFonts w:hint="eastAsia" w:ascii="Times New Roman" w:hAnsi="Times New Roman" w:eastAsia="宋体" w:cs="Times New Roman"/>
                <w:spacing w:val="-2"/>
                <w:sz w:val="24"/>
                <w:szCs w:val="24"/>
                <w:lang w:val="en-US" w:eastAsia="zh-CN"/>
              </w:rPr>
              <w:t>装卸</w:t>
            </w:r>
            <w:r>
              <w:rPr>
                <w:rFonts w:hint="default" w:ascii="Times New Roman" w:hAnsi="Times New Roman" w:eastAsia="宋体" w:cs="Times New Roman"/>
                <w:spacing w:val="-2"/>
                <w:sz w:val="24"/>
                <w:szCs w:val="24"/>
              </w:rPr>
              <w:t>、运输扬尘、排土场及堆场扬尘等均属</w:t>
            </w:r>
            <w:r>
              <w:rPr>
                <w:rFonts w:hint="default" w:ascii="Times New Roman" w:hAnsi="Times New Roman" w:eastAsia="宋体" w:cs="Times New Roman"/>
                <w:spacing w:val="-1"/>
                <w:sz w:val="24"/>
                <w:szCs w:val="24"/>
              </w:rPr>
              <w:t>于</w:t>
            </w:r>
            <w:r>
              <w:rPr>
                <w:rFonts w:hint="default" w:ascii="Times New Roman" w:hAnsi="Times New Roman" w:eastAsia="宋体" w:cs="Times New Roman"/>
                <w:spacing w:val="-2"/>
                <w:sz w:val="24"/>
                <w:szCs w:val="24"/>
              </w:rPr>
              <w:t>无组织排放</w:t>
            </w:r>
            <w:r>
              <w:rPr>
                <w:rFonts w:hint="default" w:ascii="Times New Roman" w:hAnsi="Times New Roman" w:eastAsia="宋体" w:cs="Times New Roman"/>
                <w:spacing w:val="-1"/>
                <w:sz w:val="24"/>
                <w:szCs w:val="24"/>
              </w:rPr>
              <w:t>，无组织</w:t>
            </w:r>
            <w:r>
              <w:rPr>
                <w:rFonts w:hint="eastAsia" w:ascii="Times New Roman" w:hAnsi="Times New Roman" w:eastAsia="宋体" w:cs="Times New Roman"/>
                <w:spacing w:val="-1"/>
                <w:sz w:val="24"/>
                <w:szCs w:val="24"/>
                <w:lang w:val="en-US" w:eastAsia="zh-CN"/>
              </w:rPr>
              <w:t>粉</w:t>
            </w:r>
            <w:r>
              <w:rPr>
                <w:rFonts w:hint="default" w:ascii="Times New Roman" w:hAnsi="Times New Roman" w:eastAsia="宋体" w:cs="Times New Roman"/>
                <w:spacing w:val="-1"/>
                <w:sz w:val="24"/>
                <w:szCs w:val="24"/>
              </w:rPr>
              <w:t>尘</w:t>
            </w:r>
            <w:r>
              <w:rPr>
                <w:rFonts w:hint="default" w:ascii="Times New Roman" w:hAnsi="Times New Roman" w:eastAsia="宋体" w:cs="Times New Roman"/>
                <w:spacing w:val="-2"/>
                <w:sz w:val="24"/>
                <w:szCs w:val="24"/>
              </w:rPr>
              <w:t>采取湿法作业、洒水抑尘</w:t>
            </w: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排土场</w:t>
            </w:r>
            <w:r>
              <w:rPr>
                <w:rFonts w:hint="default" w:ascii="Times New Roman" w:hAnsi="Times New Roman" w:eastAsia="宋体" w:cs="Times New Roman"/>
                <w:spacing w:val="-2"/>
                <w:sz w:val="24"/>
                <w:szCs w:val="24"/>
              </w:rPr>
              <w:t>表面定期洒水+密目网苫盖</w:t>
            </w:r>
            <w:r>
              <w:rPr>
                <w:rFonts w:hint="eastAsia" w:ascii="Times New Roman" w:hAnsi="Times New Roman" w:eastAsia="宋体" w:cs="Times New Roman"/>
                <w:spacing w:val="-2"/>
                <w:sz w:val="24"/>
                <w:szCs w:val="24"/>
                <w:lang w:val="en-US" w:eastAsia="zh-CN"/>
              </w:rPr>
              <w:t>和</w:t>
            </w:r>
            <w:r>
              <w:rPr>
                <w:rFonts w:hint="default" w:ascii="Times New Roman" w:hAnsi="Times New Roman" w:eastAsia="宋体" w:cs="Times New Roman"/>
                <w:spacing w:val="-2"/>
                <w:sz w:val="24"/>
                <w:szCs w:val="24"/>
              </w:rPr>
              <w:t>堆</w:t>
            </w:r>
            <w:r>
              <w:rPr>
                <w:rFonts w:hint="eastAsia" w:ascii="Times New Roman" w:hAnsi="Times New Roman" w:eastAsia="宋体" w:cs="Times New Roman"/>
                <w:spacing w:val="-2"/>
                <w:sz w:val="24"/>
                <w:szCs w:val="24"/>
                <w:lang w:val="en-US" w:eastAsia="zh-CN"/>
              </w:rPr>
              <w:t>矿</w:t>
            </w:r>
            <w:r>
              <w:rPr>
                <w:rFonts w:hint="default" w:ascii="Times New Roman" w:hAnsi="Times New Roman" w:eastAsia="宋体" w:cs="Times New Roman"/>
                <w:spacing w:val="-2"/>
                <w:sz w:val="24"/>
                <w:szCs w:val="24"/>
              </w:rPr>
              <w:t>场采取三面围挡+顶棚式结构，并定期喷雾洒水等措施，本项</w:t>
            </w:r>
            <w:r>
              <w:rPr>
                <w:rFonts w:hint="default" w:ascii="Times New Roman" w:hAnsi="Times New Roman" w:eastAsia="宋体" w:cs="Times New Roman"/>
                <w:spacing w:val="-3"/>
                <w:sz w:val="24"/>
                <w:szCs w:val="24"/>
              </w:rPr>
              <w:t>目采取的无组织废气处理措施均为粉尘治理常用措施，废气能够满足《大气污染物综合排放标准》（</w:t>
            </w:r>
            <w:r>
              <w:rPr>
                <w:rFonts w:hint="default" w:ascii="Times New Roman" w:hAnsi="Times New Roman" w:eastAsia="宋体" w:cs="Times New Roman"/>
                <w:sz w:val="24"/>
                <w:szCs w:val="24"/>
              </w:rPr>
              <w:t>GB</w:t>
            </w:r>
            <w:r>
              <w:rPr>
                <w:rFonts w:hint="default" w:ascii="Times New Roman" w:hAnsi="Times New Roman" w:eastAsia="宋体" w:cs="Times New Roman"/>
                <w:spacing w:val="23"/>
                <w:sz w:val="24"/>
                <w:szCs w:val="24"/>
              </w:rPr>
              <w:t>16297-1996）表2中</w:t>
            </w:r>
            <w:r>
              <w:rPr>
                <w:rFonts w:hint="default" w:ascii="Times New Roman" w:hAnsi="Times New Roman" w:eastAsia="宋体" w:cs="Times New Roman"/>
                <w:spacing w:val="-1"/>
                <w:sz w:val="24"/>
                <w:szCs w:val="24"/>
              </w:rPr>
              <w:t>无组织监控浓度限值要求。可见，本项目废气能够做到</w:t>
            </w:r>
            <w:r>
              <w:rPr>
                <w:rFonts w:hint="default" w:ascii="Times New Roman" w:hAnsi="Times New Roman" w:eastAsia="宋体" w:cs="Times New Roman"/>
                <w:spacing w:val="-2"/>
                <w:sz w:val="24"/>
                <w:szCs w:val="24"/>
              </w:rPr>
              <w:t>达标排放，措施可行。</w:t>
            </w:r>
          </w:p>
          <w:p w14:paraId="557F640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22"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10"/>
                <w:sz w:val="24"/>
                <w:szCs w:val="24"/>
                <w:lang w:val="en-US" w:eastAsia="zh-CN"/>
              </w:rPr>
              <w:t>2.1.4</w:t>
            </w:r>
            <w:r>
              <w:rPr>
                <w:rFonts w:hint="default" w:ascii="Times New Roman" w:hAnsi="Times New Roman" w:eastAsia="宋体" w:cs="Times New Roman"/>
                <w:b/>
                <w:bCs/>
                <w:spacing w:val="10"/>
                <w:sz w:val="24"/>
                <w:szCs w:val="24"/>
              </w:rPr>
              <w:t>监测要求</w:t>
            </w:r>
          </w:p>
          <w:p w14:paraId="3763AB1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9"/>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本项目属于土砂石开采加工，无行业排污单位自行监测技术指南和排</w:t>
            </w:r>
            <w:r>
              <w:rPr>
                <w:rFonts w:hint="default" w:ascii="Times New Roman" w:hAnsi="Times New Roman" w:eastAsia="宋体" w:cs="Times New Roman"/>
                <w:spacing w:val="-1"/>
                <w:sz w:val="24"/>
                <w:szCs w:val="24"/>
              </w:rPr>
              <w:t>污许可证申请与核发技术规范。本次评价根据</w:t>
            </w:r>
            <w:r>
              <w:rPr>
                <w:rFonts w:hint="default" w:ascii="Times New Roman" w:hAnsi="Times New Roman" w:eastAsia="宋体" w:cs="Times New Roman"/>
                <w:spacing w:val="-2"/>
                <w:sz w:val="24"/>
                <w:szCs w:val="24"/>
              </w:rPr>
              <w:t>《排污单位自行监测技术指</w:t>
            </w:r>
            <w:r>
              <w:rPr>
                <w:rFonts w:hint="default" w:ascii="Times New Roman" w:hAnsi="Times New Roman" w:eastAsia="宋体" w:cs="Times New Roman"/>
                <w:spacing w:val="5"/>
                <w:sz w:val="24"/>
                <w:szCs w:val="24"/>
              </w:rPr>
              <w:t>南总则》（</w:t>
            </w:r>
            <w:r>
              <w:rPr>
                <w:rFonts w:hint="default" w:ascii="Times New Roman" w:hAnsi="Times New Roman" w:eastAsia="宋体" w:cs="Times New Roman"/>
                <w:sz w:val="24"/>
                <w:szCs w:val="24"/>
              </w:rPr>
              <w:t>HJ</w:t>
            </w:r>
            <w:r>
              <w:rPr>
                <w:rFonts w:hint="default" w:ascii="Times New Roman" w:hAnsi="Times New Roman" w:eastAsia="宋体" w:cs="Times New Roman"/>
                <w:spacing w:val="5"/>
                <w:sz w:val="24"/>
                <w:szCs w:val="24"/>
              </w:rPr>
              <w:t>819-2017）要求，提出项目生产过程</w:t>
            </w:r>
            <w:r>
              <w:rPr>
                <w:rFonts w:hint="default" w:ascii="Times New Roman" w:hAnsi="Times New Roman" w:eastAsia="宋体" w:cs="Times New Roman"/>
                <w:spacing w:val="4"/>
                <w:sz w:val="24"/>
                <w:szCs w:val="24"/>
              </w:rPr>
              <w:t>中废气污染源监测要</w:t>
            </w:r>
            <w:r>
              <w:rPr>
                <w:rFonts w:hint="default" w:ascii="Times New Roman" w:hAnsi="Times New Roman" w:eastAsia="宋体" w:cs="Times New Roman"/>
                <w:spacing w:val="1"/>
                <w:sz w:val="24"/>
                <w:szCs w:val="24"/>
              </w:rPr>
              <w:t>求，详见表4-</w:t>
            </w:r>
            <w:r>
              <w:rPr>
                <w:rFonts w:hint="eastAsia" w:ascii="Times New Roman" w:hAnsi="Times New Roman" w:eastAsia="宋体" w:cs="Times New Roman"/>
                <w:spacing w:val="1"/>
                <w:sz w:val="24"/>
                <w:szCs w:val="24"/>
                <w:lang w:val="en-US" w:eastAsia="zh-CN"/>
              </w:rPr>
              <w:t>12</w:t>
            </w:r>
            <w:r>
              <w:rPr>
                <w:rFonts w:hint="default" w:ascii="Times New Roman" w:hAnsi="Times New Roman" w:eastAsia="宋体" w:cs="Times New Roman"/>
                <w:spacing w:val="1"/>
                <w:sz w:val="24"/>
                <w:szCs w:val="24"/>
              </w:rPr>
              <w:t>。</w:t>
            </w:r>
          </w:p>
          <w:p w14:paraId="6C6DFA5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jc w:val="center"/>
              <w:textAlignment w:val="auto"/>
              <w:rPr>
                <w:rFonts w:hint="default" w:ascii="Times New Roman" w:hAnsi="Times New Roman" w:eastAsia="宋体" w:cs="Times New Roman"/>
                <w:b/>
                <w:bCs/>
                <w:spacing w:val="4"/>
                <w:sz w:val="21"/>
                <w:szCs w:val="21"/>
              </w:rPr>
            </w:pPr>
            <w:r>
              <w:rPr>
                <w:rFonts w:hint="default" w:ascii="Times New Roman" w:hAnsi="Times New Roman" w:eastAsia="宋体" w:cs="Times New Roman"/>
                <w:b/>
                <w:bCs/>
                <w:spacing w:val="4"/>
                <w:sz w:val="21"/>
                <w:szCs w:val="21"/>
              </w:rPr>
              <w:t>表4-</w:t>
            </w:r>
            <w:r>
              <w:rPr>
                <w:rFonts w:hint="eastAsia" w:ascii="Times New Roman" w:hAnsi="Times New Roman" w:eastAsia="宋体" w:cs="Times New Roman"/>
                <w:b/>
                <w:bCs/>
                <w:spacing w:val="4"/>
                <w:sz w:val="21"/>
                <w:szCs w:val="21"/>
                <w:lang w:val="en-US" w:eastAsia="zh-CN"/>
              </w:rPr>
              <w:t>12</w:t>
            </w:r>
            <w:r>
              <w:rPr>
                <w:rFonts w:hint="default" w:ascii="Times New Roman" w:hAnsi="Times New Roman" w:eastAsia="宋体" w:cs="Times New Roman"/>
                <w:b/>
                <w:bCs/>
                <w:spacing w:val="4"/>
                <w:sz w:val="21"/>
                <w:szCs w:val="21"/>
              </w:rPr>
              <w:t xml:space="preserve">   废气监测点位、监测指标及最低监测频次一览表</w:t>
            </w:r>
          </w:p>
          <w:tbl>
            <w:tblPr>
              <w:tblStyle w:val="23"/>
              <w:tblW w:w="8138" w:type="dxa"/>
              <w:jc w:val="center"/>
              <w:tblBorders>
                <w:top w:val="none" w:color="auto" w:sz="0" w:space="0"/>
                <w:left w:val="none" w:color="auto" w:sz="0" w:space="0"/>
                <w:bottom w:val="none" w:color="auto" w:sz="0"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28"/>
              <w:gridCol w:w="1628"/>
              <w:gridCol w:w="1346"/>
              <w:gridCol w:w="1908"/>
              <w:gridCol w:w="1628"/>
            </w:tblGrid>
            <w:tr w14:paraId="4D95EFA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65" w:hRule="atLeast"/>
                <w:jc w:val="center"/>
              </w:trPr>
              <w:tc>
                <w:tcPr>
                  <w:tcW w:w="1628" w:type="dxa"/>
                  <w:tcBorders>
                    <w:top w:val="single" w:color="000000" w:sz="12" w:space="0"/>
                    <w:left w:val="nil"/>
                    <w:tl2br w:val="nil"/>
                  </w:tcBorders>
                  <w:noWrap w:val="0"/>
                  <w:vAlign w:val="center"/>
                </w:tcPr>
                <w:p w14:paraId="34C817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行业类别</w:t>
                  </w:r>
                </w:p>
              </w:tc>
              <w:tc>
                <w:tcPr>
                  <w:tcW w:w="1628" w:type="dxa"/>
                  <w:tcBorders>
                    <w:top w:val="single" w:color="000000" w:sz="12" w:space="0"/>
                  </w:tcBorders>
                  <w:noWrap w:val="0"/>
                  <w:vAlign w:val="center"/>
                </w:tcPr>
                <w:p w14:paraId="60E52F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监测点位</w:t>
                  </w:r>
                </w:p>
              </w:tc>
              <w:tc>
                <w:tcPr>
                  <w:tcW w:w="1346" w:type="dxa"/>
                  <w:tcBorders>
                    <w:top w:val="single" w:color="000000" w:sz="12" w:space="0"/>
                  </w:tcBorders>
                  <w:noWrap w:val="0"/>
                  <w:vAlign w:val="center"/>
                </w:tcPr>
                <w:p w14:paraId="7DA3F5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监测指标</w:t>
                  </w:r>
                </w:p>
              </w:tc>
              <w:tc>
                <w:tcPr>
                  <w:tcW w:w="1908" w:type="dxa"/>
                  <w:tcBorders>
                    <w:top w:val="single" w:color="000000" w:sz="12" w:space="0"/>
                  </w:tcBorders>
                  <w:noWrap w:val="0"/>
                  <w:vAlign w:val="center"/>
                </w:tcPr>
                <w:p w14:paraId="20416E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执行标准</w:t>
                  </w:r>
                </w:p>
              </w:tc>
              <w:tc>
                <w:tcPr>
                  <w:tcW w:w="1628" w:type="dxa"/>
                  <w:tcBorders>
                    <w:top w:val="single" w:color="000000" w:sz="12" w:space="0"/>
                    <w:right w:val="nil"/>
                  </w:tcBorders>
                  <w:noWrap w:val="0"/>
                  <w:vAlign w:val="center"/>
                </w:tcPr>
                <w:p w14:paraId="49287C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最低监</w:t>
                  </w:r>
                </w:p>
                <w:p w14:paraId="248341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测频次</w:t>
                  </w:r>
                </w:p>
              </w:tc>
            </w:tr>
            <w:tr w14:paraId="59B0DBD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00" w:hRule="atLeast"/>
                <w:jc w:val="center"/>
              </w:trPr>
              <w:tc>
                <w:tcPr>
                  <w:tcW w:w="1628" w:type="dxa"/>
                  <w:tcBorders>
                    <w:left w:val="nil"/>
                    <w:bottom w:val="single" w:color="000000" w:sz="12" w:space="0"/>
                  </w:tcBorders>
                  <w:noWrap w:val="0"/>
                  <w:vAlign w:val="center"/>
                </w:tcPr>
                <w:p w14:paraId="5F592692">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val="0"/>
                      <w:i w:val="0"/>
                      <w:iCs w:val="0"/>
                      <w:color w:val="000000"/>
                      <w:sz w:val="21"/>
                      <w:szCs w:val="21"/>
                      <w:u w:val="none"/>
                      <w:lang w:val="en-US" w:eastAsia="zh-CN"/>
                    </w:rPr>
                  </w:pPr>
                  <w:r>
                    <w:rPr>
                      <w:rFonts w:hint="eastAsia" w:ascii="Times New Roman" w:hAnsi="Times New Roman" w:eastAsia="宋体" w:cs="Times New Roman"/>
                      <w:b w:val="0"/>
                      <w:i w:val="0"/>
                      <w:iCs w:val="0"/>
                      <w:color w:val="000000"/>
                      <w:sz w:val="21"/>
                      <w:szCs w:val="21"/>
                      <w:u w:val="none"/>
                      <w:lang w:val="en-US" w:eastAsia="zh-CN"/>
                    </w:rPr>
                    <w:t>土砂石开采</w:t>
                  </w:r>
                </w:p>
                <w:p w14:paraId="48C68DC8">
                  <w:pPr>
                    <w:keepNext w:val="0"/>
                    <w:keepLines w:val="0"/>
                    <w:pageBreakBefore w:val="0"/>
                    <w:kinsoku/>
                    <w:wordWrap/>
                    <w:overflowPunct/>
                    <w:topLinePunct w:val="0"/>
                    <w:autoSpaceDE/>
                    <w:autoSpaceDN/>
                    <w:bidi w:val="0"/>
                    <w:adjustRightInd/>
                    <w:snapToGrid/>
                    <w:jc w:val="center"/>
                    <w:rPr>
                      <w:rFonts w:hint="eastAsia" w:ascii="Times New Roman" w:hAnsi="Times New Roman" w:eastAsia="宋体" w:cs="Times New Roman"/>
                      <w:b w:val="0"/>
                      <w:i w:val="0"/>
                      <w:iCs w:val="0"/>
                      <w:color w:val="000000"/>
                      <w:sz w:val="21"/>
                      <w:szCs w:val="21"/>
                      <w:u w:val="none"/>
                      <w:lang w:val="en-US" w:eastAsia="zh-CN"/>
                    </w:rPr>
                  </w:pPr>
                </w:p>
              </w:tc>
              <w:tc>
                <w:tcPr>
                  <w:tcW w:w="1628" w:type="dxa"/>
                  <w:tcBorders>
                    <w:bottom w:val="single" w:color="000000" w:sz="12" w:space="0"/>
                  </w:tcBorders>
                  <w:noWrap w:val="0"/>
                  <w:vAlign w:val="center"/>
                </w:tcPr>
                <w:p w14:paraId="2D405D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sz w:val="21"/>
                      <w:szCs w:val="21"/>
                      <w:u w:val="none"/>
                      <w:lang w:val="en-US" w:eastAsia="zh-CN"/>
                    </w:rPr>
                    <w:t>露天采场边界上风向1个点位、下风向3个点位，共4个点位</w:t>
                  </w:r>
                </w:p>
              </w:tc>
              <w:tc>
                <w:tcPr>
                  <w:tcW w:w="1346" w:type="dxa"/>
                  <w:tcBorders>
                    <w:bottom w:val="single" w:color="000000" w:sz="12" w:space="0"/>
                  </w:tcBorders>
                  <w:noWrap w:val="0"/>
                  <w:vAlign w:val="center"/>
                </w:tcPr>
                <w:p w14:paraId="3484D4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颗粒物</w:t>
                  </w:r>
                </w:p>
              </w:tc>
              <w:tc>
                <w:tcPr>
                  <w:tcW w:w="1908" w:type="dxa"/>
                  <w:tcBorders>
                    <w:bottom w:val="single" w:color="000000" w:sz="12" w:space="0"/>
                  </w:tcBorders>
                  <w:noWrap w:val="0"/>
                  <w:vAlign w:val="center"/>
                </w:tcPr>
                <w:p w14:paraId="1061E7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《大气污染物综合排放标准》</w:t>
                  </w:r>
                </w:p>
                <w:p w14:paraId="2A6289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（GB16297-1996）表2无组织</w:t>
                  </w:r>
                </w:p>
                <w:p w14:paraId="4B71F2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监控浓度限值</w:t>
                  </w:r>
                </w:p>
              </w:tc>
              <w:tc>
                <w:tcPr>
                  <w:tcW w:w="1628" w:type="dxa"/>
                  <w:tcBorders>
                    <w:bottom w:val="single" w:color="000000" w:sz="12" w:space="0"/>
                    <w:right w:val="nil"/>
                  </w:tcBorders>
                  <w:noWrap w:val="0"/>
                  <w:vAlign w:val="center"/>
                </w:tcPr>
                <w:p w14:paraId="2CA86A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1次/年</w:t>
                  </w:r>
                </w:p>
              </w:tc>
            </w:tr>
          </w:tbl>
          <w:p w14:paraId="2E5E8A6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1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7"/>
                <w:sz w:val="24"/>
                <w:szCs w:val="24"/>
              </w:rPr>
              <w:t>2.2</w:t>
            </w:r>
            <w:r>
              <w:rPr>
                <w:rFonts w:hint="eastAsia" w:ascii="Times New Roman" w:hAnsi="Times New Roman" w:eastAsia="宋体" w:cs="Times New Roman"/>
                <w:b/>
                <w:bCs/>
                <w:spacing w:val="7"/>
                <w:sz w:val="24"/>
                <w:szCs w:val="24"/>
                <w:lang w:val="en-US" w:eastAsia="zh-CN"/>
              </w:rPr>
              <w:t xml:space="preserve"> </w:t>
            </w:r>
            <w:r>
              <w:rPr>
                <w:rFonts w:hint="default" w:ascii="Times New Roman" w:hAnsi="Times New Roman" w:eastAsia="宋体" w:cs="Times New Roman"/>
                <w:b/>
                <w:bCs/>
                <w:spacing w:val="7"/>
                <w:sz w:val="24"/>
                <w:szCs w:val="24"/>
              </w:rPr>
              <w:t>水环境影响分析</w:t>
            </w:r>
          </w:p>
          <w:p w14:paraId="4C66D39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2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1"/>
                <w:sz w:val="24"/>
                <w:szCs w:val="24"/>
              </w:rPr>
              <w:t>2.2.1</w:t>
            </w:r>
            <w:r>
              <w:rPr>
                <w:rFonts w:hint="eastAsia" w:ascii="Times New Roman" w:hAnsi="Times New Roman" w:eastAsia="宋体" w:cs="Times New Roman"/>
                <w:b/>
                <w:bCs/>
                <w:spacing w:val="11"/>
                <w:sz w:val="24"/>
                <w:szCs w:val="24"/>
                <w:lang w:val="en-US" w:eastAsia="zh-CN"/>
              </w:rPr>
              <w:t xml:space="preserve"> </w:t>
            </w:r>
            <w:r>
              <w:rPr>
                <w:rFonts w:hint="default" w:ascii="Times New Roman" w:hAnsi="Times New Roman" w:eastAsia="宋体" w:cs="Times New Roman"/>
                <w:b/>
                <w:bCs/>
                <w:spacing w:val="11"/>
                <w:sz w:val="24"/>
                <w:szCs w:val="24"/>
              </w:rPr>
              <w:t>废水源强</w:t>
            </w:r>
          </w:p>
          <w:p w14:paraId="0A35C5C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项目运营期废水主要为生产废水和职工生活产生</w:t>
            </w:r>
            <w:r>
              <w:rPr>
                <w:rFonts w:hint="default" w:ascii="Times New Roman" w:hAnsi="Times New Roman" w:eastAsia="宋体" w:cs="Times New Roman"/>
                <w:spacing w:val="-1"/>
                <w:sz w:val="24"/>
                <w:szCs w:val="24"/>
              </w:rPr>
              <w:t>的生活污水。</w:t>
            </w:r>
          </w:p>
          <w:p w14:paraId="2101B74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①生产废水</w:t>
            </w:r>
          </w:p>
          <w:p w14:paraId="47C368CE">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项目生产废水主要来源于矿山开采及抑尘等环节，废水全部蒸发或渗</w:t>
            </w:r>
            <w:r>
              <w:rPr>
                <w:rFonts w:hint="default" w:ascii="Times New Roman" w:hAnsi="Times New Roman" w:eastAsia="宋体" w:cs="Times New Roman"/>
                <w:spacing w:val="-1"/>
                <w:sz w:val="24"/>
                <w:szCs w:val="24"/>
              </w:rPr>
              <w:t>透于物料中，无生产废水产生。</w:t>
            </w:r>
          </w:p>
          <w:p w14:paraId="5B43A0B5">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②生活污水</w:t>
            </w:r>
          </w:p>
          <w:p w14:paraId="7C9E175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47" w:firstLineChars="219"/>
              <w:textAlignment w:val="auto"/>
              <w:rPr>
                <w:rFonts w:hint="eastAsia" w:ascii="Times New Roman" w:hAnsi="Times New Roman" w:eastAsia="宋体" w:cs="Times New Roman"/>
                <w:spacing w:val="5"/>
                <w:sz w:val="24"/>
                <w:szCs w:val="24"/>
                <w:lang w:val="en-US" w:eastAsia="zh-CN"/>
              </w:rPr>
            </w:pPr>
            <w:r>
              <w:rPr>
                <w:rFonts w:hint="default" w:ascii="Times New Roman" w:hAnsi="Times New Roman" w:eastAsia="宋体" w:cs="Times New Roman"/>
                <w:spacing w:val="5"/>
                <w:sz w:val="24"/>
                <w:szCs w:val="24"/>
              </w:rPr>
              <w:t>项目运营期劳动定员</w:t>
            </w:r>
            <w:r>
              <w:rPr>
                <w:rFonts w:hint="eastAsia" w:ascii="Times New Roman" w:hAnsi="Times New Roman" w:eastAsia="宋体" w:cs="Times New Roman"/>
                <w:spacing w:val="5"/>
                <w:sz w:val="24"/>
                <w:szCs w:val="24"/>
                <w:lang w:val="en-US" w:eastAsia="zh-CN"/>
              </w:rPr>
              <w:t>6人，</w:t>
            </w:r>
            <w:r>
              <w:rPr>
                <w:rFonts w:hint="default" w:ascii="Times New Roman" w:hAnsi="Times New Roman" w:eastAsia="宋体" w:cs="Times New Roman"/>
                <w:spacing w:val="5"/>
                <w:sz w:val="24"/>
                <w:szCs w:val="24"/>
              </w:rPr>
              <w:t>用水指标按60L/d</w:t>
            </w:r>
            <w:r>
              <w:rPr>
                <w:rFonts w:hint="default" w:ascii="Times New Roman" w:hAnsi="Times New Roman" w:eastAsia="宋体" w:cs="Times New Roman"/>
                <w:spacing w:val="4"/>
                <w:sz w:val="24"/>
                <w:szCs w:val="24"/>
              </w:rPr>
              <w:t>人</w:t>
            </w:r>
            <w:r>
              <w:rPr>
                <w:rFonts w:hint="eastAsia"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rPr>
              <w:t>工作天数</w:t>
            </w:r>
            <w:r>
              <w:rPr>
                <w:rFonts w:hint="eastAsia" w:ascii="Times New Roman" w:hAnsi="Times New Roman" w:eastAsia="宋体" w:cs="Times New Roman"/>
                <w:spacing w:val="4"/>
                <w:sz w:val="24"/>
                <w:szCs w:val="24"/>
                <w:lang w:val="en-US" w:eastAsia="zh-CN"/>
              </w:rPr>
              <w:t>2</w:t>
            </w:r>
            <w:r>
              <w:rPr>
                <w:rFonts w:hint="default" w:ascii="Times New Roman" w:hAnsi="Times New Roman" w:eastAsia="宋体" w:cs="Times New Roman"/>
                <w:spacing w:val="4"/>
                <w:sz w:val="24"/>
                <w:szCs w:val="24"/>
              </w:rPr>
              <w:t>00</w:t>
            </w:r>
            <w:r>
              <w:rPr>
                <w:rFonts w:hint="default" w:ascii="Times New Roman" w:hAnsi="Times New Roman" w:eastAsia="宋体" w:cs="Times New Roman"/>
                <w:spacing w:val="8"/>
                <w:sz w:val="24"/>
                <w:szCs w:val="24"/>
              </w:rPr>
              <w:t>天，则职工生活用水量为0.36m</w:t>
            </w:r>
            <w:r>
              <w:rPr>
                <w:rFonts w:hint="eastAsia" w:ascii="Times New Roman" w:hAnsi="Times New Roman" w:eastAsia="宋体" w:cs="Times New Roman"/>
                <w:spacing w:val="8"/>
                <w:sz w:val="24"/>
                <w:szCs w:val="24"/>
                <w:vertAlign w:val="superscript"/>
                <w:lang w:val="en-US" w:eastAsia="zh-CN"/>
              </w:rPr>
              <w:t>3</w:t>
            </w:r>
            <w:r>
              <w:rPr>
                <w:rFonts w:hint="default" w:ascii="Times New Roman" w:hAnsi="Times New Roman" w:eastAsia="宋体" w:cs="Times New Roman"/>
                <w:spacing w:val="8"/>
                <w:sz w:val="24"/>
                <w:szCs w:val="24"/>
              </w:rPr>
              <w:t>/d</w:t>
            </w:r>
            <w:r>
              <w:rPr>
                <w:rFonts w:hint="eastAsia" w:ascii="Times New Roman" w:hAnsi="Times New Roman" w:eastAsia="宋体" w:cs="Times New Roman"/>
                <w:spacing w:val="8"/>
                <w:sz w:val="24"/>
                <w:szCs w:val="24"/>
                <w:lang w:eastAsia="zh-CN"/>
              </w:rPr>
              <w:t>（</w:t>
            </w:r>
            <w:r>
              <w:rPr>
                <w:rFonts w:hint="eastAsia" w:ascii="Times New Roman" w:hAnsi="Times New Roman" w:eastAsia="宋体" w:cs="Times New Roman"/>
                <w:spacing w:val="8"/>
                <w:sz w:val="24"/>
                <w:szCs w:val="24"/>
                <w:lang w:val="en-US" w:eastAsia="zh-CN"/>
              </w:rPr>
              <w:t>72m</w:t>
            </w:r>
            <w:r>
              <w:rPr>
                <w:rFonts w:hint="eastAsia" w:ascii="Times New Roman" w:hAnsi="Times New Roman" w:eastAsia="宋体" w:cs="Times New Roman"/>
                <w:spacing w:val="8"/>
                <w:sz w:val="24"/>
                <w:szCs w:val="24"/>
                <w:vertAlign w:val="superscript"/>
                <w:lang w:val="en-US" w:eastAsia="zh-CN"/>
              </w:rPr>
              <w:t>3</w:t>
            </w:r>
            <w:r>
              <w:rPr>
                <w:rFonts w:hint="eastAsia" w:ascii="Times New Roman" w:hAnsi="Times New Roman" w:eastAsia="宋体" w:cs="Times New Roman"/>
                <w:spacing w:val="8"/>
                <w:sz w:val="24"/>
                <w:szCs w:val="24"/>
                <w:lang w:val="en-US" w:eastAsia="zh-CN"/>
              </w:rPr>
              <w:t>/a)，废水产生</w:t>
            </w:r>
            <w:r>
              <w:rPr>
                <w:rFonts w:hint="default" w:ascii="Times New Roman" w:hAnsi="Times New Roman" w:eastAsia="宋体" w:cs="Times New Roman"/>
                <w:spacing w:val="8"/>
                <w:sz w:val="24"/>
                <w:szCs w:val="24"/>
              </w:rPr>
              <w:t>量按用水量的80%</w:t>
            </w:r>
            <w:r>
              <w:rPr>
                <w:rFonts w:hint="default" w:ascii="Times New Roman" w:hAnsi="Times New Roman" w:eastAsia="宋体" w:cs="Times New Roman"/>
                <w:spacing w:val="9"/>
                <w:sz w:val="24"/>
                <w:szCs w:val="24"/>
              </w:rPr>
              <w:t>计</w:t>
            </w:r>
            <w:r>
              <w:rPr>
                <w:rFonts w:hint="eastAsia" w:ascii="Times New Roman" w:hAnsi="Times New Roman" w:eastAsia="宋体" w:cs="Times New Roman"/>
                <w:spacing w:val="9"/>
                <w:sz w:val="24"/>
                <w:szCs w:val="24"/>
                <w:lang w:eastAsia="zh-CN"/>
              </w:rPr>
              <w:t>，</w:t>
            </w:r>
            <w:r>
              <w:rPr>
                <w:rFonts w:hint="default" w:ascii="Times New Roman" w:hAnsi="Times New Roman" w:eastAsia="宋体" w:cs="Times New Roman"/>
                <w:spacing w:val="9"/>
                <w:sz w:val="24"/>
                <w:szCs w:val="24"/>
              </w:rPr>
              <w:t>生活污水</w:t>
            </w:r>
            <w:r>
              <w:rPr>
                <w:rFonts w:hint="eastAsia" w:ascii="Times New Roman" w:hAnsi="Times New Roman" w:eastAsia="宋体" w:cs="Times New Roman"/>
                <w:spacing w:val="8"/>
                <w:sz w:val="24"/>
                <w:szCs w:val="24"/>
                <w:lang w:val="en-US" w:eastAsia="zh-CN"/>
              </w:rPr>
              <w:t>废水产生</w:t>
            </w:r>
            <w:r>
              <w:rPr>
                <w:rFonts w:hint="default" w:ascii="Times New Roman" w:hAnsi="Times New Roman" w:eastAsia="宋体" w:cs="Times New Roman"/>
                <w:spacing w:val="8"/>
                <w:sz w:val="24"/>
                <w:szCs w:val="24"/>
              </w:rPr>
              <w:t>量</w:t>
            </w:r>
            <w:r>
              <w:rPr>
                <w:rFonts w:hint="default" w:ascii="Times New Roman" w:hAnsi="Times New Roman" w:eastAsia="宋体" w:cs="Times New Roman"/>
                <w:spacing w:val="9"/>
                <w:sz w:val="24"/>
                <w:szCs w:val="24"/>
              </w:rPr>
              <w:t>为0.288m</w:t>
            </w:r>
            <w:r>
              <w:rPr>
                <w:rFonts w:hint="eastAsia" w:ascii="Times New Roman" w:hAnsi="Times New Roman" w:eastAsia="宋体" w:cs="Times New Roman"/>
                <w:spacing w:val="9"/>
                <w:sz w:val="24"/>
                <w:szCs w:val="24"/>
                <w:vertAlign w:val="superscript"/>
                <w:lang w:val="en-US" w:eastAsia="zh-CN"/>
              </w:rPr>
              <w:t>3</w:t>
            </w:r>
            <w:r>
              <w:rPr>
                <w:rFonts w:hint="default" w:ascii="Times New Roman" w:hAnsi="Times New Roman" w:eastAsia="宋体" w:cs="Times New Roman"/>
                <w:spacing w:val="9"/>
                <w:sz w:val="24"/>
                <w:szCs w:val="24"/>
              </w:rPr>
              <w:t>/d（57.6m</w:t>
            </w:r>
            <w:r>
              <w:rPr>
                <w:rFonts w:hint="eastAsia" w:ascii="Times New Roman" w:hAnsi="Times New Roman" w:eastAsia="宋体" w:cs="Times New Roman"/>
                <w:spacing w:val="9"/>
                <w:sz w:val="24"/>
                <w:szCs w:val="24"/>
                <w:vertAlign w:val="superscript"/>
                <w:lang w:val="en-US" w:eastAsia="zh-CN"/>
              </w:rPr>
              <w:t>3</w:t>
            </w:r>
            <w:r>
              <w:rPr>
                <w:rFonts w:hint="default" w:ascii="Times New Roman" w:hAnsi="Times New Roman" w:eastAsia="宋体" w:cs="Times New Roman"/>
                <w:spacing w:val="9"/>
                <w:sz w:val="24"/>
                <w:szCs w:val="24"/>
              </w:rPr>
              <w:t>/a</w:t>
            </w:r>
            <w:r>
              <w:rPr>
                <w:rFonts w:hint="default" w:ascii="Times New Roman" w:hAnsi="Times New Roman" w:eastAsia="宋体" w:cs="Times New Roman"/>
                <w:spacing w:val="-1"/>
                <w:sz w:val="24"/>
                <w:szCs w:val="24"/>
              </w:rPr>
              <w:t>）</w:t>
            </w:r>
            <w:r>
              <w:rPr>
                <w:rFonts w:hint="default" w:ascii="Times New Roman" w:hAnsi="Times New Roman" w:eastAsia="宋体" w:cs="Times New Roman"/>
                <w:spacing w:val="9"/>
                <w:sz w:val="24"/>
                <w:szCs w:val="24"/>
              </w:rPr>
              <w:t>。</w:t>
            </w:r>
          </w:p>
          <w:p w14:paraId="4AD0F23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9"/>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b/>
                <w:bCs/>
                <w:spacing w:val="6"/>
                <w:sz w:val="24"/>
                <w:szCs w:val="24"/>
              </w:rPr>
              <w:t>2.2.2</w:t>
            </w:r>
            <w:r>
              <w:rPr>
                <w:rFonts w:hint="eastAsia" w:ascii="Times New Roman" w:hAnsi="Times New Roman" w:eastAsia="宋体"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rPr>
              <w:t>废水污染防治措施、影响及可行性分析</w:t>
            </w:r>
          </w:p>
          <w:p w14:paraId="11F7CDA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3"/>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项目运营期生活废水主要为职工生活产生的盥洗废水，水质成分简</w:t>
            </w:r>
            <w:r>
              <w:rPr>
                <w:rFonts w:hint="default" w:ascii="Times New Roman" w:hAnsi="Times New Roman" w:eastAsia="宋体" w:cs="Times New Roman"/>
                <w:spacing w:val="-2"/>
                <w:sz w:val="24"/>
                <w:szCs w:val="24"/>
              </w:rPr>
              <w:t>单，可就地泼洒降尘；矿区设环保旱厕1</w:t>
            </w:r>
            <w:r>
              <w:rPr>
                <w:rFonts w:hint="default" w:ascii="Times New Roman" w:hAnsi="Times New Roman" w:eastAsia="宋体" w:cs="Times New Roman"/>
                <w:spacing w:val="-54"/>
                <w:sz w:val="24"/>
                <w:szCs w:val="24"/>
              </w:rPr>
              <w:t xml:space="preserve"> </w:t>
            </w:r>
            <w:r>
              <w:rPr>
                <w:rFonts w:hint="default" w:ascii="Times New Roman" w:hAnsi="Times New Roman" w:eastAsia="宋体" w:cs="Times New Roman"/>
                <w:spacing w:val="-2"/>
                <w:sz w:val="24"/>
                <w:szCs w:val="24"/>
              </w:rPr>
              <w:t>座，定期清</w:t>
            </w:r>
            <w:r>
              <w:rPr>
                <w:rFonts w:hint="default" w:ascii="Times New Roman" w:hAnsi="Times New Roman" w:eastAsia="宋体" w:cs="Times New Roman"/>
                <w:spacing w:val="-3"/>
                <w:sz w:val="24"/>
                <w:szCs w:val="24"/>
              </w:rPr>
              <w:t>掏用作矿区附近村庄</w:t>
            </w:r>
            <w:r>
              <w:rPr>
                <w:rFonts w:hint="default" w:ascii="Times New Roman" w:hAnsi="Times New Roman" w:eastAsia="宋体" w:cs="Times New Roman"/>
                <w:spacing w:val="-1"/>
                <w:sz w:val="24"/>
                <w:szCs w:val="24"/>
              </w:rPr>
              <w:t>农田肥料；生产过程中降尘用水大部分蒸发耗散，少</w:t>
            </w:r>
            <w:r>
              <w:rPr>
                <w:rFonts w:hint="default" w:ascii="Times New Roman" w:hAnsi="Times New Roman" w:eastAsia="宋体" w:cs="Times New Roman"/>
                <w:spacing w:val="-2"/>
                <w:sz w:val="24"/>
                <w:szCs w:val="24"/>
              </w:rPr>
              <w:t>部分附着于地表及物</w:t>
            </w:r>
            <w:r>
              <w:rPr>
                <w:rFonts w:hint="default" w:ascii="Times New Roman" w:hAnsi="Times New Roman" w:eastAsia="宋体" w:cs="Times New Roman"/>
                <w:spacing w:val="-1"/>
                <w:sz w:val="24"/>
                <w:szCs w:val="24"/>
              </w:rPr>
              <w:t>料表面被吸收，对水环境影响很小。</w:t>
            </w:r>
          </w:p>
          <w:p w14:paraId="3E49CA1E">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综上所述，本项目无生产废水产生，生活污水</w:t>
            </w:r>
            <w:r>
              <w:rPr>
                <w:rFonts w:hint="default" w:ascii="Times New Roman" w:hAnsi="Times New Roman" w:eastAsia="宋体" w:cs="Times New Roman"/>
                <w:spacing w:val="-2"/>
                <w:sz w:val="24"/>
                <w:szCs w:val="24"/>
              </w:rPr>
              <w:t>可以得到合理处置，废</w:t>
            </w:r>
            <w:r>
              <w:rPr>
                <w:rFonts w:hint="default" w:ascii="Times New Roman" w:hAnsi="Times New Roman" w:eastAsia="宋体" w:cs="Times New Roman"/>
                <w:spacing w:val="-1"/>
                <w:sz w:val="24"/>
                <w:szCs w:val="24"/>
              </w:rPr>
              <w:t>水对周围环境影响小，措施可行。</w:t>
            </w:r>
          </w:p>
          <w:p w14:paraId="0DC7B760">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1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7"/>
                <w:sz w:val="24"/>
                <w:szCs w:val="24"/>
              </w:rPr>
              <w:t>2.3</w:t>
            </w:r>
            <w:r>
              <w:rPr>
                <w:rFonts w:hint="eastAsia" w:ascii="Times New Roman" w:hAnsi="Times New Roman" w:eastAsia="宋体" w:cs="Times New Roman"/>
                <w:b/>
                <w:bCs/>
                <w:spacing w:val="7"/>
                <w:sz w:val="24"/>
                <w:szCs w:val="24"/>
                <w:lang w:val="en-US" w:eastAsia="zh-CN"/>
              </w:rPr>
              <w:t xml:space="preserve">   </w:t>
            </w:r>
            <w:r>
              <w:rPr>
                <w:rFonts w:hint="default" w:ascii="Times New Roman" w:hAnsi="Times New Roman" w:eastAsia="宋体" w:cs="Times New Roman"/>
                <w:b/>
                <w:bCs/>
                <w:spacing w:val="7"/>
                <w:sz w:val="24"/>
                <w:szCs w:val="24"/>
              </w:rPr>
              <w:t>声环境影响分析</w:t>
            </w:r>
          </w:p>
          <w:p w14:paraId="1BF1D84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7"/>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本项目运营过程中产生的噪声包括采矿设备</w:t>
            </w:r>
            <w:r>
              <w:rPr>
                <w:rFonts w:hint="default" w:ascii="Times New Roman" w:hAnsi="Times New Roman" w:eastAsia="宋体" w:cs="Times New Roman"/>
                <w:spacing w:val="6"/>
                <w:sz w:val="24"/>
                <w:szCs w:val="24"/>
              </w:rPr>
              <w:t>产生的设备</w:t>
            </w:r>
            <w:r>
              <w:rPr>
                <w:rFonts w:hint="default" w:ascii="Times New Roman" w:hAnsi="Times New Roman" w:eastAsia="宋体" w:cs="Times New Roman"/>
                <w:spacing w:val="-1"/>
                <w:sz w:val="24"/>
                <w:szCs w:val="24"/>
              </w:rPr>
              <w:t>噪声、运输车辆往来产生的交通噪声等。</w:t>
            </w:r>
          </w:p>
          <w:p w14:paraId="6F24D35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1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9"/>
                <w:sz w:val="24"/>
                <w:szCs w:val="24"/>
                <w:lang w:val="en-US" w:eastAsia="zh-CN"/>
              </w:rPr>
              <w:t xml:space="preserve">2.3.1   </w:t>
            </w:r>
            <w:r>
              <w:rPr>
                <w:rFonts w:hint="default" w:ascii="Times New Roman" w:hAnsi="Times New Roman" w:eastAsia="宋体" w:cs="Times New Roman"/>
                <w:b/>
                <w:bCs/>
                <w:spacing w:val="9"/>
                <w:sz w:val="24"/>
                <w:szCs w:val="24"/>
              </w:rPr>
              <w:t>影响预测分析</w:t>
            </w:r>
          </w:p>
          <w:p w14:paraId="548199B5">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1"/>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矿山机械设备噪声以挖掘机、装载机等产生的机械噪声为主。经类别</w:t>
            </w:r>
            <w:r>
              <w:rPr>
                <w:rFonts w:hint="default" w:ascii="Times New Roman" w:hAnsi="Times New Roman" w:eastAsia="宋体" w:cs="Times New Roman"/>
                <w:spacing w:val="-2"/>
                <w:sz w:val="24"/>
                <w:szCs w:val="24"/>
              </w:rPr>
              <w:t>分析，本项目设备噪声值一般</w:t>
            </w:r>
            <w:r>
              <w:rPr>
                <w:rFonts w:hint="default" w:ascii="Times New Roman" w:hAnsi="Times New Roman" w:eastAsia="宋体" w:cs="Times New Roman"/>
                <w:spacing w:val="10"/>
                <w:sz w:val="24"/>
                <w:szCs w:val="24"/>
              </w:rPr>
              <w:t>在70～95</w:t>
            </w:r>
            <w:r>
              <w:rPr>
                <w:rFonts w:hint="default" w:ascii="Times New Roman" w:hAnsi="Times New Roman" w:eastAsia="宋体" w:cs="Times New Roman"/>
                <w:sz w:val="24"/>
                <w:szCs w:val="24"/>
              </w:rPr>
              <w:t>dB</w:t>
            </w:r>
            <w:r>
              <w:rPr>
                <w:rFonts w:hint="default" w:ascii="Times New Roman" w:hAnsi="Times New Roman" w:eastAsia="宋体" w:cs="Times New Roman"/>
                <w:spacing w:val="10"/>
                <w:sz w:val="24"/>
                <w:szCs w:val="24"/>
              </w:rPr>
              <w:t>（A）之间。根据项目内容及《环境影响评价技术导则—声</w:t>
            </w:r>
            <w:r>
              <w:rPr>
                <w:rFonts w:hint="default" w:ascii="Times New Roman" w:hAnsi="Times New Roman" w:eastAsia="宋体" w:cs="Times New Roman"/>
                <w:spacing w:val="2"/>
                <w:sz w:val="24"/>
                <w:szCs w:val="24"/>
              </w:rPr>
              <w:t>环境》（</w:t>
            </w:r>
            <w:r>
              <w:rPr>
                <w:rFonts w:hint="default" w:ascii="Times New Roman" w:hAnsi="Times New Roman" w:eastAsia="宋体" w:cs="Times New Roman"/>
                <w:sz w:val="24"/>
                <w:szCs w:val="24"/>
              </w:rPr>
              <w:t>HJ</w:t>
            </w:r>
            <w:r>
              <w:rPr>
                <w:rFonts w:hint="default" w:ascii="Times New Roman" w:hAnsi="Times New Roman" w:eastAsia="宋体" w:cs="Times New Roman"/>
                <w:spacing w:val="2"/>
                <w:sz w:val="24"/>
                <w:szCs w:val="24"/>
              </w:rPr>
              <w:t>2.4-2021）的要求，项目环评采用的模型为《环境影响评价</w:t>
            </w:r>
            <w:r>
              <w:rPr>
                <w:rFonts w:hint="default" w:ascii="Times New Roman" w:hAnsi="Times New Roman" w:eastAsia="宋体" w:cs="Times New Roman"/>
                <w:spacing w:val="3"/>
                <w:sz w:val="24"/>
                <w:szCs w:val="24"/>
              </w:rPr>
              <w:t>技术导则</w:t>
            </w:r>
            <w:r>
              <w:rPr>
                <w:rFonts w:hint="eastAsia" w:ascii="Times New Roman" w:hAnsi="Times New Roman" w:eastAsia="宋体" w:cs="Times New Roman"/>
                <w:spacing w:val="3"/>
                <w:sz w:val="24"/>
                <w:szCs w:val="24"/>
                <w:lang w:val="en-US" w:eastAsia="zh-CN"/>
              </w:rPr>
              <w:t xml:space="preserve">  </w:t>
            </w:r>
            <w:r>
              <w:rPr>
                <w:rFonts w:hint="default" w:ascii="Times New Roman" w:hAnsi="Times New Roman" w:eastAsia="宋体" w:cs="Times New Roman"/>
                <w:spacing w:val="3"/>
                <w:sz w:val="24"/>
                <w:szCs w:val="24"/>
              </w:rPr>
              <w:t>声环境》(</w:t>
            </w:r>
            <w:r>
              <w:rPr>
                <w:rFonts w:hint="default" w:ascii="Times New Roman" w:hAnsi="Times New Roman" w:eastAsia="宋体" w:cs="Times New Roman"/>
                <w:sz w:val="24"/>
                <w:szCs w:val="24"/>
              </w:rPr>
              <w:t>HJ</w:t>
            </w:r>
            <w:r>
              <w:rPr>
                <w:rFonts w:hint="default" w:ascii="Times New Roman" w:hAnsi="Times New Roman" w:eastAsia="宋体" w:cs="Times New Roman"/>
                <w:spacing w:val="3"/>
                <w:sz w:val="24"/>
                <w:szCs w:val="24"/>
              </w:rPr>
              <w:t>2.4.2021)附录A（规范性附录）户外声传播的衰</w:t>
            </w:r>
            <w:r>
              <w:rPr>
                <w:rFonts w:hint="default" w:ascii="Times New Roman" w:hAnsi="Times New Roman" w:eastAsia="宋体" w:cs="Times New Roman"/>
                <w:spacing w:val="-6"/>
                <w:sz w:val="24"/>
                <w:szCs w:val="24"/>
              </w:rPr>
              <w:t>减和附录B（规范性附录）中</w:t>
            </w:r>
            <w:r>
              <w:rPr>
                <w:rFonts w:hint="eastAsia"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B.1工业噪声预测计算模型</w:t>
            </w:r>
            <w:r>
              <w:rPr>
                <w:rFonts w:hint="eastAsia"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rPr>
              <w:t>。</w:t>
            </w:r>
          </w:p>
          <w:p w14:paraId="026AEC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s="黑体"/>
                <w:b w:val="0"/>
                <w:bCs w:val="0"/>
                <w:color w:val="000000"/>
                <w:kern w:val="2"/>
                <w:sz w:val="24"/>
                <w:highlight w:val="none"/>
                <w:lang w:val="en-US" w:eastAsia="zh-CN"/>
              </w:rPr>
              <w:t>根据《环境影响评价技术导则-声环境》（HJ2.4-2021）</w:t>
            </w:r>
            <w:r>
              <w:rPr>
                <w:color w:val="auto"/>
                <w:sz w:val="24"/>
              </w:rPr>
              <w:t>中推荐的工业噪声预测计算模式。噪声在传播过程中受到多种因素的干扰，使其产生衰减，根据建设项目噪声源和环境特征，预测过程中考虑了树木的屏障作用、空气吸收。</w:t>
            </w:r>
          </w:p>
          <w:p w14:paraId="014CE1D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0" w:afterAutospacing="0" w:line="360" w:lineRule="auto"/>
              <w:ind w:right="0" w:rightChars="0" w:firstLine="480" w:firstLineChars="200"/>
              <w:jc w:val="both"/>
              <w:textAlignment w:val="auto"/>
              <w:rPr>
                <w:rFonts w:hint="default" w:eastAsia="宋体"/>
                <w:color w:val="auto"/>
                <w:kern w:val="0"/>
                <w:sz w:val="24"/>
                <w:lang w:val="en-US" w:eastAsia="zh-CN"/>
              </w:rPr>
            </w:pPr>
            <w:r>
              <w:rPr>
                <w:rFonts w:hint="eastAsia"/>
                <w:color w:val="auto"/>
                <w:kern w:val="0"/>
                <w:sz w:val="24"/>
                <w:lang w:val="en-US" w:eastAsia="zh-CN"/>
              </w:rPr>
              <w:t>a.在环境影响评价中，应根据声源声功能级或参考位置处的声压级、户外声传播衰减，计算预测点的声级按式（4.7.1）和（4.7.2）计算：</w:t>
            </w:r>
          </w:p>
          <w:p w14:paraId="25CED8EF">
            <w:pPr>
              <w:autoSpaceDE w:val="0"/>
              <w:autoSpaceDN w:val="0"/>
              <w:adjustRightInd w:val="0"/>
              <w:snapToGrid w:val="0"/>
              <w:spacing w:line="360" w:lineRule="auto"/>
              <w:jc w:val="center"/>
              <w:rPr>
                <w:rFonts w:hint="eastAsia" w:eastAsia="宋体"/>
                <w:b w:val="0"/>
                <w:bCs/>
                <w:i w:val="0"/>
                <w:iCs w:val="0"/>
                <w:color w:val="auto"/>
                <w:kern w:val="0"/>
                <w:sz w:val="24"/>
                <w:lang w:eastAsia="zh-CN"/>
              </w:rPr>
            </w:pPr>
            <w:r>
              <w:rPr>
                <w:b w:val="0"/>
                <w:bCs/>
                <w:i w:val="0"/>
                <w:iCs w:val="0"/>
                <w:color w:val="auto"/>
                <w:spacing w:val="-6"/>
                <w:kern w:val="0"/>
                <w:position w:val="2"/>
                <w:sz w:val="24"/>
              </w:rPr>
              <w:t>L</w:t>
            </w:r>
            <w:r>
              <w:rPr>
                <w:b w:val="0"/>
                <w:bCs/>
                <w:i w:val="0"/>
                <w:iCs w:val="0"/>
                <w:color w:val="auto"/>
                <w:kern w:val="0"/>
                <w:position w:val="-4"/>
                <w:sz w:val="24"/>
              </w:rPr>
              <w:t>P</w:t>
            </w:r>
            <w:r>
              <w:rPr>
                <w:b w:val="0"/>
                <w:bCs/>
                <w:i w:val="0"/>
                <w:iCs w:val="0"/>
                <w:color w:val="auto"/>
                <w:spacing w:val="5"/>
                <w:kern w:val="0"/>
                <w:position w:val="2"/>
                <w:sz w:val="24"/>
              </w:rPr>
              <w:t>(</w:t>
            </w:r>
            <w:r>
              <w:rPr>
                <w:b w:val="0"/>
                <w:bCs/>
                <w:i w:val="0"/>
                <w:iCs w:val="0"/>
                <w:color w:val="auto"/>
                <w:kern w:val="0"/>
                <w:position w:val="2"/>
                <w:sz w:val="24"/>
              </w:rPr>
              <w:t>r)=</w:t>
            </w:r>
            <w:r>
              <w:rPr>
                <w:b w:val="0"/>
                <w:bCs/>
                <w:i w:val="0"/>
                <w:iCs w:val="0"/>
                <w:color w:val="auto"/>
                <w:spacing w:val="-9"/>
                <w:kern w:val="0"/>
                <w:position w:val="2"/>
                <w:sz w:val="24"/>
              </w:rPr>
              <w:t>L</w:t>
            </w:r>
            <w:r>
              <w:rPr>
                <w:b w:val="0"/>
                <w:bCs/>
                <w:i w:val="0"/>
                <w:iCs w:val="0"/>
                <w:color w:val="auto"/>
                <w:kern w:val="0"/>
                <w:position w:val="-4"/>
                <w:sz w:val="24"/>
              </w:rPr>
              <w:t>w</w:t>
            </w:r>
            <w:r>
              <w:rPr>
                <w:b w:val="0"/>
                <w:bCs/>
                <w:i w:val="0"/>
                <w:iCs w:val="0"/>
                <w:color w:val="auto"/>
                <w:kern w:val="0"/>
                <w:position w:val="2"/>
                <w:sz w:val="24"/>
              </w:rPr>
              <w:t>+</w:t>
            </w:r>
            <w:r>
              <w:rPr>
                <w:b w:val="0"/>
                <w:bCs/>
                <w:i w:val="0"/>
                <w:iCs w:val="0"/>
                <w:color w:val="auto"/>
                <w:spacing w:val="-11"/>
                <w:kern w:val="0"/>
                <w:position w:val="2"/>
                <w:sz w:val="24"/>
              </w:rPr>
              <w:t>D</w:t>
            </w:r>
            <w:r>
              <w:rPr>
                <w:b w:val="0"/>
                <w:bCs/>
                <w:i w:val="0"/>
                <w:iCs w:val="0"/>
                <w:color w:val="auto"/>
                <w:kern w:val="0"/>
                <w:position w:val="-4"/>
                <w:sz w:val="24"/>
              </w:rPr>
              <w:t>c</w:t>
            </w:r>
            <w:r>
              <w:rPr>
                <w:b w:val="0"/>
                <w:bCs/>
                <w:i w:val="0"/>
                <w:iCs w:val="0"/>
                <w:color w:val="auto"/>
                <w:kern w:val="0"/>
                <w:position w:val="2"/>
                <w:sz w:val="24"/>
              </w:rPr>
              <w:t>-</w:t>
            </w:r>
            <w:r>
              <w:rPr>
                <w:rFonts w:hint="eastAsia"/>
                <w:b w:val="0"/>
                <w:bCs/>
                <w:i w:val="0"/>
                <w:iCs w:val="0"/>
                <w:color w:val="auto"/>
                <w:kern w:val="0"/>
                <w:position w:val="2"/>
                <w:sz w:val="24"/>
                <w:lang w:eastAsia="zh-CN"/>
              </w:rPr>
              <w:t>（</w:t>
            </w:r>
            <w:r>
              <w:rPr>
                <w:b w:val="0"/>
                <w:bCs/>
                <w:i w:val="0"/>
                <w:iCs w:val="0"/>
                <w:color w:val="auto"/>
                <w:spacing w:val="-17"/>
                <w:kern w:val="0"/>
                <w:position w:val="2"/>
                <w:sz w:val="24"/>
              </w:rPr>
              <w:t>A</w:t>
            </w:r>
            <w:r>
              <w:rPr>
                <w:b w:val="0"/>
                <w:bCs/>
                <w:i w:val="0"/>
                <w:iCs w:val="0"/>
                <w:color w:val="auto"/>
                <w:spacing w:val="1"/>
                <w:kern w:val="0"/>
                <w:position w:val="-4"/>
                <w:sz w:val="24"/>
              </w:rPr>
              <w:t>di</w:t>
            </w:r>
            <w:r>
              <w:rPr>
                <w:b w:val="0"/>
                <w:bCs/>
                <w:i w:val="0"/>
                <w:iCs w:val="0"/>
                <w:color w:val="auto"/>
                <w:kern w:val="0"/>
                <w:position w:val="-4"/>
                <w:sz w:val="24"/>
              </w:rPr>
              <w:t>v</w:t>
            </w:r>
            <w:r>
              <w:rPr>
                <w:b w:val="0"/>
                <w:bCs/>
                <w:i w:val="0"/>
                <w:iCs w:val="0"/>
                <w:color w:val="auto"/>
                <w:kern w:val="0"/>
                <w:position w:val="2"/>
                <w:sz w:val="24"/>
              </w:rPr>
              <w:t>+</w:t>
            </w:r>
            <w:r>
              <w:rPr>
                <w:b w:val="0"/>
                <w:bCs/>
                <w:i w:val="0"/>
                <w:iCs w:val="0"/>
                <w:color w:val="auto"/>
                <w:spacing w:val="-17"/>
                <w:kern w:val="0"/>
                <w:position w:val="2"/>
                <w:sz w:val="24"/>
              </w:rPr>
              <w:t>A</w:t>
            </w:r>
            <w:r>
              <w:rPr>
                <w:b w:val="0"/>
                <w:bCs/>
                <w:i w:val="0"/>
                <w:iCs w:val="0"/>
                <w:color w:val="auto"/>
                <w:spacing w:val="1"/>
                <w:kern w:val="0"/>
                <w:position w:val="-4"/>
                <w:sz w:val="24"/>
              </w:rPr>
              <w:t>at</w:t>
            </w:r>
            <w:r>
              <w:rPr>
                <w:b w:val="0"/>
                <w:bCs/>
                <w:i w:val="0"/>
                <w:iCs w:val="0"/>
                <w:color w:val="auto"/>
                <w:kern w:val="0"/>
                <w:position w:val="-4"/>
                <w:sz w:val="24"/>
              </w:rPr>
              <w:t>m</w:t>
            </w:r>
            <w:r>
              <w:rPr>
                <w:b w:val="0"/>
                <w:bCs/>
                <w:i w:val="0"/>
                <w:iCs w:val="0"/>
                <w:color w:val="auto"/>
                <w:kern w:val="0"/>
                <w:position w:val="2"/>
                <w:sz w:val="24"/>
              </w:rPr>
              <w:t>+</w:t>
            </w:r>
            <w:r>
              <w:rPr>
                <w:b w:val="0"/>
                <w:bCs/>
                <w:i w:val="0"/>
                <w:iCs w:val="0"/>
                <w:color w:val="auto"/>
                <w:spacing w:val="-11"/>
                <w:kern w:val="0"/>
                <w:position w:val="2"/>
                <w:sz w:val="24"/>
              </w:rPr>
              <w:t>A</w:t>
            </w:r>
            <w:r>
              <w:rPr>
                <w:b w:val="0"/>
                <w:bCs/>
                <w:i w:val="0"/>
                <w:iCs w:val="0"/>
                <w:color w:val="auto"/>
                <w:spacing w:val="1"/>
                <w:kern w:val="0"/>
                <w:position w:val="-4"/>
                <w:sz w:val="24"/>
              </w:rPr>
              <w:t>g</w:t>
            </w:r>
            <w:r>
              <w:rPr>
                <w:b w:val="0"/>
                <w:bCs/>
                <w:i w:val="0"/>
                <w:iCs w:val="0"/>
                <w:color w:val="auto"/>
                <w:kern w:val="0"/>
                <w:position w:val="-4"/>
                <w:sz w:val="24"/>
              </w:rPr>
              <w:t>r</w:t>
            </w:r>
            <w:r>
              <w:rPr>
                <w:b w:val="0"/>
                <w:bCs/>
                <w:i w:val="0"/>
                <w:iCs w:val="0"/>
                <w:color w:val="auto"/>
                <w:kern w:val="0"/>
                <w:position w:val="2"/>
                <w:sz w:val="24"/>
              </w:rPr>
              <w:t>+</w:t>
            </w:r>
            <w:r>
              <w:rPr>
                <w:b w:val="0"/>
                <w:bCs/>
                <w:i w:val="0"/>
                <w:iCs w:val="0"/>
                <w:color w:val="auto"/>
                <w:spacing w:val="-22"/>
                <w:kern w:val="0"/>
                <w:position w:val="2"/>
                <w:sz w:val="24"/>
              </w:rPr>
              <w:t>A</w:t>
            </w:r>
            <w:r>
              <w:rPr>
                <w:b w:val="0"/>
                <w:bCs/>
                <w:i w:val="0"/>
                <w:iCs w:val="0"/>
                <w:color w:val="auto"/>
                <w:spacing w:val="1"/>
                <w:kern w:val="0"/>
                <w:position w:val="-4"/>
                <w:sz w:val="24"/>
              </w:rPr>
              <w:t>ba</w:t>
            </w:r>
            <w:r>
              <w:rPr>
                <w:b w:val="0"/>
                <w:bCs/>
                <w:i w:val="0"/>
                <w:iCs w:val="0"/>
                <w:color w:val="auto"/>
                <w:kern w:val="0"/>
                <w:position w:val="-4"/>
                <w:sz w:val="24"/>
              </w:rPr>
              <w:t>r</w:t>
            </w:r>
            <w:r>
              <w:rPr>
                <w:b w:val="0"/>
                <w:bCs/>
                <w:i w:val="0"/>
                <w:iCs w:val="0"/>
                <w:color w:val="auto"/>
                <w:kern w:val="0"/>
                <w:position w:val="2"/>
                <w:sz w:val="24"/>
              </w:rPr>
              <w:t>+</w:t>
            </w:r>
            <w:r>
              <w:rPr>
                <w:b w:val="0"/>
                <w:bCs/>
                <w:i w:val="0"/>
                <w:iCs w:val="0"/>
                <w:color w:val="auto"/>
                <w:spacing w:val="-17"/>
                <w:kern w:val="0"/>
                <w:position w:val="2"/>
                <w:sz w:val="24"/>
              </w:rPr>
              <w:t>A</w:t>
            </w:r>
            <w:r>
              <w:rPr>
                <w:b w:val="0"/>
                <w:bCs/>
                <w:i w:val="0"/>
                <w:iCs w:val="0"/>
                <w:color w:val="auto"/>
                <w:kern w:val="0"/>
                <w:position w:val="-4"/>
                <w:sz w:val="24"/>
              </w:rPr>
              <w:t>m</w:t>
            </w:r>
            <w:r>
              <w:rPr>
                <w:b w:val="0"/>
                <w:bCs/>
                <w:i w:val="0"/>
                <w:iCs w:val="0"/>
                <w:color w:val="auto"/>
                <w:spacing w:val="2"/>
                <w:kern w:val="0"/>
                <w:position w:val="-4"/>
                <w:sz w:val="24"/>
              </w:rPr>
              <w:t>i</w:t>
            </w:r>
            <w:r>
              <w:rPr>
                <w:b w:val="0"/>
                <w:bCs/>
                <w:i w:val="0"/>
                <w:iCs w:val="0"/>
                <w:color w:val="auto"/>
                <w:kern w:val="0"/>
                <w:position w:val="-4"/>
                <w:sz w:val="24"/>
              </w:rPr>
              <w:t>sc</w:t>
            </w:r>
            <w:r>
              <w:rPr>
                <w:rFonts w:hint="eastAsia"/>
                <w:b w:val="0"/>
                <w:bCs/>
                <w:i w:val="0"/>
                <w:iCs w:val="0"/>
                <w:color w:val="auto"/>
                <w:kern w:val="0"/>
                <w:position w:val="2"/>
                <w:sz w:val="24"/>
                <w:lang w:eastAsia="zh-CN"/>
              </w:rPr>
              <w:t>）（</w:t>
            </w:r>
            <w:r>
              <w:rPr>
                <w:rFonts w:hint="eastAsia"/>
                <w:b w:val="0"/>
                <w:bCs/>
                <w:i w:val="0"/>
                <w:iCs w:val="0"/>
                <w:color w:val="auto"/>
                <w:kern w:val="0"/>
                <w:position w:val="2"/>
                <w:sz w:val="24"/>
                <w:lang w:val="en-US" w:eastAsia="zh-CN"/>
              </w:rPr>
              <w:t>4.7.1</w:t>
            </w:r>
            <w:r>
              <w:rPr>
                <w:rFonts w:hint="eastAsia"/>
                <w:b w:val="0"/>
                <w:bCs/>
                <w:i w:val="0"/>
                <w:iCs w:val="0"/>
                <w:color w:val="auto"/>
                <w:kern w:val="0"/>
                <w:position w:val="2"/>
                <w:sz w:val="24"/>
                <w:lang w:eastAsia="zh-CN"/>
              </w:rPr>
              <w:t>）</w:t>
            </w:r>
          </w:p>
          <w:p w14:paraId="4145730E">
            <w:pPr>
              <w:autoSpaceDE w:val="0"/>
              <w:autoSpaceDN w:val="0"/>
              <w:adjustRightInd w:val="0"/>
              <w:snapToGrid w:val="0"/>
              <w:spacing w:line="360" w:lineRule="auto"/>
              <w:ind w:firstLine="480" w:firstLineChars="200"/>
              <w:jc w:val="left"/>
              <w:rPr>
                <w:i w:val="0"/>
                <w:iCs w:val="0"/>
                <w:color w:val="auto"/>
                <w:kern w:val="0"/>
                <w:position w:val="1"/>
                <w:sz w:val="24"/>
              </w:rPr>
            </w:pPr>
            <w:r>
              <w:rPr>
                <w:i w:val="0"/>
                <w:iCs w:val="0"/>
                <w:color w:val="auto"/>
                <w:kern w:val="0"/>
                <w:position w:val="-2"/>
                <w:sz w:val="24"/>
              </w:rPr>
              <w:t>式中：</w:t>
            </w:r>
            <w:r>
              <w:rPr>
                <w:i w:val="0"/>
                <w:iCs w:val="0"/>
                <w:color w:val="auto"/>
                <w:spacing w:val="-7"/>
                <w:kern w:val="0"/>
                <w:position w:val="1"/>
                <w:sz w:val="24"/>
              </w:rPr>
              <w:t>L</w:t>
            </w:r>
            <w:r>
              <w:rPr>
                <w:i w:val="0"/>
                <w:iCs w:val="0"/>
                <w:color w:val="auto"/>
                <w:kern w:val="0"/>
                <w:position w:val="-5"/>
                <w:sz w:val="24"/>
                <w:vertAlign w:val="subscript"/>
              </w:rPr>
              <w:t>w</w:t>
            </w:r>
            <w:r>
              <w:rPr>
                <w:rFonts w:hint="eastAsia"/>
                <w:i w:val="0"/>
                <w:iCs w:val="0"/>
                <w:color w:val="auto"/>
                <w:kern w:val="0"/>
                <w:position w:val="-5"/>
                <w:sz w:val="24"/>
                <w:lang w:eastAsia="zh-CN"/>
              </w:rPr>
              <w:t>——</w:t>
            </w:r>
            <w:r>
              <w:rPr>
                <w:rFonts w:hint="eastAsia"/>
                <w:i w:val="0"/>
                <w:iCs w:val="0"/>
                <w:color w:val="auto"/>
                <w:kern w:val="0"/>
                <w:position w:val="1"/>
                <w:sz w:val="24"/>
                <w:lang w:val="en-US" w:eastAsia="zh-CN"/>
              </w:rPr>
              <w:t>由点声源产生的声功能级（A计权或倍频带）</w:t>
            </w:r>
            <w:r>
              <w:rPr>
                <w:i w:val="0"/>
                <w:iCs w:val="0"/>
                <w:color w:val="auto"/>
                <w:kern w:val="0"/>
                <w:position w:val="1"/>
                <w:sz w:val="24"/>
              </w:rPr>
              <w:t>，</w:t>
            </w:r>
            <w:r>
              <w:rPr>
                <w:i w:val="0"/>
                <w:iCs w:val="0"/>
                <w:color w:val="auto"/>
                <w:spacing w:val="1"/>
                <w:kern w:val="0"/>
                <w:position w:val="1"/>
                <w:sz w:val="24"/>
              </w:rPr>
              <w:t>d</w:t>
            </w:r>
            <w:r>
              <w:rPr>
                <w:i w:val="0"/>
                <w:iCs w:val="0"/>
                <w:color w:val="auto"/>
                <w:spacing w:val="-1"/>
                <w:kern w:val="0"/>
                <w:position w:val="1"/>
                <w:sz w:val="24"/>
              </w:rPr>
              <w:t>B</w:t>
            </w:r>
            <w:r>
              <w:rPr>
                <w:i w:val="0"/>
                <w:iCs w:val="0"/>
                <w:color w:val="auto"/>
                <w:kern w:val="0"/>
                <w:position w:val="1"/>
                <w:sz w:val="24"/>
              </w:rPr>
              <w:t>；</w:t>
            </w:r>
          </w:p>
          <w:p w14:paraId="691443CB">
            <w:pPr>
              <w:autoSpaceDE w:val="0"/>
              <w:autoSpaceDN w:val="0"/>
              <w:adjustRightInd w:val="0"/>
              <w:snapToGrid w:val="0"/>
              <w:spacing w:line="360" w:lineRule="auto"/>
              <w:ind w:firstLine="1220" w:firstLineChars="500"/>
              <w:jc w:val="left"/>
              <w:rPr>
                <w:rFonts w:hint="eastAsia"/>
                <w:i w:val="0"/>
                <w:iCs w:val="0"/>
                <w:color w:val="auto"/>
                <w:spacing w:val="-1"/>
                <w:kern w:val="0"/>
                <w:position w:val="1"/>
                <w:sz w:val="24"/>
                <w:lang w:eastAsia="zh-CN"/>
              </w:rPr>
            </w:pPr>
            <w:r>
              <w:rPr>
                <w:i w:val="0"/>
                <w:iCs w:val="0"/>
                <w:color w:val="auto"/>
                <w:spacing w:val="2"/>
                <w:kern w:val="0"/>
                <w:position w:val="-2"/>
                <w:sz w:val="24"/>
              </w:rPr>
              <w:t>D</w:t>
            </w:r>
            <w:r>
              <w:rPr>
                <w:i w:val="0"/>
                <w:iCs w:val="0"/>
                <w:color w:val="auto"/>
                <w:spacing w:val="2"/>
                <w:kern w:val="0"/>
                <w:position w:val="-2"/>
                <w:sz w:val="24"/>
                <w:vertAlign w:val="subscript"/>
              </w:rPr>
              <w:t>c</w:t>
            </w:r>
            <w:r>
              <w:rPr>
                <w:rFonts w:hint="eastAsia"/>
                <w:i w:val="0"/>
                <w:iCs w:val="0"/>
                <w:color w:val="auto"/>
                <w:spacing w:val="2"/>
                <w:kern w:val="0"/>
                <w:position w:val="-2"/>
                <w:sz w:val="24"/>
                <w:lang w:eastAsia="zh-CN"/>
              </w:rPr>
              <w:t>——</w:t>
            </w:r>
            <w:r>
              <w:rPr>
                <w:i w:val="0"/>
                <w:iCs w:val="0"/>
                <w:color w:val="auto"/>
                <w:spacing w:val="2"/>
                <w:kern w:val="0"/>
                <w:position w:val="-2"/>
                <w:sz w:val="24"/>
              </w:rPr>
              <w:t>指向性</w:t>
            </w:r>
            <w:r>
              <w:rPr>
                <w:i w:val="0"/>
                <w:iCs w:val="0"/>
                <w:color w:val="auto"/>
                <w:spacing w:val="4"/>
                <w:kern w:val="0"/>
                <w:position w:val="-2"/>
                <w:sz w:val="24"/>
              </w:rPr>
              <w:t>校</w:t>
            </w:r>
            <w:r>
              <w:rPr>
                <w:i w:val="0"/>
                <w:iCs w:val="0"/>
                <w:color w:val="auto"/>
                <w:spacing w:val="2"/>
                <w:kern w:val="0"/>
                <w:position w:val="-2"/>
                <w:sz w:val="24"/>
              </w:rPr>
              <w:t>正，</w:t>
            </w:r>
            <w:r>
              <w:rPr>
                <w:i w:val="0"/>
                <w:iCs w:val="0"/>
                <w:color w:val="auto"/>
                <w:sz w:val="24"/>
              </w:rPr>
              <w:t>它描述点声源的等效连续声压级与产生声功率级</w:t>
            </w:r>
            <w:r>
              <w:rPr>
                <w:rFonts w:hint="eastAsia"/>
                <w:i w:val="0"/>
                <w:iCs w:val="0"/>
                <w:color w:val="auto"/>
                <w:sz w:val="24"/>
                <w:lang w:val="en-US" w:eastAsia="zh-CN"/>
              </w:rPr>
              <w:t xml:space="preserve"> </w:t>
            </w:r>
            <w:r>
              <w:rPr>
                <w:i w:val="0"/>
                <w:iCs w:val="0"/>
                <w:color w:val="auto"/>
                <w:spacing w:val="-9"/>
                <w:kern w:val="0"/>
                <w:position w:val="2"/>
                <w:sz w:val="24"/>
              </w:rPr>
              <w:t>L</w:t>
            </w:r>
            <w:r>
              <w:rPr>
                <w:i w:val="0"/>
                <w:iCs w:val="0"/>
                <w:color w:val="auto"/>
                <w:kern w:val="0"/>
                <w:position w:val="-4"/>
                <w:sz w:val="24"/>
              </w:rPr>
              <w:t>w</w:t>
            </w:r>
            <w:r>
              <w:rPr>
                <w:i w:val="0"/>
                <w:iCs w:val="0"/>
                <w:color w:val="auto"/>
                <w:sz w:val="24"/>
              </w:rPr>
              <w:t>的全向点声源在规定方向的</w:t>
            </w:r>
            <w:r>
              <w:rPr>
                <w:rFonts w:hint="eastAsia"/>
                <w:i w:val="0"/>
                <w:iCs w:val="0"/>
                <w:color w:val="auto"/>
                <w:sz w:val="24"/>
                <w:lang w:val="en-US" w:eastAsia="zh-CN"/>
              </w:rPr>
              <w:t>声</w:t>
            </w:r>
            <w:r>
              <w:rPr>
                <w:i w:val="0"/>
                <w:iCs w:val="0"/>
                <w:color w:val="auto"/>
                <w:sz w:val="24"/>
              </w:rPr>
              <w:t>级的偏差程度</w:t>
            </w:r>
            <w:r>
              <w:rPr>
                <w:rFonts w:hint="eastAsia"/>
                <w:i w:val="0"/>
                <w:iCs w:val="0"/>
                <w:color w:val="auto"/>
                <w:sz w:val="24"/>
                <w:lang w:eastAsia="zh-CN"/>
              </w:rPr>
              <w:t>，</w:t>
            </w:r>
            <w:r>
              <w:rPr>
                <w:i w:val="0"/>
                <w:iCs w:val="0"/>
                <w:color w:val="auto"/>
                <w:spacing w:val="1"/>
                <w:kern w:val="0"/>
                <w:position w:val="1"/>
                <w:sz w:val="24"/>
              </w:rPr>
              <w:t>d</w:t>
            </w:r>
            <w:r>
              <w:rPr>
                <w:i w:val="0"/>
                <w:iCs w:val="0"/>
                <w:color w:val="auto"/>
                <w:spacing w:val="-1"/>
                <w:kern w:val="0"/>
                <w:position w:val="1"/>
                <w:sz w:val="24"/>
              </w:rPr>
              <w:t>B</w:t>
            </w:r>
            <w:r>
              <w:rPr>
                <w:i w:val="0"/>
                <w:iCs w:val="0"/>
                <w:color w:val="auto"/>
                <w:kern w:val="0"/>
                <w:position w:val="1"/>
                <w:sz w:val="24"/>
              </w:rPr>
              <w:t>；</w:t>
            </w:r>
          </w:p>
          <w:p w14:paraId="69B1628E">
            <w:pPr>
              <w:autoSpaceDE w:val="0"/>
              <w:autoSpaceDN w:val="0"/>
              <w:adjustRightInd w:val="0"/>
              <w:snapToGrid w:val="0"/>
              <w:spacing w:line="360" w:lineRule="auto"/>
              <w:ind w:firstLine="1220" w:firstLineChars="500"/>
              <w:jc w:val="left"/>
              <w:rPr>
                <w:i w:val="0"/>
                <w:iCs w:val="0"/>
                <w:color w:val="auto"/>
                <w:spacing w:val="2"/>
                <w:kern w:val="0"/>
                <w:position w:val="-2"/>
                <w:sz w:val="24"/>
              </w:rPr>
            </w:pPr>
            <w:r>
              <w:rPr>
                <w:i w:val="0"/>
                <w:iCs w:val="0"/>
                <w:color w:val="auto"/>
                <w:spacing w:val="2"/>
                <w:kern w:val="0"/>
                <w:position w:val="-2"/>
                <w:sz w:val="24"/>
              </w:rPr>
              <w:t>A</w:t>
            </w:r>
            <w:r>
              <w:rPr>
                <w:rFonts w:hint="eastAsia"/>
                <w:i w:val="0"/>
                <w:iCs w:val="0"/>
                <w:color w:val="auto"/>
                <w:spacing w:val="2"/>
                <w:kern w:val="0"/>
                <w:position w:val="-2"/>
                <w:sz w:val="24"/>
                <w:lang w:eastAsia="zh-CN"/>
              </w:rPr>
              <w:t>——</w:t>
            </w:r>
            <w:r>
              <w:rPr>
                <w:i w:val="0"/>
                <w:iCs w:val="0"/>
                <w:color w:val="auto"/>
                <w:spacing w:val="2"/>
                <w:kern w:val="0"/>
                <w:position w:val="-2"/>
                <w:sz w:val="24"/>
              </w:rPr>
              <w:t>倍频带衰减，dB；</w:t>
            </w:r>
          </w:p>
          <w:p w14:paraId="3C983E83">
            <w:pPr>
              <w:autoSpaceDE w:val="0"/>
              <w:autoSpaceDN w:val="0"/>
              <w:adjustRightInd w:val="0"/>
              <w:snapToGrid w:val="0"/>
              <w:spacing w:line="360" w:lineRule="auto"/>
              <w:ind w:firstLine="488" w:firstLineChars="200"/>
              <w:jc w:val="left"/>
              <w:rPr>
                <w:i w:val="0"/>
                <w:iCs w:val="0"/>
                <w:color w:val="auto"/>
                <w:spacing w:val="2"/>
                <w:kern w:val="0"/>
                <w:position w:val="-2"/>
                <w:sz w:val="24"/>
              </w:rPr>
            </w:pPr>
            <w:r>
              <w:rPr>
                <w:i w:val="0"/>
                <w:iCs w:val="0"/>
                <w:color w:val="auto"/>
                <w:spacing w:val="2"/>
                <w:kern w:val="0"/>
                <w:position w:val="-2"/>
                <w:sz w:val="24"/>
              </w:rPr>
              <w:t xml:space="preserve"> </w:t>
            </w:r>
            <w:r>
              <w:rPr>
                <w:rFonts w:hint="eastAsia"/>
                <w:i w:val="0"/>
                <w:iCs w:val="0"/>
                <w:color w:val="auto"/>
                <w:spacing w:val="2"/>
                <w:kern w:val="0"/>
                <w:position w:val="-2"/>
                <w:sz w:val="24"/>
                <w:lang w:val="en-US" w:eastAsia="zh-CN"/>
              </w:rPr>
              <w:t xml:space="preserve">     </w:t>
            </w:r>
            <w:r>
              <w:rPr>
                <w:i w:val="0"/>
                <w:iCs w:val="0"/>
                <w:color w:val="auto"/>
                <w:spacing w:val="2"/>
                <w:kern w:val="0"/>
                <w:position w:val="-2"/>
                <w:sz w:val="24"/>
              </w:rPr>
              <w:t>A</w:t>
            </w:r>
            <w:r>
              <w:rPr>
                <w:i w:val="0"/>
                <w:iCs w:val="0"/>
                <w:color w:val="auto"/>
                <w:spacing w:val="2"/>
                <w:kern w:val="0"/>
                <w:position w:val="-2"/>
                <w:sz w:val="24"/>
                <w:vertAlign w:val="subscript"/>
              </w:rPr>
              <w:t>div</w:t>
            </w:r>
            <w:r>
              <w:rPr>
                <w:rFonts w:hint="eastAsia"/>
                <w:i w:val="0"/>
                <w:iCs w:val="0"/>
                <w:color w:val="auto"/>
                <w:spacing w:val="2"/>
                <w:kern w:val="0"/>
                <w:position w:val="-2"/>
                <w:sz w:val="24"/>
                <w:lang w:eastAsia="zh-CN"/>
              </w:rPr>
              <w:t>——</w:t>
            </w:r>
            <w:r>
              <w:rPr>
                <w:i w:val="0"/>
                <w:iCs w:val="0"/>
                <w:color w:val="auto"/>
                <w:spacing w:val="2"/>
                <w:kern w:val="0"/>
                <w:position w:val="-2"/>
                <w:sz w:val="24"/>
              </w:rPr>
              <w:t>几何发散引起的衰减，dB；</w:t>
            </w:r>
          </w:p>
          <w:p w14:paraId="2C648BC9">
            <w:pPr>
              <w:autoSpaceDE w:val="0"/>
              <w:autoSpaceDN w:val="0"/>
              <w:adjustRightInd w:val="0"/>
              <w:snapToGrid w:val="0"/>
              <w:spacing w:line="360" w:lineRule="auto"/>
              <w:ind w:firstLine="1220" w:firstLineChars="500"/>
              <w:jc w:val="left"/>
              <w:rPr>
                <w:i w:val="0"/>
                <w:iCs w:val="0"/>
                <w:color w:val="auto"/>
                <w:spacing w:val="2"/>
                <w:kern w:val="0"/>
                <w:position w:val="-2"/>
                <w:sz w:val="24"/>
              </w:rPr>
            </w:pPr>
            <w:r>
              <w:rPr>
                <w:i w:val="0"/>
                <w:iCs w:val="0"/>
                <w:color w:val="auto"/>
                <w:spacing w:val="2"/>
                <w:kern w:val="0"/>
                <w:position w:val="-2"/>
                <w:sz w:val="24"/>
              </w:rPr>
              <w:t>A</w:t>
            </w:r>
            <w:r>
              <w:rPr>
                <w:i w:val="0"/>
                <w:iCs w:val="0"/>
                <w:color w:val="auto"/>
                <w:spacing w:val="2"/>
                <w:kern w:val="0"/>
                <w:position w:val="-2"/>
                <w:sz w:val="24"/>
                <w:vertAlign w:val="subscript"/>
              </w:rPr>
              <w:t>atm</w:t>
            </w:r>
            <w:r>
              <w:rPr>
                <w:rFonts w:hint="eastAsia"/>
                <w:i w:val="0"/>
                <w:iCs w:val="0"/>
                <w:color w:val="auto"/>
                <w:spacing w:val="2"/>
                <w:kern w:val="0"/>
                <w:position w:val="-2"/>
                <w:sz w:val="24"/>
                <w:lang w:eastAsia="zh-CN"/>
              </w:rPr>
              <w:t>——</w:t>
            </w:r>
            <w:r>
              <w:rPr>
                <w:i w:val="0"/>
                <w:iCs w:val="0"/>
                <w:color w:val="auto"/>
                <w:spacing w:val="2"/>
                <w:kern w:val="0"/>
                <w:position w:val="-2"/>
                <w:sz w:val="24"/>
              </w:rPr>
              <w:t>大气吸收引起的衰减，dB；</w:t>
            </w:r>
          </w:p>
          <w:p w14:paraId="60079C0A">
            <w:pPr>
              <w:autoSpaceDE w:val="0"/>
              <w:autoSpaceDN w:val="0"/>
              <w:adjustRightInd w:val="0"/>
              <w:snapToGrid w:val="0"/>
              <w:spacing w:line="360" w:lineRule="auto"/>
              <w:ind w:firstLine="1220" w:firstLineChars="500"/>
              <w:jc w:val="left"/>
              <w:rPr>
                <w:i w:val="0"/>
                <w:iCs w:val="0"/>
                <w:color w:val="auto"/>
                <w:spacing w:val="2"/>
                <w:kern w:val="0"/>
                <w:position w:val="-2"/>
                <w:sz w:val="24"/>
              </w:rPr>
            </w:pPr>
            <w:r>
              <w:rPr>
                <w:i w:val="0"/>
                <w:iCs w:val="0"/>
                <w:color w:val="auto"/>
                <w:spacing w:val="2"/>
                <w:kern w:val="0"/>
                <w:position w:val="-2"/>
                <w:sz w:val="24"/>
              </w:rPr>
              <w:t>A</w:t>
            </w:r>
            <w:r>
              <w:rPr>
                <w:i w:val="0"/>
                <w:iCs w:val="0"/>
                <w:color w:val="auto"/>
                <w:spacing w:val="2"/>
                <w:kern w:val="0"/>
                <w:position w:val="-2"/>
                <w:sz w:val="24"/>
                <w:vertAlign w:val="subscript"/>
              </w:rPr>
              <w:t>gr</w:t>
            </w:r>
            <w:r>
              <w:rPr>
                <w:rFonts w:hint="eastAsia"/>
                <w:i w:val="0"/>
                <w:iCs w:val="0"/>
                <w:color w:val="auto"/>
                <w:spacing w:val="2"/>
                <w:kern w:val="0"/>
                <w:position w:val="-2"/>
                <w:sz w:val="24"/>
                <w:lang w:eastAsia="zh-CN"/>
              </w:rPr>
              <w:t>——</w:t>
            </w:r>
            <w:r>
              <w:rPr>
                <w:i w:val="0"/>
                <w:iCs w:val="0"/>
                <w:color w:val="auto"/>
                <w:spacing w:val="2"/>
                <w:kern w:val="0"/>
                <w:position w:val="-2"/>
                <w:sz w:val="24"/>
              </w:rPr>
              <w:t>地面效应引起的衰减，dB；</w:t>
            </w:r>
          </w:p>
          <w:p w14:paraId="6B1822E7">
            <w:pPr>
              <w:autoSpaceDE w:val="0"/>
              <w:autoSpaceDN w:val="0"/>
              <w:adjustRightInd w:val="0"/>
              <w:snapToGrid w:val="0"/>
              <w:spacing w:line="360" w:lineRule="auto"/>
              <w:ind w:firstLine="1220" w:firstLineChars="500"/>
              <w:jc w:val="left"/>
              <w:rPr>
                <w:i w:val="0"/>
                <w:iCs w:val="0"/>
                <w:color w:val="auto"/>
                <w:spacing w:val="2"/>
                <w:kern w:val="0"/>
                <w:position w:val="-2"/>
                <w:sz w:val="24"/>
              </w:rPr>
            </w:pPr>
            <w:r>
              <w:rPr>
                <w:i w:val="0"/>
                <w:iCs w:val="0"/>
                <w:color w:val="auto"/>
                <w:spacing w:val="2"/>
                <w:kern w:val="0"/>
                <w:position w:val="-2"/>
                <w:sz w:val="24"/>
              </w:rPr>
              <w:t>A</w:t>
            </w:r>
            <w:r>
              <w:rPr>
                <w:i w:val="0"/>
                <w:iCs w:val="0"/>
                <w:color w:val="auto"/>
                <w:spacing w:val="2"/>
                <w:kern w:val="0"/>
                <w:position w:val="-2"/>
                <w:sz w:val="24"/>
                <w:vertAlign w:val="subscript"/>
              </w:rPr>
              <w:t>bar</w:t>
            </w:r>
            <w:r>
              <w:rPr>
                <w:rFonts w:hint="eastAsia"/>
                <w:i w:val="0"/>
                <w:iCs w:val="0"/>
                <w:color w:val="auto"/>
                <w:spacing w:val="2"/>
                <w:kern w:val="0"/>
                <w:position w:val="-2"/>
                <w:sz w:val="24"/>
                <w:lang w:eastAsia="zh-CN"/>
              </w:rPr>
              <w:t>——</w:t>
            </w:r>
            <w:r>
              <w:rPr>
                <w:i w:val="0"/>
                <w:iCs w:val="0"/>
                <w:color w:val="auto"/>
                <w:spacing w:val="2"/>
                <w:kern w:val="0"/>
                <w:position w:val="-2"/>
                <w:sz w:val="24"/>
              </w:rPr>
              <w:t>屏障</w:t>
            </w:r>
            <w:r>
              <w:rPr>
                <w:rFonts w:hint="eastAsia"/>
                <w:i w:val="0"/>
                <w:iCs w:val="0"/>
                <w:color w:val="auto"/>
                <w:spacing w:val="2"/>
                <w:kern w:val="0"/>
                <w:position w:val="-2"/>
                <w:sz w:val="24"/>
                <w:lang w:val="en-US" w:eastAsia="zh-CN"/>
              </w:rPr>
              <w:t>物屏蔽</w:t>
            </w:r>
            <w:r>
              <w:rPr>
                <w:i w:val="0"/>
                <w:iCs w:val="0"/>
                <w:color w:val="auto"/>
                <w:spacing w:val="2"/>
                <w:kern w:val="0"/>
                <w:position w:val="-2"/>
                <w:sz w:val="24"/>
              </w:rPr>
              <w:t>引起的衰减，dB；</w:t>
            </w:r>
          </w:p>
          <w:p w14:paraId="0E6B6F5A">
            <w:pPr>
              <w:autoSpaceDE w:val="0"/>
              <w:autoSpaceDN w:val="0"/>
              <w:adjustRightInd w:val="0"/>
              <w:snapToGrid w:val="0"/>
              <w:spacing w:line="360" w:lineRule="auto"/>
              <w:ind w:firstLine="1220" w:firstLineChars="500"/>
              <w:jc w:val="left"/>
              <w:rPr>
                <w:i w:val="0"/>
                <w:iCs w:val="0"/>
                <w:color w:val="auto"/>
                <w:spacing w:val="2"/>
                <w:kern w:val="0"/>
                <w:position w:val="-2"/>
                <w:sz w:val="24"/>
                <w:lang w:val="en-US" w:eastAsia="zh-CN"/>
              </w:rPr>
            </w:pPr>
            <w:r>
              <w:rPr>
                <w:i w:val="0"/>
                <w:iCs w:val="0"/>
                <w:color w:val="auto"/>
                <w:spacing w:val="2"/>
                <w:kern w:val="0"/>
                <w:position w:val="-2"/>
                <w:sz w:val="24"/>
                <w:lang w:val="en-US" w:eastAsia="zh-CN"/>
              </w:rPr>
              <w:t>A</w:t>
            </w:r>
            <w:r>
              <w:rPr>
                <w:i w:val="0"/>
                <w:iCs w:val="0"/>
                <w:color w:val="auto"/>
                <w:spacing w:val="2"/>
                <w:kern w:val="0"/>
                <w:position w:val="-2"/>
                <w:sz w:val="24"/>
                <w:vertAlign w:val="subscript"/>
                <w:lang w:val="en-US" w:eastAsia="zh-CN"/>
              </w:rPr>
              <w:t>misc</w:t>
            </w:r>
            <w:r>
              <w:rPr>
                <w:rFonts w:hint="eastAsia"/>
                <w:i w:val="0"/>
                <w:iCs w:val="0"/>
                <w:color w:val="auto"/>
                <w:spacing w:val="2"/>
                <w:kern w:val="0"/>
                <w:position w:val="-2"/>
                <w:sz w:val="24"/>
                <w:lang w:val="en-US" w:eastAsia="zh-CN"/>
              </w:rPr>
              <w:t>——</w:t>
            </w:r>
            <w:r>
              <w:rPr>
                <w:i w:val="0"/>
                <w:iCs w:val="0"/>
                <w:color w:val="auto"/>
                <w:spacing w:val="2"/>
                <w:kern w:val="0"/>
                <w:position w:val="-2"/>
                <w:sz w:val="24"/>
                <w:lang w:val="en-US" w:eastAsia="zh-CN"/>
              </w:rPr>
              <w:t>其他多方面效应引起的衰减，dB。</w:t>
            </w:r>
          </w:p>
          <w:p w14:paraId="52943009">
            <w:pPr>
              <w:autoSpaceDE w:val="0"/>
              <w:autoSpaceDN w:val="0"/>
              <w:adjustRightInd w:val="0"/>
              <w:snapToGrid w:val="0"/>
              <w:spacing w:line="360" w:lineRule="auto"/>
              <w:ind w:firstLine="488" w:firstLineChars="200"/>
              <w:jc w:val="center"/>
              <w:rPr>
                <w:i w:val="0"/>
                <w:iCs w:val="0"/>
                <w:color w:val="auto"/>
                <w:spacing w:val="2"/>
                <w:kern w:val="0"/>
                <w:position w:val="-2"/>
                <w:sz w:val="24"/>
                <w:lang w:val="en-US" w:eastAsia="zh-CN"/>
              </w:rPr>
            </w:pPr>
            <w:r>
              <w:rPr>
                <w:i w:val="0"/>
                <w:iCs w:val="0"/>
                <w:color w:val="auto"/>
                <w:spacing w:val="2"/>
                <w:kern w:val="0"/>
                <w:position w:val="-14"/>
                <w:sz w:val="24"/>
                <w:lang w:val="en-US" w:eastAsia="zh-CN"/>
              </w:rPr>
              <w:object>
                <v:shape id="_x0000_i1026" o:spt="75" type="#_x0000_t75" style="height:19pt;width:251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6" r:id="rId13">
                  <o:LockedField>false</o:LockedField>
                </o:OLEObject>
              </w:object>
            </w:r>
            <w:r>
              <w:rPr>
                <w:rFonts w:hint="eastAsia"/>
                <w:i w:val="0"/>
                <w:iCs w:val="0"/>
                <w:color w:val="auto"/>
                <w:spacing w:val="2"/>
                <w:kern w:val="0"/>
                <w:position w:val="-14"/>
                <w:sz w:val="24"/>
                <w:lang w:val="en-US" w:eastAsia="zh-CN"/>
              </w:rPr>
              <w:t>（4.7.2）</w:t>
            </w:r>
          </w:p>
          <w:p w14:paraId="09BAD75B">
            <w:pPr>
              <w:autoSpaceDE w:val="0"/>
              <w:autoSpaceDN w:val="0"/>
              <w:adjustRightInd w:val="0"/>
              <w:snapToGrid w:val="0"/>
              <w:spacing w:line="360" w:lineRule="auto"/>
              <w:ind w:firstLine="480" w:firstLineChars="200"/>
              <w:rPr>
                <w:rFonts w:hint="eastAsia"/>
                <w:i w:val="0"/>
                <w:iCs w:val="0"/>
                <w:color w:val="auto"/>
                <w:sz w:val="24"/>
                <w:vertAlign w:val="baseline"/>
                <w:lang w:val="en-US" w:eastAsia="zh-CN"/>
              </w:rPr>
            </w:pPr>
            <w:r>
              <w:rPr>
                <w:rFonts w:hint="eastAsia"/>
                <w:i w:val="0"/>
                <w:iCs w:val="0"/>
                <w:color w:val="auto"/>
                <w:sz w:val="24"/>
                <w:lang w:val="en-US" w:eastAsia="zh-CN"/>
              </w:rPr>
              <w:t>式中：L</w:t>
            </w:r>
            <w:r>
              <w:rPr>
                <w:rFonts w:hint="eastAsia"/>
                <w:i w:val="0"/>
                <w:iCs w:val="0"/>
                <w:color w:val="auto"/>
                <w:sz w:val="24"/>
                <w:vertAlign w:val="subscript"/>
                <w:lang w:val="en-US" w:eastAsia="zh-CN"/>
              </w:rPr>
              <w:t>p</w:t>
            </w:r>
            <w:r>
              <w:rPr>
                <w:rFonts w:hint="eastAsia"/>
                <w:i w:val="0"/>
                <w:iCs w:val="0"/>
                <w:color w:val="auto"/>
                <w:sz w:val="24"/>
                <w:vertAlign w:val="baseline"/>
                <w:lang w:val="en-US" w:eastAsia="zh-CN"/>
              </w:rPr>
              <w:t>(r)——预测点处声压级,dB；</w:t>
            </w:r>
          </w:p>
          <w:p w14:paraId="1F0D5DD7">
            <w:pPr>
              <w:autoSpaceDE w:val="0"/>
              <w:autoSpaceDN w:val="0"/>
              <w:adjustRightInd w:val="0"/>
              <w:snapToGrid w:val="0"/>
              <w:spacing w:line="360" w:lineRule="auto"/>
              <w:ind w:firstLine="1200" w:firstLineChars="500"/>
              <w:rPr>
                <w:rFonts w:hint="eastAsia"/>
                <w:i w:val="0"/>
                <w:iCs w:val="0"/>
                <w:color w:val="auto"/>
                <w:sz w:val="24"/>
                <w:vertAlign w:val="baseline"/>
                <w:lang w:val="en-US" w:eastAsia="zh-CN"/>
              </w:rPr>
            </w:pPr>
            <w:r>
              <w:rPr>
                <w:rFonts w:hint="eastAsia"/>
                <w:i w:val="0"/>
                <w:iCs w:val="0"/>
                <w:color w:val="auto"/>
                <w:sz w:val="24"/>
                <w:vertAlign w:val="baseline"/>
                <w:lang w:val="en-US" w:eastAsia="zh-CN"/>
              </w:rPr>
              <w:t>L</w:t>
            </w:r>
            <w:r>
              <w:rPr>
                <w:rFonts w:hint="eastAsia"/>
                <w:i w:val="0"/>
                <w:iCs w:val="0"/>
                <w:color w:val="auto"/>
                <w:sz w:val="24"/>
                <w:vertAlign w:val="subscript"/>
                <w:lang w:val="en-US" w:eastAsia="zh-CN"/>
              </w:rPr>
              <w:t>P</w:t>
            </w:r>
            <w:r>
              <w:rPr>
                <w:rFonts w:hint="eastAsia"/>
                <w:i w:val="0"/>
                <w:iCs w:val="0"/>
                <w:color w:val="auto"/>
                <w:sz w:val="24"/>
                <w:vertAlign w:val="baseline"/>
                <w:lang w:val="en-US" w:eastAsia="zh-CN"/>
              </w:rPr>
              <w:t>(r</w:t>
            </w:r>
            <w:r>
              <w:rPr>
                <w:rFonts w:hint="eastAsia"/>
                <w:i w:val="0"/>
                <w:iCs w:val="0"/>
                <w:color w:val="auto"/>
                <w:sz w:val="24"/>
                <w:vertAlign w:val="subscript"/>
                <w:lang w:val="en-US" w:eastAsia="zh-CN"/>
              </w:rPr>
              <w:t>0</w:t>
            </w:r>
            <w:r>
              <w:rPr>
                <w:rFonts w:hint="eastAsia"/>
                <w:i w:val="0"/>
                <w:iCs w:val="0"/>
                <w:color w:val="auto"/>
                <w:sz w:val="24"/>
                <w:vertAlign w:val="baseline"/>
                <w:lang w:val="en-US" w:eastAsia="zh-CN"/>
              </w:rPr>
              <w:t>)——参考位置r</w:t>
            </w:r>
            <w:r>
              <w:rPr>
                <w:rFonts w:hint="eastAsia"/>
                <w:i w:val="0"/>
                <w:iCs w:val="0"/>
                <w:color w:val="auto"/>
                <w:sz w:val="24"/>
                <w:vertAlign w:val="subscript"/>
                <w:lang w:val="en-US" w:eastAsia="zh-CN"/>
              </w:rPr>
              <w:t>0</w:t>
            </w:r>
            <w:r>
              <w:rPr>
                <w:rFonts w:hint="eastAsia"/>
                <w:i w:val="0"/>
                <w:iCs w:val="0"/>
                <w:color w:val="auto"/>
                <w:sz w:val="24"/>
                <w:vertAlign w:val="baseline"/>
                <w:lang w:val="en-US" w:eastAsia="zh-CN"/>
              </w:rPr>
              <w:t>处的声压级，dB；</w:t>
            </w:r>
          </w:p>
          <w:p w14:paraId="4717D542">
            <w:pPr>
              <w:autoSpaceDE w:val="0"/>
              <w:autoSpaceDN w:val="0"/>
              <w:adjustRightInd w:val="0"/>
              <w:snapToGrid w:val="0"/>
              <w:spacing w:line="360" w:lineRule="auto"/>
              <w:ind w:firstLine="1220" w:firstLineChars="500"/>
              <w:jc w:val="left"/>
              <w:rPr>
                <w:i w:val="0"/>
                <w:iCs w:val="0"/>
                <w:color w:val="auto"/>
                <w:kern w:val="0"/>
                <w:position w:val="1"/>
                <w:sz w:val="24"/>
              </w:rPr>
            </w:pPr>
            <w:r>
              <w:rPr>
                <w:i w:val="0"/>
                <w:iCs w:val="0"/>
                <w:color w:val="auto"/>
                <w:spacing w:val="2"/>
                <w:kern w:val="0"/>
                <w:position w:val="-2"/>
                <w:sz w:val="24"/>
              </w:rPr>
              <w:t>D</w:t>
            </w:r>
            <w:r>
              <w:rPr>
                <w:i w:val="0"/>
                <w:iCs w:val="0"/>
                <w:color w:val="auto"/>
                <w:spacing w:val="2"/>
                <w:kern w:val="0"/>
                <w:position w:val="-2"/>
                <w:sz w:val="24"/>
                <w:vertAlign w:val="subscript"/>
              </w:rPr>
              <w:t>c</w:t>
            </w:r>
            <w:r>
              <w:rPr>
                <w:rFonts w:hint="eastAsia"/>
                <w:i w:val="0"/>
                <w:iCs w:val="0"/>
                <w:color w:val="auto"/>
                <w:spacing w:val="2"/>
                <w:kern w:val="0"/>
                <w:position w:val="-2"/>
                <w:sz w:val="24"/>
                <w:lang w:eastAsia="zh-CN"/>
              </w:rPr>
              <w:t>——</w:t>
            </w:r>
            <w:r>
              <w:rPr>
                <w:i w:val="0"/>
                <w:iCs w:val="0"/>
                <w:color w:val="auto"/>
                <w:spacing w:val="2"/>
                <w:kern w:val="0"/>
                <w:position w:val="-2"/>
                <w:sz w:val="24"/>
              </w:rPr>
              <w:t>指向性</w:t>
            </w:r>
            <w:r>
              <w:rPr>
                <w:i w:val="0"/>
                <w:iCs w:val="0"/>
                <w:color w:val="auto"/>
                <w:spacing w:val="4"/>
                <w:kern w:val="0"/>
                <w:position w:val="-2"/>
                <w:sz w:val="24"/>
              </w:rPr>
              <w:t>校</w:t>
            </w:r>
            <w:r>
              <w:rPr>
                <w:i w:val="0"/>
                <w:iCs w:val="0"/>
                <w:color w:val="auto"/>
                <w:spacing w:val="2"/>
                <w:kern w:val="0"/>
                <w:position w:val="-2"/>
                <w:sz w:val="24"/>
              </w:rPr>
              <w:t>正，</w:t>
            </w:r>
            <w:r>
              <w:rPr>
                <w:i w:val="0"/>
                <w:iCs w:val="0"/>
                <w:color w:val="auto"/>
                <w:sz w:val="24"/>
              </w:rPr>
              <w:t>它描述点声源的等效连续声压级与产生声功率级</w:t>
            </w:r>
            <w:r>
              <w:rPr>
                <w:rFonts w:hint="eastAsia"/>
                <w:i w:val="0"/>
                <w:iCs w:val="0"/>
                <w:color w:val="auto"/>
                <w:sz w:val="24"/>
                <w:lang w:val="en-US" w:eastAsia="zh-CN"/>
              </w:rPr>
              <w:t xml:space="preserve"> </w:t>
            </w:r>
            <w:r>
              <w:rPr>
                <w:i w:val="0"/>
                <w:iCs w:val="0"/>
                <w:color w:val="auto"/>
                <w:spacing w:val="-9"/>
                <w:kern w:val="0"/>
                <w:position w:val="2"/>
                <w:sz w:val="24"/>
              </w:rPr>
              <w:t>L</w:t>
            </w:r>
            <w:r>
              <w:rPr>
                <w:i w:val="0"/>
                <w:iCs w:val="0"/>
                <w:color w:val="auto"/>
                <w:kern w:val="0"/>
                <w:position w:val="-4"/>
                <w:sz w:val="24"/>
              </w:rPr>
              <w:t>w</w:t>
            </w:r>
            <w:r>
              <w:rPr>
                <w:i w:val="0"/>
                <w:iCs w:val="0"/>
                <w:color w:val="auto"/>
                <w:sz w:val="24"/>
              </w:rPr>
              <w:t>的全向点声源在规定方向的</w:t>
            </w:r>
            <w:r>
              <w:rPr>
                <w:rFonts w:hint="eastAsia"/>
                <w:i w:val="0"/>
                <w:iCs w:val="0"/>
                <w:color w:val="auto"/>
                <w:sz w:val="24"/>
                <w:lang w:val="en-US" w:eastAsia="zh-CN"/>
              </w:rPr>
              <w:t>声</w:t>
            </w:r>
            <w:r>
              <w:rPr>
                <w:i w:val="0"/>
                <w:iCs w:val="0"/>
                <w:color w:val="auto"/>
                <w:sz w:val="24"/>
              </w:rPr>
              <w:t>级的偏差程度</w:t>
            </w:r>
            <w:r>
              <w:rPr>
                <w:rFonts w:hint="eastAsia"/>
                <w:i w:val="0"/>
                <w:iCs w:val="0"/>
                <w:color w:val="auto"/>
                <w:sz w:val="24"/>
                <w:lang w:eastAsia="zh-CN"/>
              </w:rPr>
              <w:t>，</w:t>
            </w:r>
            <w:r>
              <w:rPr>
                <w:i w:val="0"/>
                <w:iCs w:val="0"/>
                <w:color w:val="auto"/>
                <w:spacing w:val="1"/>
                <w:kern w:val="0"/>
                <w:position w:val="1"/>
                <w:sz w:val="24"/>
              </w:rPr>
              <w:t>d</w:t>
            </w:r>
            <w:r>
              <w:rPr>
                <w:i w:val="0"/>
                <w:iCs w:val="0"/>
                <w:color w:val="auto"/>
                <w:spacing w:val="-1"/>
                <w:kern w:val="0"/>
                <w:position w:val="1"/>
                <w:sz w:val="24"/>
              </w:rPr>
              <w:t>B</w:t>
            </w:r>
            <w:r>
              <w:rPr>
                <w:i w:val="0"/>
                <w:iCs w:val="0"/>
                <w:color w:val="auto"/>
                <w:kern w:val="0"/>
                <w:position w:val="1"/>
                <w:sz w:val="24"/>
              </w:rPr>
              <w:t>；</w:t>
            </w:r>
          </w:p>
          <w:p w14:paraId="3AB280B3">
            <w:pPr>
              <w:autoSpaceDE w:val="0"/>
              <w:autoSpaceDN w:val="0"/>
              <w:adjustRightInd w:val="0"/>
              <w:snapToGrid w:val="0"/>
              <w:spacing w:line="360" w:lineRule="auto"/>
              <w:ind w:firstLine="488" w:firstLineChars="200"/>
              <w:jc w:val="left"/>
              <w:rPr>
                <w:i w:val="0"/>
                <w:iCs w:val="0"/>
                <w:color w:val="auto"/>
                <w:spacing w:val="2"/>
                <w:kern w:val="0"/>
                <w:position w:val="-2"/>
                <w:sz w:val="24"/>
              </w:rPr>
            </w:pPr>
            <w:r>
              <w:rPr>
                <w:i w:val="0"/>
                <w:iCs w:val="0"/>
                <w:color w:val="auto"/>
                <w:spacing w:val="2"/>
                <w:kern w:val="0"/>
                <w:position w:val="-2"/>
                <w:sz w:val="24"/>
              </w:rPr>
              <w:t xml:space="preserve"> </w:t>
            </w:r>
            <w:r>
              <w:rPr>
                <w:rFonts w:hint="eastAsia"/>
                <w:i w:val="0"/>
                <w:iCs w:val="0"/>
                <w:color w:val="auto"/>
                <w:spacing w:val="2"/>
                <w:kern w:val="0"/>
                <w:position w:val="-2"/>
                <w:sz w:val="24"/>
                <w:lang w:val="en-US" w:eastAsia="zh-CN"/>
              </w:rPr>
              <w:t xml:space="preserve">   </w:t>
            </w:r>
            <w:r>
              <w:rPr>
                <w:i w:val="0"/>
                <w:iCs w:val="0"/>
                <w:color w:val="auto"/>
                <w:spacing w:val="2"/>
                <w:kern w:val="0"/>
                <w:position w:val="-2"/>
                <w:sz w:val="24"/>
              </w:rPr>
              <w:t>A</w:t>
            </w:r>
            <w:r>
              <w:rPr>
                <w:i w:val="0"/>
                <w:iCs w:val="0"/>
                <w:color w:val="auto"/>
                <w:spacing w:val="2"/>
                <w:kern w:val="0"/>
                <w:position w:val="-2"/>
                <w:sz w:val="24"/>
                <w:vertAlign w:val="subscript"/>
              </w:rPr>
              <w:t>div</w:t>
            </w:r>
            <w:r>
              <w:rPr>
                <w:rFonts w:hint="eastAsia"/>
                <w:i w:val="0"/>
                <w:iCs w:val="0"/>
                <w:color w:val="auto"/>
                <w:spacing w:val="2"/>
                <w:kern w:val="0"/>
                <w:position w:val="-2"/>
                <w:sz w:val="24"/>
                <w:lang w:eastAsia="zh-CN"/>
              </w:rPr>
              <w:t>——</w:t>
            </w:r>
            <w:r>
              <w:rPr>
                <w:i w:val="0"/>
                <w:iCs w:val="0"/>
                <w:color w:val="auto"/>
                <w:spacing w:val="2"/>
                <w:kern w:val="0"/>
                <w:position w:val="-2"/>
                <w:sz w:val="24"/>
              </w:rPr>
              <w:t>几何发散引起的衰减，dB；</w:t>
            </w:r>
          </w:p>
          <w:p w14:paraId="08A88DB2">
            <w:pPr>
              <w:autoSpaceDE w:val="0"/>
              <w:autoSpaceDN w:val="0"/>
              <w:adjustRightInd w:val="0"/>
              <w:snapToGrid w:val="0"/>
              <w:spacing w:line="360" w:lineRule="auto"/>
              <w:ind w:firstLine="976" w:firstLineChars="400"/>
              <w:jc w:val="left"/>
              <w:rPr>
                <w:i w:val="0"/>
                <w:iCs w:val="0"/>
                <w:color w:val="auto"/>
                <w:spacing w:val="2"/>
                <w:kern w:val="0"/>
                <w:position w:val="-2"/>
                <w:sz w:val="24"/>
              </w:rPr>
            </w:pPr>
            <w:r>
              <w:rPr>
                <w:i w:val="0"/>
                <w:iCs w:val="0"/>
                <w:color w:val="auto"/>
                <w:spacing w:val="2"/>
                <w:kern w:val="0"/>
                <w:position w:val="-2"/>
                <w:sz w:val="24"/>
              </w:rPr>
              <w:t>A</w:t>
            </w:r>
            <w:r>
              <w:rPr>
                <w:i w:val="0"/>
                <w:iCs w:val="0"/>
                <w:color w:val="auto"/>
                <w:spacing w:val="2"/>
                <w:kern w:val="0"/>
                <w:position w:val="-2"/>
                <w:sz w:val="24"/>
                <w:vertAlign w:val="subscript"/>
              </w:rPr>
              <w:t>atm</w:t>
            </w:r>
            <w:r>
              <w:rPr>
                <w:rFonts w:hint="eastAsia"/>
                <w:i w:val="0"/>
                <w:iCs w:val="0"/>
                <w:color w:val="auto"/>
                <w:spacing w:val="2"/>
                <w:kern w:val="0"/>
                <w:position w:val="-2"/>
                <w:sz w:val="24"/>
                <w:lang w:eastAsia="zh-CN"/>
              </w:rPr>
              <w:t>——</w:t>
            </w:r>
            <w:r>
              <w:rPr>
                <w:i w:val="0"/>
                <w:iCs w:val="0"/>
                <w:color w:val="auto"/>
                <w:spacing w:val="2"/>
                <w:kern w:val="0"/>
                <w:position w:val="-2"/>
                <w:sz w:val="24"/>
              </w:rPr>
              <w:t>大气吸收引起的衰减，dB；</w:t>
            </w:r>
          </w:p>
          <w:p w14:paraId="3FE10677">
            <w:pPr>
              <w:autoSpaceDE w:val="0"/>
              <w:autoSpaceDN w:val="0"/>
              <w:adjustRightInd w:val="0"/>
              <w:snapToGrid w:val="0"/>
              <w:spacing w:line="360" w:lineRule="auto"/>
              <w:ind w:firstLine="976" w:firstLineChars="400"/>
              <w:jc w:val="left"/>
              <w:rPr>
                <w:i w:val="0"/>
                <w:iCs w:val="0"/>
                <w:color w:val="auto"/>
                <w:spacing w:val="2"/>
                <w:kern w:val="0"/>
                <w:position w:val="-2"/>
                <w:sz w:val="24"/>
              </w:rPr>
            </w:pPr>
            <w:r>
              <w:rPr>
                <w:i w:val="0"/>
                <w:iCs w:val="0"/>
                <w:color w:val="auto"/>
                <w:spacing w:val="2"/>
                <w:kern w:val="0"/>
                <w:position w:val="-2"/>
                <w:sz w:val="24"/>
              </w:rPr>
              <w:t>A</w:t>
            </w:r>
            <w:r>
              <w:rPr>
                <w:i w:val="0"/>
                <w:iCs w:val="0"/>
                <w:color w:val="auto"/>
                <w:spacing w:val="2"/>
                <w:kern w:val="0"/>
                <w:position w:val="-2"/>
                <w:sz w:val="24"/>
                <w:vertAlign w:val="subscript"/>
              </w:rPr>
              <w:t>gr</w:t>
            </w:r>
            <w:r>
              <w:rPr>
                <w:rFonts w:hint="eastAsia"/>
                <w:i w:val="0"/>
                <w:iCs w:val="0"/>
                <w:color w:val="auto"/>
                <w:spacing w:val="2"/>
                <w:kern w:val="0"/>
                <w:position w:val="-2"/>
                <w:sz w:val="24"/>
                <w:lang w:eastAsia="zh-CN"/>
              </w:rPr>
              <w:t>——</w:t>
            </w:r>
            <w:r>
              <w:rPr>
                <w:i w:val="0"/>
                <w:iCs w:val="0"/>
                <w:color w:val="auto"/>
                <w:spacing w:val="2"/>
                <w:kern w:val="0"/>
                <w:position w:val="-2"/>
                <w:sz w:val="24"/>
              </w:rPr>
              <w:t>地面效应引起的衰减，dB；</w:t>
            </w:r>
          </w:p>
          <w:p w14:paraId="0D922B8A">
            <w:pPr>
              <w:autoSpaceDE w:val="0"/>
              <w:autoSpaceDN w:val="0"/>
              <w:adjustRightInd w:val="0"/>
              <w:snapToGrid w:val="0"/>
              <w:spacing w:line="360" w:lineRule="auto"/>
              <w:ind w:firstLine="976" w:firstLineChars="400"/>
              <w:jc w:val="left"/>
              <w:rPr>
                <w:i w:val="0"/>
                <w:iCs w:val="0"/>
                <w:color w:val="auto"/>
                <w:spacing w:val="2"/>
                <w:kern w:val="0"/>
                <w:position w:val="-2"/>
                <w:sz w:val="24"/>
              </w:rPr>
            </w:pPr>
            <w:r>
              <w:rPr>
                <w:i w:val="0"/>
                <w:iCs w:val="0"/>
                <w:color w:val="auto"/>
                <w:spacing w:val="2"/>
                <w:kern w:val="0"/>
                <w:position w:val="-2"/>
                <w:sz w:val="24"/>
              </w:rPr>
              <w:t>A</w:t>
            </w:r>
            <w:r>
              <w:rPr>
                <w:i w:val="0"/>
                <w:iCs w:val="0"/>
                <w:color w:val="auto"/>
                <w:spacing w:val="2"/>
                <w:kern w:val="0"/>
                <w:position w:val="-2"/>
                <w:sz w:val="24"/>
                <w:vertAlign w:val="subscript"/>
              </w:rPr>
              <w:t>bar</w:t>
            </w:r>
            <w:r>
              <w:rPr>
                <w:rFonts w:hint="eastAsia"/>
                <w:i w:val="0"/>
                <w:iCs w:val="0"/>
                <w:color w:val="auto"/>
                <w:spacing w:val="2"/>
                <w:kern w:val="0"/>
                <w:position w:val="-2"/>
                <w:sz w:val="24"/>
                <w:lang w:eastAsia="zh-CN"/>
              </w:rPr>
              <w:t>——</w:t>
            </w:r>
            <w:r>
              <w:rPr>
                <w:i w:val="0"/>
                <w:iCs w:val="0"/>
                <w:color w:val="auto"/>
                <w:spacing w:val="2"/>
                <w:kern w:val="0"/>
                <w:position w:val="-2"/>
                <w:sz w:val="24"/>
              </w:rPr>
              <w:t>屏障</w:t>
            </w:r>
            <w:r>
              <w:rPr>
                <w:rFonts w:hint="eastAsia"/>
                <w:i w:val="0"/>
                <w:iCs w:val="0"/>
                <w:color w:val="auto"/>
                <w:spacing w:val="2"/>
                <w:kern w:val="0"/>
                <w:position w:val="-2"/>
                <w:sz w:val="24"/>
                <w:lang w:val="en-US" w:eastAsia="zh-CN"/>
              </w:rPr>
              <w:t>物屏蔽</w:t>
            </w:r>
            <w:r>
              <w:rPr>
                <w:i w:val="0"/>
                <w:iCs w:val="0"/>
                <w:color w:val="auto"/>
                <w:spacing w:val="2"/>
                <w:kern w:val="0"/>
                <w:position w:val="-2"/>
                <w:sz w:val="24"/>
              </w:rPr>
              <w:t>引起的衰减，dB；</w:t>
            </w:r>
          </w:p>
          <w:p w14:paraId="28EDF500">
            <w:pPr>
              <w:autoSpaceDE w:val="0"/>
              <w:autoSpaceDN w:val="0"/>
              <w:adjustRightInd w:val="0"/>
              <w:snapToGrid w:val="0"/>
              <w:spacing w:line="360" w:lineRule="auto"/>
              <w:ind w:firstLine="976" w:firstLineChars="400"/>
              <w:jc w:val="left"/>
              <w:rPr>
                <w:rFonts w:hint="eastAsia"/>
                <w:i w:val="0"/>
                <w:iCs w:val="0"/>
                <w:color w:val="auto"/>
                <w:sz w:val="24"/>
                <w:lang w:val="en-US" w:eastAsia="zh-CN"/>
              </w:rPr>
            </w:pPr>
            <w:r>
              <w:rPr>
                <w:i w:val="0"/>
                <w:iCs w:val="0"/>
                <w:color w:val="auto"/>
                <w:spacing w:val="2"/>
                <w:kern w:val="0"/>
                <w:position w:val="-2"/>
                <w:sz w:val="24"/>
                <w:lang w:val="en-US" w:eastAsia="zh-CN"/>
              </w:rPr>
              <w:t>A</w:t>
            </w:r>
            <w:r>
              <w:rPr>
                <w:i w:val="0"/>
                <w:iCs w:val="0"/>
                <w:color w:val="auto"/>
                <w:spacing w:val="2"/>
                <w:kern w:val="0"/>
                <w:position w:val="-2"/>
                <w:sz w:val="24"/>
                <w:vertAlign w:val="subscript"/>
                <w:lang w:val="en-US" w:eastAsia="zh-CN"/>
              </w:rPr>
              <w:t>misc</w:t>
            </w:r>
            <w:r>
              <w:rPr>
                <w:rFonts w:hint="eastAsia"/>
                <w:i w:val="0"/>
                <w:iCs w:val="0"/>
                <w:color w:val="auto"/>
                <w:spacing w:val="2"/>
                <w:kern w:val="0"/>
                <w:position w:val="-2"/>
                <w:sz w:val="24"/>
                <w:lang w:val="en-US" w:eastAsia="zh-CN"/>
              </w:rPr>
              <w:t>——</w:t>
            </w:r>
            <w:r>
              <w:rPr>
                <w:i w:val="0"/>
                <w:iCs w:val="0"/>
                <w:color w:val="auto"/>
                <w:spacing w:val="2"/>
                <w:kern w:val="0"/>
                <w:position w:val="-2"/>
                <w:sz w:val="24"/>
                <w:lang w:val="en-US" w:eastAsia="zh-CN"/>
              </w:rPr>
              <w:t>其他多方面效应引起的衰减，dB。</w:t>
            </w:r>
          </w:p>
          <w:p w14:paraId="7C0C5731">
            <w:pPr>
              <w:numPr>
                <w:ilvl w:val="0"/>
                <w:numId w:val="0"/>
              </w:numPr>
              <w:autoSpaceDE w:val="0"/>
              <w:autoSpaceDN w:val="0"/>
              <w:adjustRightInd w:val="0"/>
              <w:snapToGrid w:val="0"/>
              <w:spacing w:line="360" w:lineRule="auto"/>
              <w:ind w:leftChars="0" w:firstLine="480" w:firstLineChars="200"/>
              <w:rPr>
                <w:rFonts w:hint="eastAsia"/>
                <w:i w:val="0"/>
                <w:iCs w:val="0"/>
                <w:color w:val="auto"/>
                <w:sz w:val="24"/>
                <w:lang w:val="en-US" w:eastAsia="zh-CN"/>
              </w:rPr>
            </w:pPr>
            <w:r>
              <w:rPr>
                <w:rFonts w:hint="eastAsia"/>
                <w:i w:val="0"/>
                <w:iCs w:val="0"/>
                <w:color w:val="auto"/>
                <w:sz w:val="24"/>
                <w:lang w:val="en-US" w:eastAsia="zh-CN"/>
              </w:rPr>
              <w:t>b.预测点的A声级L</w:t>
            </w:r>
            <w:r>
              <w:rPr>
                <w:rFonts w:hint="eastAsia"/>
                <w:i w:val="0"/>
                <w:iCs w:val="0"/>
                <w:color w:val="auto"/>
                <w:sz w:val="24"/>
                <w:vertAlign w:val="subscript"/>
                <w:lang w:val="en-US" w:eastAsia="zh-CN"/>
              </w:rPr>
              <w:t>A</w:t>
            </w:r>
            <w:r>
              <w:rPr>
                <w:rFonts w:hint="eastAsia"/>
                <w:i w:val="0"/>
                <w:iCs w:val="0"/>
                <w:color w:val="auto"/>
                <w:sz w:val="24"/>
                <w:vertAlign w:val="baseline"/>
                <w:lang w:val="en-US" w:eastAsia="zh-CN"/>
              </w:rPr>
              <w:t>(r)可按式4.7.3计算，即将8个倍频带声压级合成，计算出预测点的A声级[L</w:t>
            </w:r>
            <w:r>
              <w:rPr>
                <w:rFonts w:hint="eastAsia"/>
                <w:i w:val="0"/>
                <w:iCs w:val="0"/>
                <w:color w:val="auto"/>
                <w:sz w:val="24"/>
                <w:vertAlign w:val="subscript"/>
                <w:lang w:val="en-US" w:eastAsia="zh-CN"/>
              </w:rPr>
              <w:t>A</w:t>
            </w:r>
            <w:r>
              <w:rPr>
                <w:rFonts w:hint="eastAsia"/>
                <w:i w:val="0"/>
                <w:iCs w:val="0"/>
                <w:color w:val="auto"/>
                <w:sz w:val="24"/>
                <w:vertAlign w:val="baseline"/>
                <w:lang w:val="en-US" w:eastAsia="zh-CN"/>
              </w:rPr>
              <w:t>(r)]。</w:t>
            </w:r>
          </w:p>
          <w:p w14:paraId="39F792BF">
            <w:pPr>
              <w:numPr>
                <w:ilvl w:val="0"/>
                <w:numId w:val="0"/>
              </w:numPr>
              <w:autoSpaceDE w:val="0"/>
              <w:autoSpaceDN w:val="0"/>
              <w:adjustRightInd w:val="0"/>
              <w:snapToGrid w:val="0"/>
              <w:spacing w:line="360" w:lineRule="auto"/>
              <w:ind w:leftChars="0"/>
              <w:jc w:val="center"/>
              <w:rPr>
                <w:rFonts w:hint="eastAsia"/>
                <w:i w:val="0"/>
                <w:iCs w:val="0"/>
                <w:color w:val="auto"/>
                <w:sz w:val="24"/>
                <w:lang w:val="en-US" w:eastAsia="zh-CN"/>
              </w:rPr>
            </w:pPr>
            <w:r>
              <w:rPr>
                <w:rFonts w:hint="eastAsia"/>
                <w:i w:val="0"/>
                <w:iCs w:val="0"/>
                <w:color w:val="auto"/>
                <w:position w:val="-30"/>
                <w:sz w:val="24"/>
                <w:lang w:val="en-US" w:eastAsia="zh-CN"/>
              </w:rPr>
              <w:object>
                <v:shape id="_x0000_i1027" o:spt="75" type="#_x0000_t75" style="height:36pt;width:146pt;" o:ole="t" filled="f" o:preferrelative="t" stroked="f" coordsize="21600,21600">
                  <v:path/>
                  <v:fill on="f" focussize="0,0"/>
                  <v:stroke on="f"/>
                  <v:imagedata r:id="rId16" o:title=""/>
                  <o:lock v:ext="edit" aspectratio="t"/>
                  <w10:wrap type="none"/>
                  <w10:anchorlock/>
                </v:shape>
                <o:OLEObject Type="Embed" ProgID="Equation.KSEE3" ShapeID="_x0000_i1027" DrawAspect="Content" ObjectID="_1468075727" r:id="rId15">
                  <o:LockedField>false</o:LockedField>
                </o:OLEObject>
              </w:object>
            </w:r>
            <w:r>
              <w:rPr>
                <w:rFonts w:hint="eastAsia"/>
                <w:i w:val="0"/>
                <w:iCs w:val="0"/>
                <w:color w:val="auto"/>
                <w:position w:val="-30"/>
                <w:sz w:val="24"/>
                <w:lang w:val="en-US" w:eastAsia="zh-CN"/>
              </w:rPr>
              <w:t>（4.7.3）</w:t>
            </w:r>
          </w:p>
          <w:p w14:paraId="7872F96C">
            <w:pPr>
              <w:numPr>
                <w:ilvl w:val="0"/>
                <w:numId w:val="0"/>
              </w:numPr>
              <w:autoSpaceDE w:val="0"/>
              <w:autoSpaceDN w:val="0"/>
              <w:adjustRightInd w:val="0"/>
              <w:snapToGrid w:val="0"/>
              <w:spacing w:line="360" w:lineRule="auto"/>
              <w:ind w:leftChars="0"/>
              <w:jc w:val="both"/>
              <w:rPr>
                <w:rFonts w:hint="eastAsia"/>
                <w:i w:val="0"/>
                <w:iCs w:val="0"/>
                <w:color w:val="auto"/>
                <w:sz w:val="24"/>
                <w:vertAlign w:val="baseline"/>
                <w:lang w:val="en-US" w:eastAsia="zh-CN"/>
              </w:rPr>
            </w:pPr>
            <w:r>
              <w:rPr>
                <w:rFonts w:hint="eastAsia"/>
                <w:i w:val="0"/>
                <w:iCs w:val="0"/>
                <w:color w:val="auto"/>
                <w:sz w:val="24"/>
                <w:lang w:val="en-US" w:eastAsia="zh-CN"/>
              </w:rPr>
              <w:t>式中：</w:t>
            </w:r>
            <w:r>
              <w:rPr>
                <w:rFonts w:hint="eastAsia"/>
                <w:i w:val="0"/>
                <w:iCs w:val="0"/>
                <w:color w:val="auto"/>
                <w:sz w:val="24"/>
                <w:vertAlign w:val="baseline"/>
                <w:lang w:val="en-US" w:eastAsia="zh-CN"/>
              </w:rPr>
              <w:t>L</w:t>
            </w:r>
            <w:r>
              <w:rPr>
                <w:rFonts w:hint="eastAsia"/>
                <w:i w:val="0"/>
                <w:iCs w:val="0"/>
                <w:color w:val="auto"/>
                <w:sz w:val="24"/>
                <w:vertAlign w:val="subscript"/>
                <w:lang w:val="en-US" w:eastAsia="zh-CN"/>
              </w:rPr>
              <w:t>A</w:t>
            </w:r>
            <w:r>
              <w:rPr>
                <w:rFonts w:hint="eastAsia"/>
                <w:i w:val="0"/>
                <w:iCs w:val="0"/>
                <w:color w:val="auto"/>
                <w:sz w:val="24"/>
                <w:vertAlign w:val="baseline"/>
                <w:lang w:val="en-US" w:eastAsia="zh-CN"/>
              </w:rPr>
              <w:t>(r)——距声源r处的A声级，dB(A);</w:t>
            </w:r>
          </w:p>
          <w:p w14:paraId="2BF41711">
            <w:pPr>
              <w:numPr>
                <w:ilvl w:val="0"/>
                <w:numId w:val="0"/>
              </w:numPr>
              <w:autoSpaceDE w:val="0"/>
              <w:autoSpaceDN w:val="0"/>
              <w:adjustRightInd w:val="0"/>
              <w:snapToGrid w:val="0"/>
              <w:spacing w:line="360" w:lineRule="auto"/>
              <w:ind w:leftChars="0" w:firstLine="720" w:firstLineChars="300"/>
              <w:jc w:val="both"/>
              <w:rPr>
                <w:rFonts w:hint="eastAsia"/>
                <w:i w:val="0"/>
                <w:iCs w:val="0"/>
                <w:color w:val="auto"/>
                <w:sz w:val="24"/>
                <w:vertAlign w:val="baseline"/>
                <w:lang w:val="en-US" w:eastAsia="zh-CN"/>
              </w:rPr>
            </w:pPr>
            <w:r>
              <w:rPr>
                <w:rFonts w:hint="eastAsia"/>
                <w:i w:val="0"/>
                <w:iCs w:val="0"/>
                <w:color w:val="auto"/>
                <w:sz w:val="24"/>
                <w:vertAlign w:val="baseline"/>
                <w:lang w:val="en-US" w:eastAsia="zh-CN"/>
              </w:rPr>
              <w:t>L</w:t>
            </w:r>
            <w:r>
              <w:rPr>
                <w:rFonts w:hint="eastAsia"/>
                <w:i w:val="0"/>
                <w:iCs w:val="0"/>
                <w:color w:val="auto"/>
                <w:sz w:val="24"/>
                <w:vertAlign w:val="subscript"/>
                <w:lang w:val="en-US" w:eastAsia="zh-CN"/>
              </w:rPr>
              <w:t>pi</w:t>
            </w:r>
            <w:r>
              <w:rPr>
                <w:rFonts w:hint="eastAsia"/>
                <w:i w:val="0"/>
                <w:iCs w:val="0"/>
                <w:color w:val="auto"/>
                <w:sz w:val="24"/>
                <w:vertAlign w:val="baseline"/>
                <w:lang w:val="en-US" w:eastAsia="zh-CN"/>
              </w:rPr>
              <w:t>(r)——预测点（r）处，第i倍频带声压级，dB;</w:t>
            </w:r>
          </w:p>
          <w:p w14:paraId="77FB6208">
            <w:pPr>
              <w:numPr>
                <w:ilvl w:val="0"/>
                <w:numId w:val="0"/>
              </w:numPr>
              <w:autoSpaceDE w:val="0"/>
              <w:autoSpaceDN w:val="0"/>
              <w:adjustRightInd w:val="0"/>
              <w:snapToGrid w:val="0"/>
              <w:spacing w:line="360" w:lineRule="auto"/>
              <w:ind w:leftChars="0" w:firstLine="720" w:firstLineChars="300"/>
              <w:jc w:val="both"/>
              <w:rPr>
                <w:rFonts w:hint="eastAsia"/>
                <w:i w:val="0"/>
                <w:iCs w:val="0"/>
                <w:color w:val="auto"/>
                <w:sz w:val="24"/>
                <w:vertAlign w:val="baseline"/>
                <w:lang w:val="en-US" w:eastAsia="zh-CN"/>
              </w:rPr>
            </w:pPr>
            <w:r>
              <w:rPr>
                <w:rFonts w:hint="eastAsia"/>
                <w:i w:val="0"/>
                <w:iCs w:val="0"/>
                <w:color w:val="auto"/>
                <w:sz w:val="24"/>
                <w:vertAlign w:val="baseline"/>
                <w:lang w:val="en-US" w:eastAsia="zh-CN"/>
              </w:rPr>
              <w:drawing>
                <wp:inline distT="0" distB="0" distL="114300" distR="114300">
                  <wp:extent cx="351790" cy="278765"/>
                  <wp:effectExtent l="0" t="0" r="0" b="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17"/>
                          <a:stretch>
                            <a:fillRect/>
                          </a:stretch>
                        </pic:blipFill>
                        <pic:spPr>
                          <a:xfrm>
                            <a:off x="0" y="0"/>
                            <a:ext cx="351790" cy="278765"/>
                          </a:xfrm>
                          <a:prstGeom prst="rect">
                            <a:avLst/>
                          </a:prstGeom>
                          <a:noFill/>
                          <a:ln>
                            <a:noFill/>
                          </a:ln>
                        </pic:spPr>
                      </pic:pic>
                    </a:graphicData>
                  </a:graphic>
                </wp:inline>
              </w:drawing>
            </w:r>
            <w:r>
              <w:rPr>
                <w:rFonts w:hint="eastAsia"/>
                <w:i w:val="0"/>
                <w:iCs w:val="0"/>
                <w:color w:val="auto"/>
                <w:sz w:val="24"/>
                <w:vertAlign w:val="baseline"/>
                <w:lang w:val="en-US" w:eastAsia="zh-CN"/>
              </w:rPr>
              <w:t>——第i倍频带的A计权网络声压级，dB;</w:t>
            </w:r>
          </w:p>
          <w:p w14:paraId="1C50A7AC">
            <w:pPr>
              <w:autoSpaceDE w:val="0"/>
              <w:autoSpaceDN w:val="0"/>
              <w:adjustRightInd w:val="0"/>
              <w:snapToGrid w:val="0"/>
              <w:spacing w:line="360" w:lineRule="auto"/>
              <w:ind w:firstLine="480" w:firstLineChars="200"/>
              <w:jc w:val="both"/>
              <w:rPr>
                <w:i w:val="0"/>
                <w:iCs w:val="0"/>
                <w:color w:val="auto"/>
                <w:sz w:val="24"/>
              </w:rPr>
            </w:pPr>
            <w:r>
              <w:rPr>
                <w:rFonts w:hint="eastAsia"/>
                <w:i w:val="0"/>
                <w:iCs w:val="0"/>
                <w:color w:val="auto"/>
                <w:sz w:val="24"/>
                <w:lang w:val="en-US" w:eastAsia="zh-CN"/>
              </w:rPr>
              <w:t>c.</w:t>
            </w:r>
            <w:r>
              <w:rPr>
                <w:i w:val="0"/>
                <w:iCs w:val="0"/>
                <w:color w:val="auto"/>
                <w:sz w:val="24"/>
              </w:rPr>
              <w:t>噪声贡献值计算</w:t>
            </w:r>
          </w:p>
          <w:p w14:paraId="06A0D96A">
            <w:pPr>
              <w:autoSpaceDE w:val="0"/>
              <w:autoSpaceDN w:val="0"/>
              <w:adjustRightInd w:val="0"/>
              <w:snapToGrid w:val="0"/>
              <w:spacing w:line="360" w:lineRule="auto"/>
              <w:ind w:firstLine="480" w:firstLineChars="200"/>
              <w:rPr>
                <w:i w:val="0"/>
                <w:iCs w:val="0"/>
                <w:color w:val="auto"/>
                <w:sz w:val="24"/>
              </w:rPr>
            </w:pPr>
            <w:r>
              <w:rPr>
                <w:i w:val="0"/>
                <w:iCs w:val="0"/>
                <w:color w:val="auto"/>
                <w:sz w:val="24"/>
              </w:rPr>
              <w:t>设第i个室外声源在预测点产生的A声级为L</w:t>
            </w:r>
            <w:r>
              <w:rPr>
                <w:i w:val="0"/>
                <w:iCs w:val="0"/>
                <w:color w:val="auto"/>
                <w:sz w:val="24"/>
                <w:vertAlign w:val="subscript"/>
              </w:rPr>
              <w:t>Ai</w:t>
            </w:r>
            <w:r>
              <w:rPr>
                <w:i w:val="0"/>
                <w:iCs w:val="0"/>
                <w:color w:val="auto"/>
                <w:sz w:val="24"/>
              </w:rPr>
              <w:t>，在T 时间内该声源工作时间为t</w:t>
            </w:r>
            <w:r>
              <w:rPr>
                <w:i w:val="0"/>
                <w:iCs w:val="0"/>
                <w:color w:val="auto"/>
                <w:sz w:val="24"/>
                <w:vertAlign w:val="subscript"/>
              </w:rPr>
              <w:t>i</w:t>
            </w:r>
            <w:r>
              <w:rPr>
                <w:i w:val="0"/>
                <w:iCs w:val="0"/>
                <w:color w:val="auto"/>
                <w:sz w:val="24"/>
              </w:rPr>
              <w:t>；第j个等效室外声源在预测点产生的A声级为L</w:t>
            </w:r>
            <w:r>
              <w:rPr>
                <w:i w:val="0"/>
                <w:iCs w:val="0"/>
                <w:color w:val="auto"/>
                <w:sz w:val="24"/>
                <w:vertAlign w:val="subscript"/>
              </w:rPr>
              <w:t>Aj</w:t>
            </w:r>
            <w:r>
              <w:rPr>
                <w:i w:val="0"/>
                <w:iCs w:val="0"/>
                <w:color w:val="auto"/>
                <w:sz w:val="24"/>
              </w:rPr>
              <w:t>，在T 时间内该声源工作时间为t</w:t>
            </w:r>
            <w:r>
              <w:rPr>
                <w:i w:val="0"/>
                <w:iCs w:val="0"/>
                <w:color w:val="auto"/>
                <w:sz w:val="24"/>
                <w:vertAlign w:val="subscript"/>
              </w:rPr>
              <w:t>j</w:t>
            </w:r>
            <w:r>
              <w:rPr>
                <w:i w:val="0"/>
                <w:iCs w:val="0"/>
                <w:color w:val="auto"/>
                <w:sz w:val="24"/>
              </w:rPr>
              <w:t>，则拟建工程声源对预测点产生的贡献值（Leqg）为：</w:t>
            </w:r>
          </w:p>
          <w:p w14:paraId="03604151">
            <w:pPr>
              <w:autoSpaceDE w:val="0"/>
              <w:autoSpaceDN w:val="0"/>
              <w:adjustRightInd w:val="0"/>
              <w:snapToGrid w:val="0"/>
              <w:spacing w:line="360" w:lineRule="auto"/>
              <w:ind w:firstLine="480" w:firstLineChars="200"/>
              <w:jc w:val="center"/>
              <w:rPr>
                <w:rFonts w:hint="eastAsia" w:eastAsia="宋体"/>
                <w:i w:val="0"/>
                <w:iCs w:val="0"/>
                <w:color w:val="auto"/>
                <w:sz w:val="24"/>
                <w:lang w:eastAsia="zh-CN"/>
              </w:rPr>
            </w:pPr>
            <w:r>
              <w:rPr>
                <w:i w:val="0"/>
                <w:iCs w:val="0"/>
                <w:color w:val="auto"/>
                <w:sz w:val="24"/>
              </w:rPr>
              <w:drawing>
                <wp:inline distT="0" distB="0" distL="114300" distR="114300">
                  <wp:extent cx="2914650" cy="514350"/>
                  <wp:effectExtent l="0" t="0" r="0" b="0"/>
                  <wp:docPr id="7" name="图片 22" descr="C:\Users\ADMINI~1\AppData\Local\Temp\ksohtml\wps633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C:\Users\ADMINI~1\AppData\Local\Temp\ksohtml\wps6334.tmp.jpg"/>
                          <pic:cNvPicPr>
                            <a:picLocks noChangeAspect="1"/>
                          </pic:cNvPicPr>
                        </pic:nvPicPr>
                        <pic:blipFill>
                          <a:blip r:embed="rId18"/>
                          <a:stretch>
                            <a:fillRect/>
                          </a:stretch>
                        </pic:blipFill>
                        <pic:spPr>
                          <a:xfrm>
                            <a:off x="0" y="0"/>
                            <a:ext cx="2914650" cy="514350"/>
                          </a:xfrm>
                          <a:prstGeom prst="rect">
                            <a:avLst/>
                          </a:prstGeom>
                          <a:noFill/>
                          <a:ln>
                            <a:noFill/>
                          </a:ln>
                        </pic:spPr>
                      </pic:pic>
                    </a:graphicData>
                  </a:graphic>
                </wp:inline>
              </w:drawing>
            </w:r>
            <w:r>
              <w:rPr>
                <w:rFonts w:hint="eastAsia"/>
                <w:i w:val="0"/>
                <w:iCs w:val="0"/>
                <w:color w:val="auto"/>
                <w:sz w:val="24"/>
                <w:lang w:eastAsia="zh-CN"/>
              </w:rPr>
              <w:t>（</w:t>
            </w:r>
            <w:r>
              <w:rPr>
                <w:rFonts w:hint="eastAsia"/>
                <w:i w:val="0"/>
                <w:iCs w:val="0"/>
                <w:color w:val="auto"/>
                <w:sz w:val="24"/>
                <w:lang w:val="en-US" w:eastAsia="zh-CN"/>
              </w:rPr>
              <w:t>4.7.4</w:t>
            </w:r>
            <w:r>
              <w:rPr>
                <w:rFonts w:hint="eastAsia"/>
                <w:i w:val="0"/>
                <w:iCs w:val="0"/>
                <w:color w:val="auto"/>
                <w:sz w:val="24"/>
                <w:lang w:eastAsia="zh-CN"/>
              </w:rPr>
              <w:t>）</w:t>
            </w:r>
          </w:p>
          <w:p w14:paraId="7D81EFCF">
            <w:pPr>
              <w:autoSpaceDE w:val="0"/>
              <w:autoSpaceDN w:val="0"/>
              <w:adjustRightInd w:val="0"/>
              <w:snapToGrid w:val="0"/>
              <w:spacing w:line="360" w:lineRule="auto"/>
              <w:ind w:firstLine="480" w:firstLineChars="200"/>
              <w:rPr>
                <w:rFonts w:hint="default"/>
                <w:color w:val="auto"/>
                <w:kern w:val="0"/>
                <w:sz w:val="24"/>
                <w:vertAlign w:val="baseline"/>
                <w:lang w:val="en-US" w:eastAsia="zh-CN"/>
              </w:rPr>
            </w:pPr>
            <w:r>
              <w:rPr>
                <w:color w:val="auto"/>
                <w:kern w:val="0"/>
                <w:sz w:val="24"/>
              </w:rPr>
              <w:t>式中：</w:t>
            </w:r>
            <w:r>
              <w:rPr>
                <w:rFonts w:hint="eastAsia"/>
                <w:color w:val="auto"/>
                <w:kern w:val="0"/>
                <w:sz w:val="24"/>
                <w:lang w:val="en-US" w:eastAsia="zh-CN"/>
              </w:rPr>
              <w:t>L</w:t>
            </w:r>
            <w:r>
              <w:rPr>
                <w:rFonts w:hint="eastAsia"/>
                <w:color w:val="auto"/>
                <w:kern w:val="0"/>
                <w:sz w:val="24"/>
                <w:vertAlign w:val="subscript"/>
                <w:lang w:val="en-US" w:eastAsia="zh-CN"/>
              </w:rPr>
              <w:t>egq</w:t>
            </w:r>
            <w:r>
              <w:rPr>
                <w:rFonts w:hint="eastAsia"/>
                <w:color w:val="auto"/>
                <w:kern w:val="0"/>
                <w:sz w:val="24"/>
                <w:vertAlign w:val="baseline"/>
                <w:lang w:val="en-US" w:eastAsia="zh-CN"/>
              </w:rPr>
              <w:t>——建设项目声源在预测点产生的噪声贡献值，dB；</w:t>
            </w:r>
          </w:p>
          <w:p w14:paraId="4071AF75">
            <w:pPr>
              <w:autoSpaceDE w:val="0"/>
              <w:autoSpaceDN w:val="0"/>
              <w:adjustRightInd w:val="0"/>
              <w:snapToGrid w:val="0"/>
              <w:spacing w:line="360" w:lineRule="auto"/>
              <w:ind w:firstLine="1200" w:firstLineChars="500"/>
              <w:rPr>
                <w:color w:val="auto"/>
                <w:kern w:val="0"/>
                <w:sz w:val="24"/>
              </w:rPr>
            </w:pPr>
            <w:r>
              <w:rPr>
                <w:i/>
                <w:iCs/>
                <w:color w:val="auto"/>
                <w:kern w:val="0"/>
                <w:sz w:val="24"/>
              </w:rPr>
              <w:t>t</w:t>
            </w:r>
            <w:r>
              <w:rPr>
                <w:i/>
                <w:iCs/>
                <w:color w:val="auto"/>
                <w:kern w:val="0"/>
                <w:sz w:val="24"/>
                <w:vertAlign w:val="subscript"/>
              </w:rPr>
              <w:t>j</w:t>
            </w:r>
            <w:r>
              <w:rPr>
                <w:color w:val="auto"/>
                <w:kern w:val="0"/>
                <w:sz w:val="24"/>
              </w:rPr>
              <w:t>—在T时间内 j声源工作时间，s；</w:t>
            </w:r>
          </w:p>
          <w:p w14:paraId="7896919A">
            <w:pPr>
              <w:keepNext w:val="0"/>
              <w:keepLines w:val="0"/>
              <w:pageBreakBefore w:val="0"/>
              <w:widowControl w:val="0"/>
              <w:kinsoku/>
              <w:wordWrap/>
              <w:overflowPunct/>
              <w:topLinePunct w:val="0"/>
              <w:autoSpaceDE w:val="0"/>
              <w:autoSpaceDN w:val="0"/>
              <w:bidi w:val="0"/>
              <w:adjustRightInd w:val="0"/>
              <w:snapToGrid w:val="0"/>
              <w:spacing w:line="360" w:lineRule="auto"/>
              <w:ind w:firstLine="1200" w:firstLineChars="500"/>
              <w:textAlignment w:val="auto"/>
              <w:rPr>
                <w:color w:val="auto"/>
                <w:kern w:val="0"/>
                <w:sz w:val="24"/>
              </w:rPr>
            </w:pPr>
            <w:r>
              <w:rPr>
                <w:i/>
                <w:iCs/>
                <w:color w:val="auto"/>
                <w:kern w:val="0"/>
                <w:sz w:val="24"/>
              </w:rPr>
              <w:t>t</w:t>
            </w:r>
            <w:r>
              <w:rPr>
                <w:i/>
                <w:iCs/>
                <w:color w:val="auto"/>
                <w:kern w:val="0"/>
                <w:sz w:val="24"/>
                <w:vertAlign w:val="subscript"/>
              </w:rPr>
              <w:t>i</w:t>
            </w:r>
            <w:r>
              <w:rPr>
                <w:color w:val="auto"/>
                <w:kern w:val="0"/>
                <w:sz w:val="24"/>
              </w:rPr>
              <w:t>—在T时间内i声源工作时间，s；</w:t>
            </w:r>
          </w:p>
          <w:p w14:paraId="0485351F">
            <w:pPr>
              <w:keepNext w:val="0"/>
              <w:keepLines w:val="0"/>
              <w:pageBreakBefore w:val="0"/>
              <w:widowControl w:val="0"/>
              <w:kinsoku/>
              <w:wordWrap/>
              <w:overflowPunct/>
              <w:topLinePunct w:val="0"/>
              <w:autoSpaceDE w:val="0"/>
              <w:autoSpaceDN w:val="0"/>
              <w:bidi w:val="0"/>
              <w:adjustRightInd w:val="0"/>
              <w:snapToGrid w:val="0"/>
              <w:spacing w:line="360" w:lineRule="auto"/>
              <w:ind w:firstLine="1200" w:firstLineChars="500"/>
              <w:textAlignment w:val="auto"/>
              <w:rPr>
                <w:color w:val="auto"/>
                <w:kern w:val="0"/>
                <w:sz w:val="24"/>
              </w:rPr>
            </w:pPr>
            <w:r>
              <w:rPr>
                <w:color w:val="auto"/>
                <w:kern w:val="0"/>
                <w:sz w:val="24"/>
              </w:rPr>
              <w:t>T—用于计算等效声级的时间，s；</w:t>
            </w:r>
          </w:p>
          <w:p w14:paraId="666843E3">
            <w:pPr>
              <w:keepNext w:val="0"/>
              <w:keepLines w:val="0"/>
              <w:pageBreakBefore w:val="0"/>
              <w:widowControl w:val="0"/>
              <w:kinsoku/>
              <w:wordWrap/>
              <w:overflowPunct/>
              <w:topLinePunct w:val="0"/>
              <w:autoSpaceDE w:val="0"/>
              <w:autoSpaceDN w:val="0"/>
              <w:bidi w:val="0"/>
              <w:adjustRightInd w:val="0"/>
              <w:snapToGrid w:val="0"/>
              <w:spacing w:line="360" w:lineRule="auto"/>
              <w:ind w:firstLine="1200" w:firstLineChars="500"/>
              <w:textAlignment w:val="auto"/>
              <w:rPr>
                <w:color w:val="auto"/>
                <w:kern w:val="0"/>
                <w:sz w:val="24"/>
              </w:rPr>
            </w:pPr>
            <w:r>
              <w:rPr>
                <w:color w:val="auto"/>
                <w:kern w:val="0"/>
                <w:sz w:val="24"/>
              </w:rPr>
              <w:t>N—室外声源个数；</w:t>
            </w:r>
          </w:p>
          <w:p w14:paraId="5E420A3A">
            <w:pPr>
              <w:keepNext w:val="0"/>
              <w:keepLines w:val="0"/>
              <w:pageBreakBefore w:val="0"/>
              <w:widowControl w:val="0"/>
              <w:kinsoku/>
              <w:wordWrap/>
              <w:overflowPunct/>
              <w:topLinePunct w:val="0"/>
              <w:autoSpaceDE w:val="0"/>
              <w:autoSpaceDN w:val="0"/>
              <w:bidi w:val="0"/>
              <w:adjustRightInd w:val="0"/>
              <w:snapToGrid w:val="0"/>
              <w:spacing w:line="360" w:lineRule="auto"/>
              <w:ind w:firstLine="1200" w:firstLineChars="500"/>
              <w:textAlignment w:val="auto"/>
              <w:rPr>
                <w:color w:val="auto"/>
                <w:kern w:val="0"/>
                <w:sz w:val="24"/>
              </w:rPr>
            </w:pPr>
            <w:r>
              <w:rPr>
                <w:color w:val="auto"/>
                <w:kern w:val="0"/>
                <w:sz w:val="24"/>
              </w:rPr>
              <w:t>M—等效室外声源个数。</w:t>
            </w:r>
          </w:p>
          <w:p w14:paraId="3C3EFAF8">
            <w:pPr>
              <w:autoSpaceDE w:val="0"/>
              <w:autoSpaceDN w:val="0"/>
              <w:adjustRightInd w:val="0"/>
              <w:snapToGrid w:val="0"/>
              <w:spacing w:line="360" w:lineRule="auto"/>
              <w:ind w:firstLine="480" w:firstLineChars="200"/>
              <w:jc w:val="both"/>
              <w:rPr>
                <w:rFonts w:hint="eastAsia"/>
                <w:i w:val="0"/>
                <w:iCs w:val="0"/>
                <w:color w:val="auto"/>
                <w:sz w:val="24"/>
                <w:lang w:val="en-US" w:eastAsia="zh-CN"/>
              </w:rPr>
            </w:pPr>
            <w:r>
              <w:rPr>
                <w:rFonts w:hint="eastAsia"/>
                <w:i w:val="0"/>
                <w:iCs w:val="0"/>
                <w:color w:val="auto"/>
                <w:sz w:val="24"/>
                <w:lang w:val="en-US" w:eastAsia="zh-CN"/>
              </w:rPr>
              <w:t>d.预测点的预测等效声级计算</w:t>
            </w:r>
          </w:p>
          <w:p w14:paraId="4E11546D">
            <w:pPr>
              <w:autoSpaceDE w:val="0"/>
              <w:autoSpaceDN w:val="0"/>
              <w:adjustRightInd w:val="0"/>
              <w:snapToGrid w:val="0"/>
              <w:spacing w:line="360" w:lineRule="auto"/>
              <w:ind w:firstLine="480" w:firstLineChars="200"/>
              <w:jc w:val="both"/>
              <w:rPr>
                <w:rFonts w:hint="eastAsia"/>
                <w:i w:val="0"/>
                <w:iCs w:val="0"/>
                <w:color w:val="auto"/>
                <w:sz w:val="24"/>
                <w:lang w:val="en-US" w:eastAsia="zh-CN"/>
              </w:rPr>
            </w:pPr>
            <w:r>
              <w:rPr>
                <w:rFonts w:hint="eastAsia"/>
                <w:i w:val="0"/>
                <w:iCs w:val="0"/>
                <w:color w:val="auto"/>
                <w:sz w:val="24"/>
                <w:lang w:val="en-US" w:eastAsia="zh-CN"/>
              </w:rPr>
              <w:t>考虑到背景噪声的影响，受声点声压级预测值Leq为：</w:t>
            </w:r>
          </w:p>
          <w:p w14:paraId="7B16E6D9">
            <w:pPr>
              <w:autoSpaceDE w:val="0"/>
              <w:autoSpaceDN w:val="0"/>
              <w:adjustRightInd w:val="0"/>
              <w:snapToGrid w:val="0"/>
              <w:spacing w:line="360" w:lineRule="auto"/>
              <w:ind w:firstLine="480" w:firstLineChars="200"/>
              <w:jc w:val="center"/>
              <w:rPr>
                <w:rFonts w:hint="eastAsia"/>
                <w:i w:val="0"/>
                <w:iCs w:val="0"/>
                <w:color w:val="auto"/>
                <w:sz w:val="24"/>
                <w:lang w:val="en-US" w:eastAsia="zh-CN"/>
              </w:rPr>
            </w:pPr>
            <w:r>
              <w:rPr>
                <w:rFonts w:hint="eastAsia"/>
                <w:i w:val="0"/>
                <w:iCs w:val="0"/>
                <w:color w:val="auto"/>
                <w:position w:val="-14"/>
                <w:sz w:val="24"/>
                <w:lang w:val="en-US" w:eastAsia="zh-CN"/>
              </w:rPr>
              <w:object>
                <v:shape id="_x0000_i1028" o:spt="75" type="#_x0000_t75" style="height:20pt;width:132.95pt;" o:ole="t" filled="f" o:preferrelative="t" stroked="f" coordsize="21600,21600">
                  <v:path/>
                  <v:fill on="f" focussize="0,0"/>
                  <v:stroke on="f"/>
                  <v:imagedata r:id="rId20" o:title=""/>
                  <o:lock v:ext="edit" aspectratio="t"/>
                  <w10:wrap type="none"/>
                  <w10:anchorlock/>
                </v:shape>
                <o:OLEObject Type="Embed" ProgID="Equation.KSEE3" ShapeID="_x0000_i1028" DrawAspect="Content" ObjectID="_1468075728" r:id="rId19">
                  <o:LockedField>false</o:LockedField>
                </o:OLEObject>
              </w:object>
            </w:r>
            <w:r>
              <w:rPr>
                <w:rFonts w:hint="eastAsia"/>
                <w:i w:val="0"/>
                <w:iCs w:val="0"/>
                <w:color w:val="auto"/>
                <w:position w:val="-14"/>
                <w:sz w:val="24"/>
                <w:lang w:val="en-US" w:eastAsia="zh-CN"/>
              </w:rPr>
              <w:t>（4.7.5）</w:t>
            </w:r>
          </w:p>
          <w:p w14:paraId="77E1693B">
            <w:pPr>
              <w:adjustRightInd w:val="0"/>
              <w:snapToGrid w:val="0"/>
              <w:spacing w:line="360" w:lineRule="auto"/>
              <w:ind w:firstLine="480" w:firstLineChars="200"/>
              <w:rPr>
                <w:color w:val="auto"/>
                <w:sz w:val="24"/>
              </w:rPr>
            </w:pPr>
            <w:r>
              <w:rPr>
                <w:color w:val="auto"/>
                <w:sz w:val="24"/>
              </w:rPr>
              <w:t>式中：</w:t>
            </w:r>
            <w:r>
              <w:rPr>
                <w:i/>
                <w:iCs/>
                <w:color w:val="auto"/>
                <w:sz w:val="24"/>
              </w:rPr>
              <w:t>L</w:t>
            </w:r>
            <w:r>
              <w:rPr>
                <w:i/>
                <w:iCs/>
                <w:color w:val="auto"/>
                <w:sz w:val="24"/>
                <w:vertAlign w:val="subscript"/>
              </w:rPr>
              <w:t>eq</w:t>
            </w:r>
            <w:r>
              <w:rPr>
                <w:rFonts w:hint="eastAsia"/>
                <w:i/>
                <w:iCs/>
                <w:color w:val="auto"/>
                <w:sz w:val="24"/>
                <w:vertAlign w:val="baseline"/>
                <w:lang w:eastAsia="zh-CN"/>
              </w:rPr>
              <w:t>——</w:t>
            </w:r>
            <w:r>
              <w:rPr>
                <w:color w:val="auto"/>
                <w:sz w:val="24"/>
              </w:rPr>
              <w:t>预测点的</w:t>
            </w:r>
            <w:r>
              <w:rPr>
                <w:rFonts w:hint="eastAsia"/>
                <w:color w:val="auto"/>
                <w:sz w:val="24"/>
                <w:lang w:val="en-US" w:eastAsia="zh-CN"/>
              </w:rPr>
              <w:t>噪声预测值</w:t>
            </w:r>
            <w:r>
              <w:rPr>
                <w:color w:val="auto"/>
                <w:sz w:val="24"/>
              </w:rPr>
              <w:t>，dB；</w:t>
            </w:r>
          </w:p>
          <w:p w14:paraId="79DBA19A">
            <w:pPr>
              <w:adjustRightInd w:val="0"/>
              <w:snapToGrid w:val="0"/>
              <w:spacing w:line="360" w:lineRule="auto"/>
              <w:ind w:firstLine="480" w:firstLineChars="200"/>
              <w:rPr>
                <w:rFonts w:hint="default" w:eastAsia="宋体"/>
                <w:color w:val="auto"/>
                <w:sz w:val="24"/>
                <w:vertAlign w:val="baseline"/>
                <w:lang w:val="en-US" w:eastAsia="zh-CN"/>
              </w:rPr>
            </w:pPr>
            <w:r>
              <w:rPr>
                <w:rFonts w:hint="eastAsia"/>
                <w:color w:val="auto"/>
                <w:sz w:val="24"/>
                <w:lang w:val="en-US" w:eastAsia="zh-CN"/>
              </w:rPr>
              <w:t xml:space="preserve">      </w:t>
            </w:r>
            <w:r>
              <w:rPr>
                <w:i/>
                <w:iCs/>
                <w:color w:val="auto"/>
                <w:sz w:val="24"/>
              </w:rPr>
              <w:t>L</w:t>
            </w:r>
            <w:r>
              <w:rPr>
                <w:i/>
                <w:iCs/>
                <w:color w:val="auto"/>
                <w:sz w:val="24"/>
                <w:vertAlign w:val="subscript"/>
              </w:rPr>
              <w:t>e</w:t>
            </w:r>
            <w:r>
              <w:rPr>
                <w:rFonts w:hint="eastAsia"/>
                <w:i/>
                <w:iCs/>
                <w:color w:val="auto"/>
                <w:sz w:val="24"/>
                <w:vertAlign w:val="subscript"/>
                <w:lang w:val="en-US" w:eastAsia="zh-CN"/>
              </w:rPr>
              <w:t>qg</w:t>
            </w:r>
            <w:r>
              <w:rPr>
                <w:rFonts w:hint="eastAsia"/>
                <w:i/>
                <w:iCs/>
                <w:color w:val="auto"/>
                <w:sz w:val="24"/>
                <w:vertAlign w:val="baseline"/>
                <w:lang w:val="en-US" w:eastAsia="zh-CN"/>
              </w:rPr>
              <w:t>——</w:t>
            </w:r>
            <w:r>
              <w:rPr>
                <w:rFonts w:hint="eastAsia"/>
                <w:color w:val="auto"/>
                <w:kern w:val="0"/>
                <w:sz w:val="24"/>
                <w:vertAlign w:val="baseline"/>
                <w:lang w:val="en-US" w:eastAsia="zh-CN"/>
              </w:rPr>
              <w:t>建设项目声源在预测点产生的噪声贡献值，dB；</w:t>
            </w:r>
          </w:p>
          <w:p w14:paraId="5AC19142">
            <w:pPr>
              <w:keepNext w:val="0"/>
              <w:keepLines w:val="0"/>
              <w:pageBreakBefore w:val="0"/>
              <w:widowControl/>
              <w:kinsoku/>
              <w:wordWrap/>
              <w:overflowPunct/>
              <w:topLinePunct w:val="0"/>
              <w:autoSpaceDE/>
              <w:autoSpaceDN/>
              <w:bidi w:val="0"/>
              <w:adjustRightInd w:val="0"/>
              <w:snapToGrid w:val="0"/>
              <w:spacing w:line="360" w:lineRule="auto"/>
              <w:ind w:firstLine="1200" w:firstLineChars="500"/>
              <w:jc w:val="left"/>
              <w:textAlignment w:val="auto"/>
              <w:rPr>
                <w:color w:val="auto"/>
                <w:spacing w:val="6"/>
                <w:sz w:val="24"/>
              </w:rPr>
            </w:pPr>
            <w:r>
              <w:rPr>
                <w:i/>
                <w:iCs/>
                <w:color w:val="auto"/>
                <w:sz w:val="24"/>
              </w:rPr>
              <w:t>L</w:t>
            </w:r>
            <w:r>
              <w:rPr>
                <w:i/>
                <w:iCs/>
                <w:color w:val="auto"/>
                <w:sz w:val="24"/>
                <w:vertAlign w:val="subscript"/>
              </w:rPr>
              <w:t>eqb</w:t>
            </w:r>
            <w:r>
              <w:rPr>
                <w:rFonts w:hint="eastAsia"/>
                <w:i/>
                <w:iCs/>
                <w:color w:val="auto"/>
                <w:sz w:val="24"/>
                <w:vertAlign w:val="baseline"/>
                <w:lang w:eastAsia="zh-CN"/>
              </w:rPr>
              <w:t>——</w:t>
            </w:r>
            <w:r>
              <w:rPr>
                <w:color w:val="auto"/>
                <w:sz w:val="24"/>
              </w:rPr>
              <w:t>预测点的背景</w:t>
            </w:r>
            <w:r>
              <w:rPr>
                <w:rFonts w:hint="eastAsia"/>
                <w:color w:val="auto"/>
                <w:sz w:val="24"/>
                <w:lang w:val="en-US" w:eastAsia="zh-CN"/>
              </w:rPr>
              <w:t>噪声</w:t>
            </w:r>
            <w:r>
              <w:rPr>
                <w:color w:val="auto"/>
                <w:sz w:val="24"/>
              </w:rPr>
              <w:t>值，dB。</w:t>
            </w:r>
          </w:p>
          <w:p w14:paraId="155AE900">
            <w:pPr>
              <w:keepNext w:val="0"/>
              <w:keepLines w:val="0"/>
              <w:pageBreakBefore w:val="0"/>
              <w:widowControl w:val="0"/>
              <w:kinsoku/>
              <w:wordWrap/>
              <w:overflowPunct/>
              <w:topLinePunct w:val="0"/>
              <w:autoSpaceDE/>
              <w:autoSpaceDN/>
              <w:bidi w:val="0"/>
              <w:adjustRightInd w:val="0"/>
              <w:snapToGrid w:val="0"/>
              <w:spacing w:line="360" w:lineRule="auto"/>
              <w:ind w:left="479" w:leftChars="228" w:firstLine="0" w:firstLineChars="0"/>
              <w:textAlignment w:val="auto"/>
              <w:rPr>
                <w:rFonts w:hint="default" w:ascii="Times New Roman" w:hAnsi="Times New Roman" w:eastAsia="宋体" w:cs="Times New Roman"/>
                <w:b/>
                <w:bCs/>
                <w:spacing w:val="12"/>
                <w:sz w:val="24"/>
                <w:szCs w:val="24"/>
              </w:rPr>
            </w:pPr>
            <w:r>
              <w:rPr>
                <w:rFonts w:hint="eastAsia"/>
                <w:color w:val="auto"/>
                <w:sz w:val="24"/>
                <w:lang w:val="en-US" w:eastAsia="zh-CN"/>
              </w:rPr>
              <w:t>本项目</w:t>
            </w:r>
            <w:r>
              <w:rPr>
                <w:color w:val="auto"/>
                <w:sz w:val="24"/>
              </w:rPr>
              <w:t>运营期昼间的厂界噪声进行预测评价</w:t>
            </w:r>
            <w:r>
              <w:rPr>
                <w:rFonts w:hint="eastAsia"/>
                <w:color w:val="auto"/>
                <w:sz w:val="24"/>
              </w:rPr>
              <w:t>，</w:t>
            </w:r>
            <w:r>
              <w:rPr>
                <w:color w:val="auto"/>
                <w:sz w:val="24"/>
              </w:rPr>
              <w:t>夜间不生产，预测结果见</w:t>
            </w:r>
            <w:r>
              <w:rPr>
                <w:rFonts w:hint="eastAsia"/>
                <w:color w:val="auto"/>
                <w:sz w:val="24"/>
                <w:lang w:val="en-US" w:eastAsia="zh-CN"/>
              </w:rPr>
              <w:t>下</w:t>
            </w:r>
            <w:r>
              <w:rPr>
                <w:color w:val="auto"/>
                <w:sz w:val="24"/>
              </w:rPr>
              <w:t>表</w:t>
            </w:r>
            <w:r>
              <w:rPr>
                <w:rFonts w:hint="eastAsia"/>
                <w:color w:val="auto"/>
                <w:sz w:val="24"/>
                <w:lang w:eastAsia="zh-CN"/>
              </w:rPr>
              <w:t>。</w:t>
            </w:r>
            <w:r>
              <w:rPr>
                <w:rFonts w:hint="default" w:ascii="Times New Roman" w:hAnsi="Times New Roman" w:eastAsia="宋体" w:cs="Times New Roman"/>
                <w:b/>
                <w:bCs/>
                <w:spacing w:val="12"/>
                <w:sz w:val="24"/>
                <w:szCs w:val="24"/>
              </w:rPr>
              <w:t>2.3.2</w:t>
            </w:r>
            <w:r>
              <w:rPr>
                <w:rFonts w:hint="eastAsia" w:ascii="Times New Roman" w:hAnsi="Times New Roman" w:eastAsia="宋体" w:cs="Times New Roman"/>
                <w:b/>
                <w:bCs/>
                <w:spacing w:val="12"/>
                <w:sz w:val="24"/>
                <w:szCs w:val="24"/>
                <w:lang w:val="en-US" w:eastAsia="zh-CN"/>
              </w:rPr>
              <w:t xml:space="preserve">  </w:t>
            </w:r>
            <w:r>
              <w:rPr>
                <w:rFonts w:hint="default" w:ascii="Times New Roman" w:hAnsi="Times New Roman" w:eastAsia="宋体" w:cs="Times New Roman"/>
                <w:b/>
                <w:bCs/>
                <w:spacing w:val="12"/>
                <w:sz w:val="24"/>
                <w:szCs w:val="24"/>
              </w:rPr>
              <w:t>噪声源强</w:t>
            </w:r>
          </w:p>
          <w:p w14:paraId="1823DF57">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spacing w:val="4"/>
                <w:sz w:val="24"/>
                <w:szCs w:val="24"/>
              </w:rPr>
            </w:pPr>
            <w:r>
              <w:rPr>
                <w:rFonts w:hint="default" w:ascii="Times New Roman" w:hAnsi="Times New Roman" w:eastAsia="宋体" w:cs="Times New Roman"/>
                <w:spacing w:val="-2"/>
                <w:sz w:val="24"/>
                <w:szCs w:val="24"/>
              </w:rPr>
              <w:t>项目矿山开采设备声源简化为点源，根据《环境噪声与振动控</w:t>
            </w:r>
            <w:r>
              <w:rPr>
                <w:rFonts w:hint="default" w:ascii="Times New Roman" w:hAnsi="Times New Roman" w:eastAsia="宋体" w:cs="Times New Roman"/>
                <w:spacing w:val="7"/>
                <w:sz w:val="24"/>
                <w:szCs w:val="24"/>
              </w:rPr>
              <w:t>制工程技术导则》（</w:t>
            </w:r>
            <w:r>
              <w:rPr>
                <w:rFonts w:hint="default" w:ascii="Times New Roman" w:hAnsi="Times New Roman" w:eastAsia="宋体" w:cs="Times New Roman"/>
                <w:sz w:val="24"/>
                <w:szCs w:val="24"/>
              </w:rPr>
              <w:t>HJ</w:t>
            </w:r>
            <w:r>
              <w:rPr>
                <w:rFonts w:hint="default" w:ascii="Times New Roman" w:hAnsi="Times New Roman" w:eastAsia="宋体" w:cs="Times New Roman"/>
                <w:spacing w:val="7"/>
                <w:sz w:val="24"/>
                <w:szCs w:val="24"/>
              </w:rPr>
              <w:t>2034-2013</w:t>
            </w:r>
            <w:r>
              <w:rPr>
                <w:rFonts w:hint="eastAsia" w:ascii="Times New Roman" w:hAnsi="Times New Roman" w:eastAsia="宋体" w:cs="Times New Roman"/>
                <w:spacing w:val="7"/>
                <w:sz w:val="24"/>
                <w:szCs w:val="24"/>
                <w:lang w:eastAsia="zh-CN"/>
              </w:rPr>
              <w:t>）</w:t>
            </w:r>
            <w:r>
              <w:rPr>
                <w:rFonts w:hint="eastAsia" w:ascii="Times New Roman" w:hAnsi="Times New Roman" w:eastAsia="宋体" w:cs="Times New Roman"/>
                <w:spacing w:val="7"/>
                <w:sz w:val="24"/>
                <w:szCs w:val="24"/>
                <w:lang w:val="en-US" w:eastAsia="zh-CN"/>
              </w:rPr>
              <w:t>附录A</w:t>
            </w:r>
            <w:r>
              <w:rPr>
                <w:rFonts w:hint="default" w:ascii="Times New Roman" w:hAnsi="Times New Roman" w:eastAsia="宋体" w:cs="Times New Roman"/>
                <w:spacing w:val="7"/>
                <w:sz w:val="24"/>
                <w:szCs w:val="24"/>
              </w:rPr>
              <w:t>，设备噪声源强调查清</w:t>
            </w:r>
            <w:r>
              <w:rPr>
                <w:rFonts w:hint="default" w:ascii="Times New Roman" w:hAnsi="Times New Roman" w:eastAsia="宋体" w:cs="Times New Roman"/>
                <w:spacing w:val="6"/>
                <w:sz w:val="24"/>
                <w:szCs w:val="24"/>
              </w:rPr>
              <w:t>单见</w:t>
            </w:r>
            <w:r>
              <w:rPr>
                <w:rFonts w:hint="default" w:ascii="Times New Roman" w:hAnsi="Times New Roman" w:eastAsia="宋体" w:cs="Times New Roman"/>
                <w:spacing w:val="4"/>
                <w:sz w:val="24"/>
                <w:szCs w:val="24"/>
              </w:rPr>
              <w:t>表4-</w:t>
            </w:r>
            <w:r>
              <w:rPr>
                <w:rFonts w:hint="eastAsia" w:ascii="Times New Roman" w:hAnsi="Times New Roman" w:eastAsia="宋体" w:cs="Times New Roman"/>
                <w:spacing w:val="4"/>
                <w:sz w:val="24"/>
                <w:szCs w:val="24"/>
                <w:lang w:val="en-US" w:eastAsia="zh-CN"/>
              </w:rPr>
              <w:t>1</w:t>
            </w:r>
            <w:r>
              <w:rPr>
                <w:rFonts w:hint="eastAsia" w:cs="Times New Roman"/>
                <w:spacing w:val="4"/>
                <w:sz w:val="24"/>
                <w:szCs w:val="24"/>
                <w:lang w:val="en-US" w:eastAsia="zh-CN"/>
              </w:rPr>
              <w:t>3</w:t>
            </w:r>
            <w:r>
              <w:rPr>
                <w:rFonts w:hint="default" w:ascii="Times New Roman" w:hAnsi="Times New Roman" w:eastAsia="宋体" w:cs="Times New Roman"/>
                <w:spacing w:val="4"/>
                <w:sz w:val="24"/>
                <w:szCs w:val="24"/>
              </w:rPr>
              <w:t>。</w:t>
            </w:r>
          </w:p>
          <w:p w14:paraId="1B6AE903">
            <w:pPr>
              <w:keepNext w:val="0"/>
              <w:keepLines w:val="0"/>
              <w:pageBreakBefore w:val="0"/>
              <w:widowControl w:val="0"/>
              <w:kinsoku/>
              <w:wordWrap/>
              <w:overflowPunct/>
              <w:topLinePunct w:val="0"/>
              <w:autoSpaceDE/>
              <w:autoSpaceDN/>
              <w:bidi w:val="0"/>
              <w:adjustRightInd w:val="0"/>
              <w:snapToGrid w:val="0"/>
              <w:spacing w:line="360" w:lineRule="auto"/>
              <w:ind w:firstLine="434" w:firstLineChars="200"/>
              <w:jc w:val="center"/>
              <w:textAlignment w:val="auto"/>
              <w:rPr>
                <w:rFonts w:hint="default" w:ascii="Times New Roman" w:hAnsi="Times New Roman" w:eastAsia="宋体" w:cs="Times New Roman"/>
                <w:b/>
                <w:bCs/>
                <w:spacing w:val="3"/>
                <w:sz w:val="21"/>
                <w:szCs w:val="21"/>
              </w:rPr>
            </w:pPr>
            <w:r>
              <w:rPr>
                <w:rFonts w:hint="default" w:ascii="Times New Roman" w:hAnsi="Times New Roman" w:eastAsia="宋体" w:cs="Times New Roman"/>
                <w:b/>
                <w:bCs/>
                <w:spacing w:val="3"/>
                <w:sz w:val="21"/>
                <w:szCs w:val="21"/>
              </w:rPr>
              <w:t>表4-</w:t>
            </w:r>
            <w:r>
              <w:rPr>
                <w:rFonts w:hint="eastAsia" w:ascii="Times New Roman" w:hAnsi="Times New Roman" w:eastAsia="宋体" w:cs="Times New Roman"/>
                <w:b/>
                <w:bCs/>
                <w:spacing w:val="3"/>
                <w:sz w:val="21"/>
                <w:szCs w:val="21"/>
                <w:lang w:val="en-US" w:eastAsia="zh-CN"/>
              </w:rPr>
              <w:t>1</w:t>
            </w:r>
            <w:r>
              <w:rPr>
                <w:rFonts w:hint="eastAsia" w:cs="Times New Roman"/>
                <w:b/>
                <w:bCs/>
                <w:spacing w:val="3"/>
                <w:sz w:val="21"/>
                <w:szCs w:val="21"/>
                <w:lang w:val="en-US" w:eastAsia="zh-CN"/>
              </w:rPr>
              <w:t>3</w:t>
            </w:r>
            <w:r>
              <w:rPr>
                <w:rFonts w:hint="default" w:ascii="Times New Roman" w:hAnsi="Times New Roman" w:eastAsia="宋体" w:cs="Times New Roman"/>
                <w:b/>
                <w:bCs/>
                <w:spacing w:val="21"/>
                <w:sz w:val="21"/>
                <w:szCs w:val="21"/>
              </w:rPr>
              <w:t xml:space="preserve">   </w:t>
            </w:r>
            <w:r>
              <w:rPr>
                <w:rFonts w:hint="default" w:ascii="Times New Roman" w:hAnsi="Times New Roman" w:eastAsia="宋体" w:cs="Times New Roman"/>
                <w:b/>
                <w:bCs/>
                <w:spacing w:val="3"/>
                <w:sz w:val="21"/>
                <w:szCs w:val="21"/>
              </w:rPr>
              <w:t>主要设备噪声级范围（室外声源）</w:t>
            </w:r>
          </w:p>
          <w:tbl>
            <w:tblPr>
              <w:tblStyle w:val="23"/>
              <w:tblW w:w="7916"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11"/>
              <w:gridCol w:w="1176"/>
              <w:gridCol w:w="950"/>
              <w:gridCol w:w="779"/>
              <w:gridCol w:w="879"/>
              <w:gridCol w:w="683"/>
              <w:gridCol w:w="1083"/>
              <w:gridCol w:w="1067"/>
              <w:gridCol w:w="688"/>
            </w:tblGrid>
            <w:tr w14:paraId="619FB24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jc w:val="center"/>
              </w:trPr>
              <w:tc>
                <w:tcPr>
                  <w:tcW w:w="611" w:type="dxa"/>
                  <w:vMerge w:val="restart"/>
                  <w:tcBorders>
                    <w:top w:val="single" w:color="000000" w:sz="12" w:space="0"/>
                    <w:left w:val="nil"/>
                    <w:tl2br w:val="nil"/>
                  </w:tcBorders>
                  <w:shd w:val="clear" w:color="auto" w:fill="auto"/>
                  <w:noWrap w:val="0"/>
                  <w:vAlign w:val="center"/>
                </w:tcPr>
                <w:p w14:paraId="261A9D1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序号</w:t>
                  </w:r>
                </w:p>
              </w:tc>
              <w:tc>
                <w:tcPr>
                  <w:tcW w:w="1176" w:type="dxa"/>
                  <w:vMerge w:val="restart"/>
                  <w:tcBorders>
                    <w:top w:val="single" w:color="000000" w:sz="12" w:space="0"/>
                  </w:tcBorders>
                  <w:shd w:val="clear" w:color="auto" w:fill="auto"/>
                  <w:noWrap w:val="0"/>
                  <w:vAlign w:val="center"/>
                </w:tcPr>
                <w:p w14:paraId="7A2DBF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声源名称</w:t>
                  </w:r>
                </w:p>
              </w:tc>
              <w:tc>
                <w:tcPr>
                  <w:tcW w:w="950" w:type="dxa"/>
                  <w:vMerge w:val="restart"/>
                  <w:tcBorders>
                    <w:top w:val="single" w:color="000000" w:sz="12" w:space="0"/>
                  </w:tcBorders>
                  <w:shd w:val="clear" w:color="auto" w:fill="auto"/>
                  <w:noWrap w:val="0"/>
                  <w:vAlign w:val="center"/>
                </w:tcPr>
                <w:p w14:paraId="2E791FE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型号</w:t>
                  </w:r>
                </w:p>
              </w:tc>
              <w:tc>
                <w:tcPr>
                  <w:tcW w:w="2341" w:type="dxa"/>
                  <w:gridSpan w:val="3"/>
                  <w:tcBorders>
                    <w:top w:val="single" w:color="000000" w:sz="12" w:space="0"/>
                  </w:tcBorders>
                  <w:shd w:val="clear" w:color="auto" w:fill="auto"/>
                  <w:noWrap w:val="0"/>
                  <w:vAlign w:val="center"/>
                </w:tcPr>
                <w:p w14:paraId="1323331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空间相对位置/m</w:t>
                  </w:r>
                </w:p>
              </w:tc>
              <w:tc>
                <w:tcPr>
                  <w:tcW w:w="1083" w:type="dxa"/>
                  <w:tcBorders>
                    <w:top w:val="single" w:color="000000" w:sz="12" w:space="0"/>
                  </w:tcBorders>
                  <w:shd w:val="clear" w:color="auto" w:fill="auto"/>
                  <w:noWrap w:val="0"/>
                  <w:vAlign w:val="center"/>
                </w:tcPr>
                <w:p w14:paraId="4D70C75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声源源强</w:t>
                  </w:r>
                </w:p>
              </w:tc>
              <w:tc>
                <w:tcPr>
                  <w:tcW w:w="1067" w:type="dxa"/>
                  <w:vMerge w:val="restart"/>
                  <w:tcBorders>
                    <w:top w:val="single" w:color="000000" w:sz="12" w:space="0"/>
                  </w:tcBorders>
                  <w:shd w:val="clear" w:color="auto" w:fill="auto"/>
                  <w:noWrap w:val="0"/>
                  <w:vAlign w:val="center"/>
                </w:tcPr>
                <w:p w14:paraId="74D5548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spacing w:val="9"/>
                      <w:sz w:val="21"/>
                      <w:szCs w:val="21"/>
                    </w:rPr>
                    <w:t>声源控制措施</w:t>
                  </w:r>
                </w:p>
              </w:tc>
              <w:tc>
                <w:tcPr>
                  <w:tcW w:w="688" w:type="dxa"/>
                  <w:vMerge w:val="restart"/>
                  <w:tcBorders>
                    <w:top w:val="single" w:color="000000" w:sz="12" w:space="0"/>
                    <w:right w:val="nil"/>
                  </w:tcBorders>
                  <w:shd w:val="clear" w:color="auto" w:fill="auto"/>
                  <w:noWrap w:val="0"/>
                  <w:vAlign w:val="center"/>
                </w:tcPr>
                <w:p w14:paraId="1279F7E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color w:val="000000"/>
                      <w:spacing w:val="17"/>
                      <w:sz w:val="21"/>
                      <w:szCs w:val="21"/>
                    </w:rPr>
                    <w:t>运行时段</w:t>
                  </w:r>
                </w:p>
              </w:tc>
            </w:tr>
            <w:tr w14:paraId="5006752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Merge w:val="continue"/>
                  <w:tcBorders>
                    <w:left w:val="nil"/>
                  </w:tcBorders>
                  <w:shd w:val="clear" w:color="auto" w:fill="auto"/>
                  <w:noWrap w:val="0"/>
                  <w:vAlign w:val="center"/>
                </w:tcPr>
                <w:p w14:paraId="57B57724">
                  <w:pPr>
                    <w:jc w:val="center"/>
                    <w:rPr>
                      <w:rFonts w:hint="default" w:ascii="Times New Roman" w:hAnsi="Times New Roman" w:eastAsia="宋体" w:cs="Times New Roman"/>
                      <w:b w:val="0"/>
                      <w:bCs w:val="0"/>
                      <w:i w:val="0"/>
                      <w:iCs w:val="0"/>
                      <w:color w:val="000000"/>
                      <w:sz w:val="21"/>
                      <w:szCs w:val="21"/>
                      <w:u w:val="none"/>
                    </w:rPr>
                  </w:pPr>
                </w:p>
              </w:tc>
              <w:tc>
                <w:tcPr>
                  <w:tcW w:w="1176" w:type="dxa"/>
                  <w:vMerge w:val="continue"/>
                  <w:shd w:val="clear" w:color="auto" w:fill="auto"/>
                  <w:noWrap w:val="0"/>
                  <w:vAlign w:val="center"/>
                </w:tcPr>
                <w:p w14:paraId="57810933">
                  <w:pPr>
                    <w:jc w:val="center"/>
                    <w:rPr>
                      <w:rFonts w:hint="default" w:ascii="Times New Roman" w:hAnsi="Times New Roman" w:eastAsia="宋体" w:cs="Times New Roman"/>
                      <w:b w:val="0"/>
                      <w:bCs w:val="0"/>
                      <w:i w:val="0"/>
                      <w:iCs w:val="0"/>
                      <w:color w:val="000000"/>
                      <w:sz w:val="21"/>
                      <w:szCs w:val="21"/>
                      <w:u w:val="none"/>
                    </w:rPr>
                  </w:pPr>
                </w:p>
              </w:tc>
              <w:tc>
                <w:tcPr>
                  <w:tcW w:w="950" w:type="dxa"/>
                  <w:vMerge w:val="continue"/>
                  <w:shd w:val="clear" w:color="auto" w:fill="auto"/>
                  <w:noWrap w:val="0"/>
                  <w:vAlign w:val="center"/>
                </w:tcPr>
                <w:p w14:paraId="2D50A595">
                  <w:pPr>
                    <w:jc w:val="center"/>
                    <w:rPr>
                      <w:rFonts w:hint="default" w:ascii="Times New Roman" w:hAnsi="Times New Roman" w:eastAsia="宋体" w:cs="Times New Roman"/>
                      <w:b w:val="0"/>
                      <w:bCs w:val="0"/>
                      <w:i w:val="0"/>
                      <w:iCs w:val="0"/>
                      <w:color w:val="000000"/>
                      <w:sz w:val="21"/>
                      <w:szCs w:val="21"/>
                      <w:u w:val="none"/>
                    </w:rPr>
                  </w:pPr>
                </w:p>
              </w:tc>
              <w:tc>
                <w:tcPr>
                  <w:tcW w:w="779" w:type="dxa"/>
                  <w:shd w:val="clear" w:color="auto" w:fill="auto"/>
                  <w:noWrap w:val="0"/>
                  <w:vAlign w:val="center"/>
                </w:tcPr>
                <w:p w14:paraId="585E216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X</w:t>
                  </w:r>
                </w:p>
              </w:tc>
              <w:tc>
                <w:tcPr>
                  <w:tcW w:w="879" w:type="dxa"/>
                  <w:shd w:val="clear" w:color="auto" w:fill="auto"/>
                  <w:noWrap w:val="0"/>
                  <w:vAlign w:val="center"/>
                </w:tcPr>
                <w:p w14:paraId="6582D79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Y</w:t>
                  </w:r>
                </w:p>
              </w:tc>
              <w:tc>
                <w:tcPr>
                  <w:tcW w:w="683" w:type="dxa"/>
                  <w:shd w:val="clear" w:color="auto" w:fill="auto"/>
                  <w:noWrap w:val="0"/>
                  <w:vAlign w:val="center"/>
                </w:tcPr>
                <w:p w14:paraId="391F8EB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Z</w:t>
                  </w:r>
                </w:p>
              </w:tc>
              <w:tc>
                <w:tcPr>
                  <w:tcW w:w="1083" w:type="dxa"/>
                  <w:shd w:val="clear" w:color="auto" w:fill="auto"/>
                  <w:noWrap w:val="0"/>
                  <w:vAlign w:val="center"/>
                </w:tcPr>
                <w:p w14:paraId="0A3E659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声功率级</w:t>
                  </w:r>
                </w:p>
                <w:p w14:paraId="4E25485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（dB(A）</w:t>
                  </w:r>
                </w:p>
                <w:p w14:paraId="0869CA0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/距离</w:t>
                  </w:r>
                  <w:r>
                    <w:rPr>
                      <w:rFonts w:hint="eastAsia" w:cs="Times New Roman"/>
                      <w:b w:val="0"/>
                      <w:bCs w:val="0"/>
                      <w:i w:val="0"/>
                      <w:iCs w:val="0"/>
                      <w:color w:val="000000"/>
                      <w:kern w:val="0"/>
                      <w:sz w:val="21"/>
                      <w:szCs w:val="21"/>
                      <w:u w:val="none"/>
                      <w:lang w:val="en-US" w:eastAsia="zh-CN" w:bidi="ar"/>
                    </w:rPr>
                    <w:t>5</w:t>
                  </w:r>
                </w:p>
                <w:p w14:paraId="62C06773">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m</w:t>
                  </w:r>
                </w:p>
              </w:tc>
              <w:tc>
                <w:tcPr>
                  <w:tcW w:w="1067" w:type="dxa"/>
                  <w:vMerge w:val="continue"/>
                  <w:shd w:val="clear" w:color="auto" w:fill="auto"/>
                  <w:noWrap w:val="0"/>
                  <w:vAlign w:val="center"/>
                </w:tcPr>
                <w:p w14:paraId="3580A52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688" w:type="dxa"/>
                  <w:vMerge w:val="continue"/>
                  <w:tcBorders>
                    <w:right w:val="nil"/>
                  </w:tcBorders>
                  <w:shd w:val="clear" w:color="auto" w:fill="auto"/>
                  <w:noWrap w:val="0"/>
                  <w:vAlign w:val="center"/>
                </w:tcPr>
                <w:p w14:paraId="371415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r w14:paraId="2EDED58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jc w:val="center"/>
              </w:trPr>
              <w:tc>
                <w:tcPr>
                  <w:tcW w:w="611" w:type="dxa"/>
                  <w:tcBorders>
                    <w:left w:val="nil"/>
                  </w:tcBorders>
                  <w:shd w:val="clear" w:color="auto" w:fill="auto"/>
                  <w:noWrap w:val="0"/>
                  <w:vAlign w:val="center"/>
                </w:tcPr>
                <w:p w14:paraId="0ED05C9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w:t>
                  </w:r>
                </w:p>
              </w:tc>
              <w:tc>
                <w:tcPr>
                  <w:tcW w:w="1176" w:type="dxa"/>
                  <w:shd w:val="clear" w:color="auto" w:fill="auto"/>
                  <w:noWrap w:val="0"/>
                  <w:vAlign w:val="center"/>
                </w:tcPr>
                <w:p w14:paraId="0FE7B73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挖掘机</w:t>
                  </w:r>
                </w:p>
              </w:tc>
              <w:tc>
                <w:tcPr>
                  <w:tcW w:w="950" w:type="dxa"/>
                  <w:shd w:val="clear" w:color="auto" w:fill="auto"/>
                  <w:noWrap w:val="0"/>
                  <w:vAlign w:val="center"/>
                </w:tcPr>
                <w:p w14:paraId="0AFE849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779" w:type="dxa"/>
                  <w:shd w:val="clear" w:color="auto" w:fill="auto"/>
                  <w:noWrap w:val="0"/>
                  <w:vAlign w:val="center"/>
                </w:tcPr>
                <w:p w14:paraId="3F22B5F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879" w:type="dxa"/>
                  <w:shd w:val="clear" w:color="auto" w:fill="auto"/>
                  <w:noWrap w:val="0"/>
                  <w:vAlign w:val="center"/>
                </w:tcPr>
                <w:p w14:paraId="625F465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683" w:type="dxa"/>
                  <w:shd w:val="clear" w:color="auto" w:fill="auto"/>
                  <w:noWrap w:val="0"/>
                  <w:vAlign w:val="center"/>
                </w:tcPr>
                <w:p w14:paraId="2E10F32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2.5</w:t>
                  </w:r>
                </w:p>
              </w:tc>
              <w:tc>
                <w:tcPr>
                  <w:tcW w:w="1083" w:type="dxa"/>
                  <w:shd w:val="clear" w:color="auto" w:fill="auto"/>
                  <w:noWrap w:val="0"/>
                  <w:vAlign w:val="center"/>
                </w:tcPr>
                <w:p w14:paraId="6CC8AF2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82</w:t>
                  </w:r>
                </w:p>
              </w:tc>
              <w:tc>
                <w:tcPr>
                  <w:tcW w:w="1067" w:type="dxa"/>
                  <w:vMerge w:val="restart"/>
                  <w:shd w:val="clear" w:color="auto" w:fill="auto"/>
                  <w:noWrap w:val="0"/>
                  <w:vAlign w:val="center"/>
                </w:tcPr>
                <w:p w14:paraId="50F2AC04">
                  <w:pPr>
                    <w:keepNext w:val="0"/>
                    <w:keepLines w:val="0"/>
                    <w:widowControl/>
                    <w:suppressLineNumbers w:val="0"/>
                    <w:jc w:val="center"/>
                    <w:textAlignment w:val="center"/>
                    <w:rPr>
                      <w:rFonts w:hint="default" w:ascii="Times New Roman" w:hAnsi="Times New Roman" w:eastAsia="宋体" w:cs="Times New Roman"/>
                      <w:b w:val="0"/>
                      <w:bCs/>
                      <w:color w:val="000000"/>
                      <w:spacing w:val="9"/>
                      <w:sz w:val="21"/>
                      <w:szCs w:val="21"/>
                    </w:rPr>
                  </w:pPr>
                  <w:r>
                    <w:rPr>
                      <w:rFonts w:hint="default" w:ascii="Times New Roman" w:hAnsi="Times New Roman" w:eastAsia="宋体" w:cs="Times New Roman"/>
                      <w:b w:val="0"/>
                      <w:bCs/>
                      <w:color w:val="000000"/>
                      <w:spacing w:val="9"/>
                      <w:sz w:val="21"/>
                      <w:szCs w:val="21"/>
                    </w:rPr>
                    <w:t>选用低噪声设</w:t>
                  </w:r>
                </w:p>
                <w:p w14:paraId="52C75AD7">
                  <w:pPr>
                    <w:keepNext w:val="0"/>
                    <w:keepLines w:val="0"/>
                    <w:widowControl/>
                    <w:suppressLineNumbers w:val="0"/>
                    <w:jc w:val="center"/>
                    <w:textAlignment w:val="center"/>
                    <w:rPr>
                      <w:rFonts w:hint="default" w:ascii="Times New Roman" w:hAnsi="Times New Roman" w:eastAsia="宋体" w:cs="Times New Roman"/>
                      <w:b w:val="0"/>
                      <w:bCs/>
                      <w:color w:val="000000"/>
                      <w:spacing w:val="9"/>
                      <w:sz w:val="21"/>
                      <w:szCs w:val="21"/>
                    </w:rPr>
                  </w:pPr>
                  <w:r>
                    <w:rPr>
                      <w:rFonts w:hint="default" w:ascii="Times New Roman" w:hAnsi="Times New Roman" w:eastAsia="宋体" w:cs="Times New Roman"/>
                      <w:b w:val="0"/>
                      <w:bCs/>
                      <w:color w:val="000000"/>
                      <w:spacing w:val="9"/>
                      <w:sz w:val="21"/>
                      <w:szCs w:val="21"/>
                    </w:rPr>
                    <w:t>备、距离衰减、</w:t>
                  </w:r>
                </w:p>
                <w:p w14:paraId="566B002D">
                  <w:pPr>
                    <w:keepNext w:val="0"/>
                    <w:keepLines w:val="0"/>
                    <w:widowControl/>
                    <w:suppressLineNumbers w:val="0"/>
                    <w:jc w:val="center"/>
                    <w:textAlignment w:val="center"/>
                    <w:rPr>
                      <w:rFonts w:hint="default" w:ascii="Times New Roman" w:hAnsi="Times New Roman" w:eastAsia="宋体" w:cs="Times New Roman"/>
                      <w:b w:val="0"/>
                      <w:bCs/>
                      <w:color w:val="000000"/>
                      <w:spacing w:val="9"/>
                      <w:sz w:val="21"/>
                      <w:szCs w:val="21"/>
                    </w:rPr>
                  </w:pPr>
                  <w:r>
                    <w:rPr>
                      <w:rFonts w:hint="default" w:ascii="Times New Roman" w:hAnsi="Times New Roman" w:eastAsia="宋体" w:cs="Times New Roman"/>
                      <w:b w:val="0"/>
                      <w:bCs/>
                      <w:color w:val="000000"/>
                      <w:spacing w:val="9"/>
                      <w:sz w:val="21"/>
                      <w:szCs w:val="21"/>
                    </w:rPr>
                    <w:t>加强设备保养</w:t>
                  </w:r>
                </w:p>
                <w:p w14:paraId="1FDADB90">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bCs/>
                      <w:color w:val="000000"/>
                      <w:spacing w:val="9"/>
                      <w:sz w:val="21"/>
                      <w:szCs w:val="21"/>
                    </w:rPr>
                    <w:t>与维护</w:t>
                  </w:r>
                </w:p>
              </w:tc>
              <w:tc>
                <w:tcPr>
                  <w:tcW w:w="688" w:type="dxa"/>
                  <w:vMerge w:val="restart"/>
                  <w:tcBorders>
                    <w:right w:val="nil"/>
                  </w:tcBorders>
                  <w:shd w:val="clear" w:color="auto" w:fill="auto"/>
                  <w:noWrap w:val="0"/>
                  <w:vAlign w:val="center"/>
                </w:tcPr>
                <w:p w14:paraId="202B08B6">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pacing w:val="5"/>
                      <w:sz w:val="21"/>
                      <w:szCs w:val="21"/>
                    </w:rPr>
                    <w:t>昼间运行</w:t>
                  </w:r>
                </w:p>
              </w:tc>
            </w:tr>
            <w:tr w14:paraId="1B36837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jc w:val="center"/>
              </w:trPr>
              <w:tc>
                <w:tcPr>
                  <w:tcW w:w="611" w:type="dxa"/>
                  <w:tcBorders>
                    <w:left w:val="nil"/>
                  </w:tcBorders>
                  <w:shd w:val="clear" w:color="auto" w:fill="auto"/>
                  <w:noWrap w:val="0"/>
                  <w:vAlign w:val="center"/>
                </w:tcPr>
                <w:p w14:paraId="3F187FFE">
                  <w:pPr>
                    <w:jc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b w:val="0"/>
                      <w:i w:val="0"/>
                      <w:iCs w:val="0"/>
                      <w:color w:val="000000"/>
                      <w:sz w:val="21"/>
                      <w:szCs w:val="21"/>
                      <w:u w:val="none"/>
                      <w:lang w:val="en-US" w:eastAsia="zh-CN"/>
                    </w:rPr>
                    <w:t>2</w:t>
                  </w:r>
                </w:p>
              </w:tc>
              <w:tc>
                <w:tcPr>
                  <w:tcW w:w="1176" w:type="dxa"/>
                  <w:shd w:val="clear" w:color="auto" w:fill="auto"/>
                  <w:noWrap w:val="0"/>
                  <w:vAlign w:val="center"/>
                </w:tcPr>
                <w:p w14:paraId="43FD7A8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装载机</w:t>
                  </w:r>
                </w:p>
              </w:tc>
              <w:tc>
                <w:tcPr>
                  <w:tcW w:w="950" w:type="dxa"/>
                  <w:shd w:val="clear" w:color="auto" w:fill="auto"/>
                  <w:noWrap w:val="0"/>
                  <w:vAlign w:val="center"/>
                </w:tcPr>
                <w:p w14:paraId="1C8E2135">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779" w:type="dxa"/>
                  <w:shd w:val="clear" w:color="auto" w:fill="auto"/>
                  <w:noWrap w:val="0"/>
                  <w:vAlign w:val="center"/>
                </w:tcPr>
                <w:p w14:paraId="53D0677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879" w:type="dxa"/>
                  <w:shd w:val="clear" w:color="auto" w:fill="auto"/>
                  <w:noWrap w:val="0"/>
                  <w:vAlign w:val="center"/>
                </w:tcPr>
                <w:p w14:paraId="3B455554">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683" w:type="dxa"/>
                  <w:shd w:val="clear" w:color="auto" w:fill="auto"/>
                  <w:noWrap w:val="0"/>
                  <w:vAlign w:val="center"/>
                </w:tcPr>
                <w:p w14:paraId="118A5FE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2.5</w:t>
                  </w:r>
                </w:p>
              </w:tc>
              <w:tc>
                <w:tcPr>
                  <w:tcW w:w="1083" w:type="dxa"/>
                  <w:shd w:val="clear" w:color="auto" w:fill="auto"/>
                  <w:noWrap w:val="0"/>
                  <w:vAlign w:val="center"/>
                </w:tcPr>
                <w:p w14:paraId="149BFFEC">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80</w:t>
                  </w:r>
                </w:p>
              </w:tc>
              <w:tc>
                <w:tcPr>
                  <w:tcW w:w="1067" w:type="dxa"/>
                  <w:vMerge w:val="continue"/>
                  <w:shd w:val="clear" w:color="auto" w:fill="auto"/>
                  <w:noWrap w:val="0"/>
                  <w:vAlign w:val="center"/>
                </w:tcPr>
                <w:p w14:paraId="0CDC9DDF">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p>
              </w:tc>
              <w:tc>
                <w:tcPr>
                  <w:tcW w:w="688" w:type="dxa"/>
                  <w:vMerge w:val="continue"/>
                  <w:tcBorders>
                    <w:right w:val="nil"/>
                  </w:tcBorders>
                  <w:shd w:val="clear" w:color="auto" w:fill="auto"/>
                  <w:noWrap w:val="0"/>
                  <w:vAlign w:val="center"/>
                </w:tcPr>
                <w:p w14:paraId="303086BC">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p>
              </w:tc>
            </w:tr>
            <w:tr w14:paraId="05CEF8C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1" w:hRule="atLeast"/>
                <w:jc w:val="center"/>
              </w:trPr>
              <w:tc>
                <w:tcPr>
                  <w:tcW w:w="611" w:type="dxa"/>
                  <w:tcBorders>
                    <w:left w:val="nil"/>
                  </w:tcBorders>
                  <w:shd w:val="clear" w:color="auto" w:fill="auto"/>
                  <w:noWrap w:val="0"/>
                  <w:vAlign w:val="center"/>
                </w:tcPr>
                <w:p w14:paraId="2A19A129">
                  <w:pPr>
                    <w:jc w:val="center"/>
                    <w:rPr>
                      <w:rFonts w:hint="default" w:ascii="Times New Roman" w:hAnsi="Times New Roman" w:eastAsia="宋体" w:cs="Times New Roman"/>
                      <w:b w:val="0"/>
                      <w:i w:val="0"/>
                      <w:iCs w:val="0"/>
                      <w:color w:val="000000"/>
                      <w:sz w:val="21"/>
                      <w:szCs w:val="21"/>
                      <w:u w:val="none"/>
                      <w:lang w:val="en-US" w:eastAsia="zh-CN"/>
                    </w:rPr>
                  </w:pPr>
                  <w:r>
                    <w:rPr>
                      <w:rFonts w:hint="default" w:ascii="Times New Roman" w:hAnsi="Times New Roman" w:eastAsia="宋体" w:cs="Times New Roman"/>
                      <w:b w:val="0"/>
                      <w:i w:val="0"/>
                      <w:iCs w:val="0"/>
                      <w:color w:val="000000"/>
                      <w:sz w:val="21"/>
                      <w:szCs w:val="21"/>
                      <w:u w:val="none"/>
                      <w:lang w:val="en-US" w:eastAsia="zh-CN"/>
                    </w:rPr>
                    <w:t>3</w:t>
                  </w:r>
                </w:p>
              </w:tc>
              <w:tc>
                <w:tcPr>
                  <w:tcW w:w="1176" w:type="dxa"/>
                  <w:shd w:val="clear" w:color="auto" w:fill="auto"/>
                  <w:noWrap w:val="0"/>
                  <w:vAlign w:val="center"/>
                </w:tcPr>
                <w:p w14:paraId="7F5BFFF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自卸汽车</w:t>
                  </w:r>
                </w:p>
              </w:tc>
              <w:tc>
                <w:tcPr>
                  <w:tcW w:w="950" w:type="dxa"/>
                  <w:shd w:val="clear" w:color="auto" w:fill="auto"/>
                  <w:noWrap w:val="0"/>
                  <w:vAlign w:val="center"/>
                </w:tcPr>
                <w:p w14:paraId="7DAC34B5">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779" w:type="dxa"/>
                  <w:shd w:val="clear" w:color="auto" w:fill="auto"/>
                  <w:noWrap w:val="0"/>
                  <w:vAlign w:val="center"/>
                </w:tcPr>
                <w:p w14:paraId="1C84FEF1">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879" w:type="dxa"/>
                  <w:shd w:val="clear" w:color="auto" w:fill="auto"/>
                  <w:noWrap w:val="0"/>
                  <w:vAlign w:val="center"/>
                </w:tcPr>
                <w:p w14:paraId="6D5EE00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683" w:type="dxa"/>
                  <w:shd w:val="clear" w:color="auto" w:fill="auto"/>
                  <w:noWrap w:val="0"/>
                  <w:vAlign w:val="center"/>
                </w:tcPr>
                <w:p w14:paraId="7C0AD48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2.5</w:t>
                  </w:r>
                </w:p>
              </w:tc>
              <w:tc>
                <w:tcPr>
                  <w:tcW w:w="1083" w:type="dxa"/>
                  <w:shd w:val="clear" w:color="auto" w:fill="auto"/>
                  <w:noWrap w:val="0"/>
                  <w:vAlign w:val="center"/>
                </w:tcPr>
                <w:p w14:paraId="242F53E5">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85</w:t>
                  </w:r>
                </w:p>
              </w:tc>
              <w:tc>
                <w:tcPr>
                  <w:tcW w:w="1067" w:type="dxa"/>
                  <w:vMerge w:val="continue"/>
                  <w:shd w:val="clear" w:color="auto" w:fill="auto"/>
                  <w:noWrap w:val="0"/>
                  <w:vAlign w:val="center"/>
                </w:tcPr>
                <w:p w14:paraId="3CE25141">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p>
              </w:tc>
              <w:tc>
                <w:tcPr>
                  <w:tcW w:w="688" w:type="dxa"/>
                  <w:vMerge w:val="continue"/>
                  <w:tcBorders>
                    <w:right w:val="nil"/>
                  </w:tcBorders>
                  <w:shd w:val="clear" w:color="auto" w:fill="auto"/>
                  <w:noWrap w:val="0"/>
                  <w:vAlign w:val="center"/>
                </w:tcPr>
                <w:p w14:paraId="78F35AA3">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p>
              </w:tc>
            </w:tr>
            <w:tr w14:paraId="6897DF3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tcBorders>
                    <w:left w:val="nil"/>
                    <w:bottom w:val="single" w:color="000000" w:sz="12" w:space="0"/>
                  </w:tcBorders>
                  <w:shd w:val="clear" w:color="auto" w:fill="auto"/>
                  <w:noWrap w:val="0"/>
                  <w:vAlign w:val="center"/>
                </w:tcPr>
                <w:p w14:paraId="65903780">
                  <w:pPr>
                    <w:jc w:val="center"/>
                    <w:rPr>
                      <w:rFonts w:hint="default" w:ascii="Times New Roman" w:hAnsi="Times New Roman" w:eastAsia="宋体" w:cs="Times New Roman"/>
                      <w:b w:val="0"/>
                      <w:i w:val="0"/>
                      <w:iCs w:val="0"/>
                      <w:color w:val="000000"/>
                      <w:sz w:val="21"/>
                      <w:szCs w:val="21"/>
                      <w:u w:val="none"/>
                      <w:lang w:val="en-US" w:eastAsia="zh-CN"/>
                    </w:rPr>
                  </w:pPr>
                  <w:r>
                    <w:rPr>
                      <w:rFonts w:hint="eastAsia" w:ascii="Times New Roman" w:hAnsi="Times New Roman" w:eastAsia="宋体" w:cs="Times New Roman"/>
                      <w:b w:val="0"/>
                      <w:i w:val="0"/>
                      <w:iCs w:val="0"/>
                      <w:color w:val="000000"/>
                      <w:sz w:val="21"/>
                      <w:szCs w:val="21"/>
                      <w:u w:val="none"/>
                      <w:lang w:val="en-US" w:eastAsia="zh-CN"/>
                    </w:rPr>
                    <w:t>4</w:t>
                  </w:r>
                </w:p>
              </w:tc>
              <w:tc>
                <w:tcPr>
                  <w:tcW w:w="1176" w:type="dxa"/>
                  <w:tcBorders>
                    <w:bottom w:val="single" w:color="000000" w:sz="12" w:space="0"/>
                  </w:tcBorders>
                  <w:shd w:val="clear" w:color="auto" w:fill="auto"/>
                  <w:noWrap w:val="0"/>
                  <w:vAlign w:val="center"/>
                </w:tcPr>
                <w:p w14:paraId="6FE76E7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洒水车</w:t>
                  </w:r>
                </w:p>
              </w:tc>
              <w:tc>
                <w:tcPr>
                  <w:tcW w:w="950" w:type="dxa"/>
                  <w:tcBorders>
                    <w:bottom w:val="single" w:color="000000" w:sz="12" w:space="0"/>
                  </w:tcBorders>
                  <w:shd w:val="clear" w:color="auto" w:fill="auto"/>
                  <w:noWrap w:val="0"/>
                  <w:vAlign w:val="center"/>
                </w:tcPr>
                <w:p w14:paraId="4B6D6AA8">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779" w:type="dxa"/>
                  <w:tcBorders>
                    <w:bottom w:val="single" w:color="000000" w:sz="12" w:space="0"/>
                  </w:tcBorders>
                  <w:shd w:val="clear" w:color="auto" w:fill="auto"/>
                  <w:noWrap w:val="0"/>
                  <w:vAlign w:val="center"/>
                </w:tcPr>
                <w:p w14:paraId="16C9FB30">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879" w:type="dxa"/>
                  <w:tcBorders>
                    <w:bottom w:val="single" w:color="000000" w:sz="12" w:space="0"/>
                  </w:tcBorders>
                  <w:shd w:val="clear" w:color="auto" w:fill="auto"/>
                  <w:noWrap w:val="0"/>
                  <w:vAlign w:val="center"/>
                </w:tcPr>
                <w:p w14:paraId="4237200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w:t>
                  </w:r>
                </w:p>
              </w:tc>
              <w:tc>
                <w:tcPr>
                  <w:tcW w:w="683" w:type="dxa"/>
                  <w:tcBorders>
                    <w:bottom w:val="single" w:color="000000" w:sz="12" w:space="0"/>
                  </w:tcBorders>
                  <w:shd w:val="clear" w:color="auto" w:fill="auto"/>
                  <w:noWrap w:val="0"/>
                  <w:vAlign w:val="center"/>
                </w:tcPr>
                <w:p w14:paraId="110183D9">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2.5</w:t>
                  </w:r>
                </w:p>
              </w:tc>
              <w:tc>
                <w:tcPr>
                  <w:tcW w:w="1083" w:type="dxa"/>
                  <w:tcBorders>
                    <w:bottom w:val="single" w:color="000000" w:sz="12" w:space="0"/>
                  </w:tcBorders>
                  <w:shd w:val="clear" w:color="auto" w:fill="auto"/>
                  <w:noWrap w:val="0"/>
                  <w:vAlign w:val="center"/>
                </w:tcPr>
                <w:p w14:paraId="2A3E1261">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85</w:t>
                  </w:r>
                </w:p>
              </w:tc>
              <w:tc>
                <w:tcPr>
                  <w:tcW w:w="1067" w:type="dxa"/>
                  <w:vMerge w:val="continue"/>
                  <w:tcBorders>
                    <w:bottom w:val="single" w:color="000000" w:sz="12" w:space="0"/>
                  </w:tcBorders>
                  <w:shd w:val="clear" w:color="auto" w:fill="auto"/>
                  <w:noWrap w:val="0"/>
                  <w:vAlign w:val="center"/>
                </w:tcPr>
                <w:p w14:paraId="19821086">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p>
              </w:tc>
              <w:tc>
                <w:tcPr>
                  <w:tcW w:w="688" w:type="dxa"/>
                  <w:vMerge w:val="continue"/>
                  <w:tcBorders>
                    <w:bottom w:val="single" w:color="000000" w:sz="12" w:space="0"/>
                    <w:right w:val="nil"/>
                  </w:tcBorders>
                  <w:shd w:val="clear" w:color="auto" w:fill="auto"/>
                  <w:noWrap w:val="0"/>
                  <w:vAlign w:val="center"/>
                </w:tcPr>
                <w:p w14:paraId="36AB7328">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p>
              </w:tc>
            </w:tr>
          </w:tbl>
          <w:p w14:paraId="344231C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2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0"/>
                <w:sz w:val="24"/>
                <w:szCs w:val="24"/>
              </w:rPr>
              <w:t>2.3.3</w:t>
            </w:r>
            <w:r>
              <w:rPr>
                <w:rFonts w:hint="default" w:ascii="Times New Roman" w:hAnsi="Times New Roman" w:eastAsia="宋体" w:cs="Times New Roman"/>
                <w:b/>
                <w:bCs/>
                <w:spacing w:val="4"/>
                <w:sz w:val="24"/>
                <w:szCs w:val="24"/>
              </w:rPr>
              <w:t xml:space="preserve">  </w:t>
            </w:r>
            <w:r>
              <w:rPr>
                <w:rFonts w:hint="default" w:ascii="Times New Roman" w:hAnsi="Times New Roman" w:eastAsia="宋体" w:cs="Times New Roman"/>
                <w:b/>
                <w:bCs/>
                <w:spacing w:val="10"/>
                <w:sz w:val="24"/>
                <w:szCs w:val="24"/>
              </w:rPr>
              <w:t>噪声预测结果</w:t>
            </w:r>
          </w:p>
          <w:p w14:paraId="6E689C62">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rightChars="0" w:firstLine="472"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通过预测模型计算，项目开采区在矿区边界处噪声在其边</w:t>
            </w:r>
            <w:r>
              <w:rPr>
                <w:rFonts w:hint="default" w:ascii="Times New Roman" w:hAnsi="Times New Roman" w:eastAsia="宋体" w:cs="Times New Roman"/>
                <w:spacing w:val="2"/>
                <w:sz w:val="24"/>
                <w:szCs w:val="24"/>
              </w:rPr>
              <w:t>界处的噪声预测结果与达标分析见表4-1</w:t>
            </w:r>
            <w:r>
              <w:rPr>
                <w:rFonts w:hint="eastAsia" w:ascii="Times New Roman" w:hAnsi="Times New Roman" w:eastAsia="宋体" w:cs="Times New Roman"/>
                <w:spacing w:val="2"/>
                <w:sz w:val="24"/>
                <w:szCs w:val="24"/>
                <w:lang w:val="en-US" w:eastAsia="zh-CN"/>
              </w:rPr>
              <w:t>4</w:t>
            </w:r>
            <w:r>
              <w:rPr>
                <w:rFonts w:hint="default" w:ascii="Times New Roman" w:hAnsi="Times New Roman" w:eastAsia="宋体" w:cs="Times New Roman"/>
                <w:spacing w:val="1"/>
                <w:sz w:val="24"/>
                <w:szCs w:val="24"/>
              </w:rPr>
              <w:t>。</w:t>
            </w:r>
          </w:p>
          <w:p w14:paraId="75E723A3">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rightChars="0" w:firstLine="446" w:firstLineChars="20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表 4-1</w:t>
            </w:r>
            <w:r>
              <w:rPr>
                <w:rFonts w:hint="eastAsia" w:ascii="Times New Roman" w:hAnsi="Times New Roman" w:eastAsia="宋体" w:cs="Times New Roman"/>
                <w:b/>
                <w:bCs/>
                <w:spacing w:val="6"/>
                <w:sz w:val="21"/>
                <w:szCs w:val="21"/>
                <w:lang w:val="en-US" w:eastAsia="zh-CN"/>
              </w:rPr>
              <w:t>4</w:t>
            </w:r>
            <w:r>
              <w:rPr>
                <w:rFonts w:hint="default" w:ascii="Times New Roman" w:hAnsi="Times New Roman" w:eastAsia="宋体" w:cs="Times New Roman"/>
                <w:b/>
                <w:bCs/>
                <w:spacing w:val="6"/>
                <w:sz w:val="21"/>
                <w:szCs w:val="21"/>
              </w:rPr>
              <w:t xml:space="preserve">   矿区边界噪声预测结果与达标分析表</w:t>
            </w:r>
          </w:p>
          <w:p w14:paraId="0D756950">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rightChars="0" w:firstLine="446" w:firstLineChars="200"/>
              <w:jc w:val="center"/>
              <w:textAlignment w:val="auto"/>
              <w:rPr>
                <w:rFonts w:hint="default" w:ascii="Times New Roman" w:hAnsi="Times New Roman" w:eastAsia="宋体" w:cs="Times New Roman"/>
                <w:b/>
                <w:bCs/>
                <w:spacing w:val="6"/>
                <w:sz w:val="21"/>
                <w:szCs w:val="21"/>
              </w:rPr>
            </w:pPr>
          </w:p>
          <w:tbl>
            <w:tblPr>
              <w:tblStyle w:val="24"/>
              <w:tblW w:w="79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8"/>
              <w:gridCol w:w="733"/>
              <w:gridCol w:w="779"/>
              <w:gridCol w:w="966"/>
              <w:gridCol w:w="762"/>
              <w:gridCol w:w="1326"/>
              <w:gridCol w:w="1326"/>
              <w:gridCol w:w="1326"/>
            </w:tblGrid>
            <w:tr w14:paraId="308B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38" w:type="dxa"/>
                  <w:vMerge w:val="restart"/>
                  <w:tcBorders>
                    <w:top w:val="single" w:color="000000" w:sz="12" w:space="0"/>
                    <w:left w:val="nil"/>
                    <w:tl2br w:val="nil"/>
                  </w:tcBorders>
                  <w:shd w:val="clear" w:color="auto" w:fill="auto"/>
                </w:tcPr>
                <w:p w14:paraId="5C86624A">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bCs/>
                      <w:i w:val="0"/>
                      <w:iCs w:val="0"/>
                      <w:color w:val="000000"/>
                      <w:kern w:val="0"/>
                      <w:sz w:val="21"/>
                      <w:szCs w:val="21"/>
                      <w:u w:val="none"/>
                      <w:lang w:val="en-US" w:eastAsia="zh-CN" w:bidi="ar"/>
                    </w:rPr>
                    <w:t>位置</w:t>
                  </w:r>
                </w:p>
              </w:tc>
              <w:tc>
                <w:tcPr>
                  <w:tcW w:w="733" w:type="dxa"/>
                  <w:vMerge w:val="restart"/>
                  <w:tcBorders>
                    <w:top w:val="single" w:color="000000" w:sz="12" w:space="0"/>
                  </w:tcBorders>
                  <w:shd w:val="clear" w:color="auto" w:fill="auto"/>
                </w:tcPr>
                <w:p w14:paraId="55167F59">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bCs/>
                      <w:i w:val="0"/>
                      <w:iCs w:val="0"/>
                      <w:color w:val="000000"/>
                      <w:kern w:val="0"/>
                      <w:sz w:val="21"/>
                      <w:szCs w:val="21"/>
                      <w:u w:val="none"/>
                      <w:lang w:val="en-US" w:eastAsia="zh-CN" w:bidi="ar"/>
                    </w:rPr>
                    <w:t>预测方位</w:t>
                  </w:r>
                </w:p>
              </w:tc>
              <w:tc>
                <w:tcPr>
                  <w:tcW w:w="2507" w:type="dxa"/>
                  <w:gridSpan w:val="3"/>
                  <w:tcBorders>
                    <w:top w:val="single" w:color="000000" w:sz="12" w:space="0"/>
                  </w:tcBorders>
                  <w:shd w:val="clear" w:color="auto" w:fill="auto"/>
                </w:tcPr>
                <w:p w14:paraId="06716B4C">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bCs/>
                      <w:i w:val="0"/>
                      <w:iCs w:val="0"/>
                      <w:color w:val="000000"/>
                      <w:kern w:val="0"/>
                      <w:sz w:val="21"/>
                      <w:szCs w:val="21"/>
                      <w:u w:val="none"/>
                      <w:lang w:val="en-US" w:eastAsia="zh-CN" w:bidi="ar"/>
                    </w:rPr>
                    <w:t>最大值点空间相对位置/m</w:t>
                  </w:r>
                </w:p>
              </w:tc>
              <w:tc>
                <w:tcPr>
                  <w:tcW w:w="1326" w:type="dxa"/>
                  <w:tcBorders>
                    <w:top w:val="single" w:color="000000" w:sz="12" w:space="0"/>
                  </w:tcBorders>
                  <w:shd w:val="clear" w:color="auto" w:fill="auto"/>
                </w:tcPr>
                <w:p w14:paraId="228E8253">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bCs/>
                      <w:i w:val="0"/>
                      <w:iCs w:val="0"/>
                      <w:color w:val="000000"/>
                      <w:kern w:val="0"/>
                      <w:sz w:val="21"/>
                      <w:szCs w:val="21"/>
                      <w:u w:val="none"/>
                      <w:lang w:val="en-US" w:eastAsia="zh-CN" w:bidi="ar"/>
                    </w:rPr>
                    <w:t>贡献值dB(A)</w:t>
                  </w:r>
                </w:p>
              </w:tc>
              <w:tc>
                <w:tcPr>
                  <w:tcW w:w="1326" w:type="dxa"/>
                  <w:tcBorders>
                    <w:top w:val="single" w:color="000000" w:sz="12" w:space="0"/>
                  </w:tcBorders>
                  <w:shd w:val="clear" w:color="auto" w:fill="auto"/>
                </w:tcPr>
                <w:p w14:paraId="05454105">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bCs/>
                      <w:i w:val="0"/>
                      <w:iCs w:val="0"/>
                      <w:color w:val="000000"/>
                      <w:kern w:val="0"/>
                      <w:sz w:val="21"/>
                      <w:szCs w:val="21"/>
                      <w:u w:val="none"/>
                      <w:lang w:val="en-US" w:eastAsia="zh-CN" w:bidi="ar"/>
                    </w:rPr>
                    <w:t>标准限值dB(A)</w:t>
                  </w:r>
                </w:p>
              </w:tc>
              <w:tc>
                <w:tcPr>
                  <w:tcW w:w="1326" w:type="dxa"/>
                  <w:vMerge w:val="restart"/>
                  <w:tcBorders>
                    <w:top w:val="single" w:color="000000" w:sz="12" w:space="0"/>
                    <w:right w:val="nil"/>
                  </w:tcBorders>
                  <w:shd w:val="clear" w:color="auto" w:fill="auto"/>
                </w:tcPr>
                <w:p w14:paraId="1A5CEC92">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i w:val="0"/>
                      <w:iCs w:val="0"/>
                      <w:color w:val="000000"/>
                      <w:kern w:val="0"/>
                      <w:sz w:val="21"/>
                      <w:szCs w:val="21"/>
                      <w:u w:val="none"/>
                      <w:lang w:val="en-US" w:eastAsia="zh-CN" w:bidi="ar"/>
                    </w:rPr>
                  </w:pPr>
                </w:p>
                <w:p w14:paraId="4A2FD4E1">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达标情况</w:t>
                  </w:r>
                </w:p>
              </w:tc>
            </w:tr>
            <w:tr w14:paraId="40CA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738" w:type="dxa"/>
                  <w:vMerge w:val="continue"/>
                  <w:tcBorders>
                    <w:left w:val="nil"/>
                  </w:tcBorders>
                  <w:shd w:val="clear" w:color="auto" w:fill="auto"/>
                </w:tcPr>
                <w:p w14:paraId="404590FD">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000000"/>
                      <w:spacing w:val="6"/>
                      <w:sz w:val="21"/>
                      <w:szCs w:val="21"/>
                      <w:vertAlign w:val="baseline"/>
                    </w:rPr>
                  </w:pPr>
                </w:p>
              </w:tc>
              <w:tc>
                <w:tcPr>
                  <w:tcW w:w="733" w:type="dxa"/>
                  <w:vMerge w:val="continue"/>
                  <w:shd w:val="clear" w:color="auto" w:fill="auto"/>
                </w:tcPr>
                <w:p w14:paraId="457357BC">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000000"/>
                      <w:spacing w:val="6"/>
                      <w:sz w:val="21"/>
                      <w:szCs w:val="21"/>
                      <w:vertAlign w:val="baseline"/>
                    </w:rPr>
                  </w:pPr>
                </w:p>
              </w:tc>
              <w:tc>
                <w:tcPr>
                  <w:tcW w:w="779" w:type="dxa"/>
                  <w:shd w:val="clear" w:color="auto" w:fill="auto"/>
                  <w:vAlign w:val="center"/>
                </w:tcPr>
                <w:p w14:paraId="2A16695C">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bCs/>
                      <w:i w:val="0"/>
                      <w:iCs w:val="0"/>
                      <w:color w:val="000000"/>
                      <w:kern w:val="0"/>
                      <w:sz w:val="21"/>
                      <w:szCs w:val="21"/>
                      <w:u w:val="none"/>
                      <w:lang w:val="en-US" w:eastAsia="zh-CN" w:bidi="ar"/>
                    </w:rPr>
                    <w:t>X</w:t>
                  </w:r>
                </w:p>
              </w:tc>
              <w:tc>
                <w:tcPr>
                  <w:tcW w:w="966" w:type="dxa"/>
                  <w:shd w:val="clear" w:color="auto" w:fill="auto"/>
                  <w:vAlign w:val="center"/>
                </w:tcPr>
                <w:p w14:paraId="64CF8395">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bCs/>
                      <w:i w:val="0"/>
                      <w:iCs w:val="0"/>
                      <w:color w:val="000000"/>
                      <w:kern w:val="0"/>
                      <w:sz w:val="21"/>
                      <w:szCs w:val="21"/>
                      <w:u w:val="none"/>
                      <w:lang w:val="en-US" w:eastAsia="zh-CN" w:bidi="ar"/>
                    </w:rPr>
                    <w:t>Y</w:t>
                  </w:r>
                </w:p>
              </w:tc>
              <w:tc>
                <w:tcPr>
                  <w:tcW w:w="762" w:type="dxa"/>
                  <w:shd w:val="clear" w:color="auto" w:fill="auto"/>
                  <w:vAlign w:val="center"/>
                </w:tcPr>
                <w:p w14:paraId="1969C5E9">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bCs/>
                      <w:i w:val="0"/>
                      <w:iCs w:val="0"/>
                      <w:color w:val="000000"/>
                      <w:kern w:val="0"/>
                      <w:sz w:val="21"/>
                      <w:szCs w:val="21"/>
                      <w:u w:val="none"/>
                      <w:lang w:val="en-US" w:eastAsia="zh-CN" w:bidi="ar"/>
                    </w:rPr>
                    <w:t>Z</w:t>
                  </w:r>
                </w:p>
              </w:tc>
              <w:tc>
                <w:tcPr>
                  <w:tcW w:w="1326" w:type="dxa"/>
                  <w:shd w:val="clear" w:color="auto" w:fill="auto"/>
                  <w:vAlign w:val="center"/>
                </w:tcPr>
                <w:p w14:paraId="7F687F43">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昼间</w:t>
                  </w:r>
                </w:p>
              </w:tc>
              <w:tc>
                <w:tcPr>
                  <w:tcW w:w="1326" w:type="dxa"/>
                  <w:shd w:val="clear" w:color="auto" w:fill="auto"/>
                  <w:vAlign w:val="center"/>
                </w:tcPr>
                <w:p w14:paraId="390B47AB">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昼间</w:t>
                  </w:r>
                </w:p>
              </w:tc>
              <w:tc>
                <w:tcPr>
                  <w:tcW w:w="1326" w:type="dxa"/>
                  <w:vMerge w:val="continue"/>
                  <w:tcBorders>
                    <w:right w:val="nil"/>
                  </w:tcBorders>
                  <w:shd w:val="clear" w:color="auto" w:fill="auto"/>
                </w:tcPr>
                <w:p w14:paraId="31F80CA3">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val="0"/>
                      <w:bCs/>
                      <w:color w:val="000000"/>
                      <w:spacing w:val="6"/>
                      <w:sz w:val="21"/>
                      <w:szCs w:val="21"/>
                      <w:vertAlign w:val="baseline"/>
                    </w:rPr>
                  </w:pPr>
                </w:p>
              </w:tc>
            </w:tr>
            <w:tr w14:paraId="0747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38" w:type="dxa"/>
                  <w:vMerge w:val="restart"/>
                  <w:tcBorders>
                    <w:left w:val="nil"/>
                  </w:tcBorders>
                  <w:shd w:val="clear" w:color="auto" w:fill="auto"/>
                  <w:vAlign w:val="center"/>
                </w:tcPr>
                <w:p w14:paraId="626E296F">
                  <w:pPr>
                    <w:keepNext w:val="0"/>
                    <w:keepLines w:val="0"/>
                    <w:widowControl/>
                    <w:suppressLineNumbers w:val="0"/>
                    <w:jc w:val="both"/>
                    <w:textAlignment w:val="center"/>
                    <w:rPr>
                      <w:rFonts w:hint="default" w:ascii="Times New Roman" w:hAnsi="Times New Roman" w:eastAsia="宋体" w:cs="Times New Roman"/>
                      <w:b w:val="0"/>
                      <w:i w:val="0"/>
                      <w:iCs w:val="0"/>
                      <w:color w:val="000000"/>
                      <w:kern w:val="2"/>
                      <w:sz w:val="21"/>
                      <w:szCs w:val="21"/>
                      <w:u w:val="none"/>
                      <w:lang w:val="en-US" w:eastAsia="zh-CN" w:bidi="ar-SA"/>
                    </w:rPr>
                  </w:pPr>
                  <w:r>
                    <w:rPr>
                      <w:rFonts w:hint="eastAsia" w:eastAsia="宋体" w:cs="Times New Roman"/>
                      <w:b w:val="0"/>
                      <w:i w:val="0"/>
                      <w:iCs w:val="0"/>
                      <w:color w:val="000000"/>
                      <w:kern w:val="2"/>
                      <w:sz w:val="21"/>
                      <w:szCs w:val="21"/>
                      <w:u w:val="none"/>
                      <w:lang w:val="en-US" w:eastAsia="zh-CN" w:bidi="ar-SA"/>
                    </w:rPr>
                    <w:t>开采区</w:t>
                  </w:r>
                </w:p>
              </w:tc>
              <w:tc>
                <w:tcPr>
                  <w:tcW w:w="733" w:type="dxa"/>
                  <w:shd w:val="clear" w:color="auto" w:fill="auto"/>
                  <w:vAlign w:val="center"/>
                </w:tcPr>
                <w:p w14:paraId="50E671F1">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北</w:t>
                  </w:r>
                </w:p>
              </w:tc>
              <w:tc>
                <w:tcPr>
                  <w:tcW w:w="779" w:type="dxa"/>
                  <w:shd w:val="clear" w:color="auto" w:fill="auto"/>
                  <w:vAlign w:val="center"/>
                </w:tcPr>
                <w:p w14:paraId="282C3280">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1</w:t>
                  </w:r>
                  <w:r>
                    <w:rPr>
                      <w:rFonts w:hint="eastAsia" w:cs="Times New Roman"/>
                      <w:b w:val="0"/>
                      <w:i w:val="0"/>
                      <w:iCs w:val="0"/>
                      <w:color w:val="000000"/>
                      <w:kern w:val="0"/>
                      <w:sz w:val="21"/>
                      <w:szCs w:val="21"/>
                      <w:u w:val="none"/>
                      <w:lang w:val="en-US" w:eastAsia="zh-CN" w:bidi="ar"/>
                    </w:rPr>
                    <w:t>50</w:t>
                  </w:r>
                  <w:r>
                    <w:rPr>
                      <w:rFonts w:hint="default" w:ascii="Times New Roman" w:hAnsi="Times New Roman" w:eastAsia="宋体" w:cs="Times New Roman"/>
                      <w:b w:val="0"/>
                      <w:i w:val="0"/>
                      <w:iCs w:val="0"/>
                      <w:color w:val="000000"/>
                      <w:kern w:val="0"/>
                      <w:sz w:val="21"/>
                      <w:szCs w:val="21"/>
                      <w:u w:val="none"/>
                      <w:lang w:val="en-US" w:eastAsia="zh-CN" w:bidi="ar"/>
                    </w:rPr>
                    <w:t>.3</w:t>
                  </w:r>
                </w:p>
              </w:tc>
              <w:tc>
                <w:tcPr>
                  <w:tcW w:w="966" w:type="dxa"/>
                  <w:shd w:val="clear" w:color="auto" w:fill="auto"/>
                  <w:vAlign w:val="center"/>
                </w:tcPr>
                <w:p w14:paraId="13C2EFA2">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97.09</w:t>
                  </w:r>
                </w:p>
              </w:tc>
              <w:tc>
                <w:tcPr>
                  <w:tcW w:w="762" w:type="dxa"/>
                  <w:shd w:val="clear" w:color="auto" w:fill="auto"/>
                  <w:vAlign w:val="center"/>
                </w:tcPr>
                <w:p w14:paraId="77B35AF7">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2.5</w:t>
                  </w:r>
                </w:p>
              </w:tc>
              <w:tc>
                <w:tcPr>
                  <w:tcW w:w="1326" w:type="dxa"/>
                  <w:shd w:val="clear" w:color="auto" w:fill="auto"/>
                  <w:vAlign w:val="center"/>
                </w:tcPr>
                <w:p w14:paraId="06017B56">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50.</w:t>
                  </w:r>
                  <w:r>
                    <w:rPr>
                      <w:rFonts w:hint="eastAsia" w:cs="Times New Roman"/>
                      <w:b w:val="0"/>
                      <w:i w:val="0"/>
                      <w:iCs w:val="0"/>
                      <w:color w:val="000000"/>
                      <w:kern w:val="0"/>
                      <w:sz w:val="21"/>
                      <w:szCs w:val="21"/>
                      <w:u w:val="none"/>
                      <w:lang w:val="en-US" w:eastAsia="zh-CN" w:bidi="ar"/>
                    </w:rPr>
                    <w:t>8</w:t>
                  </w:r>
                </w:p>
              </w:tc>
              <w:tc>
                <w:tcPr>
                  <w:tcW w:w="1326" w:type="dxa"/>
                  <w:shd w:val="clear" w:color="auto" w:fill="auto"/>
                  <w:vAlign w:val="center"/>
                </w:tcPr>
                <w:p w14:paraId="5DE596A1">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60</w:t>
                  </w:r>
                </w:p>
              </w:tc>
              <w:tc>
                <w:tcPr>
                  <w:tcW w:w="1326" w:type="dxa"/>
                  <w:tcBorders>
                    <w:right w:val="nil"/>
                  </w:tcBorders>
                  <w:shd w:val="clear" w:color="auto" w:fill="auto"/>
                  <w:vAlign w:val="center"/>
                </w:tcPr>
                <w:p w14:paraId="47A095D2">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达标</w:t>
                  </w:r>
                </w:p>
              </w:tc>
            </w:tr>
            <w:tr w14:paraId="2CB5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38" w:type="dxa"/>
                  <w:vMerge w:val="continue"/>
                  <w:tcBorders>
                    <w:left w:val="nil"/>
                  </w:tcBorders>
                  <w:shd w:val="clear" w:color="auto" w:fill="auto"/>
                  <w:vAlign w:val="center"/>
                </w:tcPr>
                <w:p w14:paraId="3FE0E65C">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2"/>
                      <w:sz w:val="21"/>
                      <w:szCs w:val="21"/>
                      <w:u w:val="none"/>
                      <w:lang w:val="en-US" w:eastAsia="zh-CN" w:bidi="ar-SA"/>
                    </w:rPr>
                  </w:pPr>
                </w:p>
              </w:tc>
              <w:tc>
                <w:tcPr>
                  <w:tcW w:w="733" w:type="dxa"/>
                  <w:shd w:val="clear" w:color="auto" w:fill="auto"/>
                  <w:vAlign w:val="center"/>
                </w:tcPr>
                <w:p w14:paraId="1626F2C2">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东</w:t>
                  </w:r>
                </w:p>
              </w:tc>
              <w:tc>
                <w:tcPr>
                  <w:tcW w:w="779" w:type="dxa"/>
                  <w:shd w:val="clear" w:color="auto" w:fill="auto"/>
                  <w:vAlign w:val="center"/>
                </w:tcPr>
                <w:p w14:paraId="6CBC3951">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30</w:t>
                  </w:r>
                  <w:r>
                    <w:rPr>
                      <w:rFonts w:hint="default" w:ascii="Times New Roman" w:hAnsi="Times New Roman" w:eastAsia="宋体" w:cs="Times New Roman"/>
                      <w:b w:val="0"/>
                      <w:i w:val="0"/>
                      <w:iCs w:val="0"/>
                      <w:color w:val="000000"/>
                      <w:kern w:val="0"/>
                      <w:sz w:val="21"/>
                      <w:szCs w:val="21"/>
                      <w:u w:val="none"/>
                      <w:lang w:val="en-US" w:eastAsia="zh-CN" w:bidi="ar"/>
                    </w:rPr>
                    <w:t>4.2</w:t>
                  </w:r>
                </w:p>
                <w:p w14:paraId="5A3A8B4A">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2</w:t>
                  </w:r>
                </w:p>
              </w:tc>
              <w:tc>
                <w:tcPr>
                  <w:tcW w:w="966" w:type="dxa"/>
                  <w:shd w:val="clear" w:color="auto" w:fill="auto"/>
                  <w:vAlign w:val="center"/>
                </w:tcPr>
                <w:p w14:paraId="01597BCB">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eastAsia" w:cs="Times New Roman"/>
                      <w:b w:val="0"/>
                      <w:i w:val="0"/>
                      <w:iCs w:val="0"/>
                      <w:color w:val="000000"/>
                      <w:kern w:val="0"/>
                      <w:sz w:val="21"/>
                      <w:szCs w:val="21"/>
                      <w:u w:val="none"/>
                      <w:lang w:val="en-US" w:eastAsia="zh-CN" w:bidi="ar"/>
                    </w:rPr>
                    <w:t>-</w:t>
                  </w:r>
                  <w:r>
                    <w:rPr>
                      <w:rFonts w:hint="default" w:ascii="Times New Roman" w:hAnsi="Times New Roman" w:eastAsia="宋体" w:cs="Times New Roman"/>
                      <w:b w:val="0"/>
                      <w:i w:val="0"/>
                      <w:iCs w:val="0"/>
                      <w:color w:val="000000"/>
                      <w:kern w:val="0"/>
                      <w:sz w:val="21"/>
                      <w:szCs w:val="21"/>
                      <w:u w:val="none"/>
                      <w:lang w:val="en-US" w:eastAsia="zh-CN" w:bidi="ar"/>
                    </w:rPr>
                    <w:t>1</w:t>
                  </w:r>
                  <w:r>
                    <w:rPr>
                      <w:rFonts w:hint="eastAsia" w:cs="Times New Roman"/>
                      <w:b w:val="0"/>
                      <w:i w:val="0"/>
                      <w:iCs w:val="0"/>
                      <w:color w:val="000000"/>
                      <w:kern w:val="0"/>
                      <w:sz w:val="21"/>
                      <w:szCs w:val="21"/>
                      <w:u w:val="none"/>
                      <w:lang w:val="en-US" w:eastAsia="zh-CN" w:bidi="ar"/>
                    </w:rPr>
                    <w:t>7</w:t>
                  </w:r>
                  <w:r>
                    <w:rPr>
                      <w:rFonts w:hint="default" w:ascii="Times New Roman" w:hAnsi="Times New Roman" w:eastAsia="宋体" w:cs="Times New Roman"/>
                      <w:b w:val="0"/>
                      <w:i w:val="0"/>
                      <w:iCs w:val="0"/>
                      <w:color w:val="000000"/>
                      <w:kern w:val="0"/>
                      <w:sz w:val="21"/>
                      <w:szCs w:val="21"/>
                      <w:u w:val="none"/>
                      <w:lang w:val="en-US" w:eastAsia="zh-CN" w:bidi="ar"/>
                    </w:rPr>
                    <w:t>4.08</w:t>
                  </w:r>
                </w:p>
              </w:tc>
              <w:tc>
                <w:tcPr>
                  <w:tcW w:w="762" w:type="dxa"/>
                  <w:shd w:val="clear" w:color="auto" w:fill="auto"/>
                  <w:vAlign w:val="center"/>
                </w:tcPr>
                <w:p w14:paraId="668FA3E4">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2.5</w:t>
                  </w:r>
                </w:p>
              </w:tc>
              <w:tc>
                <w:tcPr>
                  <w:tcW w:w="1326" w:type="dxa"/>
                  <w:shd w:val="clear" w:color="auto" w:fill="auto"/>
                  <w:vAlign w:val="center"/>
                </w:tcPr>
                <w:p w14:paraId="73ECF9F1">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47.4</w:t>
                  </w:r>
                </w:p>
              </w:tc>
              <w:tc>
                <w:tcPr>
                  <w:tcW w:w="1326" w:type="dxa"/>
                  <w:shd w:val="clear" w:color="auto" w:fill="auto"/>
                  <w:vAlign w:val="center"/>
                </w:tcPr>
                <w:p w14:paraId="4B0926CF">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60</w:t>
                  </w:r>
                </w:p>
              </w:tc>
              <w:tc>
                <w:tcPr>
                  <w:tcW w:w="1326" w:type="dxa"/>
                  <w:tcBorders>
                    <w:right w:val="nil"/>
                  </w:tcBorders>
                  <w:shd w:val="clear" w:color="auto" w:fill="auto"/>
                  <w:vAlign w:val="center"/>
                </w:tcPr>
                <w:p w14:paraId="66AE8D68">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达标</w:t>
                  </w:r>
                </w:p>
              </w:tc>
            </w:tr>
            <w:tr w14:paraId="1FDF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6" w:hRule="atLeast"/>
              </w:trPr>
              <w:tc>
                <w:tcPr>
                  <w:tcW w:w="738" w:type="dxa"/>
                  <w:vMerge w:val="continue"/>
                  <w:tcBorders>
                    <w:left w:val="nil"/>
                  </w:tcBorders>
                  <w:shd w:val="clear" w:color="auto" w:fill="auto"/>
                  <w:vAlign w:val="center"/>
                </w:tcPr>
                <w:p w14:paraId="3FE690B4">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2"/>
                      <w:sz w:val="21"/>
                      <w:szCs w:val="21"/>
                      <w:u w:val="none"/>
                      <w:lang w:val="en-US" w:eastAsia="zh-CN" w:bidi="ar-SA"/>
                    </w:rPr>
                  </w:pPr>
                </w:p>
              </w:tc>
              <w:tc>
                <w:tcPr>
                  <w:tcW w:w="733" w:type="dxa"/>
                  <w:shd w:val="clear" w:color="auto" w:fill="auto"/>
                  <w:vAlign w:val="center"/>
                </w:tcPr>
                <w:p w14:paraId="3334FE55">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南</w:t>
                  </w:r>
                </w:p>
              </w:tc>
              <w:tc>
                <w:tcPr>
                  <w:tcW w:w="779" w:type="dxa"/>
                  <w:shd w:val="clear" w:color="auto" w:fill="auto"/>
                  <w:vAlign w:val="center"/>
                </w:tcPr>
                <w:p w14:paraId="6550B87A">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1</w:t>
                  </w:r>
                  <w:r>
                    <w:rPr>
                      <w:rFonts w:hint="default" w:ascii="Times New Roman" w:hAnsi="Times New Roman" w:eastAsia="宋体" w:cs="Times New Roman"/>
                      <w:b w:val="0"/>
                      <w:i w:val="0"/>
                      <w:iCs w:val="0"/>
                      <w:color w:val="000000"/>
                      <w:kern w:val="0"/>
                      <w:sz w:val="21"/>
                      <w:szCs w:val="21"/>
                      <w:u w:val="none"/>
                      <w:lang w:val="en-US" w:eastAsia="zh-CN" w:bidi="ar"/>
                    </w:rPr>
                    <w:t>05.5</w:t>
                  </w:r>
                </w:p>
                <w:p w14:paraId="3CF4F008">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9</w:t>
                  </w:r>
                </w:p>
              </w:tc>
              <w:tc>
                <w:tcPr>
                  <w:tcW w:w="966" w:type="dxa"/>
                  <w:shd w:val="clear" w:color="auto" w:fill="auto"/>
                  <w:vAlign w:val="center"/>
                </w:tcPr>
                <w:p w14:paraId="4CE66D52">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-318.38</w:t>
                  </w:r>
                </w:p>
              </w:tc>
              <w:tc>
                <w:tcPr>
                  <w:tcW w:w="762" w:type="dxa"/>
                  <w:shd w:val="clear" w:color="auto" w:fill="auto"/>
                  <w:vAlign w:val="center"/>
                </w:tcPr>
                <w:p w14:paraId="6BEA4D3B">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2.5</w:t>
                  </w:r>
                </w:p>
              </w:tc>
              <w:tc>
                <w:tcPr>
                  <w:tcW w:w="1326" w:type="dxa"/>
                  <w:shd w:val="clear" w:color="auto" w:fill="auto"/>
                  <w:vAlign w:val="center"/>
                </w:tcPr>
                <w:p w14:paraId="1D3DA679">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40.8</w:t>
                  </w:r>
                </w:p>
              </w:tc>
              <w:tc>
                <w:tcPr>
                  <w:tcW w:w="1326" w:type="dxa"/>
                  <w:shd w:val="clear" w:color="auto" w:fill="auto"/>
                  <w:vAlign w:val="center"/>
                </w:tcPr>
                <w:p w14:paraId="40DD4096">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60</w:t>
                  </w:r>
                </w:p>
              </w:tc>
              <w:tc>
                <w:tcPr>
                  <w:tcW w:w="1326" w:type="dxa"/>
                  <w:tcBorders>
                    <w:right w:val="nil"/>
                  </w:tcBorders>
                  <w:shd w:val="clear" w:color="auto" w:fill="auto"/>
                  <w:vAlign w:val="center"/>
                </w:tcPr>
                <w:p w14:paraId="4D3477DF">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达标</w:t>
                  </w:r>
                </w:p>
              </w:tc>
            </w:tr>
            <w:tr w14:paraId="227B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6" w:hRule="atLeast"/>
              </w:trPr>
              <w:tc>
                <w:tcPr>
                  <w:tcW w:w="738" w:type="dxa"/>
                  <w:vMerge w:val="continue"/>
                  <w:tcBorders>
                    <w:left w:val="nil"/>
                    <w:bottom w:val="single" w:color="000000" w:sz="12" w:space="0"/>
                  </w:tcBorders>
                  <w:shd w:val="clear" w:color="auto" w:fill="auto"/>
                  <w:vAlign w:val="center"/>
                </w:tcPr>
                <w:p w14:paraId="4BB0A84D">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2"/>
                      <w:sz w:val="21"/>
                      <w:szCs w:val="21"/>
                      <w:u w:val="none"/>
                      <w:lang w:val="en-US" w:eastAsia="zh-CN" w:bidi="ar-SA"/>
                    </w:rPr>
                  </w:pPr>
                </w:p>
              </w:tc>
              <w:tc>
                <w:tcPr>
                  <w:tcW w:w="733" w:type="dxa"/>
                  <w:tcBorders>
                    <w:bottom w:val="single" w:color="000000" w:sz="12" w:space="0"/>
                  </w:tcBorders>
                  <w:shd w:val="clear" w:color="auto" w:fill="auto"/>
                  <w:vAlign w:val="center"/>
                </w:tcPr>
                <w:p w14:paraId="34A99D7B">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西</w:t>
                  </w:r>
                </w:p>
              </w:tc>
              <w:tc>
                <w:tcPr>
                  <w:tcW w:w="779" w:type="dxa"/>
                  <w:tcBorders>
                    <w:bottom w:val="single" w:color="000000" w:sz="12" w:space="0"/>
                  </w:tcBorders>
                  <w:shd w:val="clear" w:color="auto" w:fill="auto"/>
                  <w:vAlign w:val="center"/>
                </w:tcPr>
                <w:p w14:paraId="78DDEA44">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eastAsia" w:cs="Times New Roman"/>
                      <w:b w:val="0"/>
                      <w:i w:val="0"/>
                      <w:iCs w:val="0"/>
                      <w:color w:val="000000"/>
                      <w:kern w:val="0"/>
                      <w:sz w:val="21"/>
                      <w:szCs w:val="21"/>
                      <w:u w:val="none"/>
                      <w:lang w:val="en-US" w:eastAsia="zh-CN" w:bidi="ar"/>
                    </w:rPr>
                    <w:t>3</w:t>
                  </w:r>
                  <w:r>
                    <w:rPr>
                      <w:rFonts w:hint="default" w:ascii="Times New Roman" w:hAnsi="Times New Roman" w:eastAsia="宋体" w:cs="Times New Roman"/>
                      <w:b w:val="0"/>
                      <w:i w:val="0"/>
                      <w:iCs w:val="0"/>
                      <w:color w:val="000000"/>
                      <w:kern w:val="0"/>
                      <w:sz w:val="21"/>
                      <w:szCs w:val="21"/>
                      <w:u w:val="none"/>
                      <w:lang w:val="en-US" w:eastAsia="zh-CN" w:bidi="ar"/>
                    </w:rPr>
                    <w:t>81.83</w:t>
                  </w:r>
                </w:p>
              </w:tc>
              <w:tc>
                <w:tcPr>
                  <w:tcW w:w="966" w:type="dxa"/>
                  <w:tcBorders>
                    <w:bottom w:val="single" w:color="000000" w:sz="12" w:space="0"/>
                  </w:tcBorders>
                  <w:shd w:val="clear" w:color="auto" w:fill="auto"/>
                  <w:vAlign w:val="center"/>
                </w:tcPr>
                <w:p w14:paraId="60F396C7">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eastAsia" w:cs="Times New Roman"/>
                      <w:b w:val="0"/>
                      <w:i w:val="0"/>
                      <w:iCs w:val="0"/>
                      <w:color w:val="000000"/>
                      <w:kern w:val="0"/>
                      <w:sz w:val="21"/>
                      <w:szCs w:val="21"/>
                      <w:u w:val="none"/>
                      <w:lang w:val="en-US" w:eastAsia="zh-CN" w:bidi="ar"/>
                    </w:rPr>
                    <w:t>-</w:t>
                  </w:r>
                  <w:r>
                    <w:rPr>
                      <w:rFonts w:hint="default" w:ascii="Times New Roman" w:hAnsi="Times New Roman" w:eastAsia="宋体" w:cs="Times New Roman"/>
                      <w:b w:val="0"/>
                      <w:i w:val="0"/>
                      <w:iCs w:val="0"/>
                      <w:color w:val="000000"/>
                      <w:kern w:val="0"/>
                      <w:sz w:val="21"/>
                      <w:szCs w:val="21"/>
                      <w:u w:val="none"/>
                      <w:lang w:val="en-US" w:eastAsia="zh-CN" w:bidi="ar"/>
                    </w:rPr>
                    <w:t>82.58</w:t>
                  </w:r>
                </w:p>
              </w:tc>
              <w:tc>
                <w:tcPr>
                  <w:tcW w:w="762" w:type="dxa"/>
                  <w:tcBorders>
                    <w:bottom w:val="single" w:color="000000" w:sz="12" w:space="0"/>
                  </w:tcBorders>
                  <w:shd w:val="clear" w:color="auto" w:fill="auto"/>
                  <w:vAlign w:val="center"/>
                </w:tcPr>
                <w:p w14:paraId="4D23082D">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2.5</w:t>
                  </w:r>
                </w:p>
              </w:tc>
              <w:tc>
                <w:tcPr>
                  <w:tcW w:w="1326" w:type="dxa"/>
                  <w:tcBorders>
                    <w:bottom w:val="single" w:color="000000" w:sz="12" w:space="0"/>
                  </w:tcBorders>
                  <w:shd w:val="clear" w:color="auto" w:fill="auto"/>
                  <w:vAlign w:val="center"/>
                </w:tcPr>
                <w:p w14:paraId="37F97C37">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39.</w:t>
                  </w:r>
                  <w:r>
                    <w:rPr>
                      <w:rFonts w:hint="eastAsia" w:cs="Times New Roman"/>
                      <w:b w:val="0"/>
                      <w:i w:val="0"/>
                      <w:iCs w:val="0"/>
                      <w:color w:val="000000"/>
                      <w:kern w:val="0"/>
                      <w:sz w:val="21"/>
                      <w:szCs w:val="21"/>
                      <w:u w:val="none"/>
                      <w:lang w:val="en-US" w:eastAsia="zh-CN" w:bidi="ar"/>
                    </w:rPr>
                    <w:t>9</w:t>
                  </w:r>
                </w:p>
              </w:tc>
              <w:tc>
                <w:tcPr>
                  <w:tcW w:w="1326" w:type="dxa"/>
                  <w:tcBorders>
                    <w:bottom w:val="single" w:color="000000" w:sz="12" w:space="0"/>
                  </w:tcBorders>
                  <w:shd w:val="clear" w:color="auto" w:fill="auto"/>
                  <w:vAlign w:val="center"/>
                </w:tcPr>
                <w:p w14:paraId="702D6172">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60</w:t>
                  </w:r>
                </w:p>
              </w:tc>
              <w:tc>
                <w:tcPr>
                  <w:tcW w:w="1326" w:type="dxa"/>
                  <w:tcBorders>
                    <w:bottom w:val="single" w:color="000000" w:sz="12" w:space="0"/>
                    <w:right w:val="nil"/>
                  </w:tcBorders>
                  <w:shd w:val="clear" w:color="auto" w:fill="auto"/>
                  <w:vAlign w:val="center"/>
                </w:tcPr>
                <w:p w14:paraId="4E57A765">
                  <w:pPr>
                    <w:keepNext w:val="0"/>
                    <w:keepLines w:val="0"/>
                    <w:widowControl/>
                    <w:suppressLineNumbers w:val="0"/>
                    <w:jc w:val="center"/>
                    <w:textAlignment w:val="center"/>
                    <w:rPr>
                      <w:rFonts w:hint="default" w:ascii="Times New Roman" w:hAnsi="Times New Roman" w:eastAsia="宋体" w:cs="Times New Roman"/>
                      <w:b w:val="0"/>
                      <w:bCs/>
                      <w:color w:val="000000"/>
                      <w:spacing w:val="6"/>
                      <w:sz w:val="21"/>
                      <w:szCs w:val="21"/>
                      <w:vertAlign w:val="baseline"/>
                    </w:rPr>
                  </w:pPr>
                  <w:r>
                    <w:rPr>
                      <w:rFonts w:hint="default" w:ascii="Times New Roman" w:hAnsi="Times New Roman" w:eastAsia="宋体" w:cs="Times New Roman"/>
                      <w:b w:val="0"/>
                      <w:i w:val="0"/>
                      <w:iCs w:val="0"/>
                      <w:color w:val="000000"/>
                      <w:kern w:val="0"/>
                      <w:sz w:val="21"/>
                      <w:szCs w:val="21"/>
                      <w:u w:val="none"/>
                      <w:lang w:val="en-US" w:eastAsia="zh-CN" w:bidi="ar"/>
                    </w:rPr>
                    <w:t>达标</w:t>
                  </w:r>
                </w:p>
              </w:tc>
            </w:tr>
          </w:tbl>
          <w:p w14:paraId="54491A27">
            <w:pPr>
              <w:pStyle w:val="45"/>
              <w:keepNext w:val="0"/>
              <w:keepLines w:val="0"/>
              <w:pageBreakBefore w:val="0"/>
              <w:widowControl w:val="0"/>
              <w:kinsoku/>
              <w:wordWrap/>
              <w:overflowPunct/>
              <w:topLinePunct w:val="0"/>
              <w:autoSpaceDE/>
              <w:autoSpaceDN/>
              <w:bidi w:val="0"/>
              <w:adjustRightInd/>
              <w:snapToGrid/>
              <w:spacing w:line="360" w:lineRule="auto"/>
              <w:ind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由上表可知，正常工况下，项目开采区在矿区边界处噪声</w:t>
            </w:r>
            <w:r>
              <w:rPr>
                <w:rFonts w:hint="default" w:ascii="Times New Roman" w:hAnsi="Times New Roman" w:eastAsia="宋体" w:cs="Times New Roman"/>
                <w:spacing w:val="6"/>
                <w:sz w:val="24"/>
                <w:szCs w:val="24"/>
              </w:rPr>
              <w:t>满足《工业企业厂界境噪</w:t>
            </w:r>
            <w:r>
              <w:rPr>
                <w:rFonts w:hint="default" w:ascii="Times New Roman" w:hAnsi="Times New Roman" w:eastAsia="宋体" w:cs="Times New Roman"/>
                <w:spacing w:val="5"/>
                <w:sz w:val="24"/>
                <w:szCs w:val="24"/>
              </w:rPr>
              <w:t>声排放标准》</w:t>
            </w:r>
            <w:r>
              <w:rPr>
                <w:rFonts w:hint="default" w:ascii="Times New Roman" w:hAnsi="Times New Roman" w:eastAsia="宋体" w:cs="Times New Roman"/>
                <w:spacing w:val="10"/>
                <w:sz w:val="24"/>
                <w:szCs w:val="24"/>
              </w:rPr>
              <w:t>(</w:t>
            </w:r>
            <w:r>
              <w:rPr>
                <w:rFonts w:hint="default" w:ascii="Times New Roman" w:hAnsi="Times New Roman" w:eastAsia="宋体" w:cs="Times New Roman"/>
                <w:sz w:val="24"/>
                <w:szCs w:val="24"/>
              </w:rPr>
              <w:t>GB</w:t>
            </w:r>
            <w:r>
              <w:rPr>
                <w:rFonts w:hint="default" w:ascii="Times New Roman" w:hAnsi="Times New Roman" w:eastAsia="宋体" w:cs="Times New Roman"/>
                <w:spacing w:val="10"/>
                <w:sz w:val="24"/>
                <w:szCs w:val="24"/>
              </w:rPr>
              <w:t>12348</w:t>
            </w:r>
            <w:r>
              <w:rPr>
                <w:rFonts w:hint="eastAsia" w:ascii="Times New Roman" w:hAnsi="Times New Roman" w:eastAsia="宋体" w:cs="Times New Roman"/>
                <w:spacing w:val="10"/>
                <w:sz w:val="24"/>
                <w:szCs w:val="24"/>
                <w:lang w:val="en-US" w:eastAsia="zh-CN"/>
              </w:rPr>
              <w:t>-</w:t>
            </w:r>
            <w:r>
              <w:rPr>
                <w:rFonts w:hint="default" w:ascii="Times New Roman" w:hAnsi="Times New Roman" w:eastAsia="宋体" w:cs="Times New Roman"/>
                <w:spacing w:val="10"/>
                <w:sz w:val="24"/>
                <w:szCs w:val="24"/>
              </w:rPr>
              <w:t>2008)中2</w:t>
            </w:r>
            <w:r>
              <w:rPr>
                <w:rFonts w:hint="default" w:ascii="Times New Roman" w:hAnsi="Times New Roman" w:eastAsia="宋体" w:cs="Times New Roman"/>
                <w:spacing w:val="-56"/>
                <w:sz w:val="24"/>
                <w:szCs w:val="24"/>
              </w:rPr>
              <w:t xml:space="preserve"> </w:t>
            </w:r>
            <w:r>
              <w:rPr>
                <w:rFonts w:hint="default" w:ascii="Times New Roman" w:hAnsi="Times New Roman" w:eastAsia="宋体" w:cs="Times New Roman"/>
                <w:spacing w:val="10"/>
                <w:sz w:val="24"/>
                <w:szCs w:val="24"/>
              </w:rPr>
              <w:t>类标准限值，对周边声环境影响不</w:t>
            </w:r>
            <w:r>
              <w:rPr>
                <w:rFonts w:hint="default" w:ascii="Times New Roman" w:hAnsi="Times New Roman" w:eastAsia="宋体" w:cs="Times New Roman"/>
                <w:spacing w:val="9"/>
                <w:sz w:val="24"/>
                <w:szCs w:val="24"/>
              </w:rPr>
              <w:t>大。</w:t>
            </w:r>
          </w:p>
          <w:p w14:paraId="3501902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18" w:firstLineChars="200"/>
              <w:textAlignment w:val="auto"/>
              <w:outlineLvl w:val="1"/>
              <w:rPr>
                <w:rFonts w:hint="default" w:ascii="Times New Roman" w:hAnsi="Times New Roman" w:eastAsia="宋体" w:cs="Times New Roman"/>
                <w:sz w:val="24"/>
                <w:szCs w:val="24"/>
              </w:rPr>
            </w:pPr>
            <w:r>
              <w:rPr>
                <w:rFonts w:hint="default" w:ascii="Times New Roman" w:hAnsi="Times New Roman" w:eastAsia="宋体" w:cs="Times New Roman"/>
                <w:b/>
                <w:bCs/>
                <w:spacing w:val="9"/>
                <w:sz w:val="24"/>
                <w:szCs w:val="24"/>
              </w:rPr>
              <w:t>2.3.4</w:t>
            </w:r>
            <w:r>
              <w:rPr>
                <w:rFonts w:hint="eastAsia" w:ascii="Times New Roman" w:hAnsi="Times New Roman" w:eastAsia="宋体" w:cs="Times New Roman"/>
                <w:b/>
                <w:bCs/>
                <w:spacing w:val="9"/>
                <w:sz w:val="24"/>
                <w:szCs w:val="24"/>
                <w:lang w:val="en-US" w:eastAsia="zh-CN"/>
              </w:rPr>
              <w:t xml:space="preserve">   </w:t>
            </w:r>
            <w:r>
              <w:rPr>
                <w:rFonts w:hint="default" w:ascii="Times New Roman" w:hAnsi="Times New Roman" w:eastAsia="宋体" w:cs="Times New Roman"/>
                <w:b/>
                <w:bCs/>
                <w:spacing w:val="9"/>
                <w:sz w:val="24"/>
                <w:szCs w:val="24"/>
              </w:rPr>
              <w:t>运输噪声影响分析</w:t>
            </w:r>
          </w:p>
          <w:p w14:paraId="2AEA8D7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项目运营期矿石及剥离物采用公路开拓+汽车运输方式，汽车运行产</w:t>
            </w:r>
            <w:r>
              <w:rPr>
                <w:rFonts w:hint="default" w:ascii="Times New Roman" w:hAnsi="Times New Roman" w:eastAsia="宋体" w:cs="Times New Roman"/>
                <w:spacing w:val="4"/>
                <w:sz w:val="24"/>
                <w:szCs w:val="24"/>
              </w:rPr>
              <w:t>生的交通噪声在70～85</w:t>
            </w:r>
            <w:r>
              <w:rPr>
                <w:rFonts w:hint="default" w:ascii="Times New Roman" w:hAnsi="Times New Roman" w:eastAsia="宋体" w:cs="Times New Roman"/>
                <w:sz w:val="24"/>
                <w:szCs w:val="24"/>
              </w:rPr>
              <w:t>dB</w:t>
            </w:r>
            <w:r>
              <w:rPr>
                <w:rFonts w:hint="default" w:ascii="Times New Roman" w:hAnsi="Times New Roman" w:eastAsia="宋体" w:cs="Times New Roman"/>
                <w:spacing w:val="4"/>
                <w:sz w:val="24"/>
                <w:szCs w:val="24"/>
              </w:rPr>
              <w:t>（A）之间，车辆运输噪声呈线声源特点，汽</w:t>
            </w:r>
            <w:r>
              <w:rPr>
                <w:rFonts w:hint="default" w:ascii="Times New Roman" w:hAnsi="Times New Roman" w:eastAsia="宋体" w:cs="Times New Roman"/>
                <w:spacing w:val="6"/>
                <w:sz w:val="24"/>
                <w:szCs w:val="24"/>
              </w:rPr>
              <w:t>车运输在矿区范围内。矿山四周为荒山，且</w:t>
            </w:r>
            <w:r>
              <w:rPr>
                <w:rFonts w:hint="default" w:ascii="Times New Roman" w:hAnsi="Times New Roman" w:eastAsia="宋体" w:cs="Times New Roman"/>
                <w:spacing w:val="5"/>
                <w:sz w:val="24"/>
                <w:szCs w:val="24"/>
              </w:rPr>
              <w:t>矿区周边200m范围无声环</w:t>
            </w:r>
            <w:r>
              <w:rPr>
                <w:rFonts w:hint="default" w:ascii="Times New Roman" w:hAnsi="Times New Roman" w:eastAsia="宋体" w:cs="Times New Roman"/>
                <w:spacing w:val="-1"/>
                <w:sz w:val="24"/>
                <w:szCs w:val="24"/>
              </w:rPr>
              <w:t>境敏感目标。因此，运输噪声对环境影响较小。</w:t>
            </w:r>
          </w:p>
          <w:p w14:paraId="41D7F41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3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4"/>
                <w:sz w:val="24"/>
                <w:szCs w:val="24"/>
              </w:rPr>
              <w:t>2.3.</w:t>
            </w:r>
            <w:r>
              <w:rPr>
                <w:rFonts w:hint="eastAsia" w:ascii="Times New Roman" w:hAnsi="Times New Roman" w:eastAsia="宋体" w:cs="Times New Roman"/>
                <w:b/>
                <w:bCs/>
                <w:spacing w:val="14"/>
                <w:sz w:val="24"/>
                <w:szCs w:val="24"/>
                <w:lang w:val="en-US" w:eastAsia="zh-CN"/>
              </w:rPr>
              <w:t>6</w:t>
            </w:r>
            <w:r>
              <w:rPr>
                <w:rFonts w:hint="default" w:ascii="Times New Roman" w:hAnsi="Times New Roman" w:eastAsia="宋体" w:cs="Times New Roman"/>
                <w:b/>
                <w:bCs/>
                <w:spacing w:val="14"/>
                <w:sz w:val="24"/>
                <w:szCs w:val="24"/>
              </w:rPr>
              <w:t>监测要求</w:t>
            </w:r>
          </w:p>
          <w:p w14:paraId="16BACFB7">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0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本次评价根据《排污单位自行监测技术指南</w:t>
            </w:r>
            <w:r>
              <w:rPr>
                <w:rFonts w:hint="default" w:ascii="Times New Roman" w:hAnsi="Times New Roman" w:eastAsia="宋体" w:cs="Times New Roman"/>
                <w:spacing w:val="6"/>
                <w:sz w:val="24"/>
                <w:szCs w:val="24"/>
              </w:rPr>
              <w:t>总则》（</w:t>
            </w:r>
            <w:r>
              <w:rPr>
                <w:rFonts w:hint="default" w:ascii="Times New Roman" w:hAnsi="Times New Roman" w:eastAsia="宋体" w:cs="Times New Roman"/>
                <w:sz w:val="24"/>
                <w:szCs w:val="24"/>
              </w:rPr>
              <w:t>HJ</w:t>
            </w:r>
            <w:r>
              <w:rPr>
                <w:rFonts w:hint="default" w:ascii="Times New Roman" w:hAnsi="Times New Roman" w:eastAsia="宋体" w:cs="Times New Roman"/>
                <w:spacing w:val="6"/>
                <w:sz w:val="24"/>
                <w:szCs w:val="24"/>
              </w:rPr>
              <w:t>819-2017）</w:t>
            </w:r>
            <w:r>
              <w:rPr>
                <w:rFonts w:hint="default" w:ascii="Times New Roman" w:hAnsi="Times New Roman" w:eastAsia="宋体" w:cs="Times New Roman"/>
                <w:sz w:val="24"/>
                <w:szCs w:val="24"/>
              </w:rPr>
              <w:t>要求</w:t>
            </w:r>
            <w:r>
              <w:rPr>
                <w:rFonts w:hint="default" w:ascii="Times New Roman" w:hAnsi="Times New Roman" w:eastAsia="宋体" w:cs="Times New Roman"/>
                <w:spacing w:val="-25"/>
                <w:sz w:val="24"/>
                <w:szCs w:val="24"/>
              </w:rPr>
              <w:t xml:space="preserve"> </w:t>
            </w:r>
            <w:r>
              <w:rPr>
                <w:rFonts w:hint="default" w:ascii="Times New Roman" w:hAnsi="Times New Roman" w:eastAsia="宋体" w:cs="Times New Roman"/>
                <w:sz w:val="24"/>
                <w:szCs w:val="24"/>
              </w:rPr>
              <w:t>，提出项目运营期噪声监测要求，详见表4-1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14:paraId="14D1A863">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46" w:firstLineChars="200"/>
              <w:jc w:val="center"/>
              <w:textAlignment w:val="auto"/>
              <w:rPr>
                <w:rFonts w:hint="default" w:ascii="Times New Roman" w:hAnsi="Times New Roman" w:eastAsia="宋体" w:cs="Times New Roman"/>
                <w:b/>
                <w:bCs/>
                <w:spacing w:val="6"/>
                <w:sz w:val="24"/>
                <w:szCs w:val="24"/>
              </w:rPr>
            </w:pPr>
            <w:r>
              <w:rPr>
                <w:rFonts w:hint="default" w:ascii="Times New Roman" w:hAnsi="Times New Roman" w:eastAsia="宋体" w:cs="Times New Roman"/>
                <w:b/>
                <w:bCs/>
                <w:spacing w:val="6"/>
                <w:sz w:val="21"/>
                <w:szCs w:val="21"/>
              </w:rPr>
              <w:t>表 4-1</w:t>
            </w:r>
            <w:r>
              <w:rPr>
                <w:rFonts w:hint="eastAsia" w:ascii="Times New Roman" w:hAnsi="Times New Roman" w:eastAsia="宋体" w:cs="Times New Roman"/>
                <w:b/>
                <w:bCs/>
                <w:spacing w:val="6"/>
                <w:sz w:val="21"/>
                <w:szCs w:val="21"/>
                <w:lang w:val="en-US" w:eastAsia="zh-CN"/>
              </w:rPr>
              <w:t>5</w:t>
            </w:r>
            <w:r>
              <w:rPr>
                <w:rFonts w:hint="default" w:ascii="Times New Roman" w:hAnsi="Times New Roman" w:eastAsia="宋体" w:cs="Times New Roman"/>
                <w:b/>
                <w:bCs/>
                <w:spacing w:val="16"/>
                <w:sz w:val="21"/>
                <w:szCs w:val="21"/>
              </w:rPr>
              <w:t xml:space="preserve">   </w:t>
            </w:r>
            <w:r>
              <w:rPr>
                <w:rFonts w:hint="default" w:ascii="Times New Roman" w:hAnsi="Times New Roman" w:eastAsia="宋体" w:cs="Times New Roman"/>
                <w:b/>
                <w:bCs/>
                <w:spacing w:val="6"/>
                <w:sz w:val="21"/>
                <w:szCs w:val="21"/>
              </w:rPr>
              <w:t>项目运营期噪声监测计划</w:t>
            </w:r>
          </w:p>
          <w:tbl>
            <w:tblPr>
              <w:tblStyle w:val="23"/>
              <w:tblW w:w="8117"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662"/>
              <w:gridCol w:w="1807"/>
              <w:gridCol w:w="1091"/>
              <w:gridCol w:w="2474"/>
            </w:tblGrid>
            <w:tr w14:paraId="7F00CF9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630" w:hRule="atLeast"/>
                <w:jc w:val="center"/>
              </w:trPr>
              <w:tc>
                <w:tcPr>
                  <w:tcW w:w="1083" w:type="dxa"/>
                  <w:tcBorders>
                    <w:top w:val="single" w:color="000000" w:sz="12" w:space="0"/>
                    <w:left w:val="nil"/>
                    <w:tl2br w:val="nil"/>
                  </w:tcBorders>
                  <w:shd w:val="clear" w:color="auto" w:fill="FFFFFF"/>
                  <w:noWrap w:val="0"/>
                  <w:vAlign w:val="center"/>
                </w:tcPr>
                <w:p w14:paraId="735145D1">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eastAsia" w:ascii="Times New Roman" w:hAnsi="Times New Roman" w:eastAsia="宋体" w:cs="Times New Roman"/>
                      <w:b w:val="0"/>
                      <w:bCs/>
                      <w:i w:val="0"/>
                      <w:iCs w:val="0"/>
                      <w:color w:val="000000"/>
                      <w:kern w:val="0"/>
                      <w:sz w:val="21"/>
                      <w:szCs w:val="21"/>
                      <w:u w:val="none"/>
                      <w:lang w:val="en-US" w:eastAsia="zh-CN" w:bidi="ar"/>
                    </w:rPr>
                    <w:t>污染物</w:t>
                  </w:r>
                </w:p>
              </w:tc>
              <w:tc>
                <w:tcPr>
                  <w:tcW w:w="1662" w:type="dxa"/>
                  <w:tcBorders>
                    <w:top w:val="single" w:color="000000" w:sz="12" w:space="0"/>
                  </w:tcBorders>
                  <w:shd w:val="clear" w:color="auto" w:fill="FFFFFF"/>
                  <w:noWrap w:val="0"/>
                  <w:vAlign w:val="center"/>
                </w:tcPr>
                <w:p w14:paraId="28E2F450">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监测点位</w:t>
                  </w:r>
                </w:p>
              </w:tc>
              <w:tc>
                <w:tcPr>
                  <w:tcW w:w="1807" w:type="dxa"/>
                  <w:tcBorders>
                    <w:top w:val="single" w:color="000000" w:sz="12" w:space="0"/>
                  </w:tcBorders>
                  <w:shd w:val="clear" w:color="auto" w:fill="FFFFFF"/>
                  <w:noWrap w:val="0"/>
                  <w:vAlign w:val="center"/>
                </w:tcPr>
                <w:p w14:paraId="54930F6D">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监测指标</w:t>
                  </w:r>
                </w:p>
              </w:tc>
              <w:tc>
                <w:tcPr>
                  <w:tcW w:w="1091" w:type="dxa"/>
                  <w:tcBorders>
                    <w:top w:val="single" w:color="000000" w:sz="12" w:space="0"/>
                  </w:tcBorders>
                  <w:shd w:val="clear" w:color="auto" w:fill="FFFFFF"/>
                  <w:noWrap w:val="0"/>
                  <w:vAlign w:val="center"/>
                </w:tcPr>
                <w:p w14:paraId="1996A347">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监测频次</w:t>
                  </w:r>
                </w:p>
              </w:tc>
              <w:tc>
                <w:tcPr>
                  <w:tcW w:w="2474" w:type="dxa"/>
                  <w:tcBorders>
                    <w:top w:val="single" w:color="000000" w:sz="12" w:space="0"/>
                    <w:right w:val="nil"/>
                  </w:tcBorders>
                  <w:shd w:val="clear" w:color="auto" w:fill="FFFFFF"/>
                  <w:noWrap w:val="0"/>
                  <w:vAlign w:val="center"/>
                </w:tcPr>
                <w:p w14:paraId="0B1E76CD">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执行标准</w:t>
                  </w:r>
                </w:p>
              </w:tc>
            </w:tr>
            <w:tr w14:paraId="2AA468C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1083" w:type="dxa"/>
                  <w:tcBorders>
                    <w:left w:val="nil"/>
                    <w:bottom w:val="single" w:color="000000" w:sz="12" w:space="0"/>
                  </w:tcBorders>
                  <w:shd w:val="clear" w:color="auto" w:fill="FFFFFF"/>
                  <w:noWrap w:val="0"/>
                  <w:vAlign w:val="center"/>
                </w:tcPr>
                <w:p w14:paraId="1404031E">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ascii="Times New Roman" w:hAnsi="Times New Roman" w:eastAsia="宋体" w:cs="Times New Roman"/>
                      <w:b w:val="0"/>
                      <w:i w:val="0"/>
                      <w:iCs w:val="0"/>
                      <w:color w:val="000000"/>
                      <w:kern w:val="0"/>
                      <w:sz w:val="21"/>
                      <w:szCs w:val="21"/>
                      <w:u w:val="none"/>
                      <w:lang w:val="en-US" w:eastAsia="zh-CN" w:bidi="ar"/>
                    </w:rPr>
                    <w:t>噪声</w:t>
                  </w:r>
                </w:p>
              </w:tc>
              <w:tc>
                <w:tcPr>
                  <w:tcW w:w="1662" w:type="dxa"/>
                  <w:tcBorders>
                    <w:bottom w:val="single" w:color="000000" w:sz="12" w:space="0"/>
                  </w:tcBorders>
                  <w:shd w:val="clear" w:color="auto" w:fill="FFFFFF"/>
                  <w:noWrap w:val="0"/>
                  <w:vAlign w:val="center"/>
                </w:tcPr>
                <w:p w14:paraId="68F1C97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厂界四周</w:t>
                  </w:r>
                </w:p>
              </w:tc>
              <w:tc>
                <w:tcPr>
                  <w:tcW w:w="1807" w:type="dxa"/>
                  <w:tcBorders>
                    <w:bottom w:val="single" w:color="000000" w:sz="12" w:space="0"/>
                  </w:tcBorders>
                  <w:shd w:val="clear" w:color="auto" w:fill="FFFFFF"/>
                  <w:noWrap w:val="0"/>
                  <w:vAlign w:val="center"/>
                </w:tcPr>
                <w:p w14:paraId="3F3E64F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昼夜等效连续A声级</w:t>
                  </w:r>
                </w:p>
              </w:tc>
              <w:tc>
                <w:tcPr>
                  <w:tcW w:w="1091" w:type="dxa"/>
                  <w:tcBorders>
                    <w:bottom w:val="single" w:color="000000" w:sz="12" w:space="0"/>
                  </w:tcBorders>
                  <w:shd w:val="clear" w:color="auto" w:fill="FFFFFF"/>
                  <w:noWrap w:val="0"/>
                  <w:vAlign w:val="center"/>
                </w:tcPr>
                <w:p w14:paraId="7A0B65E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1次/季度</w:t>
                  </w:r>
                </w:p>
              </w:tc>
              <w:tc>
                <w:tcPr>
                  <w:tcW w:w="2474" w:type="dxa"/>
                  <w:tcBorders>
                    <w:bottom w:val="single" w:color="000000" w:sz="12" w:space="0"/>
                    <w:right w:val="nil"/>
                  </w:tcBorders>
                  <w:shd w:val="clear" w:color="auto" w:fill="FFFFFF"/>
                  <w:noWrap w:val="0"/>
                  <w:vAlign w:val="center"/>
                </w:tcPr>
                <w:p w14:paraId="581E25CA">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《工业企业厂界环境噪声排放标准》（GB12348-2008）</w:t>
                  </w:r>
                </w:p>
                <w:p w14:paraId="68238802">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2类标准</w:t>
                  </w:r>
                </w:p>
              </w:tc>
            </w:tr>
          </w:tbl>
          <w:p w14:paraId="3BEB0E57">
            <w:pPr>
              <w:pStyle w:val="45"/>
              <w:keepNext w:val="0"/>
              <w:keepLines w:val="0"/>
              <w:pageBreakBefore w:val="0"/>
              <w:widowControl w:val="0"/>
              <w:kinsoku/>
              <w:wordWrap/>
              <w:overflowPunct/>
              <w:topLinePunct w:val="0"/>
              <w:autoSpaceDE/>
              <w:autoSpaceDN/>
              <w:bidi w:val="0"/>
              <w:adjustRightInd/>
              <w:snapToGrid/>
              <w:spacing w:line="360" w:lineRule="auto"/>
              <w:ind w:left="0" w:firstLine="49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2.4  固体废物环境影响分析</w:t>
            </w:r>
          </w:p>
          <w:p w14:paraId="4C8A8020">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项目运营期固体废物主要为开采产生的表土、废石剥离物</w:t>
            </w:r>
            <w:r>
              <w:rPr>
                <w:rFonts w:hint="eastAsia" w:ascii="Times New Roman" w:hAnsi="Times New Roman" w:eastAsia="宋体" w:cs="Times New Roman"/>
                <w:spacing w:val="0"/>
                <w:position w:val="0"/>
                <w:sz w:val="24"/>
                <w:szCs w:val="24"/>
                <w:lang w:eastAsia="zh-CN"/>
              </w:rPr>
              <w:t>、</w:t>
            </w:r>
            <w:r>
              <w:rPr>
                <w:rFonts w:hint="default" w:ascii="Times New Roman" w:hAnsi="Times New Roman" w:eastAsia="宋体" w:cs="Times New Roman"/>
                <w:spacing w:val="0"/>
                <w:position w:val="0"/>
                <w:sz w:val="24"/>
                <w:szCs w:val="24"/>
              </w:rPr>
              <w:t>设备保养产生的废机油、润滑油以及职工生活产生的生活垃圾。</w:t>
            </w:r>
          </w:p>
          <w:p w14:paraId="5480E302">
            <w:pPr>
              <w:pStyle w:val="45"/>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①剥离物</w:t>
            </w:r>
          </w:p>
          <w:p w14:paraId="1720A25B">
            <w:pPr>
              <w:pStyle w:val="45"/>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pacing w:val="0"/>
                <w:position w:val="0"/>
                <w:sz w:val="24"/>
                <w:szCs w:val="24"/>
                <w:lang w:val="en-US" w:eastAsia="zh-CN"/>
              </w:rPr>
            </w:pPr>
            <w:r>
              <w:rPr>
                <w:rFonts w:hint="default" w:ascii="Times New Roman" w:hAnsi="Times New Roman" w:eastAsia="宋体" w:cs="Times New Roman"/>
                <w:spacing w:val="0"/>
                <w:position w:val="0"/>
                <w:sz w:val="24"/>
                <w:szCs w:val="24"/>
                <w:lang w:val="en-US" w:eastAsia="zh-CN"/>
              </w:rPr>
              <w:t>根据本项目《矿产资源开采方案》和《储量核实报告》，该矿总覆盖层厚0.1～10.5m，根据矿山已有采坑实际揭露的厚度，同时考虑矿区边界预留边坡段变薄的因素，该矿总覆盖层剥离厚度平均约为2.2m，矿区内开采境界面积为1.1316km²，已采区面积为16.5万m</w:t>
            </w:r>
            <w:r>
              <w:rPr>
                <w:rFonts w:hint="default" w:ascii="Times New Roman" w:hAnsi="Times New Roman" w:eastAsia="宋体" w:cs="Times New Roman"/>
                <w:spacing w:val="0"/>
                <w:position w:val="0"/>
                <w:sz w:val="24"/>
                <w:szCs w:val="24"/>
                <w:vertAlign w:val="superscript"/>
                <w:lang w:val="en-US" w:eastAsia="zh-CN"/>
              </w:rPr>
              <w:t>2</w:t>
            </w:r>
            <w:r>
              <w:rPr>
                <w:rFonts w:hint="default" w:ascii="Times New Roman" w:hAnsi="Times New Roman" w:eastAsia="宋体" w:cs="Times New Roman"/>
                <w:spacing w:val="0"/>
                <w:position w:val="0"/>
                <w:sz w:val="24"/>
                <w:szCs w:val="24"/>
                <w:lang w:val="en-US" w:eastAsia="zh-CN"/>
              </w:rPr>
              <w:t>，经计算矿山剩余的剥离总量为405.97万m³，其中1#采区剥离量92.53万m³、2#采区剥离量313.44万m³，矿区服务年限为165.7a，</w:t>
            </w:r>
            <w:r>
              <w:rPr>
                <w:rFonts w:hint="default" w:ascii="Times New Roman" w:hAnsi="Times New Roman" w:eastAsia="宋体" w:cs="Times New Roman"/>
                <w:sz w:val="24"/>
                <w:szCs w:val="24"/>
                <w:highlight w:val="none"/>
              </w:rPr>
              <w:t>排土场总容积约为116万m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pacing w:val="0"/>
                <w:position w:val="0"/>
                <w:sz w:val="24"/>
                <w:szCs w:val="24"/>
                <w:lang w:val="en-US" w:eastAsia="zh-CN"/>
              </w:rPr>
              <w:t>，1#采区剥离物全部暂存至排土场，用于采场回填和闭矿期</w:t>
            </w:r>
            <w:r>
              <w:rPr>
                <w:rFonts w:hint="eastAsia" w:ascii="Times New Roman" w:hAnsi="Times New Roman" w:eastAsia="宋体" w:cs="Times New Roman"/>
                <w:spacing w:val="0"/>
                <w:position w:val="0"/>
                <w:sz w:val="24"/>
                <w:szCs w:val="24"/>
                <w:lang w:val="en-US" w:eastAsia="zh-CN"/>
              </w:rPr>
              <w:t>生</w:t>
            </w:r>
            <w:r>
              <w:rPr>
                <w:rFonts w:hint="default" w:ascii="Times New Roman" w:hAnsi="Times New Roman" w:eastAsia="宋体" w:cs="Times New Roman"/>
                <w:spacing w:val="0"/>
                <w:position w:val="0"/>
                <w:sz w:val="24"/>
                <w:szCs w:val="24"/>
                <w:lang w:val="en-US" w:eastAsia="zh-CN"/>
              </w:rPr>
              <w:t>态恢复和土地复垦；2#采区剥离物部分用于回填1#采区开采形减的凹坑，部分用于本采区内部回填</w:t>
            </w:r>
            <w:r>
              <w:rPr>
                <w:rFonts w:hint="eastAsia" w:ascii="Times New Roman" w:hAnsi="Times New Roman" w:eastAsia="宋体" w:cs="Times New Roman"/>
                <w:spacing w:val="0"/>
                <w:position w:val="0"/>
                <w:sz w:val="24"/>
                <w:szCs w:val="24"/>
                <w:lang w:val="en-US" w:eastAsia="zh-CN"/>
              </w:rPr>
              <w:t>，还有部分用于以往零星开采的</w:t>
            </w:r>
            <w:r>
              <w:rPr>
                <w:rFonts w:hint="default" w:ascii="Times New Roman" w:hAnsi="Times New Roman" w:eastAsia="宋体" w:cs="Times New Roman"/>
                <w:kern w:val="0"/>
                <w:sz w:val="24"/>
                <w:szCs w:val="24"/>
                <w:lang w:val="en-US" w:eastAsia="zh-CN"/>
              </w:rPr>
              <w:t>1#、2#</w:t>
            </w:r>
            <w:r>
              <w:rPr>
                <w:rFonts w:hint="eastAsia" w:ascii="Times New Roman" w:hAnsi="Times New Roman" w:eastAsia="宋体" w:cs="Times New Roman"/>
                <w:spacing w:val="0"/>
                <w:position w:val="0"/>
                <w:sz w:val="24"/>
                <w:szCs w:val="24"/>
                <w:lang w:val="en-US" w:eastAsia="zh-CN"/>
              </w:rPr>
              <w:t>采坑</w:t>
            </w:r>
            <w:r>
              <w:rPr>
                <w:rFonts w:hint="eastAsia" w:ascii="Times New Roman" w:hAnsi="Times New Roman" w:eastAsia="宋体" w:cs="Times New Roman"/>
                <w:kern w:val="0"/>
                <w:sz w:val="24"/>
                <w:szCs w:val="24"/>
                <w:lang w:val="en-US" w:eastAsia="zh-CN"/>
              </w:rPr>
              <w:t>局部回填。</w:t>
            </w:r>
          </w:p>
          <w:p w14:paraId="1694B11D">
            <w:pPr>
              <w:pStyle w:val="45"/>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矿山计划实行</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边开采、边复垦方式</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即只要上一个台段推进到了最终边帮，就及时进行回填并进行复垦作业，而且本项目开采过程会形成采坑，剥离的废石可用于采区及采坑回填，表土用于矿区生态恢复。因此，矿山服务期内的废石及表土基本能做到合理的处置，对环境影响较小。</w:t>
            </w:r>
          </w:p>
          <w:p w14:paraId="2F0686A0">
            <w:pPr>
              <w:pStyle w:val="45"/>
              <w:keepNext w:val="0"/>
              <w:keepLines w:val="0"/>
              <w:pageBreakBefore w:val="0"/>
              <w:kinsoku/>
              <w:wordWrap/>
              <w:overflowPunct/>
              <w:topLinePunct w:val="0"/>
              <w:autoSpaceDE/>
              <w:autoSpaceDN/>
              <w:bidi w:val="0"/>
              <w:adjustRightInd/>
              <w:snapToGrid/>
              <w:spacing w:line="360" w:lineRule="auto"/>
              <w:ind w:left="0" w:right="0" w:firstLine="480" w:firstLineChars="200"/>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②危险废物</w:t>
            </w:r>
          </w:p>
          <w:p w14:paraId="78AE9DB2">
            <w:pPr>
              <w:pStyle w:val="45"/>
              <w:keepNext w:val="0"/>
              <w:keepLines w:val="0"/>
              <w:pageBreakBefore w:val="0"/>
              <w:kinsoku/>
              <w:wordWrap/>
              <w:overflowPunct/>
              <w:topLinePunct w:val="0"/>
              <w:autoSpaceDE/>
              <w:autoSpaceDN/>
              <w:bidi w:val="0"/>
              <w:adjustRightInd/>
              <w:snapToGrid/>
              <w:spacing w:line="360" w:lineRule="auto"/>
              <w:ind w:left="0" w:right="0" w:firstLine="480" w:firstLineChars="200"/>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设备检维修过程产生的废机油、废油桶等，根据《国家危险废物名录》（2025年本），废机油、废油桶等属于危险废物。按照每月维修保养1次、每次产生废矿物油（含桶）0.</w:t>
            </w:r>
            <w:r>
              <w:rPr>
                <w:rFonts w:hint="eastAsia" w:ascii="Times New Roman" w:hAnsi="Times New Roman" w:eastAsia="宋体" w:cs="Times New Roman"/>
                <w:spacing w:val="0"/>
                <w:position w:val="0"/>
                <w:sz w:val="24"/>
                <w:szCs w:val="24"/>
                <w:lang w:val="en-US" w:eastAsia="zh-CN"/>
              </w:rPr>
              <w:t>05</w:t>
            </w:r>
            <w:r>
              <w:rPr>
                <w:rFonts w:hint="default" w:ascii="Times New Roman" w:hAnsi="Times New Roman" w:eastAsia="宋体" w:cs="Times New Roman"/>
                <w:spacing w:val="0"/>
                <w:position w:val="0"/>
                <w:sz w:val="24"/>
                <w:szCs w:val="24"/>
              </w:rPr>
              <w:t>t计，产生量约0.</w:t>
            </w:r>
            <w:r>
              <w:rPr>
                <w:rFonts w:hint="eastAsia" w:ascii="Times New Roman" w:hAnsi="Times New Roman" w:eastAsia="宋体" w:cs="Times New Roman"/>
                <w:spacing w:val="0"/>
                <w:position w:val="0"/>
                <w:sz w:val="24"/>
                <w:szCs w:val="24"/>
                <w:lang w:val="en-US" w:eastAsia="zh-CN"/>
              </w:rPr>
              <w:t>3</w:t>
            </w:r>
            <w:r>
              <w:rPr>
                <w:rFonts w:hint="default" w:ascii="Times New Roman" w:hAnsi="Times New Roman" w:eastAsia="宋体" w:cs="Times New Roman"/>
                <w:spacing w:val="0"/>
                <w:position w:val="0"/>
                <w:sz w:val="24"/>
                <w:szCs w:val="24"/>
              </w:rPr>
              <w:t>t/a，项目新建危废贮存点1座（5m</w:t>
            </w:r>
            <w:r>
              <w:rPr>
                <w:rFonts w:hint="default" w:ascii="Times New Roman" w:hAnsi="Times New Roman" w:eastAsia="宋体" w:cs="Times New Roman"/>
                <w:spacing w:val="0"/>
                <w:position w:val="0"/>
                <w:sz w:val="24"/>
                <w:szCs w:val="24"/>
                <w:vertAlign w:val="superscript"/>
              </w:rPr>
              <w:t>2</w:t>
            </w:r>
            <w:r>
              <w:rPr>
                <w:rFonts w:hint="default" w:ascii="Times New Roman" w:hAnsi="Times New Roman" w:eastAsia="宋体" w:cs="Times New Roman"/>
                <w:spacing w:val="0"/>
                <w:position w:val="0"/>
                <w:sz w:val="24"/>
                <w:szCs w:val="24"/>
              </w:rPr>
              <w:t>），产生的危险废物全部暂存至危废贮存点，定期交给有资质危废单位处置。</w:t>
            </w:r>
          </w:p>
          <w:p w14:paraId="44BB1B57">
            <w:pPr>
              <w:pStyle w:val="45"/>
              <w:keepNext w:val="0"/>
              <w:keepLines w:val="0"/>
              <w:pageBreakBefore w:val="0"/>
              <w:kinsoku/>
              <w:wordWrap/>
              <w:overflowPunct/>
              <w:topLinePunct w:val="0"/>
              <w:autoSpaceDE/>
              <w:autoSpaceDN/>
              <w:bidi w:val="0"/>
              <w:adjustRightInd/>
              <w:snapToGrid/>
              <w:spacing w:line="360" w:lineRule="auto"/>
              <w:ind w:left="0" w:right="0" w:firstLine="480" w:firstLineChars="200"/>
              <w:rPr>
                <w:rFonts w:hint="default" w:ascii="Times New Roman" w:hAnsi="Times New Roman" w:eastAsia="宋体" w:cs="Times New Roman"/>
                <w:spacing w:val="0"/>
                <w:position w:val="0"/>
                <w:sz w:val="24"/>
                <w:szCs w:val="24"/>
              </w:rPr>
            </w:pPr>
            <w:r>
              <w:rPr>
                <w:rFonts w:hint="default" w:ascii="Times New Roman" w:hAnsi="Times New Roman" w:eastAsia="宋体" w:cs="Times New Roman"/>
                <w:spacing w:val="0"/>
                <w:position w:val="0"/>
                <w:sz w:val="24"/>
                <w:szCs w:val="24"/>
              </w:rPr>
              <w:t>③生活垃圾</w:t>
            </w:r>
          </w:p>
          <w:p w14:paraId="4122582E">
            <w:pPr>
              <w:pStyle w:val="45"/>
              <w:keepNext w:val="0"/>
              <w:keepLines w:val="0"/>
              <w:pageBreakBefore w:val="0"/>
              <w:kinsoku/>
              <w:wordWrap/>
              <w:overflowPunct/>
              <w:topLinePunct w:val="0"/>
              <w:autoSpaceDE/>
              <w:autoSpaceDN/>
              <w:bidi w:val="0"/>
              <w:adjustRightInd/>
              <w:snapToGrid/>
              <w:spacing w:line="360" w:lineRule="auto"/>
              <w:ind w:left="0" w:right="0" w:firstLine="504" w:firstLineChars="200"/>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本项目生活垃圾产生量按0.5</w:t>
            </w:r>
            <w:r>
              <w:rPr>
                <w:rFonts w:hint="default" w:ascii="Times New Roman" w:hAnsi="Times New Roman" w:eastAsia="宋体" w:cs="Times New Roman"/>
                <w:sz w:val="24"/>
                <w:szCs w:val="24"/>
              </w:rPr>
              <w:t>kg</w:t>
            </w:r>
            <w:r>
              <w:rPr>
                <w:rFonts w:hint="default" w:ascii="Times New Roman" w:hAnsi="Times New Roman" w:eastAsia="宋体" w:cs="Times New Roman"/>
                <w:spacing w:val="6"/>
                <w:sz w:val="24"/>
                <w:szCs w:val="24"/>
              </w:rPr>
              <w:t>/人·d</w:t>
            </w:r>
            <w:r>
              <w:rPr>
                <w:rFonts w:hint="default" w:ascii="Times New Roman" w:hAnsi="Times New Roman" w:eastAsia="宋体" w:cs="Times New Roman"/>
                <w:spacing w:val="-58"/>
                <w:sz w:val="24"/>
                <w:szCs w:val="24"/>
              </w:rPr>
              <w:t xml:space="preserve"> </w:t>
            </w:r>
            <w:r>
              <w:rPr>
                <w:rFonts w:hint="default" w:ascii="Times New Roman" w:hAnsi="Times New Roman" w:eastAsia="宋体" w:cs="Times New Roman"/>
                <w:spacing w:val="6"/>
                <w:sz w:val="24"/>
                <w:szCs w:val="24"/>
              </w:rPr>
              <w:t>计，年工作天数为2</w:t>
            </w:r>
            <w:r>
              <w:rPr>
                <w:rFonts w:hint="eastAsia" w:ascii="Times New Roman" w:hAnsi="Times New Roman" w:eastAsia="宋体" w:cs="Times New Roman"/>
                <w:spacing w:val="6"/>
                <w:sz w:val="24"/>
                <w:szCs w:val="24"/>
                <w:lang w:val="en-US" w:eastAsia="zh-CN"/>
              </w:rPr>
              <w:t>0</w:t>
            </w:r>
            <w:r>
              <w:rPr>
                <w:rFonts w:hint="default" w:ascii="Times New Roman" w:hAnsi="Times New Roman" w:eastAsia="宋体" w:cs="Times New Roman"/>
                <w:spacing w:val="6"/>
                <w:sz w:val="24"/>
                <w:szCs w:val="24"/>
              </w:rPr>
              <w:t>0</w:t>
            </w:r>
            <w:r>
              <w:rPr>
                <w:rFonts w:hint="default" w:ascii="Times New Roman" w:hAnsi="Times New Roman" w:eastAsia="宋体" w:cs="Times New Roman"/>
                <w:spacing w:val="5"/>
                <w:sz w:val="24"/>
                <w:szCs w:val="24"/>
              </w:rPr>
              <w:t>d。项</w:t>
            </w:r>
            <w:r>
              <w:rPr>
                <w:rFonts w:hint="default" w:ascii="Times New Roman" w:hAnsi="Times New Roman" w:eastAsia="宋体" w:cs="Times New Roman"/>
                <w:spacing w:val="3"/>
                <w:sz w:val="24"/>
                <w:szCs w:val="24"/>
              </w:rPr>
              <w:t>目工作人员共</w:t>
            </w:r>
            <w:r>
              <w:rPr>
                <w:rFonts w:hint="eastAsia" w:ascii="Times New Roman" w:hAnsi="Times New Roman" w:eastAsia="宋体" w:cs="Times New Roman"/>
                <w:spacing w:val="3"/>
                <w:sz w:val="24"/>
                <w:szCs w:val="24"/>
                <w:lang w:val="en-US" w:eastAsia="zh-CN"/>
              </w:rPr>
              <w:t>6人</w:t>
            </w:r>
            <w:r>
              <w:rPr>
                <w:rFonts w:hint="default" w:ascii="Times New Roman" w:hAnsi="Times New Roman" w:eastAsia="宋体" w:cs="Times New Roman"/>
                <w:spacing w:val="3"/>
                <w:sz w:val="24"/>
                <w:szCs w:val="24"/>
              </w:rPr>
              <w:t>，则生活垃圾产生量为</w:t>
            </w:r>
            <w:r>
              <w:rPr>
                <w:rFonts w:hint="eastAsia" w:ascii="Times New Roman" w:hAnsi="Times New Roman" w:eastAsia="宋体" w:cs="Times New Roman"/>
                <w:spacing w:val="3"/>
                <w:sz w:val="24"/>
                <w:szCs w:val="24"/>
                <w:lang w:val="en-US" w:eastAsia="zh-CN"/>
              </w:rPr>
              <w:t>0.6</w:t>
            </w:r>
            <w:r>
              <w:rPr>
                <w:rFonts w:hint="default" w:ascii="Times New Roman" w:hAnsi="Times New Roman" w:eastAsia="宋体" w:cs="Times New Roman"/>
                <w:spacing w:val="3"/>
                <w:sz w:val="24"/>
                <w:szCs w:val="24"/>
              </w:rPr>
              <w:t>t</w:t>
            </w:r>
            <w:r>
              <w:rPr>
                <w:rFonts w:hint="default" w:ascii="Times New Roman" w:hAnsi="Times New Roman" w:eastAsia="宋体" w:cs="Times New Roman"/>
                <w:spacing w:val="2"/>
                <w:sz w:val="24"/>
                <w:szCs w:val="24"/>
              </w:rPr>
              <w:t>/a。矿区设置生活垃圾</w:t>
            </w:r>
            <w:r>
              <w:rPr>
                <w:rFonts w:hint="default" w:ascii="Times New Roman" w:hAnsi="Times New Roman" w:eastAsia="宋体" w:cs="Times New Roman"/>
                <w:spacing w:val="-3"/>
                <w:sz w:val="24"/>
                <w:szCs w:val="24"/>
              </w:rPr>
              <w:t>收集桶，生活垃圾集中收集后定期交给环卫部门处置。</w:t>
            </w:r>
          </w:p>
          <w:p w14:paraId="183E7222">
            <w:pPr>
              <w:pStyle w:val="45"/>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92" w:firstLineChars="200"/>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项目运营期一般固体废物、危险废物产生情况见表 4-</w:t>
            </w:r>
            <w:r>
              <w:rPr>
                <w:rFonts w:hint="eastAsia" w:ascii="Times New Roman" w:hAnsi="Times New Roman" w:eastAsia="宋体" w:cs="Times New Roman"/>
                <w:spacing w:val="3"/>
                <w:sz w:val="24"/>
                <w:szCs w:val="24"/>
                <w:lang w:val="en-US" w:eastAsia="zh-CN"/>
              </w:rPr>
              <w:t>16</w:t>
            </w:r>
            <w:r>
              <w:rPr>
                <w:rFonts w:hint="default" w:ascii="Times New Roman" w:hAnsi="Times New Roman" w:eastAsia="宋体" w:cs="Times New Roman"/>
                <w:spacing w:val="3"/>
                <w:sz w:val="24"/>
                <w:szCs w:val="24"/>
              </w:rPr>
              <w:t>、4-1</w:t>
            </w:r>
            <w:r>
              <w:rPr>
                <w:rFonts w:hint="eastAsia" w:ascii="Times New Roman" w:hAnsi="Times New Roman" w:eastAsia="宋体" w:cs="Times New Roman"/>
                <w:spacing w:val="3"/>
                <w:sz w:val="24"/>
                <w:szCs w:val="24"/>
                <w:lang w:val="en-US" w:eastAsia="zh-CN"/>
              </w:rPr>
              <w:t>7</w:t>
            </w:r>
            <w:r>
              <w:rPr>
                <w:rFonts w:hint="default" w:ascii="Times New Roman" w:hAnsi="Times New Roman" w:eastAsia="宋体" w:cs="Times New Roman"/>
                <w:spacing w:val="3"/>
                <w:sz w:val="24"/>
                <w:szCs w:val="24"/>
              </w:rPr>
              <w:t>。</w:t>
            </w:r>
          </w:p>
          <w:p w14:paraId="6854C821">
            <w:pPr>
              <w:pStyle w:val="45"/>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42" w:firstLineChars="200"/>
              <w:jc w:val="center"/>
              <w:rPr>
                <w:rFonts w:hint="default" w:ascii="Times New Roman" w:hAnsi="Times New Roman" w:eastAsia="宋体" w:cs="Times New Roman"/>
                <w:b/>
                <w:bCs/>
                <w:spacing w:val="5"/>
                <w:sz w:val="21"/>
                <w:szCs w:val="21"/>
              </w:rPr>
            </w:pPr>
            <w:r>
              <w:rPr>
                <w:rFonts w:hint="default" w:ascii="Times New Roman" w:hAnsi="Times New Roman" w:eastAsia="宋体" w:cs="Times New Roman"/>
                <w:b/>
                <w:bCs/>
                <w:spacing w:val="5"/>
                <w:sz w:val="21"/>
                <w:szCs w:val="21"/>
              </w:rPr>
              <w:t>表 4-1</w:t>
            </w:r>
            <w:r>
              <w:rPr>
                <w:rFonts w:hint="eastAsia" w:ascii="Times New Roman" w:hAnsi="Times New Roman" w:eastAsia="宋体" w:cs="Times New Roman"/>
                <w:b/>
                <w:bCs/>
                <w:spacing w:val="5"/>
                <w:sz w:val="21"/>
                <w:szCs w:val="21"/>
                <w:lang w:val="en-US" w:eastAsia="zh-CN"/>
              </w:rPr>
              <w:t>6</w:t>
            </w:r>
            <w:r>
              <w:rPr>
                <w:rFonts w:hint="default" w:ascii="Times New Roman" w:hAnsi="Times New Roman" w:eastAsia="宋体" w:cs="Times New Roman"/>
                <w:b/>
                <w:bCs/>
                <w:spacing w:val="19"/>
                <w:sz w:val="21"/>
                <w:szCs w:val="21"/>
              </w:rPr>
              <w:t xml:space="preserve">   </w:t>
            </w:r>
            <w:r>
              <w:rPr>
                <w:rFonts w:hint="default" w:ascii="Times New Roman" w:hAnsi="Times New Roman" w:eastAsia="宋体" w:cs="Times New Roman"/>
                <w:b/>
                <w:bCs/>
                <w:spacing w:val="5"/>
                <w:sz w:val="21"/>
                <w:szCs w:val="21"/>
              </w:rPr>
              <w:t>一般固体废物产生情况一览表</w:t>
            </w:r>
          </w:p>
          <w:tbl>
            <w:tblPr>
              <w:tblStyle w:val="24"/>
              <w:tblW w:w="8014"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985"/>
              <w:gridCol w:w="898"/>
              <w:gridCol w:w="1083"/>
              <w:gridCol w:w="717"/>
              <w:gridCol w:w="850"/>
              <w:gridCol w:w="783"/>
              <w:gridCol w:w="2209"/>
            </w:tblGrid>
            <w:tr w14:paraId="214C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489" w:type="dxa"/>
                  <w:tcBorders>
                    <w:top w:val="single" w:color="000000" w:sz="12" w:space="0"/>
                    <w:left w:val="nil"/>
                    <w:tl2br w:val="nil"/>
                  </w:tcBorders>
                  <w:noWrap w:val="0"/>
                  <w:vAlign w:val="center"/>
                </w:tcPr>
                <w:p w14:paraId="57748CF1">
                  <w:pPr>
                    <w:jc w:val="center"/>
                    <w:rPr>
                      <w:rFonts w:hint="default"/>
                      <w:lang w:val="en-US" w:eastAsia="zh-CN"/>
                    </w:rPr>
                  </w:pPr>
                  <w:r>
                    <w:rPr>
                      <w:rFonts w:hint="default"/>
                      <w:lang w:val="en-US" w:eastAsia="zh-CN"/>
                    </w:rPr>
                    <w:t>序号</w:t>
                  </w:r>
                </w:p>
              </w:tc>
              <w:tc>
                <w:tcPr>
                  <w:tcW w:w="985" w:type="dxa"/>
                  <w:tcBorders>
                    <w:top w:val="single" w:color="000000" w:sz="12" w:space="0"/>
                  </w:tcBorders>
                  <w:noWrap w:val="0"/>
                  <w:vAlign w:val="center"/>
                </w:tcPr>
                <w:p w14:paraId="6BA5E509">
                  <w:pPr>
                    <w:jc w:val="center"/>
                    <w:rPr>
                      <w:rFonts w:hint="default"/>
                      <w:lang w:val="en-US" w:eastAsia="zh-CN"/>
                    </w:rPr>
                  </w:pPr>
                  <w:r>
                    <w:rPr>
                      <w:rFonts w:hint="default"/>
                      <w:lang w:val="en-US" w:eastAsia="zh-CN"/>
                    </w:rPr>
                    <w:t>项目</w:t>
                  </w:r>
                </w:p>
              </w:tc>
              <w:tc>
                <w:tcPr>
                  <w:tcW w:w="898" w:type="dxa"/>
                  <w:tcBorders>
                    <w:top w:val="single" w:color="000000" w:sz="12" w:space="0"/>
                  </w:tcBorders>
                  <w:noWrap w:val="0"/>
                  <w:vAlign w:val="center"/>
                </w:tcPr>
                <w:p w14:paraId="6B5A2B40">
                  <w:pPr>
                    <w:jc w:val="center"/>
                    <w:rPr>
                      <w:rFonts w:hint="default"/>
                      <w:lang w:val="en-US" w:eastAsia="zh-CN"/>
                    </w:rPr>
                  </w:pPr>
                  <w:r>
                    <w:rPr>
                      <w:rFonts w:hint="default"/>
                      <w:lang w:val="en-US" w:eastAsia="zh-CN"/>
                    </w:rPr>
                    <w:t>产生量</w:t>
                  </w:r>
                </w:p>
              </w:tc>
              <w:tc>
                <w:tcPr>
                  <w:tcW w:w="1083" w:type="dxa"/>
                  <w:tcBorders>
                    <w:top w:val="single" w:color="000000" w:sz="12" w:space="0"/>
                  </w:tcBorders>
                  <w:noWrap w:val="0"/>
                  <w:vAlign w:val="center"/>
                </w:tcPr>
                <w:p w14:paraId="5C742AB7">
                  <w:pPr>
                    <w:jc w:val="center"/>
                    <w:rPr>
                      <w:rFonts w:hint="default"/>
                      <w:lang w:val="en-US" w:eastAsia="zh-CN"/>
                    </w:rPr>
                  </w:pPr>
                </w:p>
                <w:p w14:paraId="76CCEB10">
                  <w:pPr>
                    <w:jc w:val="center"/>
                    <w:rPr>
                      <w:rFonts w:hint="default"/>
                      <w:lang w:val="en-US" w:eastAsia="zh-CN"/>
                    </w:rPr>
                  </w:pPr>
                  <w:r>
                    <w:rPr>
                      <w:rFonts w:hint="default"/>
                      <w:lang w:val="en-US" w:eastAsia="zh-CN"/>
                    </w:rPr>
                    <w:t>产生工序</w:t>
                  </w:r>
                </w:p>
                <w:p w14:paraId="5EC8967B">
                  <w:pPr>
                    <w:jc w:val="center"/>
                    <w:rPr>
                      <w:rFonts w:hint="default"/>
                      <w:lang w:val="en-US" w:eastAsia="zh-CN"/>
                    </w:rPr>
                  </w:pPr>
                </w:p>
              </w:tc>
              <w:tc>
                <w:tcPr>
                  <w:tcW w:w="717" w:type="dxa"/>
                  <w:tcBorders>
                    <w:top w:val="single" w:color="000000" w:sz="12" w:space="0"/>
                  </w:tcBorders>
                  <w:noWrap w:val="0"/>
                  <w:vAlign w:val="center"/>
                </w:tcPr>
                <w:p w14:paraId="208B6A9C">
                  <w:pPr>
                    <w:jc w:val="center"/>
                    <w:rPr>
                      <w:rFonts w:hint="default"/>
                      <w:lang w:val="en-US" w:eastAsia="zh-CN"/>
                    </w:rPr>
                  </w:pPr>
                </w:p>
                <w:p w14:paraId="6D97D09F">
                  <w:pPr>
                    <w:jc w:val="center"/>
                    <w:rPr>
                      <w:rFonts w:hint="default"/>
                      <w:lang w:val="en-US" w:eastAsia="zh-CN"/>
                    </w:rPr>
                  </w:pPr>
                  <w:r>
                    <w:rPr>
                      <w:rFonts w:hint="default"/>
                      <w:lang w:val="en-US" w:eastAsia="zh-CN"/>
                    </w:rPr>
                    <w:t>形态</w:t>
                  </w:r>
                </w:p>
                <w:p w14:paraId="003F21DF">
                  <w:pPr>
                    <w:jc w:val="center"/>
                    <w:rPr>
                      <w:rFonts w:hint="default"/>
                      <w:lang w:val="en-US" w:eastAsia="zh-CN"/>
                    </w:rPr>
                  </w:pPr>
                </w:p>
              </w:tc>
              <w:tc>
                <w:tcPr>
                  <w:tcW w:w="850" w:type="dxa"/>
                  <w:tcBorders>
                    <w:top w:val="single" w:color="000000" w:sz="12" w:space="0"/>
                  </w:tcBorders>
                  <w:noWrap w:val="0"/>
                  <w:vAlign w:val="center"/>
                </w:tcPr>
                <w:p w14:paraId="76BBF717">
                  <w:pPr>
                    <w:jc w:val="center"/>
                    <w:rPr>
                      <w:rFonts w:hint="default"/>
                      <w:lang w:val="en-US" w:eastAsia="zh-CN"/>
                    </w:rPr>
                  </w:pPr>
                </w:p>
                <w:p w14:paraId="1282D5A5">
                  <w:pPr>
                    <w:jc w:val="center"/>
                    <w:rPr>
                      <w:rFonts w:hint="default"/>
                      <w:lang w:val="en-US" w:eastAsia="zh-CN"/>
                    </w:rPr>
                  </w:pPr>
                  <w:r>
                    <w:rPr>
                      <w:rFonts w:hint="default"/>
                      <w:lang w:val="en-US" w:eastAsia="zh-CN"/>
                    </w:rPr>
                    <w:t>废物类</w:t>
                  </w:r>
                </w:p>
                <w:p w14:paraId="73058677">
                  <w:pPr>
                    <w:jc w:val="center"/>
                    <w:rPr>
                      <w:rFonts w:hint="default"/>
                      <w:lang w:val="en-US" w:eastAsia="zh-CN"/>
                    </w:rPr>
                  </w:pPr>
                  <w:r>
                    <w:rPr>
                      <w:rFonts w:hint="default"/>
                      <w:lang w:val="en-US" w:eastAsia="zh-CN"/>
                    </w:rPr>
                    <w:t>别及代</w:t>
                  </w:r>
                </w:p>
                <w:p w14:paraId="20CFBC89">
                  <w:pPr>
                    <w:jc w:val="center"/>
                    <w:rPr>
                      <w:rFonts w:hint="default"/>
                      <w:lang w:val="en-US" w:eastAsia="zh-CN"/>
                    </w:rPr>
                  </w:pPr>
                  <w:r>
                    <w:rPr>
                      <w:rFonts w:hint="default"/>
                      <w:lang w:val="en-US" w:eastAsia="zh-CN"/>
                    </w:rPr>
                    <w:t>码</w:t>
                  </w:r>
                </w:p>
              </w:tc>
              <w:tc>
                <w:tcPr>
                  <w:tcW w:w="783" w:type="dxa"/>
                  <w:tcBorders>
                    <w:top w:val="single" w:color="000000" w:sz="12" w:space="0"/>
                  </w:tcBorders>
                  <w:noWrap w:val="0"/>
                  <w:vAlign w:val="center"/>
                </w:tcPr>
                <w:p w14:paraId="51E83347">
                  <w:pPr>
                    <w:jc w:val="center"/>
                    <w:rPr>
                      <w:rFonts w:hint="default"/>
                      <w:lang w:val="en-US" w:eastAsia="zh-CN"/>
                    </w:rPr>
                  </w:pPr>
                </w:p>
                <w:p w14:paraId="0CEDD5BE">
                  <w:pPr>
                    <w:jc w:val="center"/>
                    <w:rPr>
                      <w:rFonts w:hint="default"/>
                      <w:lang w:val="en-US" w:eastAsia="zh-CN"/>
                    </w:rPr>
                  </w:pPr>
                  <w:r>
                    <w:rPr>
                      <w:rFonts w:hint="default"/>
                      <w:lang w:val="en-US" w:eastAsia="zh-CN"/>
                    </w:rPr>
                    <w:t>产废</w:t>
                  </w:r>
                </w:p>
                <w:p w14:paraId="48E12946">
                  <w:pPr>
                    <w:jc w:val="center"/>
                    <w:rPr>
                      <w:rFonts w:hint="default"/>
                      <w:lang w:val="en-US" w:eastAsia="zh-CN"/>
                    </w:rPr>
                  </w:pPr>
                  <w:r>
                    <w:rPr>
                      <w:rFonts w:hint="default"/>
                      <w:lang w:val="en-US" w:eastAsia="zh-CN"/>
                    </w:rPr>
                    <w:t>周期</w:t>
                  </w:r>
                </w:p>
                <w:p w14:paraId="72FB2AE4">
                  <w:pPr>
                    <w:jc w:val="center"/>
                    <w:rPr>
                      <w:rFonts w:hint="default"/>
                      <w:lang w:val="en-US" w:eastAsia="zh-CN"/>
                    </w:rPr>
                  </w:pPr>
                </w:p>
              </w:tc>
              <w:tc>
                <w:tcPr>
                  <w:tcW w:w="2209" w:type="dxa"/>
                  <w:tcBorders>
                    <w:top w:val="single" w:color="000000" w:sz="12" w:space="0"/>
                    <w:right w:val="nil"/>
                  </w:tcBorders>
                  <w:noWrap w:val="0"/>
                  <w:vAlign w:val="center"/>
                </w:tcPr>
                <w:p w14:paraId="4F6088FA">
                  <w:pPr>
                    <w:jc w:val="center"/>
                    <w:rPr>
                      <w:rFonts w:hint="default"/>
                      <w:lang w:val="en-US" w:eastAsia="zh-CN"/>
                    </w:rPr>
                  </w:pPr>
                </w:p>
                <w:p w14:paraId="37803386">
                  <w:pPr>
                    <w:jc w:val="center"/>
                    <w:rPr>
                      <w:rFonts w:hint="default"/>
                      <w:lang w:val="en-US" w:eastAsia="zh-CN"/>
                    </w:rPr>
                  </w:pPr>
                  <w:r>
                    <w:rPr>
                      <w:rFonts w:hint="default"/>
                      <w:lang w:val="en-US" w:eastAsia="zh-CN"/>
                    </w:rPr>
                    <w:t>处置措施</w:t>
                  </w:r>
                </w:p>
                <w:p w14:paraId="49C876B4">
                  <w:pPr>
                    <w:jc w:val="center"/>
                    <w:rPr>
                      <w:rFonts w:hint="default"/>
                      <w:lang w:val="en-US" w:eastAsia="zh-CN"/>
                    </w:rPr>
                  </w:pPr>
                </w:p>
              </w:tc>
            </w:tr>
            <w:tr w14:paraId="42FF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89" w:type="dxa"/>
                  <w:tcBorders>
                    <w:left w:val="nil"/>
                  </w:tcBorders>
                  <w:noWrap w:val="0"/>
                  <w:vAlign w:val="center"/>
                </w:tcPr>
                <w:p w14:paraId="2CE912B8">
                  <w:pPr>
                    <w:jc w:val="center"/>
                    <w:rPr>
                      <w:rFonts w:hint="default"/>
                      <w:lang w:val="en-US" w:eastAsia="zh-CN"/>
                    </w:rPr>
                  </w:pPr>
                  <w:r>
                    <w:rPr>
                      <w:rFonts w:hint="default"/>
                      <w:lang w:val="en-US" w:eastAsia="zh-CN"/>
                    </w:rPr>
                    <w:t>1</w:t>
                  </w:r>
                </w:p>
              </w:tc>
              <w:tc>
                <w:tcPr>
                  <w:tcW w:w="985" w:type="dxa"/>
                  <w:noWrap w:val="0"/>
                  <w:vAlign w:val="center"/>
                </w:tcPr>
                <w:p w14:paraId="69A4F5E2">
                  <w:pPr>
                    <w:jc w:val="center"/>
                    <w:rPr>
                      <w:rFonts w:hint="default"/>
                      <w:lang w:val="en-US" w:eastAsia="zh-CN"/>
                    </w:rPr>
                  </w:pPr>
                  <w:r>
                    <w:rPr>
                      <w:rFonts w:hint="default"/>
                      <w:lang w:val="en-US" w:eastAsia="zh-CN"/>
                    </w:rPr>
                    <w:t>剥离物</w:t>
                  </w:r>
                </w:p>
              </w:tc>
              <w:tc>
                <w:tcPr>
                  <w:tcW w:w="898" w:type="dxa"/>
                  <w:noWrap w:val="0"/>
                  <w:vAlign w:val="center"/>
                </w:tcPr>
                <w:p w14:paraId="73F7C028">
                  <w:pPr>
                    <w:jc w:val="center"/>
                    <w:rPr>
                      <w:rFonts w:hint="default"/>
                      <w:lang w:val="en-US" w:eastAsia="zh-CN"/>
                    </w:rPr>
                  </w:pPr>
                  <w:r>
                    <w:rPr>
                      <w:rFonts w:hint="default"/>
                      <w:lang w:val="en-US" w:eastAsia="zh-CN"/>
                    </w:rPr>
                    <w:t>405.97</w:t>
                  </w:r>
                  <w:r>
                    <w:rPr>
                      <w:rFonts w:hint="eastAsia"/>
                      <w:lang w:val="en-US" w:eastAsia="zh-CN"/>
                    </w:rPr>
                    <w:t>万</w:t>
                  </w:r>
                  <w:r>
                    <w:rPr>
                      <w:rFonts w:hint="default" w:ascii="Times New Roman" w:hAnsi="Times New Roman" w:eastAsia="宋体" w:cs="Times New Roman"/>
                      <w:spacing w:val="0"/>
                      <w:position w:val="0"/>
                      <w:sz w:val="24"/>
                      <w:szCs w:val="24"/>
                      <w:lang w:val="en-US" w:eastAsia="zh-CN"/>
                    </w:rPr>
                    <w:t>m³</w:t>
                  </w:r>
                </w:p>
              </w:tc>
              <w:tc>
                <w:tcPr>
                  <w:tcW w:w="1083" w:type="dxa"/>
                  <w:noWrap w:val="0"/>
                  <w:vAlign w:val="center"/>
                </w:tcPr>
                <w:p w14:paraId="2E2153C6">
                  <w:pPr>
                    <w:jc w:val="center"/>
                    <w:rPr>
                      <w:rFonts w:hint="default"/>
                      <w:lang w:val="en-US" w:eastAsia="zh-CN"/>
                    </w:rPr>
                  </w:pPr>
                  <w:r>
                    <w:rPr>
                      <w:rFonts w:hint="default"/>
                      <w:lang w:val="en-US" w:eastAsia="zh-CN"/>
                    </w:rPr>
                    <w:t>开采区</w:t>
                  </w:r>
                </w:p>
              </w:tc>
              <w:tc>
                <w:tcPr>
                  <w:tcW w:w="717" w:type="dxa"/>
                  <w:noWrap w:val="0"/>
                  <w:vAlign w:val="center"/>
                </w:tcPr>
                <w:p w14:paraId="1A59C742">
                  <w:pPr>
                    <w:jc w:val="center"/>
                    <w:rPr>
                      <w:rFonts w:hint="default"/>
                      <w:lang w:val="en-US" w:eastAsia="zh-CN"/>
                    </w:rPr>
                  </w:pPr>
                  <w:r>
                    <w:rPr>
                      <w:rFonts w:hint="default"/>
                      <w:lang w:val="en-US" w:eastAsia="zh-CN"/>
                    </w:rPr>
                    <w:t>固态</w:t>
                  </w:r>
                </w:p>
              </w:tc>
              <w:tc>
                <w:tcPr>
                  <w:tcW w:w="850" w:type="dxa"/>
                  <w:noWrap w:val="0"/>
                  <w:vAlign w:val="center"/>
                </w:tcPr>
                <w:p w14:paraId="0313E98D">
                  <w:pPr>
                    <w:jc w:val="center"/>
                    <w:rPr>
                      <w:rFonts w:hint="default"/>
                      <w:lang w:val="en-US" w:eastAsia="zh-CN"/>
                    </w:rPr>
                  </w:pPr>
                  <w:r>
                    <w:rPr>
                      <w:rFonts w:hint="default"/>
                      <w:lang w:val="en-US" w:eastAsia="zh-CN"/>
                    </w:rPr>
                    <w:t>/</w:t>
                  </w:r>
                </w:p>
              </w:tc>
              <w:tc>
                <w:tcPr>
                  <w:tcW w:w="783" w:type="dxa"/>
                  <w:noWrap w:val="0"/>
                  <w:vAlign w:val="center"/>
                </w:tcPr>
                <w:p w14:paraId="030FD409">
                  <w:pPr>
                    <w:jc w:val="center"/>
                    <w:rPr>
                      <w:rFonts w:hint="default"/>
                      <w:lang w:val="en-US" w:eastAsia="zh-CN"/>
                    </w:rPr>
                  </w:pPr>
                  <w:r>
                    <w:rPr>
                      <w:rFonts w:hint="default"/>
                      <w:lang w:val="en-US" w:eastAsia="zh-CN"/>
                    </w:rPr>
                    <w:t>/</w:t>
                  </w:r>
                </w:p>
              </w:tc>
              <w:tc>
                <w:tcPr>
                  <w:tcW w:w="2209" w:type="dxa"/>
                  <w:tcBorders>
                    <w:right w:val="nil"/>
                  </w:tcBorders>
                  <w:noWrap w:val="0"/>
                  <w:vAlign w:val="center"/>
                </w:tcPr>
                <w:p w14:paraId="067D33B3">
                  <w:pPr>
                    <w:jc w:val="center"/>
                    <w:rPr>
                      <w:rFonts w:hint="default"/>
                      <w:lang w:val="en-US" w:eastAsia="zh-CN"/>
                    </w:rPr>
                  </w:pPr>
                  <w:r>
                    <w:rPr>
                      <w:rFonts w:hint="default"/>
                      <w:lang w:val="en-US" w:eastAsia="zh-CN"/>
                    </w:rPr>
                    <w:t>剥离</w:t>
                  </w:r>
                  <w:r>
                    <w:rPr>
                      <w:rFonts w:hint="eastAsia"/>
                      <w:lang w:val="en-US" w:eastAsia="zh-CN"/>
                    </w:rPr>
                    <w:t>物覆盖层</w:t>
                  </w:r>
                  <w:r>
                    <w:rPr>
                      <w:rFonts w:hint="default"/>
                      <w:lang w:val="en-US" w:eastAsia="zh-CN"/>
                    </w:rPr>
                    <w:t>用于矿区生态恢复及复垦</w:t>
                  </w:r>
                </w:p>
              </w:tc>
            </w:tr>
            <w:tr w14:paraId="4E58A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89" w:type="dxa"/>
                  <w:tcBorders>
                    <w:left w:val="nil"/>
                    <w:bottom w:val="single" w:color="000000" w:sz="12" w:space="0"/>
                  </w:tcBorders>
                  <w:noWrap w:val="0"/>
                  <w:vAlign w:val="center"/>
                </w:tcPr>
                <w:p w14:paraId="2486BA63">
                  <w:pPr>
                    <w:jc w:val="center"/>
                    <w:rPr>
                      <w:rFonts w:hint="default"/>
                      <w:lang w:val="en-US" w:eastAsia="zh-CN"/>
                    </w:rPr>
                  </w:pPr>
                  <w:r>
                    <w:rPr>
                      <w:rFonts w:hint="default"/>
                      <w:lang w:val="en-US" w:eastAsia="zh-CN"/>
                    </w:rPr>
                    <w:t>2</w:t>
                  </w:r>
                </w:p>
              </w:tc>
              <w:tc>
                <w:tcPr>
                  <w:tcW w:w="985" w:type="dxa"/>
                  <w:tcBorders>
                    <w:bottom w:val="single" w:color="000000" w:sz="12" w:space="0"/>
                  </w:tcBorders>
                  <w:noWrap w:val="0"/>
                  <w:vAlign w:val="center"/>
                </w:tcPr>
                <w:p w14:paraId="064645A5">
                  <w:pPr>
                    <w:jc w:val="center"/>
                    <w:rPr>
                      <w:rFonts w:hint="default"/>
                      <w:lang w:val="en-US" w:eastAsia="zh-CN"/>
                    </w:rPr>
                  </w:pPr>
                  <w:r>
                    <w:rPr>
                      <w:rFonts w:hint="default"/>
                      <w:lang w:val="en-US" w:eastAsia="zh-CN"/>
                    </w:rPr>
                    <w:t>生活垃圾</w:t>
                  </w:r>
                </w:p>
              </w:tc>
              <w:tc>
                <w:tcPr>
                  <w:tcW w:w="898" w:type="dxa"/>
                  <w:tcBorders>
                    <w:bottom w:val="single" w:color="000000" w:sz="12" w:space="0"/>
                  </w:tcBorders>
                  <w:noWrap w:val="0"/>
                  <w:vAlign w:val="center"/>
                </w:tcPr>
                <w:p w14:paraId="60109C10">
                  <w:pPr>
                    <w:jc w:val="center"/>
                    <w:rPr>
                      <w:rFonts w:hint="default"/>
                      <w:lang w:val="en-US" w:eastAsia="zh-CN"/>
                    </w:rPr>
                  </w:pPr>
                  <w:r>
                    <w:rPr>
                      <w:rFonts w:hint="default"/>
                      <w:lang w:val="en-US" w:eastAsia="zh-CN"/>
                    </w:rPr>
                    <w:t>0.6t/a</w:t>
                  </w:r>
                </w:p>
              </w:tc>
              <w:tc>
                <w:tcPr>
                  <w:tcW w:w="1083" w:type="dxa"/>
                  <w:tcBorders>
                    <w:bottom w:val="single" w:color="000000" w:sz="12" w:space="0"/>
                  </w:tcBorders>
                  <w:noWrap w:val="0"/>
                  <w:vAlign w:val="center"/>
                </w:tcPr>
                <w:p w14:paraId="5C2B8A89">
                  <w:pPr>
                    <w:jc w:val="center"/>
                    <w:rPr>
                      <w:rFonts w:hint="default"/>
                      <w:lang w:val="en-US" w:eastAsia="zh-CN"/>
                    </w:rPr>
                  </w:pPr>
                  <w:r>
                    <w:rPr>
                      <w:rFonts w:hint="default"/>
                      <w:lang w:val="en-US" w:eastAsia="zh-CN"/>
                    </w:rPr>
                    <w:t>办公区</w:t>
                  </w:r>
                </w:p>
              </w:tc>
              <w:tc>
                <w:tcPr>
                  <w:tcW w:w="717" w:type="dxa"/>
                  <w:tcBorders>
                    <w:bottom w:val="single" w:color="000000" w:sz="12" w:space="0"/>
                  </w:tcBorders>
                  <w:noWrap w:val="0"/>
                  <w:vAlign w:val="center"/>
                </w:tcPr>
                <w:p w14:paraId="121D9DD7">
                  <w:pPr>
                    <w:jc w:val="center"/>
                    <w:rPr>
                      <w:rFonts w:hint="default"/>
                      <w:lang w:val="en-US" w:eastAsia="zh-CN"/>
                    </w:rPr>
                  </w:pPr>
                  <w:r>
                    <w:rPr>
                      <w:rFonts w:hint="default"/>
                      <w:lang w:val="en-US" w:eastAsia="zh-CN"/>
                    </w:rPr>
                    <w:t>固态</w:t>
                  </w:r>
                </w:p>
                <w:p w14:paraId="3A760954">
                  <w:pPr>
                    <w:jc w:val="center"/>
                    <w:rPr>
                      <w:rFonts w:hint="default"/>
                      <w:lang w:val="en-US" w:eastAsia="zh-CN"/>
                    </w:rPr>
                  </w:pPr>
                </w:p>
              </w:tc>
              <w:tc>
                <w:tcPr>
                  <w:tcW w:w="850" w:type="dxa"/>
                  <w:tcBorders>
                    <w:bottom w:val="single" w:color="000000" w:sz="12" w:space="0"/>
                  </w:tcBorders>
                  <w:noWrap w:val="0"/>
                  <w:vAlign w:val="center"/>
                </w:tcPr>
                <w:p w14:paraId="1A33A34D">
                  <w:pPr>
                    <w:jc w:val="center"/>
                    <w:rPr>
                      <w:rFonts w:hint="default"/>
                      <w:lang w:val="en-US" w:eastAsia="zh-CN"/>
                    </w:rPr>
                  </w:pPr>
                  <w:r>
                    <w:rPr>
                      <w:rFonts w:hint="default"/>
                      <w:lang w:val="en-US" w:eastAsia="zh-CN"/>
                    </w:rPr>
                    <w:t>900-001-S61</w:t>
                  </w:r>
                </w:p>
                <w:p w14:paraId="688DD6D2">
                  <w:pPr>
                    <w:jc w:val="center"/>
                    <w:rPr>
                      <w:rFonts w:hint="default"/>
                      <w:lang w:val="en-US" w:eastAsia="zh-CN"/>
                    </w:rPr>
                  </w:pPr>
                </w:p>
              </w:tc>
              <w:tc>
                <w:tcPr>
                  <w:tcW w:w="783" w:type="dxa"/>
                  <w:tcBorders>
                    <w:bottom w:val="single" w:color="000000" w:sz="12" w:space="0"/>
                  </w:tcBorders>
                  <w:noWrap w:val="0"/>
                  <w:vAlign w:val="center"/>
                </w:tcPr>
                <w:p w14:paraId="35E77C47">
                  <w:pPr>
                    <w:jc w:val="center"/>
                    <w:rPr>
                      <w:rFonts w:hint="default"/>
                      <w:lang w:val="en-US" w:eastAsia="zh-CN"/>
                    </w:rPr>
                  </w:pPr>
                  <w:r>
                    <w:rPr>
                      <w:rFonts w:hint="default"/>
                      <w:lang w:val="en-US" w:eastAsia="zh-CN"/>
                    </w:rPr>
                    <w:t>每天</w:t>
                  </w:r>
                </w:p>
              </w:tc>
              <w:tc>
                <w:tcPr>
                  <w:tcW w:w="2209" w:type="dxa"/>
                  <w:tcBorders>
                    <w:bottom w:val="single" w:color="000000" w:sz="12" w:space="0"/>
                    <w:right w:val="nil"/>
                  </w:tcBorders>
                  <w:noWrap w:val="0"/>
                  <w:vAlign w:val="center"/>
                </w:tcPr>
                <w:p w14:paraId="1921B994">
                  <w:pPr>
                    <w:jc w:val="center"/>
                    <w:rPr>
                      <w:rFonts w:hint="default"/>
                      <w:lang w:val="en-US" w:eastAsia="zh-CN"/>
                    </w:rPr>
                  </w:pPr>
                  <w:r>
                    <w:rPr>
                      <w:rFonts w:hint="default"/>
                      <w:lang w:val="en-US" w:eastAsia="zh-CN"/>
                    </w:rPr>
                    <w:t>收集后交由环卫部门处置</w:t>
                  </w:r>
                </w:p>
              </w:tc>
            </w:tr>
          </w:tbl>
          <w:p w14:paraId="2EE48BAC">
            <w:pPr>
              <w:pStyle w:val="45"/>
              <w:keepNext w:val="0"/>
              <w:keepLines w:val="0"/>
              <w:pageBreakBefore w:val="0"/>
              <w:numPr>
                <w:ilvl w:val="0"/>
                <w:numId w:val="0"/>
              </w:numPr>
              <w:kinsoku/>
              <w:wordWrap/>
              <w:overflowPunct/>
              <w:topLinePunct w:val="0"/>
              <w:autoSpaceDE/>
              <w:autoSpaceDN/>
              <w:bidi w:val="0"/>
              <w:adjustRightInd/>
              <w:snapToGrid/>
              <w:spacing w:line="360" w:lineRule="auto"/>
              <w:ind w:right="0" w:rightChars="0"/>
              <w:rPr>
                <w:rFonts w:hint="default" w:ascii="Times New Roman" w:hAnsi="Times New Roman" w:eastAsia="宋体" w:cs="Times New Roman"/>
                <w:b/>
                <w:bCs/>
                <w:spacing w:val="5"/>
                <w:sz w:val="24"/>
                <w:szCs w:val="24"/>
              </w:rPr>
            </w:pPr>
          </w:p>
          <w:p w14:paraId="721E1B95">
            <w:pPr>
              <w:pStyle w:val="45"/>
              <w:keepNext w:val="0"/>
              <w:keepLines w:val="0"/>
              <w:pageBreakBefore w:val="0"/>
              <w:numPr>
                <w:ilvl w:val="0"/>
                <w:numId w:val="0"/>
              </w:numPr>
              <w:kinsoku/>
              <w:wordWrap/>
              <w:overflowPunct/>
              <w:topLinePunct w:val="0"/>
              <w:autoSpaceDE/>
              <w:autoSpaceDN/>
              <w:bidi w:val="0"/>
              <w:adjustRightInd/>
              <w:snapToGrid/>
              <w:spacing w:line="360" w:lineRule="auto"/>
              <w:ind w:right="0" w:rightChars="0"/>
              <w:rPr>
                <w:rFonts w:hint="default" w:ascii="Times New Roman" w:hAnsi="Times New Roman" w:eastAsia="宋体" w:cs="Times New Roman"/>
                <w:b/>
                <w:bCs/>
                <w:spacing w:val="5"/>
                <w:sz w:val="24"/>
                <w:szCs w:val="24"/>
              </w:rPr>
            </w:pPr>
          </w:p>
          <w:tbl>
            <w:tblPr>
              <w:tblStyle w:val="24"/>
              <w:tblpPr w:leftFromText="180" w:rightFromText="180" w:vertAnchor="text" w:horzAnchor="page" w:tblpX="64" w:tblpY="467"/>
              <w:tblOverlap w:val="never"/>
              <w:tblW w:w="8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
              <w:gridCol w:w="728"/>
              <w:gridCol w:w="767"/>
              <w:gridCol w:w="1166"/>
              <w:gridCol w:w="600"/>
              <w:gridCol w:w="684"/>
              <w:gridCol w:w="750"/>
              <w:gridCol w:w="708"/>
              <w:gridCol w:w="784"/>
              <w:gridCol w:w="716"/>
              <w:gridCol w:w="777"/>
            </w:tblGrid>
            <w:tr w14:paraId="3431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355" w:type="dxa"/>
                  <w:tcBorders>
                    <w:top w:val="single" w:color="000000" w:sz="12" w:space="0"/>
                    <w:left w:val="nil"/>
                    <w:tl2br w:val="nil"/>
                  </w:tcBorders>
                  <w:noWrap w:val="0"/>
                  <w:vAlign w:val="center"/>
                </w:tcPr>
                <w:p w14:paraId="1C24E83C">
                  <w:pPr>
                    <w:jc w:val="center"/>
                    <w:rPr>
                      <w:rFonts w:hint="default"/>
                      <w:lang w:val="en-US" w:eastAsia="zh-CN"/>
                    </w:rPr>
                  </w:pPr>
                  <w:r>
                    <w:rPr>
                      <w:rFonts w:hint="default"/>
                      <w:lang w:val="en-US" w:eastAsia="zh-CN"/>
                    </w:rPr>
                    <w:t>序号</w:t>
                  </w:r>
                </w:p>
              </w:tc>
              <w:tc>
                <w:tcPr>
                  <w:tcW w:w="728" w:type="dxa"/>
                  <w:tcBorders>
                    <w:top w:val="single" w:color="000000" w:sz="12" w:space="0"/>
                  </w:tcBorders>
                  <w:noWrap w:val="0"/>
                  <w:vAlign w:val="center"/>
                </w:tcPr>
                <w:p w14:paraId="47D4B30A">
                  <w:pPr>
                    <w:jc w:val="center"/>
                    <w:rPr>
                      <w:rFonts w:hint="default"/>
                      <w:lang w:val="en-US" w:eastAsia="zh-CN"/>
                    </w:rPr>
                  </w:pPr>
                  <w:r>
                    <w:rPr>
                      <w:rFonts w:hint="default"/>
                      <w:lang w:val="en-US" w:eastAsia="zh-CN"/>
                    </w:rPr>
                    <w:t>危险废物名称</w:t>
                  </w:r>
                </w:p>
              </w:tc>
              <w:tc>
                <w:tcPr>
                  <w:tcW w:w="767" w:type="dxa"/>
                  <w:tcBorders>
                    <w:top w:val="single" w:color="000000" w:sz="12" w:space="0"/>
                  </w:tcBorders>
                  <w:noWrap w:val="0"/>
                  <w:vAlign w:val="center"/>
                </w:tcPr>
                <w:p w14:paraId="099CAE02">
                  <w:pPr>
                    <w:jc w:val="center"/>
                    <w:rPr>
                      <w:rFonts w:hint="default"/>
                      <w:lang w:val="en-US" w:eastAsia="zh-CN"/>
                    </w:rPr>
                  </w:pPr>
                  <w:r>
                    <w:rPr>
                      <w:rFonts w:hint="default"/>
                      <w:lang w:val="en-US" w:eastAsia="zh-CN"/>
                    </w:rPr>
                    <w:t>危险</w:t>
                  </w:r>
                </w:p>
                <w:p w14:paraId="42162E2B">
                  <w:pPr>
                    <w:jc w:val="center"/>
                    <w:rPr>
                      <w:rFonts w:hint="default"/>
                      <w:lang w:val="en-US" w:eastAsia="zh-CN"/>
                    </w:rPr>
                  </w:pPr>
                  <w:r>
                    <w:rPr>
                      <w:rFonts w:hint="default"/>
                      <w:lang w:val="en-US" w:eastAsia="zh-CN"/>
                    </w:rPr>
                    <w:t>废物</w:t>
                  </w:r>
                </w:p>
                <w:p w14:paraId="1AA52250">
                  <w:pPr>
                    <w:jc w:val="center"/>
                    <w:rPr>
                      <w:rFonts w:hint="default"/>
                      <w:lang w:val="en-US" w:eastAsia="zh-CN"/>
                    </w:rPr>
                  </w:pPr>
                  <w:r>
                    <w:rPr>
                      <w:rFonts w:hint="default"/>
                      <w:lang w:val="en-US" w:eastAsia="zh-CN"/>
                    </w:rPr>
                    <w:t>类别</w:t>
                  </w:r>
                </w:p>
              </w:tc>
              <w:tc>
                <w:tcPr>
                  <w:tcW w:w="1166" w:type="dxa"/>
                  <w:tcBorders>
                    <w:top w:val="single" w:color="000000" w:sz="12" w:space="0"/>
                  </w:tcBorders>
                  <w:noWrap w:val="0"/>
                  <w:vAlign w:val="center"/>
                </w:tcPr>
                <w:p w14:paraId="5468260A">
                  <w:pPr>
                    <w:jc w:val="center"/>
                    <w:rPr>
                      <w:rFonts w:hint="default"/>
                      <w:lang w:val="en-US" w:eastAsia="zh-CN"/>
                    </w:rPr>
                  </w:pPr>
                  <w:r>
                    <w:rPr>
                      <w:rFonts w:hint="default"/>
                    </w:rPr>
                    <w:t>危险废物代码</w:t>
                  </w:r>
                </w:p>
              </w:tc>
              <w:tc>
                <w:tcPr>
                  <w:tcW w:w="600" w:type="dxa"/>
                  <w:tcBorders>
                    <w:top w:val="single" w:color="000000" w:sz="12" w:space="0"/>
                  </w:tcBorders>
                  <w:noWrap w:val="0"/>
                  <w:vAlign w:val="center"/>
                </w:tcPr>
                <w:p w14:paraId="0919D0AA">
                  <w:pPr>
                    <w:jc w:val="center"/>
                    <w:rPr>
                      <w:rFonts w:hint="default"/>
                      <w:lang w:val="en-US" w:eastAsia="zh-CN"/>
                    </w:rPr>
                  </w:pPr>
                  <w:r>
                    <w:rPr>
                      <w:rFonts w:hint="default"/>
                    </w:rPr>
                    <w:t>产生量</w:t>
                  </w:r>
                </w:p>
              </w:tc>
              <w:tc>
                <w:tcPr>
                  <w:tcW w:w="684" w:type="dxa"/>
                  <w:tcBorders>
                    <w:top w:val="single" w:color="000000" w:sz="12" w:space="0"/>
                  </w:tcBorders>
                  <w:noWrap w:val="0"/>
                  <w:vAlign w:val="center"/>
                </w:tcPr>
                <w:p w14:paraId="54555DB1">
                  <w:pPr>
                    <w:jc w:val="center"/>
                    <w:rPr>
                      <w:rFonts w:hint="default"/>
                      <w:lang w:val="en-US" w:eastAsia="zh-CN"/>
                    </w:rPr>
                  </w:pPr>
                </w:p>
                <w:p w14:paraId="0A94EA29">
                  <w:pPr>
                    <w:jc w:val="center"/>
                    <w:rPr>
                      <w:rFonts w:hint="default"/>
                      <w:lang w:val="en-US" w:eastAsia="zh-CN"/>
                    </w:rPr>
                  </w:pPr>
                  <w:r>
                    <w:rPr>
                      <w:rFonts w:hint="default"/>
                    </w:rPr>
                    <w:t>产生工序</w:t>
                  </w:r>
                </w:p>
              </w:tc>
              <w:tc>
                <w:tcPr>
                  <w:tcW w:w="750" w:type="dxa"/>
                  <w:tcBorders>
                    <w:top w:val="single" w:color="000000" w:sz="12" w:space="0"/>
                  </w:tcBorders>
                  <w:noWrap w:val="0"/>
                  <w:vAlign w:val="center"/>
                </w:tcPr>
                <w:p w14:paraId="045ACD35">
                  <w:pPr>
                    <w:jc w:val="center"/>
                    <w:rPr>
                      <w:rFonts w:hint="default"/>
                      <w:lang w:val="en-US" w:eastAsia="zh-CN"/>
                    </w:rPr>
                  </w:pPr>
                </w:p>
                <w:p w14:paraId="2000A210">
                  <w:pPr>
                    <w:jc w:val="center"/>
                    <w:rPr>
                      <w:rFonts w:hint="default"/>
                      <w:lang w:val="en-US" w:eastAsia="zh-CN"/>
                    </w:rPr>
                  </w:pPr>
                  <w:r>
                    <w:rPr>
                      <w:rFonts w:hint="default"/>
                    </w:rPr>
                    <w:t>形态</w:t>
                  </w:r>
                </w:p>
              </w:tc>
              <w:tc>
                <w:tcPr>
                  <w:tcW w:w="708" w:type="dxa"/>
                  <w:tcBorders>
                    <w:top w:val="single" w:color="000000" w:sz="12" w:space="0"/>
                    <w:right w:val="nil"/>
                  </w:tcBorders>
                  <w:noWrap w:val="0"/>
                  <w:vAlign w:val="center"/>
                </w:tcPr>
                <w:p w14:paraId="17232EC9">
                  <w:pPr>
                    <w:jc w:val="center"/>
                    <w:rPr>
                      <w:rFonts w:hint="default"/>
                      <w:lang w:val="en-US" w:eastAsia="zh-CN"/>
                    </w:rPr>
                  </w:pPr>
                  <w:r>
                    <w:rPr>
                      <w:rFonts w:hint="default"/>
                    </w:rPr>
                    <w:t>主要成分</w:t>
                  </w:r>
                </w:p>
              </w:tc>
              <w:tc>
                <w:tcPr>
                  <w:tcW w:w="784" w:type="dxa"/>
                  <w:tcBorders>
                    <w:top w:val="single" w:color="000000" w:sz="12" w:space="0"/>
                    <w:right w:val="nil"/>
                  </w:tcBorders>
                  <w:noWrap w:val="0"/>
                  <w:vAlign w:val="center"/>
                </w:tcPr>
                <w:p w14:paraId="65F7201B">
                  <w:pPr>
                    <w:jc w:val="center"/>
                    <w:rPr>
                      <w:rFonts w:hint="default"/>
                    </w:rPr>
                  </w:pPr>
                  <w:r>
                    <w:rPr>
                      <w:rFonts w:hint="eastAsia"/>
                      <w:lang w:val="en-US" w:eastAsia="zh-CN"/>
                    </w:rPr>
                    <w:t>产</w:t>
                  </w:r>
                  <w:r>
                    <w:rPr>
                      <w:rFonts w:hint="default"/>
                    </w:rPr>
                    <w:t>废周期</w:t>
                  </w:r>
                </w:p>
              </w:tc>
              <w:tc>
                <w:tcPr>
                  <w:tcW w:w="716" w:type="dxa"/>
                  <w:tcBorders>
                    <w:top w:val="single" w:color="000000" w:sz="12" w:space="0"/>
                    <w:right w:val="nil"/>
                  </w:tcBorders>
                  <w:noWrap w:val="0"/>
                  <w:vAlign w:val="center"/>
                </w:tcPr>
                <w:p w14:paraId="2EA765D5">
                  <w:pPr>
                    <w:jc w:val="center"/>
                    <w:rPr>
                      <w:rFonts w:hint="default"/>
                    </w:rPr>
                  </w:pPr>
                  <w:r>
                    <w:rPr>
                      <w:rFonts w:hint="default"/>
                    </w:rPr>
                    <w:t>危废特性</w:t>
                  </w:r>
                </w:p>
              </w:tc>
              <w:tc>
                <w:tcPr>
                  <w:tcW w:w="777" w:type="dxa"/>
                  <w:tcBorders>
                    <w:top w:val="single" w:color="000000" w:sz="12" w:space="0"/>
                    <w:right w:val="nil"/>
                  </w:tcBorders>
                  <w:noWrap w:val="0"/>
                  <w:vAlign w:val="center"/>
                </w:tcPr>
                <w:p w14:paraId="7B4D4A53">
                  <w:pPr>
                    <w:jc w:val="center"/>
                    <w:rPr>
                      <w:rFonts w:hint="default"/>
                    </w:rPr>
                  </w:pPr>
                  <w:r>
                    <w:rPr>
                      <w:rFonts w:hint="default"/>
                    </w:rPr>
                    <w:t>污染</w:t>
                  </w:r>
                </w:p>
                <w:p w14:paraId="337D93B9">
                  <w:pPr>
                    <w:jc w:val="center"/>
                    <w:rPr>
                      <w:rFonts w:hint="default"/>
                    </w:rPr>
                  </w:pPr>
                  <w:r>
                    <w:rPr>
                      <w:rFonts w:hint="default"/>
                    </w:rPr>
                    <w:t>防治</w:t>
                  </w:r>
                </w:p>
                <w:p w14:paraId="7706B27E">
                  <w:pPr>
                    <w:jc w:val="center"/>
                    <w:rPr>
                      <w:rFonts w:hint="default"/>
                    </w:rPr>
                  </w:pPr>
                  <w:r>
                    <w:rPr>
                      <w:rFonts w:hint="default"/>
                    </w:rPr>
                    <w:t>措施</w:t>
                  </w:r>
                </w:p>
              </w:tc>
            </w:tr>
            <w:tr w14:paraId="7392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355" w:type="dxa"/>
                  <w:tcBorders>
                    <w:left w:val="nil"/>
                  </w:tcBorders>
                  <w:noWrap w:val="0"/>
                  <w:vAlign w:val="center"/>
                </w:tcPr>
                <w:p w14:paraId="7E9BBBE6">
                  <w:pPr>
                    <w:jc w:val="center"/>
                    <w:rPr>
                      <w:rFonts w:hint="default"/>
                      <w:lang w:val="en-US" w:eastAsia="zh-CN"/>
                    </w:rPr>
                  </w:pPr>
                  <w:r>
                    <w:rPr>
                      <w:rFonts w:hint="default"/>
                      <w:lang w:val="en-US" w:eastAsia="zh-CN"/>
                    </w:rPr>
                    <w:t>1</w:t>
                  </w:r>
                </w:p>
              </w:tc>
              <w:tc>
                <w:tcPr>
                  <w:tcW w:w="728" w:type="dxa"/>
                  <w:noWrap w:val="0"/>
                  <w:vAlign w:val="center"/>
                </w:tcPr>
                <w:p w14:paraId="309D6288">
                  <w:pPr>
                    <w:jc w:val="center"/>
                    <w:rPr>
                      <w:rFonts w:hint="default"/>
                      <w:lang w:val="en-US" w:eastAsia="zh-CN"/>
                    </w:rPr>
                  </w:pPr>
                  <w:r>
                    <w:rPr>
                      <w:rFonts w:hint="default"/>
                    </w:rPr>
                    <w:t>废机油</w:t>
                  </w:r>
                </w:p>
              </w:tc>
              <w:tc>
                <w:tcPr>
                  <w:tcW w:w="767" w:type="dxa"/>
                  <w:noWrap w:val="0"/>
                  <w:vAlign w:val="center"/>
                </w:tcPr>
                <w:p w14:paraId="2AD1553C">
                  <w:pPr>
                    <w:jc w:val="center"/>
                    <w:rPr>
                      <w:rFonts w:hint="default"/>
                    </w:rPr>
                  </w:pPr>
                  <w:r>
                    <w:rPr>
                      <w:rFonts w:hint="default"/>
                    </w:rPr>
                    <w:t>HW0</w:t>
                  </w:r>
                </w:p>
                <w:p w14:paraId="37BB8850">
                  <w:pPr>
                    <w:jc w:val="center"/>
                    <w:rPr>
                      <w:rFonts w:hint="default"/>
                      <w:lang w:val="en-US" w:eastAsia="zh-CN"/>
                    </w:rPr>
                  </w:pPr>
                  <w:r>
                    <w:rPr>
                      <w:rFonts w:hint="default"/>
                    </w:rPr>
                    <w:t>8</w:t>
                  </w:r>
                </w:p>
              </w:tc>
              <w:tc>
                <w:tcPr>
                  <w:tcW w:w="1166" w:type="dxa"/>
                  <w:noWrap w:val="0"/>
                  <w:vAlign w:val="center"/>
                </w:tcPr>
                <w:p w14:paraId="468A0C74">
                  <w:pPr>
                    <w:jc w:val="center"/>
                    <w:rPr>
                      <w:rFonts w:hint="default"/>
                    </w:rPr>
                  </w:pPr>
                  <w:r>
                    <w:rPr>
                      <w:rFonts w:hint="default"/>
                    </w:rPr>
                    <w:t>900-214-0</w:t>
                  </w:r>
                </w:p>
                <w:p w14:paraId="7564F37F">
                  <w:pPr>
                    <w:jc w:val="center"/>
                    <w:rPr>
                      <w:rFonts w:hint="default"/>
                      <w:lang w:val="en-US" w:eastAsia="zh-CN"/>
                    </w:rPr>
                  </w:pPr>
                  <w:r>
                    <w:rPr>
                      <w:rFonts w:hint="default"/>
                    </w:rPr>
                    <w:t>8</w:t>
                  </w:r>
                </w:p>
              </w:tc>
              <w:tc>
                <w:tcPr>
                  <w:tcW w:w="600" w:type="dxa"/>
                  <w:vMerge w:val="restart"/>
                  <w:noWrap w:val="0"/>
                  <w:vAlign w:val="center"/>
                </w:tcPr>
                <w:p w14:paraId="478A08F4">
                  <w:pPr>
                    <w:jc w:val="center"/>
                    <w:rPr>
                      <w:rFonts w:hint="default"/>
                      <w:lang w:val="en-US" w:eastAsia="zh-CN"/>
                    </w:rPr>
                  </w:pPr>
                  <w:r>
                    <w:rPr>
                      <w:rFonts w:hint="default"/>
                      <w:lang w:val="en-US" w:eastAsia="zh-CN"/>
                    </w:rPr>
                    <w:t>0.3t/a</w:t>
                  </w:r>
                </w:p>
              </w:tc>
              <w:tc>
                <w:tcPr>
                  <w:tcW w:w="684" w:type="dxa"/>
                  <w:vMerge w:val="restart"/>
                  <w:noWrap w:val="0"/>
                  <w:vAlign w:val="center"/>
                </w:tcPr>
                <w:p w14:paraId="5B4904FA">
                  <w:pPr>
                    <w:jc w:val="center"/>
                    <w:rPr>
                      <w:rFonts w:hint="default"/>
                      <w:lang w:val="en-US" w:eastAsia="zh-CN"/>
                    </w:rPr>
                  </w:pPr>
                  <w:r>
                    <w:rPr>
                      <w:rFonts w:hint="default"/>
                    </w:rPr>
                    <w:t>设备车辆保养</w:t>
                  </w:r>
                </w:p>
              </w:tc>
              <w:tc>
                <w:tcPr>
                  <w:tcW w:w="750" w:type="dxa"/>
                  <w:noWrap w:val="0"/>
                  <w:vAlign w:val="center"/>
                </w:tcPr>
                <w:p w14:paraId="3D285E5D">
                  <w:pPr>
                    <w:jc w:val="center"/>
                    <w:rPr>
                      <w:rFonts w:hint="default"/>
                      <w:lang w:val="en-US" w:eastAsia="zh-CN"/>
                    </w:rPr>
                  </w:pPr>
                  <w:r>
                    <w:rPr>
                      <w:rFonts w:hint="eastAsia"/>
                      <w:lang w:val="en-US" w:eastAsia="zh-CN"/>
                    </w:rPr>
                    <w:t>液态</w:t>
                  </w:r>
                </w:p>
              </w:tc>
              <w:tc>
                <w:tcPr>
                  <w:tcW w:w="708" w:type="dxa"/>
                  <w:vMerge w:val="restart"/>
                  <w:tcBorders>
                    <w:right w:val="nil"/>
                  </w:tcBorders>
                  <w:noWrap w:val="0"/>
                  <w:vAlign w:val="center"/>
                </w:tcPr>
                <w:p w14:paraId="01CE9966">
                  <w:pPr>
                    <w:jc w:val="center"/>
                    <w:rPr>
                      <w:rFonts w:hint="default"/>
                      <w:lang w:val="en-US" w:eastAsia="zh-CN"/>
                    </w:rPr>
                  </w:pPr>
                  <w:r>
                    <w:rPr>
                      <w:rFonts w:hint="default"/>
                    </w:rPr>
                    <w:t>油类</w:t>
                  </w:r>
                </w:p>
              </w:tc>
              <w:tc>
                <w:tcPr>
                  <w:tcW w:w="784" w:type="dxa"/>
                  <w:vMerge w:val="restart"/>
                  <w:tcBorders>
                    <w:right w:val="nil"/>
                  </w:tcBorders>
                  <w:noWrap w:val="0"/>
                  <w:vAlign w:val="center"/>
                </w:tcPr>
                <w:p w14:paraId="1831069E">
                  <w:pPr>
                    <w:jc w:val="center"/>
                    <w:rPr>
                      <w:rFonts w:hint="default"/>
                      <w:lang w:val="en-US" w:eastAsia="zh-CN"/>
                    </w:rPr>
                  </w:pPr>
                  <w:r>
                    <w:rPr>
                      <w:rFonts w:hint="eastAsia"/>
                      <w:lang w:val="en-US" w:eastAsia="zh-CN"/>
                    </w:rPr>
                    <w:t>每月一次</w:t>
                  </w:r>
                </w:p>
              </w:tc>
              <w:tc>
                <w:tcPr>
                  <w:tcW w:w="716" w:type="dxa"/>
                  <w:tcBorders>
                    <w:right w:val="nil"/>
                  </w:tcBorders>
                  <w:noWrap w:val="0"/>
                  <w:vAlign w:val="center"/>
                </w:tcPr>
                <w:p w14:paraId="3150DDDD">
                  <w:pPr>
                    <w:jc w:val="center"/>
                    <w:rPr>
                      <w:rFonts w:hint="default"/>
                      <w:lang w:val="en-US" w:eastAsia="zh-CN"/>
                    </w:rPr>
                  </w:pPr>
                  <w:r>
                    <w:rPr>
                      <w:rFonts w:hint="default"/>
                      <w:lang w:val="en-US" w:eastAsia="zh-CN"/>
                    </w:rPr>
                    <w:t>T/I</w:t>
                  </w:r>
                </w:p>
              </w:tc>
              <w:tc>
                <w:tcPr>
                  <w:tcW w:w="777" w:type="dxa"/>
                  <w:vMerge w:val="restart"/>
                  <w:tcBorders>
                    <w:right w:val="nil"/>
                  </w:tcBorders>
                  <w:noWrap w:val="0"/>
                  <w:vAlign w:val="center"/>
                </w:tcPr>
                <w:p w14:paraId="5F478655">
                  <w:pPr>
                    <w:jc w:val="center"/>
                    <w:rPr>
                      <w:rFonts w:hint="default"/>
                      <w:lang w:val="en-US" w:eastAsia="zh-CN"/>
                    </w:rPr>
                  </w:pPr>
                  <w:r>
                    <w:rPr>
                      <w:rFonts w:hint="default"/>
                      <w:lang w:val="en-US" w:eastAsia="zh-CN"/>
                    </w:rPr>
                    <w:t>委托</w:t>
                  </w:r>
                </w:p>
                <w:p w14:paraId="367C707D">
                  <w:pPr>
                    <w:jc w:val="center"/>
                    <w:rPr>
                      <w:rFonts w:hint="default"/>
                      <w:lang w:val="en-US" w:eastAsia="zh-CN"/>
                    </w:rPr>
                  </w:pPr>
                  <w:r>
                    <w:rPr>
                      <w:rFonts w:hint="default"/>
                      <w:lang w:val="en-US" w:eastAsia="zh-CN"/>
                    </w:rPr>
                    <w:t>有资</w:t>
                  </w:r>
                </w:p>
                <w:p w14:paraId="78D27E6B">
                  <w:pPr>
                    <w:jc w:val="center"/>
                    <w:rPr>
                      <w:rFonts w:hint="default"/>
                      <w:lang w:val="en-US" w:eastAsia="zh-CN"/>
                    </w:rPr>
                  </w:pPr>
                  <w:r>
                    <w:rPr>
                      <w:rFonts w:hint="default"/>
                      <w:lang w:val="en-US" w:eastAsia="zh-CN"/>
                    </w:rPr>
                    <w:t>质危</w:t>
                  </w:r>
                </w:p>
                <w:p w14:paraId="570AE39A">
                  <w:pPr>
                    <w:jc w:val="center"/>
                    <w:rPr>
                      <w:rFonts w:hint="default"/>
                      <w:lang w:val="en-US" w:eastAsia="zh-CN"/>
                    </w:rPr>
                  </w:pPr>
                  <w:r>
                    <w:rPr>
                      <w:rFonts w:hint="default"/>
                      <w:lang w:val="en-US" w:eastAsia="zh-CN"/>
                    </w:rPr>
                    <w:t>废单</w:t>
                  </w:r>
                </w:p>
                <w:p w14:paraId="27803FEA">
                  <w:pPr>
                    <w:jc w:val="center"/>
                    <w:rPr>
                      <w:rFonts w:hint="default"/>
                      <w:lang w:val="en-US" w:eastAsia="zh-CN"/>
                    </w:rPr>
                  </w:pPr>
                  <w:r>
                    <w:rPr>
                      <w:rFonts w:hint="default"/>
                      <w:lang w:val="en-US" w:eastAsia="zh-CN"/>
                    </w:rPr>
                    <w:t>处置</w:t>
                  </w:r>
                </w:p>
              </w:tc>
            </w:tr>
            <w:tr w14:paraId="25BA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355" w:type="dxa"/>
                  <w:tcBorders>
                    <w:left w:val="nil"/>
                    <w:bottom w:val="single" w:color="000000" w:sz="12" w:space="0"/>
                  </w:tcBorders>
                  <w:noWrap w:val="0"/>
                  <w:vAlign w:val="center"/>
                </w:tcPr>
                <w:p w14:paraId="6853A49D">
                  <w:pPr>
                    <w:jc w:val="center"/>
                    <w:rPr>
                      <w:rFonts w:hint="default"/>
                      <w:lang w:val="en-US" w:eastAsia="zh-CN"/>
                    </w:rPr>
                  </w:pPr>
                  <w:r>
                    <w:rPr>
                      <w:rFonts w:hint="default"/>
                      <w:lang w:val="en-US" w:eastAsia="zh-CN"/>
                    </w:rPr>
                    <w:t>2</w:t>
                  </w:r>
                </w:p>
              </w:tc>
              <w:tc>
                <w:tcPr>
                  <w:tcW w:w="728" w:type="dxa"/>
                  <w:tcBorders>
                    <w:bottom w:val="single" w:color="000000" w:sz="12" w:space="0"/>
                  </w:tcBorders>
                  <w:noWrap w:val="0"/>
                  <w:vAlign w:val="center"/>
                </w:tcPr>
                <w:p w14:paraId="43C7832F">
                  <w:pPr>
                    <w:jc w:val="center"/>
                    <w:rPr>
                      <w:rFonts w:hint="default"/>
                    </w:rPr>
                  </w:pPr>
                </w:p>
                <w:p w14:paraId="3F6E2C67">
                  <w:pPr>
                    <w:jc w:val="center"/>
                    <w:rPr>
                      <w:rFonts w:hint="default"/>
                      <w:lang w:val="en-US" w:eastAsia="zh-CN"/>
                    </w:rPr>
                  </w:pPr>
                  <w:r>
                    <w:rPr>
                      <w:rFonts w:hint="default"/>
                    </w:rPr>
                    <w:t>废机油桶</w:t>
                  </w:r>
                </w:p>
                <w:p w14:paraId="78231321">
                  <w:pPr>
                    <w:jc w:val="both"/>
                    <w:rPr>
                      <w:rFonts w:hint="default"/>
                      <w:lang w:val="en-US" w:eastAsia="zh-CN"/>
                    </w:rPr>
                  </w:pPr>
                </w:p>
              </w:tc>
              <w:tc>
                <w:tcPr>
                  <w:tcW w:w="767" w:type="dxa"/>
                  <w:tcBorders>
                    <w:bottom w:val="single" w:color="000000" w:sz="12" w:space="0"/>
                  </w:tcBorders>
                  <w:noWrap w:val="0"/>
                  <w:vAlign w:val="center"/>
                </w:tcPr>
                <w:p w14:paraId="3D97750C">
                  <w:pPr>
                    <w:jc w:val="both"/>
                    <w:rPr>
                      <w:rFonts w:hint="default"/>
                    </w:rPr>
                  </w:pPr>
                  <w:r>
                    <w:rPr>
                      <w:rFonts w:hint="default"/>
                    </w:rPr>
                    <w:t>HW4</w:t>
                  </w:r>
                </w:p>
                <w:p w14:paraId="64AE3866">
                  <w:pPr>
                    <w:jc w:val="center"/>
                    <w:rPr>
                      <w:rFonts w:hint="default"/>
                      <w:lang w:val="en-US" w:eastAsia="zh-CN"/>
                    </w:rPr>
                  </w:pPr>
                  <w:r>
                    <w:rPr>
                      <w:rFonts w:hint="default"/>
                    </w:rPr>
                    <w:t>9</w:t>
                  </w:r>
                </w:p>
              </w:tc>
              <w:tc>
                <w:tcPr>
                  <w:tcW w:w="1166" w:type="dxa"/>
                  <w:tcBorders>
                    <w:bottom w:val="single" w:color="000000" w:sz="12" w:space="0"/>
                  </w:tcBorders>
                  <w:noWrap w:val="0"/>
                  <w:vAlign w:val="center"/>
                </w:tcPr>
                <w:p w14:paraId="06E02055">
                  <w:pPr>
                    <w:jc w:val="center"/>
                    <w:rPr>
                      <w:rFonts w:hint="default" w:eastAsia="宋体"/>
                      <w:lang w:val="en-US" w:eastAsia="zh-CN"/>
                    </w:rPr>
                  </w:pPr>
                  <w:r>
                    <w:rPr>
                      <w:rFonts w:hint="default"/>
                    </w:rPr>
                    <w:t>900-</w:t>
                  </w:r>
                  <w:r>
                    <w:rPr>
                      <w:rFonts w:hint="eastAsia"/>
                      <w:lang w:val="en-US" w:eastAsia="zh-CN"/>
                    </w:rPr>
                    <w:t>249</w:t>
                  </w:r>
                  <w:r>
                    <w:rPr>
                      <w:rFonts w:hint="default"/>
                    </w:rPr>
                    <w:t>-</w:t>
                  </w:r>
                  <w:r>
                    <w:rPr>
                      <w:rFonts w:hint="eastAsia"/>
                      <w:lang w:val="en-US" w:eastAsia="zh-CN"/>
                    </w:rPr>
                    <w:t>08</w:t>
                  </w:r>
                </w:p>
              </w:tc>
              <w:tc>
                <w:tcPr>
                  <w:tcW w:w="600" w:type="dxa"/>
                  <w:vMerge w:val="continue"/>
                  <w:tcBorders>
                    <w:bottom w:val="single" w:color="000000" w:sz="12" w:space="0"/>
                  </w:tcBorders>
                  <w:noWrap w:val="0"/>
                  <w:vAlign w:val="center"/>
                </w:tcPr>
                <w:p w14:paraId="2AA4690D">
                  <w:pPr>
                    <w:jc w:val="center"/>
                    <w:rPr>
                      <w:rFonts w:hint="default"/>
                      <w:lang w:val="en-US" w:eastAsia="zh-CN"/>
                    </w:rPr>
                  </w:pPr>
                </w:p>
              </w:tc>
              <w:tc>
                <w:tcPr>
                  <w:tcW w:w="684" w:type="dxa"/>
                  <w:vMerge w:val="continue"/>
                  <w:tcBorders>
                    <w:bottom w:val="single" w:color="000000" w:sz="12" w:space="0"/>
                  </w:tcBorders>
                  <w:noWrap w:val="0"/>
                  <w:vAlign w:val="center"/>
                </w:tcPr>
                <w:p w14:paraId="297F1DEC">
                  <w:pPr>
                    <w:jc w:val="center"/>
                    <w:rPr>
                      <w:rFonts w:hint="default"/>
                      <w:lang w:val="en-US" w:eastAsia="zh-CN"/>
                    </w:rPr>
                  </w:pPr>
                </w:p>
              </w:tc>
              <w:tc>
                <w:tcPr>
                  <w:tcW w:w="750" w:type="dxa"/>
                  <w:tcBorders>
                    <w:bottom w:val="single" w:color="000000" w:sz="12" w:space="0"/>
                  </w:tcBorders>
                  <w:noWrap w:val="0"/>
                  <w:vAlign w:val="center"/>
                </w:tcPr>
                <w:p w14:paraId="0A08871C">
                  <w:pPr>
                    <w:jc w:val="center"/>
                    <w:rPr>
                      <w:rFonts w:hint="default"/>
                      <w:lang w:val="en-US" w:eastAsia="zh-CN"/>
                    </w:rPr>
                  </w:pPr>
                  <w:r>
                    <w:rPr>
                      <w:rFonts w:hint="eastAsia"/>
                      <w:lang w:val="en-US" w:eastAsia="zh-CN"/>
                    </w:rPr>
                    <w:t>固体</w:t>
                  </w:r>
                </w:p>
              </w:tc>
              <w:tc>
                <w:tcPr>
                  <w:tcW w:w="708" w:type="dxa"/>
                  <w:vMerge w:val="continue"/>
                  <w:tcBorders>
                    <w:bottom w:val="single" w:color="000000" w:sz="12" w:space="0"/>
                    <w:right w:val="nil"/>
                  </w:tcBorders>
                  <w:noWrap w:val="0"/>
                  <w:vAlign w:val="center"/>
                </w:tcPr>
                <w:p w14:paraId="52C69105">
                  <w:pPr>
                    <w:jc w:val="center"/>
                    <w:rPr>
                      <w:rFonts w:hint="default"/>
                      <w:lang w:val="en-US" w:eastAsia="zh-CN"/>
                    </w:rPr>
                  </w:pPr>
                </w:p>
              </w:tc>
              <w:tc>
                <w:tcPr>
                  <w:tcW w:w="784" w:type="dxa"/>
                  <w:vMerge w:val="continue"/>
                  <w:tcBorders>
                    <w:bottom w:val="single" w:color="000000" w:sz="12" w:space="0"/>
                    <w:right w:val="nil"/>
                  </w:tcBorders>
                  <w:noWrap w:val="0"/>
                  <w:vAlign w:val="center"/>
                </w:tcPr>
                <w:p w14:paraId="1620CC79">
                  <w:pPr>
                    <w:jc w:val="center"/>
                    <w:rPr>
                      <w:rFonts w:hint="default"/>
                      <w:lang w:val="en-US" w:eastAsia="zh-CN"/>
                    </w:rPr>
                  </w:pPr>
                </w:p>
              </w:tc>
              <w:tc>
                <w:tcPr>
                  <w:tcW w:w="716" w:type="dxa"/>
                  <w:tcBorders>
                    <w:bottom w:val="single" w:color="000000" w:sz="12" w:space="0"/>
                    <w:right w:val="nil"/>
                  </w:tcBorders>
                  <w:noWrap w:val="0"/>
                  <w:vAlign w:val="center"/>
                </w:tcPr>
                <w:p w14:paraId="3E051DF9">
                  <w:pPr>
                    <w:jc w:val="center"/>
                    <w:rPr>
                      <w:rFonts w:hint="default"/>
                      <w:lang w:val="en-US" w:eastAsia="zh-CN"/>
                    </w:rPr>
                  </w:pPr>
                  <w:r>
                    <w:rPr>
                      <w:rFonts w:hint="default"/>
                      <w:lang w:val="en-US" w:eastAsia="zh-CN"/>
                    </w:rPr>
                    <w:t>T/I</w:t>
                  </w:r>
                </w:p>
              </w:tc>
              <w:tc>
                <w:tcPr>
                  <w:tcW w:w="777" w:type="dxa"/>
                  <w:vMerge w:val="continue"/>
                  <w:tcBorders>
                    <w:bottom w:val="single" w:color="000000" w:sz="12" w:space="0"/>
                    <w:right w:val="nil"/>
                  </w:tcBorders>
                  <w:noWrap w:val="0"/>
                  <w:vAlign w:val="center"/>
                </w:tcPr>
                <w:p w14:paraId="61B76399">
                  <w:pPr>
                    <w:jc w:val="center"/>
                    <w:rPr>
                      <w:rFonts w:hint="default"/>
                      <w:lang w:val="en-US" w:eastAsia="zh-CN"/>
                    </w:rPr>
                  </w:pPr>
                </w:p>
              </w:tc>
            </w:tr>
          </w:tbl>
          <w:p w14:paraId="781C41B8">
            <w:pPr>
              <w:pStyle w:val="45"/>
              <w:keepNext w:val="0"/>
              <w:keepLines w:val="0"/>
              <w:pageBreakBefore w:val="0"/>
              <w:numPr>
                <w:ilvl w:val="0"/>
                <w:numId w:val="0"/>
              </w:numPr>
              <w:kinsoku/>
              <w:wordWrap/>
              <w:overflowPunct/>
              <w:topLinePunct w:val="0"/>
              <w:autoSpaceDE/>
              <w:autoSpaceDN/>
              <w:bidi w:val="0"/>
              <w:adjustRightInd/>
              <w:snapToGrid/>
              <w:spacing w:line="360" w:lineRule="auto"/>
              <w:ind w:right="0" w:rightChars="0"/>
              <w:jc w:val="center"/>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表 4-1</w:t>
            </w:r>
            <w:r>
              <w:rPr>
                <w:rFonts w:hint="eastAsia" w:ascii="Times New Roman" w:hAnsi="Times New Roman" w:eastAsia="宋体" w:cs="Times New Roman"/>
                <w:b/>
                <w:bCs/>
                <w:spacing w:val="6"/>
                <w:sz w:val="21"/>
                <w:szCs w:val="21"/>
                <w:lang w:val="en-US" w:eastAsia="zh-CN"/>
              </w:rPr>
              <w:t>7</w:t>
            </w:r>
            <w:r>
              <w:rPr>
                <w:rFonts w:hint="default" w:ascii="Times New Roman" w:hAnsi="Times New Roman" w:eastAsia="宋体" w:cs="Times New Roman"/>
                <w:b/>
                <w:bCs/>
                <w:spacing w:val="6"/>
                <w:sz w:val="21"/>
                <w:szCs w:val="21"/>
              </w:rPr>
              <w:t xml:space="preserve">   项目运营期危险废物产生情况一览表</w:t>
            </w:r>
          </w:p>
          <w:p w14:paraId="2FC5B9EC">
            <w:pPr>
              <w:pStyle w:val="45"/>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72" w:firstLineChars="200"/>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综上所述，本项目运营期固体废物均可得到合理处置，不会产生二次</w:t>
            </w:r>
            <w:r>
              <w:rPr>
                <w:rFonts w:hint="default" w:ascii="Times New Roman" w:hAnsi="Times New Roman" w:eastAsia="宋体" w:cs="Times New Roman"/>
                <w:spacing w:val="-1"/>
                <w:sz w:val="24"/>
                <w:szCs w:val="24"/>
              </w:rPr>
              <w:t>污染，对区域环境影响较小。</w:t>
            </w:r>
          </w:p>
          <w:p w14:paraId="2C3A6BA9">
            <w:pPr>
              <w:pStyle w:val="45"/>
              <w:keepNext w:val="0"/>
              <w:keepLines w:val="0"/>
              <w:pageBreakBefore w:val="0"/>
              <w:kinsoku/>
              <w:wordWrap/>
              <w:overflowPunct/>
              <w:topLinePunct w:val="0"/>
              <w:autoSpaceDE/>
              <w:autoSpaceDN/>
              <w:bidi w:val="0"/>
              <w:adjustRightInd/>
              <w:snapToGrid/>
              <w:spacing w:line="360" w:lineRule="auto"/>
              <w:ind w:left="0" w:right="0" w:firstLine="506" w:firstLineChars="200"/>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2.5</w:t>
            </w:r>
            <w:r>
              <w:rPr>
                <w:rFonts w:hint="eastAsia" w:ascii="Times New Roman" w:hAnsi="Times New Roman" w:eastAsia="宋体" w:cs="Times New Roman"/>
                <w:b/>
                <w:bCs/>
                <w:spacing w:val="6"/>
                <w:sz w:val="24"/>
                <w:szCs w:val="24"/>
                <w:lang w:val="en-US" w:eastAsia="zh-CN"/>
              </w:rPr>
              <w:t xml:space="preserve">   </w:t>
            </w:r>
            <w:r>
              <w:rPr>
                <w:rFonts w:hint="default" w:ascii="Times New Roman" w:hAnsi="Times New Roman" w:eastAsia="宋体" w:cs="Times New Roman"/>
                <w:b/>
                <w:bCs/>
                <w:spacing w:val="6"/>
                <w:sz w:val="24"/>
                <w:szCs w:val="24"/>
              </w:rPr>
              <w:t>生态环境影响分析</w:t>
            </w:r>
          </w:p>
          <w:p w14:paraId="3B221F4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项目运营期对生态环境的影响主要来源于矿体开挖、道路运输、剥离</w:t>
            </w:r>
            <w:r>
              <w:rPr>
                <w:rFonts w:hint="default" w:ascii="Times New Roman" w:hAnsi="Times New Roman" w:eastAsia="宋体" w:cs="Times New Roman"/>
                <w:spacing w:val="-3"/>
                <w:sz w:val="24"/>
                <w:szCs w:val="24"/>
              </w:rPr>
              <w:t>物堆放等过程。矿体开挖使局地地貌形态改变，山体破坏，原有土地的性</w:t>
            </w:r>
            <w:r>
              <w:rPr>
                <w:rFonts w:hint="default" w:ascii="Times New Roman" w:hAnsi="Times New Roman" w:eastAsia="宋体" w:cs="Times New Roman"/>
                <w:spacing w:val="-2"/>
                <w:sz w:val="24"/>
                <w:szCs w:val="24"/>
              </w:rPr>
              <w:t>质和利用结构随之发生变化。剥离表土的堆放、施工机械碾压会造成一定</w:t>
            </w:r>
            <w:r>
              <w:rPr>
                <w:rFonts w:hint="default" w:ascii="Times New Roman" w:hAnsi="Times New Roman" w:eastAsia="宋体" w:cs="Times New Roman"/>
                <w:spacing w:val="-1"/>
                <w:sz w:val="24"/>
                <w:szCs w:val="24"/>
              </w:rPr>
              <w:t>面积的植被破坏和生物量损失。</w:t>
            </w:r>
          </w:p>
          <w:p w14:paraId="10465E4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lang w:val="en-US" w:eastAsia="zh-CN"/>
              </w:rPr>
              <w:t>1</w:t>
            </w: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对地形地貌的影响</w:t>
            </w:r>
          </w:p>
          <w:p w14:paraId="1338A63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矿山开采过程中不仅剥离表层，还破坏了山体的完整性，采空后形成</w:t>
            </w:r>
            <w:r>
              <w:rPr>
                <w:rFonts w:hint="default" w:ascii="Times New Roman" w:hAnsi="Times New Roman" w:eastAsia="宋体" w:cs="Times New Roman"/>
                <w:spacing w:val="-1"/>
                <w:sz w:val="24"/>
                <w:szCs w:val="24"/>
              </w:rPr>
              <w:t>裸露岩石地貌，完全改变原有地貌，且不可逆</w:t>
            </w:r>
            <w:r>
              <w:rPr>
                <w:rFonts w:hint="default" w:ascii="Times New Roman" w:hAnsi="Times New Roman" w:eastAsia="宋体" w:cs="Times New Roman"/>
                <w:spacing w:val="-2"/>
                <w:sz w:val="24"/>
                <w:szCs w:val="24"/>
              </w:rPr>
              <w:t>。因此，矿山开采是一种严</w:t>
            </w:r>
            <w:r>
              <w:rPr>
                <w:rFonts w:hint="default" w:ascii="Times New Roman" w:hAnsi="Times New Roman" w:eastAsia="宋体" w:cs="Times New Roman"/>
                <w:spacing w:val="-6"/>
                <w:sz w:val="24"/>
                <w:szCs w:val="24"/>
              </w:rPr>
              <w:t>重破坏原有地貌的开采形式。此外，由于露天</w:t>
            </w:r>
            <w:r>
              <w:rPr>
                <w:rFonts w:hint="default" w:ascii="Times New Roman" w:hAnsi="Times New Roman" w:eastAsia="宋体" w:cs="Times New Roman"/>
                <w:spacing w:val="-7"/>
                <w:sz w:val="24"/>
                <w:szCs w:val="24"/>
              </w:rPr>
              <w:t>开采破坏了边坡的自然平衡，</w:t>
            </w:r>
            <w:r>
              <w:rPr>
                <w:rFonts w:hint="default" w:ascii="Times New Roman" w:hAnsi="Times New Roman" w:eastAsia="宋体" w:cs="Times New Roman"/>
                <w:spacing w:val="-3"/>
                <w:sz w:val="24"/>
                <w:szCs w:val="24"/>
              </w:rPr>
              <w:t>使边坡失衡，易产生小型岩崩、滑坡现象。</w:t>
            </w:r>
          </w:p>
          <w:p w14:paraId="02ACD4F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lang w:val="en-US" w:eastAsia="zh-CN"/>
              </w:rPr>
              <w:t>2</w:t>
            </w: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对土地利用结构的影响</w:t>
            </w:r>
          </w:p>
          <w:p w14:paraId="13C1BEE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土地利用结构的改变有两方面，一是大量固体废物堆放，压占土地，</w:t>
            </w:r>
            <w:r>
              <w:rPr>
                <w:rFonts w:hint="default" w:ascii="Times New Roman" w:hAnsi="Times New Roman" w:eastAsia="宋体" w:cs="Times New Roman"/>
                <w:spacing w:val="-6"/>
                <w:sz w:val="24"/>
                <w:szCs w:val="24"/>
              </w:rPr>
              <w:t>这对土地的消耗不容忽视；二是项目占地，使土地类型等转变为工矿用地。</w:t>
            </w:r>
          </w:p>
          <w:p w14:paraId="29D37D1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矿区为高山地形，从节省占地，减少水土流失，保护生态环境等方面</w:t>
            </w:r>
            <w:r>
              <w:rPr>
                <w:rFonts w:hint="default" w:ascii="Times New Roman" w:hAnsi="Times New Roman" w:eastAsia="宋体" w:cs="Times New Roman"/>
                <w:spacing w:val="-1"/>
                <w:sz w:val="24"/>
                <w:szCs w:val="24"/>
              </w:rPr>
              <w:t>考虑，应严格按照划定的采场范围合理安排剥采</w:t>
            </w:r>
            <w:r>
              <w:rPr>
                <w:rFonts w:hint="default" w:ascii="Times New Roman" w:hAnsi="Times New Roman" w:eastAsia="宋体" w:cs="Times New Roman"/>
                <w:spacing w:val="-2"/>
                <w:sz w:val="24"/>
                <w:szCs w:val="24"/>
              </w:rPr>
              <w:t>，按要求分台阶开采，落</w:t>
            </w:r>
            <w:r>
              <w:rPr>
                <w:rFonts w:hint="default" w:ascii="Times New Roman" w:hAnsi="Times New Roman" w:eastAsia="宋体" w:cs="Times New Roman"/>
                <w:sz w:val="24"/>
                <w:szCs w:val="24"/>
              </w:rPr>
              <w:t>实</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边开采、边生态恢复治理</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，尽量减少占用土地数量。</w:t>
            </w:r>
          </w:p>
          <w:p w14:paraId="5121C555">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（3）对植物的影响分析</w:t>
            </w:r>
          </w:p>
          <w:p w14:paraId="4393DD6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开采期对植物的影响主要来自采矿剥离破坏</w:t>
            </w:r>
            <w:r>
              <w:rPr>
                <w:rFonts w:hint="default" w:ascii="Times New Roman" w:hAnsi="Times New Roman" w:eastAsia="宋体" w:cs="Times New Roman"/>
                <w:spacing w:val="6"/>
                <w:sz w:val="24"/>
                <w:szCs w:val="24"/>
              </w:rPr>
              <w:t>植被和剥离物堆放对植</w:t>
            </w:r>
            <w:r>
              <w:rPr>
                <w:rFonts w:hint="default" w:ascii="Times New Roman" w:hAnsi="Times New Roman" w:eastAsia="宋体" w:cs="Times New Roman"/>
                <w:spacing w:val="-1"/>
                <w:sz w:val="24"/>
                <w:szCs w:val="24"/>
              </w:rPr>
              <w:t>被的破坏和占压。采矿剥离对现有植被的破坏</w:t>
            </w:r>
            <w:r>
              <w:rPr>
                <w:rFonts w:hint="default" w:ascii="Times New Roman" w:hAnsi="Times New Roman" w:eastAsia="宋体" w:cs="Times New Roman"/>
                <w:spacing w:val="-2"/>
                <w:sz w:val="24"/>
                <w:szCs w:val="24"/>
              </w:rPr>
              <w:t>性是永久的，这部分植被将</w:t>
            </w:r>
            <w:r>
              <w:rPr>
                <w:rFonts w:hint="default" w:ascii="Times New Roman" w:hAnsi="Times New Roman" w:eastAsia="宋体" w:cs="Times New Roman"/>
                <w:spacing w:val="-1"/>
                <w:sz w:val="24"/>
                <w:szCs w:val="24"/>
              </w:rPr>
              <w:t>永远失去生产能力。矿区开发临时占地将干扰</w:t>
            </w:r>
            <w:r>
              <w:rPr>
                <w:rFonts w:hint="default" w:ascii="Times New Roman" w:hAnsi="Times New Roman" w:eastAsia="宋体" w:cs="Times New Roman"/>
                <w:spacing w:val="-2"/>
                <w:sz w:val="24"/>
                <w:szCs w:val="24"/>
              </w:rPr>
              <w:t>和破坏影响范围内的植物生</w:t>
            </w:r>
            <w:r>
              <w:rPr>
                <w:rFonts w:hint="default" w:ascii="Times New Roman" w:hAnsi="Times New Roman" w:eastAsia="宋体" w:cs="Times New Roman"/>
                <w:spacing w:val="-1"/>
                <w:sz w:val="24"/>
                <w:szCs w:val="24"/>
              </w:rPr>
              <w:t>长，影响区域内的植被群落种类组成和数量分</w:t>
            </w:r>
            <w:r>
              <w:rPr>
                <w:rFonts w:hint="default" w:ascii="Times New Roman" w:hAnsi="Times New Roman" w:eastAsia="宋体" w:cs="Times New Roman"/>
                <w:spacing w:val="-2"/>
                <w:sz w:val="24"/>
                <w:szCs w:val="24"/>
              </w:rPr>
              <w:t>布，降低区域植被覆盖度和</w:t>
            </w:r>
            <w:r>
              <w:rPr>
                <w:rFonts w:hint="default" w:ascii="Times New Roman" w:hAnsi="Times New Roman" w:eastAsia="宋体" w:cs="Times New Roman"/>
                <w:spacing w:val="-1"/>
                <w:sz w:val="24"/>
                <w:szCs w:val="24"/>
              </w:rPr>
              <w:t>生物多样性。矿山开采过程中车辆运输、机械</w:t>
            </w:r>
            <w:r>
              <w:rPr>
                <w:rFonts w:hint="default" w:ascii="Times New Roman" w:hAnsi="Times New Roman" w:eastAsia="宋体" w:cs="Times New Roman"/>
                <w:spacing w:val="-2"/>
                <w:sz w:val="24"/>
                <w:szCs w:val="24"/>
              </w:rPr>
              <w:t>设备运行及人员走动将会对</w:t>
            </w:r>
            <w:r>
              <w:rPr>
                <w:rFonts w:hint="default" w:ascii="Times New Roman" w:hAnsi="Times New Roman" w:eastAsia="宋体" w:cs="Times New Roman"/>
                <w:spacing w:val="-3"/>
                <w:sz w:val="24"/>
                <w:szCs w:val="24"/>
              </w:rPr>
              <w:t>地表植被造成碾压、破坏、扰动地层</w:t>
            </w:r>
            <w:r>
              <w:rPr>
                <w:rFonts w:hint="default" w:ascii="Times New Roman" w:hAnsi="Times New Roman" w:eastAsia="宋体" w:cs="Times New Roman"/>
                <w:spacing w:val="-43"/>
                <w:sz w:val="24"/>
                <w:szCs w:val="24"/>
              </w:rPr>
              <w:t xml:space="preserve"> </w:t>
            </w:r>
            <w:r>
              <w:rPr>
                <w:rFonts w:hint="default" w:ascii="Times New Roman" w:hAnsi="Times New Roman" w:eastAsia="宋体" w:cs="Times New Roman"/>
                <w:spacing w:val="-3"/>
                <w:sz w:val="24"/>
                <w:szCs w:val="24"/>
              </w:rPr>
              <w:t>、损失一定的生物量、破坏和影</w:t>
            </w:r>
            <w:r>
              <w:rPr>
                <w:rFonts w:hint="default" w:ascii="Times New Roman" w:hAnsi="Times New Roman" w:eastAsia="宋体" w:cs="Times New Roman"/>
                <w:spacing w:val="-4"/>
                <w:sz w:val="24"/>
                <w:szCs w:val="24"/>
              </w:rPr>
              <w:t>响矿</w:t>
            </w:r>
            <w:r>
              <w:rPr>
                <w:rFonts w:hint="default" w:ascii="Times New Roman" w:hAnsi="Times New Roman" w:eastAsia="宋体" w:cs="Times New Roman"/>
                <w:spacing w:val="-1"/>
                <w:sz w:val="24"/>
                <w:szCs w:val="24"/>
              </w:rPr>
              <w:t>区周围环境的植被覆盖率和数量、降低土壤侵</w:t>
            </w:r>
            <w:r>
              <w:rPr>
                <w:rFonts w:hint="default" w:ascii="Times New Roman" w:hAnsi="Times New Roman" w:eastAsia="宋体" w:cs="Times New Roman"/>
                <w:spacing w:val="-2"/>
                <w:sz w:val="24"/>
                <w:szCs w:val="24"/>
              </w:rPr>
              <w:t>蚀能力，引起水土流失等生</w:t>
            </w:r>
            <w:r>
              <w:rPr>
                <w:rFonts w:hint="default" w:ascii="Times New Roman" w:hAnsi="Times New Roman" w:eastAsia="宋体" w:cs="Times New Roman"/>
                <w:spacing w:val="-1"/>
                <w:sz w:val="24"/>
                <w:szCs w:val="24"/>
              </w:rPr>
              <w:t>态环境影响。</w:t>
            </w:r>
          </w:p>
          <w:p w14:paraId="3AB0D66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在开采过程中要注意保护植被，将露天采场范围</w:t>
            </w:r>
            <w:r>
              <w:rPr>
                <w:rFonts w:hint="default" w:ascii="Times New Roman" w:hAnsi="Times New Roman" w:eastAsia="宋体" w:cs="Times New Roman"/>
                <w:spacing w:val="-1"/>
                <w:sz w:val="24"/>
                <w:szCs w:val="24"/>
              </w:rPr>
              <w:t>控制在设计范围之内，严禁外扩范围，减少植被破坏面积。项目</w:t>
            </w:r>
            <w:r>
              <w:rPr>
                <w:rFonts w:hint="default" w:ascii="Times New Roman" w:hAnsi="Times New Roman" w:eastAsia="宋体" w:cs="Times New Roman"/>
                <w:spacing w:val="-2"/>
                <w:sz w:val="24"/>
                <w:szCs w:val="24"/>
              </w:rPr>
              <w:t>所在区域自然植被以</w:t>
            </w:r>
            <w:r>
              <w:rPr>
                <w:rFonts w:hint="eastAsia" w:ascii="Times New Roman" w:hAnsi="Times New Roman" w:eastAsia="宋体" w:cs="Times New Roman"/>
                <w:spacing w:val="-2"/>
                <w:sz w:val="24"/>
                <w:szCs w:val="24"/>
                <w:lang w:val="en-US" w:eastAsia="zh-CN"/>
              </w:rPr>
              <w:t>非植被区</w:t>
            </w:r>
            <w:r>
              <w:rPr>
                <w:rFonts w:hint="default" w:ascii="Times New Roman" w:hAnsi="Times New Roman" w:eastAsia="宋体" w:cs="Times New Roman"/>
                <w:spacing w:val="-1"/>
                <w:sz w:val="24"/>
                <w:szCs w:val="24"/>
              </w:rPr>
              <w:t>为主，无国家和地方重点保护的植物种类，</w:t>
            </w:r>
            <w:r>
              <w:rPr>
                <w:rFonts w:hint="default" w:ascii="Times New Roman" w:hAnsi="Times New Roman" w:eastAsia="宋体" w:cs="Times New Roman"/>
                <w:spacing w:val="-2"/>
                <w:sz w:val="24"/>
                <w:szCs w:val="24"/>
              </w:rPr>
              <w:t>矿山开采不会使某种植物灭</w:t>
            </w:r>
            <w:r>
              <w:rPr>
                <w:rFonts w:hint="default" w:ascii="Times New Roman" w:hAnsi="Times New Roman" w:eastAsia="宋体" w:cs="Times New Roman"/>
                <w:spacing w:val="-6"/>
                <w:sz w:val="24"/>
                <w:szCs w:val="24"/>
              </w:rPr>
              <w:t>绝，也不会从根本上改变某种植物的遗传结构</w:t>
            </w:r>
            <w:r>
              <w:rPr>
                <w:rFonts w:hint="default" w:ascii="Times New Roman" w:hAnsi="Times New Roman" w:eastAsia="宋体" w:cs="Times New Roman"/>
                <w:spacing w:val="-7"/>
                <w:sz w:val="24"/>
                <w:szCs w:val="24"/>
              </w:rPr>
              <w:t>、空间分布格局和种群更新，</w:t>
            </w:r>
            <w:r>
              <w:rPr>
                <w:rFonts w:hint="default" w:ascii="Times New Roman" w:hAnsi="Times New Roman" w:eastAsia="宋体" w:cs="Times New Roman"/>
                <w:spacing w:val="-1"/>
                <w:sz w:val="24"/>
                <w:szCs w:val="24"/>
              </w:rPr>
              <w:t>项目占用及扰动区域影响范围相对较小，不会</w:t>
            </w:r>
            <w:r>
              <w:rPr>
                <w:rFonts w:hint="default" w:ascii="Times New Roman" w:hAnsi="Times New Roman" w:eastAsia="宋体" w:cs="Times New Roman"/>
                <w:spacing w:val="-2"/>
                <w:sz w:val="24"/>
                <w:szCs w:val="24"/>
              </w:rPr>
              <w:t>造成整体生态环境的不可逆</w:t>
            </w:r>
            <w:r>
              <w:rPr>
                <w:rFonts w:hint="default" w:ascii="Times New Roman" w:hAnsi="Times New Roman" w:eastAsia="宋体" w:cs="Times New Roman"/>
                <w:spacing w:val="-1"/>
                <w:sz w:val="24"/>
                <w:szCs w:val="24"/>
              </w:rPr>
              <w:t>影响，对植物的影响较小。在矿山开采期及</w:t>
            </w:r>
            <w:r>
              <w:rPr>
                <w:rFonts w:hint="default" w:ascii="Times New Roman" w:hAnsi="Times New Roman" w:eastAsia="宋体" w:cs="Times New Roman"/>
                <w:spacing w:val="-2"/>
                <w:sz w:val="24"/>
                <w:szCs w:val="24"/>
              </w:rPr>
              <w:t>服务期满后通过生态恢复恢复</w:t>
            </w:r>
            <w:r>
              <w:rPr>
                <w:rFonts w:hint="default" w:ascii="Times New Roman" w:hAnsi="Times New Roman" w:eastAsia="宋体" w:cs="Times New Roman"/>
                <w:spacing w:val="-1"/>
                <w:sz w:val="24"/>
                <w:szCs w:val="24"/>
              </w:rPr>
              <w:t>植被，减轻矿山开采造成的生态破坏程度。</w:t>
            </w:r>
          </w:p>
          <w:p w14:paraId="4C6623C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（4）对动物的影响分析</w:t>
            </w:r>
          </w:p>
          <w:p w14:paraId="31CA2D1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矿山开采占用了区域内土地，改变了野生动物的栖息环境，减少了原</w:t>
            </w:r>
            <w:r>
              <w:rPr>
                <w:rFonts w:hint="default" w:ascii="Times New Roman" w:hAnsi="Times New Roman" w:eastAsia="宋体" w:cs="Times New Roman"/>
                <w:spacing w:val="-6"/>
                <w:sz w:val="24"/>
                <w:szCs w:val="24"/>
              </w:rPr>
              <w:t>有的野生动物栖息与活动的范围，迫使一部分野</w:t>
            </w:r>
            <w:r>
              <w:rPr>
                <w:rFonts w:hint="default" w:ascii="Times New Roman" w:hAnsi="Times New Roman" w:eastAsia="宋体" w:cs="Times New Roman"/>
                <w:spacing w:val="-7"/>
                <w:sz w:val="24"/>
                <w:szCs w:val="24"/>
              </w:rPr>
              <w:t>生动物向四周迁移。因此，</w:t>
            </w:r>
            <w:r>
              <w:rPr>
                <w:rFonts w:hint="default" w:ascii="Times New Roman" w:hAnsi="Times New Roman" w:eastAsia="宋体" w:cs="Times New Roman"/>
                <w:spacing w:val="-1"/>
                <w:sz w:val="24"/>
                <w:szCs w:val="24"/>
              </w:rPr>
              <w:t>一段时间内，矿区外围的一些小型动物的种</w:t>
            </w:r>
            <w:r>
              <w:rPr>
                <w:rFonts w:hint="default" w:ascii="Times New Roman" w:hAnsi="Times New Roman" w:eastAsia="宋体" w:cs="Times New Roman"/>
                <w:spacing w:val="-2"/>
                <w:sz w:val="24"/>
                <w:szCs w:val="24"/>
              </w:rPr>
              <w:t>群密度会上升。同时随着开采</w:t>
            </w:r>
            <w:r>
              <w:rPr>
                <w:rFonts w:hint="default" w:ascii="Times New Roman" w:hAnsi="Times New Roman" w:eastAsia="宋体" w:cs="Times New Roman"/>
                <w:spacing w:val="-1"/>
                <w:sz w:val="24"/>
                <w:szCs w:val="24"/>
              </w:rPr>
              <w:t>活动进行，人类活动的增多，将会干扰矿区周围的</w:t>
            </w:r>
            <w:r>
              <w:rPr>
                <w:rFonts w:hint="default" w:ascii="Times New Roman" w:hAnsi="Times New Roman" w:eastAsia="宋体" w:cs="Times New Roman"/>
                <w:spacing w:val="-2"/>
                <w:sz w:val="24"/>
                <w:szCs w:val="24"/>
              </w:rPr>
              <w:t>自然环境，影响野生动物的栖息、繁殖、觅食和活动场所，对项目周围的野生动</w:t>
            </w:r>
            <w:r>
              <w:rPr>
                <w:rFonts w:hint="default" w:ascii="Times New Roman" w:hAnsi="Times New Roman" w:eastAsia="宋体" w:cs="Times New Roman"/>
                <w:spacing w:val="-3"/>
                <w:sz w:val="24"/>
                <w:szCs w:val="24"/>
              </w:rPr>
              <w:t>物产生一定的不</w:t>
            </w:r>
            <w:r>
              <w:rPr>
                <w:rFonts w:hint="default" w:ascii="Times New Roman" w:hAnsi="Times New Roman" w:eastAsia="宋体" w:cs="Times New Roman"/>
                <w:spacing w:val="-1"/>
                <w:sz w:val="24"/>
                <w:szCs w:val="24"/>
              </w:rPr>
              <w:t>利影响，矿山开采的噪声会使得矿区附近的</w:t>
            </w:r>
            <w:r>
              <w:rPr>
                <w:rFonts w:hint="default" w:ascii="Times New Roman" w:hAnsi="Times New Roman" w:eastAsia="宋体" w:cs="Times New Roman"/>
                <w:spacing w:val="-2"/>
                <w:sz w:val="24"/>
                <w:szCs w:val="24"/>
              </w:rPr>
              <w:t>动物发生迁徙。由于矿区周边</w:t>
            </w:r>
            <w:r>
              <w:rPr>
                <w:rFonts w:hint="default" w:ascii="Times New Roman" w:hAnsi="Times New Roman" w:eastAsia="宋体" w:cs="Times New Roman"/>
                <w:spacing w:val="-3"/>
                <w:sz w:val="24"/>
                <w:szCs w:val="24"/>
              </w:rPr>
              <w:t>均为同种生态环境类型，连通性好</w:t>
            </w:r>
            <w:r>
              <w:rPr>
                <w:rFonts w:hint="default" w:ascii="Times New Roman" w:hAnsi="Times New Roman" w:eastAsia="宋体" w:cs="Times New Roman"/>
                <w:spacing w:val="-20"/>
                <w:sz w:val="24"/>
                <w:szCs w:val="24"/>
              </w:rPr>
              <w:t xml:space="preserve"> </w:t>
            </w:r>
            <w:r>
              <w:rPr>
                <w:rFonts w:hint="default" w:ascii="Times New Roman" w:hAnsi="Times New Roman" w:eastAsia="宋体" w:cs="Times New Roman"/>
                <w:spacing w:val="-3"/>
                <w:sz w:val="24"/>
                <w:szCs w:val="24"/>
              </w:rPr>
              <w:t>，同时矿区及影响范围的野生动物数量</w:t>
            </w:r>
            <w:r>
              <w:rPr>
                <w:rFonts w:hint="default" w:ascii="Times New Roman" w:hAnsi="Times New Roman" w:eastAsia="宋体" w:cs="Times New Roman"/>
                <w:sz w:val="24"/>
                <w:szCs w:val="24"/>
              </w:rPr>
              <w:t>少，种类也基本为山区的常见物种，适应性和抗干</w:t>
            </w:r>
            <w:r>
              <w:rPr>
                <w:rFonts w:hint="default" w:ascii="Times New Roman" w:hAnsi="Times New Roman" w:eastAsia="宋体" w:cs="Times New Roman"/>
                <w:spacing w:val="-1"/>
                <w:sz w:val="24"/>
                <w:szCs w:val="24"/>
              </w:rPr>
              <w:t>扰能力较强。</w:t>
            </w:r>
          </w:p>
          <w:p w14:paraId="2A3249A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经现场调查，目前矿区由于人为活动频繁，不能为野生动物提供赖以</w:t>
            </w:r>
            <w:r>
              <w:rPr>
                <w:rFonts w:hint="default" w:ascii="Times New Roman" w:hAnsi="Times New Roman" w:eastAsia="宋体" w:cs="Times New Roman"/>
                <w:spacing w:val="-2"/>
                <w:sz w:val="24"/>
                <w:szCs w:val="24"/>
              </w:rPr>
              <w:t>生存的生境，但区域内野生动物稀少，评价区内未发现珍稀濒危保护野生</w:t>
            </w:r>
            <w:r>
              <w:rPr>
                <w:rFonts w:hint="default" w:ascii="Times New Roman" w:hAnsi="Times New Roman" w:eastAsia="宋体" w:cs="Times New Roman"/>
                <w:spacing w:val="-1"/>
                <w:sz w:val="24"/>
                <w:szCs w:val="24"/>
              </w:rPr>
              <w:t>动物分布，也无国家级或省级野生重点保护动物。</w:t>
            </w:r>
          </w:p>
          <w:p w14:paraId="2C9E2BD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因此，本工程矿山开采活动对区域野生动物影</w:t>
            </w:r>
            <w:r>
              <w:rPr>
                <w:rFonts w:hint="default" w:ascii="Times New Roman" w:hAnsi="Times New Roman" w:eastAsia="宋体" w:cs="Times New Roman"/>
                <w:spacing w:val="-2"/>
                <w:sz w:val="24"/>
                <w:szCs w:val="24"/>
              </w:rPr>
              <w:t>响较小。</w:t>
            </w:r>
          </w:p>
          <w:p w14:paraId="5FF99E35">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（5）对区域生态系统生产力的影响分析</w:t>
            </w:r>
          </w:p>
          <w:p w14:paraId="2ED91FA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生物有适应环境变化的功能，生物的适应性是其细胞—个体—种群在</w:t>
            </w:r>
            <w:r>
              <w:rPr>
                <w:rFonts w:hint="default" w:ascii="Times New Roman" w:hAnsi="Times New Roman" w:eastAsia="宋体" w:cs="Times New Roman"/>
                <w:spacing w:val="-1"/>
                <w:sz w:val="24"/>
                <w:szCs w:val="24"/>
              </w:rPr>
              <w:t>一定环境条件下的演化过程逐渐发展起来的生物</w:t>
            </w:r>
            <w:r>
              <w:rPr>
                <w:rFonts w:hint="default" w:ascii="Times New Roman" w:hAnsi="Times New Roman" w:eastAsia="宋体" w:cs="Times New Roman"/>
                <w:spacing w:val="-2"/>
                <w:sz w:val="24"/>
                <w:szCs w:val="24"/>
              </w:rPr>
              <w:t>学特性，是生物与环境相</w:t>
            </w:r>
            <w:r>
              <w:rPr>
                <w:rFonts w:hint="default" w:ascii="Times New Roman" w:hAnsi="Times New Roman" w:eastAsia="宋体" w:cs="Times New Roman"/>
                <w:spacing w:val="-1"/>
                <w:sz w:val="24"/>
                <w:szCs w:val="24"/>
              </w:rPr>
              <w:t>互作用的结果。由于生物有生产的能力，可以为</w:t>
            </w:r>
            <w:r>
              <w:rPr>
                <w:rFonts w:hint="default" w:ascii="Times New Roman" w:hAnsi="Times New Roman" w:eastAsia="宋体" w:cs="Times New Roman"/>
                <w:spacing w:val="-2"/>
                <w:sz w:val="24"/>
                <w:szCs w:val="24"/>
              </w:rPr>
              <w:t>受到干扰的自然体系提供</w:t>
            </w:r>
            <w:r>
              <w:rPr>
                <w:rFonts w:hint="default" w:ascii="Times New Roman" w:hAnsi="Times New Roman" w:eastAsia="宋体" w:cs="Times New Roman"/>
                <w:spacing w:val="-3"/>
                <w:sz w:val="24"/>
                <w:szCs w:val="24"/>
              </w:rPr>
              <w:t>修补（调节）的功能。因此，才能维持自然体系的生态平衡。但是，当人</w:t>
            </w:r>
            <w:r>
              <w:rPr>
                <w:rFonts w:hint="default" w:ascii="Times New Roman" w:hAnsi="Times New Roman" w:eastAsia="宋体" w:cs="Times New Roman"/>
                <w:spacing w:val="-1"/>
                <w:sz w:val="24"/>
                <w:szCs w:val="24"/>
              </w:rPr>
              <w:t>类干扰过多，超过了生物的修补（调节）能力时，该自</w:t>
            </w:r>
            <w:r>
              <w:rPr>
                <w:rFonts w:hint="default" w:ascii="Times New Roman" w:hAnsi="Times New Roman" w:eastAsia="宋体" w:cs="Times New Roman"/>
                <w:spacing w:val="-2"/>
                <w:sz w:val="24"/>
                <w:szCs w:val="24"/>
              </w:rPr>
              <w:t>然体系将失去维持</w:t>
            </w:r>
            <w:r>
              <w:rPr>
                <w:rFonts w:hint="default" w:ascii="Times New Roman" w:hAnsi="Times New Roman" w:eastAsia="宋体" w:cs="Times New Roman"/>
                <w:spacing w:val="-1"/>
                <w:sz w:val="24"/>
                <w:szCs w:val="24"/>
              </w:rPr>
              <w:t>平衡的能力，</w:t>
            </w:r>
            <w:r>
              <w:rPr>
                <w:rFonts w:hint="default" w:ascii="Times New Roman" w:hAnsi="Times New Roman" w:eastAsia="宋体" w:cs="Times New Roman"/>
                <w:spacing w:val="-43"/>
                <w:sz w:val="24"/>
                <w:szCs w:val="24"/>
              </w:rPr>
              <w:t xml:space="preserve"> </w:t>
            </w:r>
            <w:r>
              <w:rPr>
                <w:rFonts w:hint="default" w:ascii="Times New Roman" w:hAnsi="Times New Roman" w:eastAsia="宋体" w:cs="Times New Roman"/>
                <w:spacing w:val="-1"/>
                <w:sz w:val="24"/>
                <w:szCs w:val="24"/>
              </w:rPr>
              <w:t>由较高的自然体系等级衰退为较低级别的自然</w:t>
            </w:r>
            <w:r>
              <w:rPr>
                <w:rFonts w:hint="default" w:ascii="Times New Roman" w:hAnsi="Times New Roman" w:eastAsia="宋体" w:cs="Times New Roman"/>
                <w:spacing w:val="-2"/>
                <w:sz w:val="24"/>
                <w:szCs w:val="24"/>
              </w:rPr>
              <w:t>体系。</w:t>
            </w:r>
          </w:p>
          <w:p w14:paraId="0A26F995">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72"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矿山开采过程对区域生态系统生产力将产生一定的影响，开采期将导</w:t>
            </w:r>
            <w:r>
              <w:rPr>
                <w:rFonts w:hint="default" w:ascii="Times New Roman" w:hAnsi="Times New Roman" w:eastAsia="宋体" w:cs="Times New Roman"/>
                <w:spacing w:val="-1"/>
                <w:sz w:val="24"/>
                <w:szCs w:val="24"/>
              </w:rPr>
              <w:t>致区域生物量减少。但通过采取生态恢复措施对</w:t>
            </w:r>
            <w:r>
              <w:rPr>
                <w:rFonts w:hint="default" w:ascii="Times New Roman" w:hAnsi="Times New Roman" w:eastAsia="宋体" w:cs="Times New Roman"/>
                <w:spacing w:val="-2"/>
                <w:sz w:val="24"/>
                <w:szCs w:val="24"/>
              </w:rPr>
              <w:t>地表植被的恢复，可以逐</w:t>
            </w:r>
            <w:r>
              <w:rPr>
                <w:rFonts w:hint="default" w:ascii="Times New Roman" w:hAnsi="Times New Roman" w:eastAsia="宋体" w:cs="Times New Roman"/>
                <w:spacing w:val="-1"/>
                <w:sz w:val="24"/>
                <w:szCs w:val="24"/>
              </w:rPr>
              <w:t>步恢复区域生态系统生产力。因此，本工程对自</w:t>
            </w:r>
            <w:r>
              <w:rPr>
                <w:rFonts w:hint="default" w:ascii="Times New Roman" w:hAnsi="Times New Roman" w:eastAsia="宋体" w:cs="Times New Roman"/>
                <w:spacing w:val="-2"/>
                <w:sz w:val="24"/>
                <w:szCs w:val="24"/>
              </w:rPr>
              <w:t>然体系生产能力的影响是</w:t>
            </w:r>
            <w:r>
              <w:rPr>
                <w:rFonts w:hint="default" w:ascii="Times New Roman" w:hAnsi="Times New Roman" w:eastAsia="宋体" w:cs="Times New Roman"/>
                <w:spacing w:val="-1"/>
                <w:sz w:val="24"/>
                <w:szCs w:val="24"/>
              </w:rPr>
              <w:t>评价区内自然体系可以承受的。</w:t>
            </w:r>
          </w:p>
          <w:p w14:paraId="43865EBB">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（6）对生态系统完整性的影响分析</w:t>
            </w:r>
          </w:p>
          <w:p w14:paraId="17521A2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本项目运营期矿山开采作业机械设备运行和人员活动对</w:t>
            </w:r>
            <w:r>
              <w:rPr>
                <w:rFonts w:hint="default" w:ascii="Times New Roman" w:hAnsi="Times New Roman" w:eastAsia="宋体" w:cs="Times New Roman"/>
                <w:spacing w:val="-1"/>
                <w:sz w:val="24"/>
                <w:szCs w:val="24"/>
              </w:rPr>
              <w:t>区域生态系</w:t>
            </w:r>
            <w:r>
              <w:rPr>
                <w:rFonts w:hint="default" w:ascii="Times New Roman" w:hAnsi="Times New Roman" w:eastAsia="宋体" w:cs="Times New Roman"/>
                <w:sz w:val="24"/>
                <w:szCs w:val="24"/>
              </w:rPr>
              <w:t>统的扰动将会使采区内生态系统的结构和功能紊乱，</w:t>
            </w:r>
            <w:r>
              <w:rPr>
                <w:rFonts w:hint="default" w:ascii="Times New Roman" w:hAnsi="Times New Roman" w:eastAsia="宋体" w:cs="Times New Roman"/>
                <w:spacing w:val="-1"/>
                <w:sz w:val="24"/>
                <w:szCs w:val="24"/>
              </w:rPr>
              <w:t>植被及土壤受到破</w:t>
            </w:r>
            <w:r>
              <w:rPr>
                <w:rFonts w:hint="default" w:ascii="Times New Roman" w:hAnsi="Times New Roman" w:eastAsia="宋体" w:cs="Times New Roman"/>
                <w:spacing w:val="-2"/>
                <w:sz w:val="24"/>
                <w:szCs w:val="24"/>
              </w:rPr>
              <w:t>坏、扰动，在一定程度上使区域局部生境破碎化，但不会形成分割。由于矿山开采活动对区域的影响局限在矿区局部范围内，对土壤、植被的破坏</w:t>
            </w:r>
            <w:r>
              <w:rPr>
                <w:rFonts w:hint="default" w:ascii="Times New Roman" w:hAnsi="Times New Roman" w:eastAsia="宋体" w:cs="Times New Roman"/>
                <w:spacing w:val="-1"/>
                <w:sz w:val="24"/>
                <w:szCs w:val="24"/>
              </w:rPr>
              <w:t>范围有限，</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spacing w:val="-1"/>
                <w:sz w:val="24"/>
                <w:szCs w:val="24"/>
              </w:rPr>
              <w:t>因此对区域整体生态系统的完整性影</w:t>
            </w:r>
            <w:r>
              <w:rPr>
                <w:rFonts w:hint="default" w:ascii="Times New Roman" w:hAnsi="Times New Roman" w:eastAsia="宋体" w:cs="Times New Roman"/>
                <w:spacing w:val="-2"/>
                <w:sz w:val="24"/>
                <w:szCs w:val="24"/>
              </w:rPr>
              <w:t>响较小。</w:t>
            </w:r>
          </w:p>
          <w:p w14:paraId="300E29E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（7）对景观环境的影响分析</w:t>
            </w:r>
          </w:p>
          <w:p w14:paraId="6D7C49C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矿山开采将在一定程度上影响矿区内原有的景观格局，改变项目区的</w:t>
            </w:r>
            <w:r>
              <w:rPr>
                <w:rFonts w:hint="default" w:ascii="Times New Roman" w:hAnsi="Times New Roman" w:eastAsia="宋体" w:cs="Times New Roman"/>
                <w:spacing w:val="-1"/>
                <w:sz w:val="24"/>
                <w:szCs w:val="24"/>
              </w:rPr>
              <w:t>景观结构，使局部区域由单纯的自然生态景观</w:t>
            </w:r>
            <w:r>
              <w:rPr>
                <w:rFonts w:hint="default" w:ascii="Times New Roman" w:hAnsi="Times New Roman" w:eastAsia="宋体" w:cs="Times New Roman"/>
                <w:spacing w:val="-2"/>
                <w:sz w:val="24"/>
                <w:szCs w:val="24"/>
              </w:rPr>
              <w:t>向着工业化、多样化的方向</w:t>
            </w:r>
            <w:r>
              <w:rPr>
                <w:rFonts w:hint="default" w:ascii="Times New Roman" w:hAnsi="Times New Roman" w:eastAsia="宋体" w:cs="Times New Roman"/>
                <w:spacing w:val="-1"/>
                <w:sz w:val="24"/>
                <w:szCs w:val="24"/>
              </w:rPr>
              <w:t>发展，使原来的自然景观类型变为容纳露天采场、</w:t>
            </w:r>
            <w:r>
              <w:rPr>
                <w:rFonts w:hint="default" w:ascii="Times New Roman" w:hAnsi="Times New Roman" w:eastAsia="宋体" w:cs="Times New Roman"/>
                <w:spacing w:val="-2"/>
                <w:sz w:val="24"/>
                <w:szCs w:val="24"/>
              </w:rPr>
              <w:t>排土场、道</w:t>
            </w:r>
            <w:r>
              <w:rPr>
                <w:rFonts w:hint="default" w:ascii="Times New Roman" w:hAnsi="Times New Roman" w:eastAsia="宋体" w:cs="Times New Roman"/>
                <w:spacing w:val="-1"/>
                <w:sz w:val="24"/>
                <w:szCs w:val="24"/>
              </w:rPr>
              <w:t>路等人工景观。露天采区、排土场以及工业场</w:t>
            </w:r>
            <w:r>
              <w:rPr>
                <w:rFonts w:hint="default" w:ascii="Times New Roman" w:hAnsi="Times New Roman" w:eastAsia="宋体" w:cs="Times New Roman"/>
                <w:spacing w:val="-2"/>
                <w:sz w:val="24"/>
                <w:szCs w:val="24"/>
              </w:rPr>
              <w:t>地的出现会对原来的景观进</w:t>
            </w:r>
            <w:r>
              <w:rPr>
                <w:rFonts w:hint="default" w:ascii="Times New Roman" w:hAnsi="Times New Roman" w:eastAsia="宋体" w:cs="Times New Roman"/>
                <w:spacing w:val="-1"/>
                <w:sz w:val="24"/>
                <w:szCs w:val="24"/>
              </w:rPr>
              <w:t>行分隔，造成空间上的非连续性和一些人为的</w:t>
            </w:r>
            <w:r>
              <w:rPr>
                <w:rFonts w:hint="default" w:ascii="Times New Roman" w:hAnsi="Times New Roman" w:eastAsia="宋体" w:cs="Times New Roman"/>
                <w:spacing w:val="-2"/>
                <w:sz w:val="24"/>
                <w:szCs w:val="24"/>
              </w:rPr>
              <w:t>劣质景观，造成与周围自然</w:t>
            </w:r>
            <w:r>
              <w:rPr>
                <w:rFonts w:hint="default" w:ascii="Times New Roman" w:hAnsi="Times New Roman" w:eastAsia="宋体" w:cs="Times New Roman"/>
                <w:spacing w:val="-1"/>
                <w:sz w:val="24"/>
                <w:szCs w:val="24"/>
              </w:rPr>
              <w:t>环境的不相协调。同时对植被的破坏也会造成</w:t>
            </w:r>
            <w:r>
              <w:rPr>
                <w:rFonts w:hint="default" w:ascii="Times New Roman" w:hAnsi="Times New Roman" w:eastAsia="宋体" w:cs="Times New Roman"/>
                <w:spacing w:val="-2"/>
                <w:sz w:val="24"/>
                <w:szCs w:val="24"/>
              </w:rPr>
              <w:t>地表裸露，影响了原有的地</w:t>
            </w:r>
            <w:r>
              <w:rPr>
                <w:rFonts w:hint="default" w:ascii="Times New Roman" w:hAnsi="Times New Roman" w:eastAsia="宋体" w:cs="Times New Roman"/>
                <w:spacing w:val="-1"/>
                <w:sz w:val="24"/>
                <w:szCs w:val="24"/>
              </w:rPr>
              <w:t>表自然形态，破坏了自然景观，使现有局部景观破碎</w:t>
            </w:r>
            <w:r>
              <w:rPr>
                <w:rFonts w:hint="default" w:ascii="Times New Roman" w:hAnsi="Times New Roman" w:eastAsia="宋体" w:cs="Times New Roman"/>
                <w:spacing w:val="-2"/>
                <w:sz w:val="24"/>
                <w:szCs w:val="24"/>
              </w:rPr>
              <w:t>，增加裸露斑块。经</w:t>
            </w:r>
            <w:r>
              <w:rPr>
                <w:rFonts w:hint="default" w:ascii="Times New Roman" w:hAnsi="Times New Roman" w:eastAsia="宋体" w:cs="Times New Roman"/>
                <w:spacing w:val="-6"/>
                <w:sz w:val="24"/>
                <w:szCs w:val="24"/>
              </w:rPr>
              <w:t>现场调查，项目区矿山区域及周边的景观都为普通</w:t>
            </w:r>
            <w:r>
              <w:rPr>
                <w:rFonts w:hint="default" w:ascii="Times New Roman" w:hAnsi="Times New Roman" w:eastAsia="宋体" w:cs="Times New Roman"/>
                <w:spacing w:val="-7"/>
                <w:sz w:val="24"/>
                <w:szCs w:val="24"/>
              </w:rPr>
              <w:t>、常见的荒漠草原景观，</w:t>
            </w:r>
            <w:r>
              <w:rPr>
                <w:rFonts w:hint="default" w:ascii="Times New Roman" w:hAnsi="Times New Roman" w:eastAsia="宋体" w:cs="Times New Roman"/>
                <w:spacing w:val="-1"/>
                <w:sz w:val="24"/>
                <w:szCs w:val="24"/>
              </w:rPr>
              <w:t>未见具有明显旅游开发价值的特色景观。在矿</w:t>
            </w:r>
            <w:r>
              <w:rPr>
                <w:rFonts w:hint="default" w:ascii="Times New Roman" w:hAnsi="Times New Roman" w:eastAsia="宋体" w:cs="Times New Roman"/>
                <w:spacing w:val="-2"/>
                <w:sz w:val="24"/>
                <w:szCs w:val="24"/>
              </w:rPr>
              <w:t>山服务期满后，通过对矿山</w:t>
            </w:r>
            <w:r>
              <w:rPr>
                <w:rFonts w:hint="default" w:ascii="Times New Roman" w:hAnsi="Times New Roman" w:eastAsia="宋体" w:cs="Times New Roman"/>
                <w:spacing w:val="-1"/>
                <w:sz w:val="24"/>
                <w:szCs w:val="24"/>
              </w:rPr>
              <w:t>生产活动扰动区进行生态修复、逐步落实生态</w:t>
            </w:r>
            <w:r>
              <w:rPr>
                <w:rFonts w:hint="default" w:ascii="Times New Roman" w:hAnsi="Times New Roman" w:eastAsia="宋体" w:cs="Times New Roman"/>
                <w:spacing w:val="-2"/>
                <w:sz w:val="24"/>
                <w:szCs w:val="24"/>
              </w:rPr>
              <w:t>恢复措施后，可减轻对景观</w:t>
            </w:r>
            <w:r>
              <w:rPr>
                <w:rFonts w:hint="default" w:ascii="Times New Roman" w:hAnsi="Times New Roman" w:eastAsia="宋体" w:cs="Times New Roman"/>
                <w:spacing w:val="-1"/>
                <w:sz w:val="24"/>
                <w:szCs w:val="24"/>
              </w:rPr>
              <w:t>环境的不良影响。</w:t>
            </w:r>
          </w:p>
          <w:p w14:paraId="3BE0E9B9">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76"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1"/>
                <w:sz w:val="24"/>
                <w:szCs w:val="24"/>
              </w:rPr>
              <w:t>综上所述，本项目矿山开采活动会对区域生态</w:t>
            </w:r>
            <w:r>
              <w:rPr>
                <w:rFonts w:hint="default" w:ascii="Times New Roman" w:hAnsi="Times New Roman" w:eastAsia="宋体" w:cs="Times New Roman"/>
                <w:spacing w:val="-2"/>
                <w:sz w:val="24"/>
                <w:szCs w:val="24"/>
              </w:rPr>
              <w:t>环境造成一定影响，但通过矿山复垦和生态恢复，可以将其影响降至</w:t>
            </w:r>
            <w:r>
              <w:rPr>
                <w:rFonts w:hint="default" w:ascii="Times New Roman" w:hAnsi="Times New Roman" w:eastAsia="宋体" w:cs="Times New Roman"/>
                <w:spacing w:val="-3"/>
                <w:sz w:val="24"/>
                <w:szCs w:val="24"/>
              </w:rPr>
              <w:t>最小。</w:t>
            </w:r>
          </w:p>
          <w:p w14:paraId="16EA628E">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0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2.6</w:t>
            </w:r>
            <w:r>
              <w:rPr>
                <w:rFonts w:hint="default" w:ascii="Times New Roman" w:hAnsi="Times New Roman" w:eastAsia="宋体" w:cs="Times New Roman"/>
                <w:b/>
                <w:bCs/>
                <w:spacing w:val="61"/>
                <w:sz w:val="24"/>
                <w:szCs w:val="24"/>
              </w:rPr>
              <w:t xml:space="preserve"> </w:t>
            </w:r>
            <w:r>
              <w:rPr>
                <w:rFonts w:hint="default" w:ascii="Times New Roman" w:hAnsi="Times New Roman" w:eastAsia="宋体" w:cs="Times New Roman"/>
                <w:b/>
                <w:bCs/>
                <w:spacing w:val="5"/>
                <w:sz w:val="24"/>
                <w:szCs w:val="24"/>
              </w:rPr>
              <w:t>地下水、土壤环境影响分析</w:t>
            </w:r>
          </w:p>
          <w:p w14:paraId="1FBB34A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项目运营期矿山开采、抑尘废水全部蒸发损耗</w:t>
            </w:r>
            <w:r>
              <w:rPr>
                <w:rFonts w:hint="default" w:ascii="Times New Roman" w:hAnsi="Times New Roman" w:eastAsia="宋体" w:cs="Times New Roman"/>
                <w:spacing w:val="-7"/>
                <w:sz w:val="24"/>
                <w:szCs w:val="24"/>
              </w:rPr>
              <w:t>，无外排生产废水产生。</w:t>
            </w:r>
            <w:r>
              <w:rPr>
                <w:rFonts w:hint="default" w:ascii="Times New Roman" w:hAnsi="Times New Roman" w:eastAsia="宋体" w:cs="Times New Roman"/>
                <w:spacing w:val="-1"/>
                <w:sz w:val="24"/>
                <w:szCs w:val="24"/>
              </w:rPr>
              <w:t>生活废水主要为洗漱废水，水质成分简单，</w:t>
            </w:r>
            <w:r>
              <w:rPr>
                <w:rFonts w:hint="default" w:ascii="Times New Roman" w:hAnsi="Times New Roman" w:eastAsia="宋体" w:cs="Times New Roman"/>
                <w:spacing w:val="-2"/>
                <w:sz w:val="24"/>
                <w:szCs w:val="24"/>
              </w:rPr>
              <w:t>可泼洒降尘。项目大气污染物</w:t>
            </w:r>
            <w:r>
              <w:rPr>
                <w:rFonts w:hint="default" w:ascii="Times New Roman" w:hAnsi="Times New Roman" w:eastAsia="宋体" w:cs="Times New Roman"/>
                <w:spacing w:val="-1"/>
                <w:sz w:val="24"/>
                <w:szCs w:val="24"/>
              </w:rPr>
              <w:t>主要为颗粒物，不会出现加重土壤盐化、酸化、碱化等问题。</w:t>
            </w:r>
          </w:p>
          <w:p w14:paraId="1AF9E21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运营期设备、车辆保养产生的废机油等危险废物全部暂存至危废贮存</w:t>
            </w:r>
            <w:r>
              <w:rPr>
                <w:rFonts w:hint="default" w:ascii="Times New Roman" w:hAnsi="Times New Roman" w:eastAsia="宋体" w:cs="Times New Roman"/>
                <w:spacing w:val="3"/>
                <w:sz w:val="24"/>
                <w:szCs w:val="24"/>
              </w:rPr>
              <w:t>点（v=5m</w:t>
            </w:r>
            <w:r>
              <w:rPr>
                <w:rFonts w:hint="default" w:ascii="Times New Roman" w:hAnsi="Times New Roman" w:eastAsia="宋体" w:cs="Times New Roman"/>
                <w:spacing w:val="3"/>
                <w:sz w:val="24"/>
                <w:szCs w:val="24"/>
                <w:vertAlign w:val="superscript"/>
              </w:rPr>
              <w:t>3</w:t>
            </w:r>
            <w:r>
              <w:rPr>
                <w:rFonts w:hint="default" w:ascii="Times New Roman" w:hAnsi="Times New Roman" w:eastAsia="宋体" w:cs="Times New Roman"/>
                <w:spacing w:val="-21"/>
                <w:sz w:val="24"/>
                <w:szCs w:val="24"/>
              </w:rPr>
              <w:t>），</w:t>
            </w:r>
            <w:r>
              <w:rPr>
                <w:rFonts w:hint="default" w:ascii="Times New Roman" w:hAnsi="Times New Roman" w:eastAsia="宋体" w:cs="Times New Roman"/>
                <w:spacing w:val="3"/>
                <w:sz w:val="24"/>
                <w:szCs w:val="24"/>
              </w:rPr>
              <w:t>定期交有资质的危险废物单位处置；危废贮存点按照《危</w:t>
            </w:r>
            <w:r>
              <w:rPr>
                <w:rFonts w:hint="default" w:ascii="Times New Roman" w:hAnsi="Times New Roman" w:eastAsia="宋体" w:cs="Times New Roman"/>
                <w:spacing w:val="8"/>
                <w:sz w:val="24"/>
                <w:szCs w:val="24"/>
              </w:rPr>
              <w:t>险废物贮存污染控制标准》（</w:t>
            </w:r>
            <w:r>
              <w:rPr>
                <w:rFonts w:hint="default" w:ascii="Times New Roman" w:hAnsi="Times New Roman" w:eastAsia="宋体" w:cs="Times New Roman"/>
                <w:sz w:val="24"/>
                <w:szCs w:val="24"/>
              </w:rPr>
              <w:t>GB</w:t>
            </w:r>
            <w:r>
              <w:rPr>
                <w:rFonts w:hint="default" w:ascii="Times New Roman" w:hAnsi="Times New Roman" w:eastAsia="宋体" w:cs="Times New Roman"/>
                <w:spacing w:val="8"/>
                <w:sz w:val="24"/>
                <w:szCs w:val="24"/>
              </w:rPr>
              <w:t>18597-2023</w:t>
            </w:r>
            <w:r>
              <w:rPr>
                <w:rFonts w:hint="default" w:ascii="Times New Roman" w:hAnsi="Times New Roman" w:eastAsia="宋体" w:cs="Times New Roman"/>
                <w:spacing w:val="-70"/>
                <w:sz w:val="24"/>
                <w:szCs w:val="24"/>
              </w:rPr>
              <w:t xml:space="preserve"> </w:t>
            </w:r>
            <w:r>
              <w:rPr>
                <w:rFonts w:hint="eastAsia" w:ascii="Times New Roman" w:hAnsi="Times New Roman" w:eastAsia="宋体" w:cs="Times New Roman"/>
                <w:spacing w:val="-70"/>
                <w:sz w:val="24"/>
                <w:szCs w:val="24"/>
                <w:lang w:eastAsia="zh-CN"/>
              </w:rPr>
              <w:t>）</w:t>
            </w:r>
            <w:r>
              <w:rPr>
                <w:rFonts w:hint="default" w:ascii="Times New Roman" w:hAnsi="Times New Roman" w:eastAsia="宋体" w:cs="Times New Roman"/>
                <w:spacing w:val="8"/>
                <w:sz w:val="24"/>
                <w:szCs w:val="24"/>
              </w:rPr>
              <w:t>要求建设，地面采取防</w:t>
            </w:r>
            <w:r>
              <w:rPr>
                <w:rFonts w:hint="default" w:ascii="Times New Roman" w:hAnsi="Times New Roman" w:eastAsia="宋体" w:cs="Times New Roman"/>
                <w:spacing w:val="-2"/>
                <w:sz w:val="24"/>
                <w:szCs w:val="24"/>
              </w:rPr>
              <w:t>渗措施；矿区设防渗环保旱厕，粪污定期清掏用作肥</w:t>
            </w:r>
            <w:r>
              <w:rPr>
                <w:rFonts w:hint="default" w:ascii="Times New Roman" w:hAnsi="Times New Roman" w:eastAsia="宋体" w:cs="Times New Roman"/>
                <w:spacing w:val="-3"/>
                <w:sz w:val="24"/>
                <w:szCs w:val="24"/>
              </w:rPr>
              <w:t>料。正常情况下，本</w:t>
            </w:r>
            <w:r>
              <w:rPr>
                <w:rFonts w:hint="default" w:ascii="Times New Roman" w:hAnsi="Times New Roman" w:eastAsia="宋体" w:cs="Times New Roman"/>
                <w:spacing w:val="-1"/>
                <w:sz w:val="24"/>
                <w:szCs w:val="24"/>
              </w:rPr>
              <w:t>项目不存在土壤及地下水污染途径，不会对土壤及地下水造成不良</w:t>
            </w:r>
            <w:r>
              <w:rPr>
                <w:rFonts w:hint="default" w:ascii="Times New Roman" w:hAnsi="Times New Roman" w:eastAsia="宋体" w:cs="Times New Roman"/>
                <w:spacing w:val="-2"/>
                <w:sz w:val="24"/>
                <w:szCs w:val="24"/>
              </w:rPr>
              <w:t>影响。</w:t>
            </w:r>
          </w:p>
          <w:p w14:paraId="4538C37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0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2.7</w:t>
            </w:r>
            <w:r>
              <w:rPr>
                <w:rFonts w:hint="default" w:ascii="Times New Roman" w:hAnsi="Times New Roman" w:eastAsia="宋体" w:cs="Times New Roman"/>
                <w:b/>
                <w:bCs/>
                <w:spacing w:val="65"/>
                <w:w w:val="101"/>
                <w:sz w:val="24"/>
                <w:szCs w:val="24"/>
              </w:rPr>
              <w:t xml:space="preserve"> </w:t>
            </w:r>
            <w:r>
              <w:rPr>
                <w:rFonts w:hint="default" w:ascii="Times New Roman" w:hAnsi="Times New Roman" w:eastAsia="宋体" w:cs="Times New Roman"/>
                <w:b/>
                <w:bCs/>
                <w:spacing w:val="6"/>
                <w:sz w:val="24"/>
                <w:szCs w:val="24"/>
              </w:rPr>
              <w:t>环境风险影响分析</w:t>
            </w:r>
          </w:p>
          <w:p w14:paraId="03B454C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4"/>
                <w:sz w:val="24"/>
                <w:szCs w:val="24"/>
                <w:lang w:eastAsia="zh-CN"/>
              </w:rPr>
              <w:t>（</w:t>
            </w:r>
            <w:r>
              <w:rPr>
                <w:rFonts w:hint="eastAsia" w:ascii="Times New Roman" w:hAnsi="Times New Roman" w:eastAsia="宋体" w:cs="Times New Roman"/>
                <w:b/>
                <w:bCs/>
                <w:spacing w:val="-4"/>
                <w:sz w:val="24"/>
                <w:szCs w:val="24"/>
                <w:lang w:val="en-US" w:eastAsia="zh-CN"/>
              </w:rPr>
              <w:t>1</w:t>
            </w:r>
            <w:r>
              <w:rPr>
                <w:rFonts w:hint="eastAsia" w:ascii="Times New Roman" w:hAnsi="Times New Roman" w:eastAsia="宋体" w:cs="Times New Roman"/>
                <w:b/>
                <w:bCs/>
                <w:spacing w:val="-4"/>
                <w:sz w:val="24"/>
                <w:szCs w:val="24"/>
                <w:lang w:eastAsia="zh-CN"/>
              </w:rPr>
              <w:t>）</w:t>
            </w:r>
            <w:r>
              <w:rPr>
                <w:rFonts w:hint="default" w:ascii="Times New Roman" w:hAnsi="Times New Roman" w:eastAsia="宋体" w:cs="Times New Roman"/>
                <w:b/>
                <w:bCs/>
                <w:spacing w:val="-4"/>
                <w:sz w:val="24"/>
                <w:szCs w:val="24"/>
              </w:rPr>
              <w:t>风险源调查</w:t>
            </w:r>
          </w:p>
          <w:p w14:paraId="3AD6259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jc w:val="both"/>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6"/>
                <w:sz w:val="24"/>
                <w:szCs w:val="24"/>
              </w:rPr>
              <w:t>根据《建设项目环境风险评价技术导则》（</w:t>
            </w:r>
            <w:r>
              <w:rPr>
                <w:rFonts w:hint="default" w:ascii="Times New Roman" w:hAnsi="Times New Roman" w:eastAsia="宋体" w:cs="Times New Roman"/>
                <w:sz w:val="24"/>
                <w:szCs w:val="24"/>
              </w:rPr>
              <w:t>HJ</w:t>
            </w:r>
            <w:r>
              <w:rPr>
                <w:rFonts w:hint="default" w:ascii="Times New Roman" w:hAnsi="Times New Roman" w:eastAsia="宋体" w:cs="Times New Roman"/>
                <w:spacing w:val="6"/>
                <w:sz w:val="24"/>
                <w:szCs w:val="24"/>
              </w:rPr>
              <w:t>169-2018</w:t>
            </w:r>
            <w:r>
              <w:rPr>
                <w:rFonts w:hint="default" w:ascii="Times New Roman" w:hAnsi="Times New Roman" w:eastAsia="宋体" w:cs="Times New Roman"/>
                <w:spacing w:val="-15"/>
                <w:sz w:val="24"/>
                <w:szCs w:val="24"/>
              </w:rPr>
              <w:t>），</w:t>
            </w:r>
            <w:r>
              <w:rPr>
                <w:rFonts w:hint="default" w:ascii="Times New Roman" w:hAnsi="Times New Roman" w:eastAsia="宋体" w:cs="Times New Roman"/>
                <w:spacing w:val="6"/>
                <w:sz w:val="24"/>
                <w:szCs w:val="24"/>
              </w:rPr>
              <w:t>风险物</w:t>
            </w:r>
            <w:r>
              <w:rPr>
                <w:rFonts w:hint="default" w:ascii="Times New Roman" w:hAnsi="Times New Roman" w:eastAsia="宋体" w:cs="Times New Roman"/>
                <w:spacing w:val="-2"/>
                <w:sz w:val="24"/>
                <w:szCs w:val="24"/>
              </w:rPr>
              <w:t>质的调查主要从原辅材料、燃料、中间产品、副产品、最终产品、污染物等进行分析。本项目涉及的危险物质主要是车辆、设备维修产生的危险废</w:t>
            </w:r>
            <w:r>
              <w:rPr>
                <w:rFonts w:hint="default" w:ascii="Times New Roman" w:hAnsi="Times New Roman" w:eastAsia="宋体" w:cs="Times New Roman"/>
                <w:sz w:val="24"/>
                <w:szCs w:val="24"/>
              </w:rPr>
              <w:t>物废机油和机械车辆油箱贮存的柴油，其数量、</w:t>
            </w:r>
            <w:r>
              <w:rPr>
                <w:rFonts w:hint="default" w:ascii="Times New Roman" w:hAnsi="Times New Roman" w:eastAsia="宋体" w:cs="Times New Roman"/>
                <w:spacing w:val="-1"/>
                <w:sz w:val="24"/>
                <w:szCs w:val="24"/>
              </w:rPr>
              <w:t>分布情况见下表。</w:t>
            </w:r>
          </w:p>
          <w:p w14:paraId="5C9B223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46" w:firstLineChars="20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表 4-1</w:t>
            </w:r>
            <w:r>
              <w:rPr>
                <w:rFonts w:hint="eastAsia" w:ascii="Times New Roman" w:hAnsi="Times New Roman" w:eastAsia="宋体" w:cs="Times New Roman"/>
                <w:b/>
                <w:bCs/>
                <w:spacing w:val="6"/>
                <w:sz w:val="21"/>
                <w:szCs w:val="21"/>
                <w:lang w:val="en-US" w:eastAsia="zh-CN"/>
              </w:rPr>
              <w:t>8</w:t>
            </w:r>
            <w:r>
              <w:rPr>
                <w:rFonts w:hint="default" w:ascii="Times New Roman" w:hAnsi="Times New Roman" w:eastAsia="宋体" w:cs="Times New Roman"/>
                <w:b/>
                <w:bCs/>
                <w:spacing w:val="6"/>
                <w:sz w:val="21"/>
                <w:szCs w:val="21"/>
              </w:rPr>
              <w:t xml:space="preserve">   项目危险物质数量、分布情况表</w:t>
            </w:r>
          </w:p>
          <w:tbl>
            <w:tblPr>
              <w:tblStyle w:val="23"/>
              <w:tblW w:w="7776" w:type="dxa"/>
              <w:tblInd w:w="113"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595"/>
              <w:gridCol w:w="1296"/>
              <w:gridCol w:w="1296"/>
              <w:gridCol w:w="1296"/>
              <w:gridCol w:w="1296"/>
            </w:tblGrid>
            <w:tr w14:paraId="6ED023E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97" w:type="dxa"/>
                  <w:tcBorders>
                    <w:top w:val="single" w:color="000000" w:sz="12" w:space="0"/>
                    <w:left w:val="nil"/>
                    <w:tl2br w:val="nil"/>
                  </w:tcBorders>
                  <w:noWrap w:val="0"/>
                  <w:vAlign w:val="center"/>
                </w:tcPr>
                <w:p w14:paraId="27903F9A">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序号</w:t>
                  </w:r>
                </w:p>
              </w:tc>
              <w:tc>
                <w:tcPr>
                  <w:tcW w:w="1595" w:type="dxa"/>
                  <w:tcBorders>
                    <w:top w:val="single" w:color="000000" w:sz="12" w:space="0"/>
                  </w:tcBorders>
                  <w:noWrap w:val="0"/>
                  <w:vAlign w:val="center"/>
                </w:tcPr>
                <w:p w14:paraId="2DF4EC9A">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原辅材料名称</w:t>
                  </w:r>
                </w:p>
              </w:tc>
              <w:tc>
                <w:tcPr>
                  <w:tcW w:w="1296" w:type="dxa"/>
                  <w:tcBorders>
                    <w:top w:val="single" w:color="000000" w:sz="12" w:space="0"/>
                  </w:tcBorders>
                  <w:noWrap w:val="0"/>
                  <w:vAlign w:val="center"/>
                </w:tcPr>
                <w:p w14:paraId="6845F2C0">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包装形式</w:t>
                  </w:r>
                </w:p>
              </w:tc>
              <w:tc>
                <w:tcPr>
                  <w:tcW w:w="1296" w:type="dxa"/>
                  <w:tcBorders>
                    <w:top w:val="single" w:color="000000" w:sz="12" w:space="0"/>
                  </w:tcBorders>
                  <w:noWrap w:val="0"/>
                  <w:vAlign w:val="center"/>
                </w:tcPr>
                <w:p w14:paraId="46D3F433">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状态</w:t>
                  </w:r>
                </w:p>
              </w:tc>
              <w:tc>
                <w:tcPr>
                  <w:tcW w:w="1296" w:type="dxa"/>
                  <w:tcBorders>
                    <w:top w:val="single" w:color="000000" w:sz="12" w:space="0"/>
                  </w:tcBorders>
                  <w:noWrap w:val="0"/>
                  <w:vAlign w:val="center"/>
                </w:tcPr>
                <w:p w14:paraId="7B553D26">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0"/>
                      <w:sz w:val="21"/>
                      <w:szCs w:val="21"/>
                      <w:u w:val="none"/>
                      <w:lang w:val="en-US" w:eastAsia="zh-CN" w:bidi="ar"/>
                    </w:rPr>
                  </w:pPr>
                  <w:r>
                    <w:rPr>
                      <w:rFonts w:hint="default" w:ascii="Times New Roman" w:hAnsi="Times New Roman" w:eastAsia="宋体" w:cs="Times New Roman"/>
                      <w:b w:val="0"/>
                      <w:bCs/>
                      <w:i w:val="0"/>
                      <w:iCs w:val="0"/>
                      <w:color w:val="000000"/>
                      <w:kern w:val="0"/>
                      <w:sz w:val="21"/>
                      <w:szCs w:val="21"/>
                      <w:u w:val="none"/>
                      <w:lang w:val="en-US" w:eastAsia="zh-CN" w:bidi="ar"/>
                    </w:rPr>
                    <w:t>最大储存量</w:t>
                  </w:r>
                </w:p>
                <w:p w14:paraId="1E5953FF">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（t）</w:t>
                  </w:r>
                </w:p>
              </w:tc>
              <w:tc>
                <w:tcPr>
                  <w:tcW w:w="1296" w:type="dxa"/>
                  <w:tcBorders>
                    <w:top w:val="single" w:color="000000" w:sz="12" w:space="0"/>
                    <w:right w:val="nil"/>
                  </w:tcBorders>
                  <w:noWrap w:val="0"/>
                  <w:vAlign w:val="center"/>
                </w:tcPr>
                <w:p w14:paraId="38047DF4">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储存位置</w:t>
                  </w:r>
                </w:p>
              </w:tc>
            </w:tr>
            <w:tr w14:paraId="78EC104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97" w:type="dxa"/>
                  <w:tcBorders>
                    <w:left w:val="nil"/>
                  </w:tcBorders>
                  <w:noWrap w:val="0"/>
                  <w:vAlign w:val="center"/>
                </w:tcPr>
                <w:p w14:paraId="214F722B">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w:t>
                  </w:r>
                </w:p>
              </w:tc>
              <w:tc>
                <w:tcPr>
                  <w:tcW w:w="1595" w:type="dxa"/>
                  <w:noWrap w:val="0"/>
                  <w:vAlign w:val="center"/>
                </w:tcPr>
                <w:p w14:paraId="1A8BCB4E">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废机油</w:t>
                  </w:r>
                </w:p>
              </w:tc>
              <w:tc>
                <w:tcPr>
                  <w:tcW w:w="1296" w:type="dxa"/>
                  <w:noWrap w:val="0"/>
                  <w:vAlign w:val="center"/>
                </w:tcPr>
                <w:p w14:paraId="395EE9A3">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桶装</w:t>
                  </w:r>
                </w:p>
              </w:tc>
              <w:tc>
                <w:tcPr>
                  <w:tcW w:w="1296" w:type="dxa"/>
                  <w:noWrap w:val="0"/>
                  <w:vAlign w:val="center"/>
                </w:tcPr>
                <w:p w14:paraId="16AB5A70">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液态</w:t>
                  </w:r>
                </w:p>
              </w:tc>
              <w:tc>
                <w:tcPr>
                  <w:tcW w:w="1296" w:type="dxa"/>
                  <w:noWrap w:val="0"/>
                  <w:vAlign w:val="center"/>
                </w:tcPr>
                <w:p w14:paraId="500ED94D">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lang w:val="en-US"/>
                    </w:rPr>
                  </w:pPr>
                  <w:r>
                    <w:rPr>
                      <w:rFonts w:hint="default" w:ascii="Times New Roman" w:hAnsi="Times New Roman" w:eastAsia="宋体" w:cs="Times New Roman"/>
                      <w:b w:val="0"/>
                      <w:i w:val="0"/>
                      <w:iCs w:val="0"/>
                      <w:color w:val="000000"/>
                      <w:kern w:val="0"/>
                      <w:sz w:val="21"/>
                      <w:szCs w:val="21"/>
                      <w:u w:val="none"/>
                      <w:lang w:val="en-US" w:eastAsia="zh-CN" w:bidi="ar"/>
                    </w:rPr>
                    <w:t>0.</w:t>
                  </w:r>
                  <w:r>
                    <w:rPr>
                      <w:rFonts w:hint="eastAsia" w:ascii="Times New Roman" w:hAnsi="Times New Roman" w:eastAsia="宋体" w:cs="Times New Roman"/>
                      <w:b w:val="0"/>
                      <w:i w:val="0"/>
                      <w:iCs w:val="0"/>
                      <w:color w:val="000000"/>
                      <w:kern w:val="0"/>
                      <w:sz w:val="21"/>
                      <w:szCs w:val="21"/>
                      <w:u w:val="none"/>
                      <w:lang w:val="en-US" w:eastAsia="zh-CN" w:bidi="ar"/>
                    </w:rPr>
                    <w:t>3</w:t>
                  </w:r>
                </w:p>
              </w:tc>
              <w:tc>
                <w:tcPr>
                  <w:tcW w:w="1296" w:type="dxa"/>
                  <w:tcBorders>
                    <w:right w:val="nil"/>
                  </w:tcBorders>
                  <w:noWrap w:val="0"/>
                  <w:vAlign w:val="center"/>
                </w:tcPr>
                <w:p w14:paraId="17DBAF6F">
                  <w:pPr>
                    <w:keepNext w:val="0"/>
                    <w:keepLines w:val="0"/>
                    <w:widowControl/>
                    <w:suppressLineNumbers w:val="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危废贮存点</w:t>
                  </w:r>
                </w:p>
              </w:tc>
            </w:tr>
            <w:tr w14:paraId="766036A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97" w:type="dxa"/>
                  <w:tcBorders>
                    <w:left w:val="nil"/>
                    <w:bottom w:val="single" w:color="000000" w:sz="12" w:space="0"/>
                  </w:tcBorders>
                  <w:noWrap w:val="0"/>
                  <w:vAlign w:val="center"/>
                </w:tcPr>
                <w:p w14:paraId="43FA59C8">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2</w:t>
                  </w:r>
                </w:p>
              </w:tc>
              <w:tc>
                <w:tcPr>
                  <w:tcW w:w="1595" w:type="dxa"/>
                  <w:tcBorders>
                    <w:bottom w:val="single" w:color="000000" w:sz="12" w:space="0"/>
                  </w:tcBorders>
                  <w:noWrap w:val="0"/>
                  <w:vAlign w:val="center"/>
                </w:tcPr>
                <w:p w14:paraId="1F8A7A73">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柴油</w:t>
                  </w:r>
                </w:p>
              </w:tc>
              <w:tc>
                <w:tcPr>
                  <w:tcW w:w="1296" w:type="dxa"/>
                  <w:tcBorders>
                    <w:bottom w:val="single" w:color="000000" w:sz="12" w:space="0"/>
                  </w:tcBorders>
                  <w:noWrap w:val="0"/>
                  <w:vAlign w:val="center"/>
                </w:tcPr>
                <w:p w14:paraId="3584043E">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w:t>
                  </w:r>
                </w:p>
              </w:tc>
              <w:tc>
                <w:tcPr>
                  <w:tcW w:w="1296" w:type="dxa"/>
                  <w:tcBorders>
                    <w:bottom w:val="single" w:color="000000" w:sz="12" w:space="0"/>
                  </w:tcBorders>
                  <w:noWrap w:val="0"/>
                  <w:vAlign w:val="center"/>
                </w:tcPr>
                <w:p w14:paraId="52065416">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液态</w:t>
                  </w:r>
                </w:p>
              </w:tc>
              <w:tc>
                <w:tcPr>
                  <w:tcW w:w="1296" w:type="dxa"/>
                  <w:tcBorders>
                    <w:bottom w:val="single" w:color="000000" w:sz="12" w:space="0"/>
                  </w:tcBorders>
                  <w:noWrap w:val="0"/>
                  <w:vAlign w:val="center"/>
                </w:tcPr>
                <w:p w14:paraId="5E3BBBA9">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2</w:t>
                  </w:r>
                </w:p>
              </w:tc>
              <w:tc>
                <w:tcPr>
                  <w:tcW w:w="1296" w:type="dxa"/>
                  <w:tcBorders>
                    <w:bottom w:val="single" w:color="000000" w:sz="12" w:space="0"/>
                    <w:right w:val="nil"/>
                  </w:tcBorders>
                  <w:noWrap w:val="0"/>
                  <w:vAlign w:val="center"/>
                </w:tcPr>
                <w:p w14:paraId="0DE39BDA">
                  <w:pPr>
                    <w:keepNext w:val="0"/>
                    <w:keepLines w:val="0"/>
                    <w:widowControl/>
                    <w:suppressLineNumbers w:val="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车辆油箱</w:t>
                  </w:r>
                </w:p>
              </w:tc>
            </w:tr>
          </w:tbl>
          <w:p w14:paraId="2C3A95FD">
            <w:pPr>
              <w:pStyle w:val="45"/>
              <w:keepNext w:val="0"/>
              <w:keepLines w:val="0"/>
              <w:pageBreakBefore w:val="0"/>
              <w:widowControl w:val="0"/>
              <w:kinsoku/>
              <w:wordWrap/>
              <w:overflowPunct/>
              <w:topLinePunct w:val="0"/>
              <w:autoSpaceDE/>
              <w:autoSpaceDN/>
              <w:bidi w:val="0"/>
              <w:adjustRightInd/>
              <w:snapToGrid/>
              <w:spacing w:line="360" w:lineRule="auto"/>
              <w:ind w:left="0" w:firstLine="49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（2）评价等级的初判</w:t>
            </w:r>
          </w:p>
          <w:p w14:paraId="733C4E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建设项目环境风险潜势划分为Ⅰ</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Ⅱ、Ⅲ、Ⅳ、Ⅳ+级，根据建设项目设计的物质和工艺系统危险性及其所在地的环境敏感程度，结合事故情形下环境影响途径，对建设项目潜在环境危险程度进行概化分析。</w:t>
            </w:r>
          </w:p>
          <w:p w14:paraId="4E632A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首先确定危险物质数量与临界量比值（Q），计算项目所涉及的每种危险物质在厂界内的最大存在总量与其在《建设项目环境风险评价技术导则》（HJ169-2018）附录B及《危险化学品重大危险源辨识》（GB18218-2018）中对应临界量的比值Q。当只涉及一种危险物质时，计算该物质的总量与其临界量比值，即为Q。当存在多种危险物质时，则按式下式计算物质总量与其临界量比值（Q）：</w:t>
            </w:r>
          </w:p>
          <w:p w14:paraId="603E551E">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position w:val="-11"/>
                <w:sz w:val="24"/>
                <w:szCs w:val="24"/>
              </w:rPr>
              <w:drawing>
                <wp:inline distT="0" distB="0" distL="114300" distR="114300">
                  <wp:extent cx="2153285" cy="356235"/>
                  <wp:effectExtent l="0" t="0" r="18415" b="5715"/>
                  <wp:docPr id="8" name="IM 30"/>
                  <wp:cNvGraphicFramePr/>
                  <a:graphic xmlns:a="http://schemas.openxmlformats.org/drawingml/2006/main">
                    <a:graphicData uri="http://schemas.openxmlformats.org/drawingml/2006/picture">
                      <pic:pic xmlns:pic="http://schemas.openxmlformats.org/drawingml/2006/picture">
                        <pic:nvPicPr>
                          <pic:cNvPr id="8" name="IM 30"/>
                          <pic:cNvPicPr/>
                        </pic:nvPicPr>
                        <pic:blipFill>
                          <a:blip r:embed="rId21"/>
                          <a:stretch>
                            <a:fillRect/>
                          </a:stretch>
                        </pic:blipFill>
                        <pic:spPr>
                          <a:xfrm>
                            <a:off x="0" y="0"/>
                            <a:ext cx="2153285" cy="356235"/>
                          </a:xfrm>
                          <a:prstGeom prst="rect">
                            <a:avLst/>
                          </a:prstGeom>
                          <a:noFill/>
                          <a:ln>
                            <a:noFill/>
                          </a:ln>
                        </pic:spPr>
                      </pic:pic>
                    </a:graphicData>
                  </a:graphic>
                </wp:inline>
              </w:drawing>
            </w:r>
          </w:p>
          <w:p w14:paraId="248C234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4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式中：q</w:t>
            </w:r>
            <w:r>
              <w:rPr>
                <w:rFonts w:hint="default" w:ascii="Times New Roman" w:hAnsi="Times New Roman" w:eastAsia="宋体" w:cs="Times New Roman"/>
                <w:spacing w:val="-8"/>
                <w:position w:val="-1"/>
                <w:sz w:val="24"/>
                <w:szCs w:val="24"/>
              </w:rPr>
              <w:t>1</w:t>
            </w:r>
            <w:r>
              <w:rPr>
                <w:rFonts w:hint="default" w:ascii="Times New Roman" w:hAnsi="Times New Roman" w:eastAsia="宋体" w:cs="Times New Roman"/>
                <w:spacing w:val="-8"/>
                <w:sz w:val="24"/>
                <w:szCs w:val="24"/>
              </w:rPr>
              <w:t>，q</w:t>
            </w:r>
            <w:r>
              <w:rPr>
                <w:rFonts w:hint="default" w:ascii="Times New Roman" w:hAnsi="Times New Roman" w:eastAsia="宋体" w:cs="Times New Roman"/>
                <w:spacing w:val="-8"/>
                <w:position w:val="-1"/>
                <w:sz w:val="24"/>
                <w:szCs w:val="24"/>
              </w:rPr>
              <w:t>2</w:t>
            </w:r>
            <w:r>
              <w:rPr>
                <w:rFonts w:hint="eastAsia" w:ascii="Times New Roman" w:hAnsi="Times New Roman" w:eastAsia="宋体" w:cs="Times New Roman"/>
                <w:spacing w:val="-8"/>
                <w:position w:val="-1"/>
                <w:sz w:val="24"/>
                <w:szCs w:val="24"/>
                <w:lang w:eastAsia="zh-CN"/>
              </w:rPr>
              <w:t>，</w:t>
            </w:r>
            <w:r>
              <w:rPr>
                <w:rFonts w:hint="eastAsia" w:ascii="Times New Roman" w:hAnsi="Times New Roman" w:eastAsia="宋体" w:cs="Times New Roman"/>
                <w:spacing w:val="-8"/>
                <w:position w:val="-1"/>
                <w:sz w:val="24"/>
                <w:szCs w:val="24"/>
                <w:lang w:val="en-US" w:eastAsia="zh-CN"/>
              </w:rPr>
              <w:t>......，</w:t>
            </w:r>
            <w:r>
              <w:rPr>
                <w:rFonts w:hint="default" w:ascii="Times New Roman" w:hAnsi="Times New Roman" w:eastAsia="宋体" w:cs="Times New Roman"/>
                <w:spacing w:val="-8"/>
                <w:sz w:val="24"/>
                <w:szCs w:val="24"/>
              </w:rPr>
              <w:t>q</w:t>
            </w:r>
            <w:r>
              <w:rPr>
                <w:rFonts w:hint="default" w:ascii="Times New Roman" w:hAnsi="Times New Roman" w:eastAsia="宋体" w:cs="Times New Roman"/>
                <w:spacing w:val="-8"/>
                <w:position w:val="-1"/>
                <w:sz w:val="24"/>
                <w:szCs w:val="24"/>
              </w:rPr>
              <w:t>n</w:t>
            </w:r>
            <w:r>
              <w:rPr>
                <w:rFonts w:hint="default" w:ascii="Times New Roman" w:hAnsi="Times New Roman" w:eastAsia="宋体" w:cs="Times New Roman"/>
                <w:spacing w:val="36"/>
                <w:w w:val="172"/>
                <w:sz w:val="24"/>
                <w:szCs w:val="24"/>
              </w:rPr>
              <w:t>——</w:t>
            </w:r>
            <w:r>
              <w:rPr>
                <w:rFonts w:hint="default" w:ascii="Times New Roman" w:hAnsi="Times New Roman" w:eastAsia="宋体" w:cs="Times New Roman"/>
                <w:spacing w:val="-5"/>
                <w:sz w:val="24"/>
                <w:szCs w:val="24"/>
              </w:rPr>
              <w:t>每种危险物质的最大存在总量</w:t>
            </w:r>
            <w:r>
              <w:rPr>
                <w:rFonts w:hint="default" w:ascii="Times New Roman" w:hAnsi="Times New Roman" w:eastAsia="宋体" w:cs="Times New Roman"/>
                <w:spacing w:val="-29"/>
                <w:sz w:val="24"/>
                <w:szCs w:val="24"/>
              </w:rPr>
              <w:t xml:space="preserve"> </w:t>
            </w:r>
            <w:r>
              <w:rPr>
                <w:rFonts w:hint="default" w:ascii="Times New Roman" w:hAnsi="Times New Roman" w:eastAsia="宋体" w:cs="Times New Roman"/>
                <w:spacing w:val="-5"/>
                <w:sz w:val="24"/>
                <w:szCs w:val="24"/>
              </w:rPr>
              <w:t>，t；</w:t>
            </w:r>
          </w:p>
          <w:p w14:paraId="454B66B3">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08" w:firstLineChars="200"/>
              <w:textAlignment w:val="auto"/>
              <w:rPr>
                <w:rFonts w:hint="default" w:ascii="Times New Roman" w:hAnsi="Times New Roman" w:eastAsia="宋体" w:cs="Times New Roman"/>
                <w:spacing w:val="7"/>
                <w:sz w:val="24"/>
                <w:szCs w:val="24"/>
              </w:rPr>
            </w:pPr>
            <w:r>
              <w:rPr>
                <w:rFonts w:hint="default" w:ascii="Times New Roman" w:hAnsi="Times New Roman" w:eastAsia="宋体" w:cs="Times New Roman"/>
                <w:spacing w:val="7"/>
                <w:sz w:val="24"/>
                <w:szCs w:val="24"/>
              </w:rPr>
              <w:t>Q</w:t>
            </w:r>
            <w:r>
              <w:rPr>
                <w:rFonts w:hint="default" w:ascii="Times New Roman" w:hAnsi="Times New Roman" w:eastAsia="宋体" w:cs="Times New Roman"/>
                <w:spacing w:val="7"/>
                <w:position w:val="-1"/>
                <w:sz w:val="24"/>
                <w:szCs w:val="24"/>
              </w:rPr>
              <w:t>1</w:t>
            </w:r>
            <w:r>
              <w:rPr>
                <w:rFonts w:hint="default" w:ascii="Times New Roman" w:hAnsi="Times New Roman" w:eastAsia="宋体" w:cs="Times New Roman"/>
                <w:spacing w:val="7"/>
                <w:sz w:val="24"/>
                <w:szCs w:val="24"/>
              </w:rPr>
              <w:t>,Q</w:t>
            </w:r>
            <w:r>
              <w:rPr>
                <w:rFonts w:hint="default" w:ascii="Times New Roman" w:hAnsi="Times New Roman" w:eastAsia="宋体" w:cs="Times New Roman"/>
                <w:spacing w:val="7"/>
                <w:position w:val="-1"/>
                <w:sz w:val="24"/>
                <w:szCs w:val="24"/>
              </w:rPr>
              <w:t>2</w:t>
            </w:r>
            <w:r>
              <w:rPr>
                <w:rFonts w:hint="default" w:ascii="Times New Roman" w:hAnsi="Times New Roman" w:eastAsia="宋体" w:cs="Times New Roman"/>
                <w:spacing w:val="7"/>
                <w:sz w:val="24"/>
                <w:szCs w:val="24"/>
              </w:rPr>
              <w:t>,...,</w:t>
            </w:r>
            <w:r>
              <w:rPr>
                <w:rFonts w:hint="default" w:ascii="Times New Roman" w:hAnsi="Times New Roman" w:eastAsia="宋体" w:cs="Times New Roman"/>
                <w:sz w:val="24"/>
                <w:szCs w:val="24"/>
              </w:rPr>
              <w:t>Q</w:t>
            </w:r>
            <w:r>
              <w:rPr>
                <w:rFonts w:hint="default" w:ascii="Times New Roman" w:hAnsi="Times New Roman" w:eastAsia="宋体" w:cs="Times New Roman"/>
                <w:position w:val="-1"/>
                <w:sz w:val="24"/>
                <w:szCs w:val="24"/>
              </w:rPr>
              <w:t>n</w:t>
            </w:r>
            <w:r>
              <w:rPr>
                <w:rFonts w:hint="default" w:ascii="Times New Roman" w:hAnsi="Times New Roman" w:eastAsia="宋体" w:cs="Times New Roman"/>
                <w:spacing w:val="7"/>
                <w:sz w:val="24"/>
                <w:szCs w:val="24"/>
              </w:rPr>
              <w:t>——每种危险物质的临界量</w:t>
            </w:r>
            <w:r>
              <w:rPr>
                <w:rFonts w:hint="default" w:ascii="Times New Roman" w:hAnsi="Times New Roman" w:eastAsia="宋体" w:cs="Times New Roman"/>
                <w:spacing w:val="-25"/>
                <w:sz w:val="24"/>
                <w:szCs w:val="24"/>
              </w:rPr>
              <w:t xml:space="preserve"> </w:t>
            </w:r>
            <w:r>
              <w:rPr>
                <w:rFonts w:hint="default" w:ascii="Times New Roman" w:hAnsi="Times New Roman" w:eastAsia="宋体" w:cs="Times New Roman"/>
                <w:spacing w:val="7"/>
                <w:sz w:val="24"/>
                <w:szCs w:val="24"/>
              </w:rPr>
              <w:t>，t。</w:t>
            </w:r>
          </w:p>
          <w:p w14:paraId="09F7CA3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5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当Q＜1</w:t>
            </w:r>
            <w:r>
              <w:rPr>
                <w:rFonts w:hint="default" w:ascii="Times New Roman" w:hAnsi="Times New Roman" w:eastAsia="宋体" w:cs="Times New Roman"/>
                <w:spacing w:val="-31"/>
                <w:sz w:val="24"/>
                <w:szCs w:val="24"/>
              </w:rPr>
              <w:t xml:space="preserve"> </w:t>
            </w:r>
            <w:r>
              <w:rPr>
                <w:rFonts w:hint="default" w:ascii="Times New Roman" w:hAnsi="Times New Roman" w:eastAsia="宋体" w:cs="Times New Roman"/>
                <w:spacing w:val="-7"/>
                <w:sz w:val="24"/>
                <w:szCs w:val="24"/>
              </w:rPr>
              <w:t>时，该项目环境风险潜势为Ⅰ。</w:t>
            </w:r>
          </w:p>
          <w:p w14:paraId="6F67807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本项目危险物质数量与临界量比值（Q）计算见下表。</w:t>
            </w:r>
          </w:p>
          <w:p w14:paraId="2E52DFE5">
            <w:pPr>
              <w:pStyle w:val="45"/>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46" w:firstLineChars="200"/>
              <w:jc w:val="center"/>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表4-</w:t>
            </w:r>
            <w:r>
              <w:rPr>
                <w:rFonts w:hint="eastAsia" w:ascii="Times New Roman" w:hAnsi="Times New Roman" w:eastAsia="宋体" w:cs="Times New Roman"/>
                <w:b/>
                <w:bCs/>
                <w:spacing w:val="6"/>
                <w:sz w:val="21"/>
                <w:szCs w:val="21"/>
                <w:lang w:val="en-US" w:eastAsia="zh-CN"/>
              </w:rPr>
              <w:t>19</w:t>
            </w:r>
            <w:r>
              <w:rPr>
                <w:rFonts w:hint="default" w:ascii="Times New Roman" w:hAnsi="Times New Roman" w:eastAsia="宋体" w:cs="Times New Roman"/>
                <w:b/>
                <w:bCs/>
                <w:spacing w:val="6"/>
                <w:sz w:val="21"/>
                <w:szCs w:val="21"/>
              </w:rPr>
              <w:t xml:space="preserve">   项目危险物质数量与临界量比值（Q）确定表</w:t>
            </w:r>
          </w:p>
          <w:tbl>
            <w:tblPr>
              <w:tblStyle w:val="23"/>
              <w:tblW w:w="7940"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650"/>
              <w:gridCol w:w="2067"/>
              <w:gridCol w:w="1350"/>
              <w:gridCol w:w="2038"/>
            </w:tblGrid>
            <w:tr w14:paraId="3053BEE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35" w:type="dxa"/>
                  <w:tcBorders>
                    <w:top w:val="single" w:color="000000" w:sz="12" w:space="0"/>
                    <w:left w:val="nil"/>
                    <w:tl2br w:val="nil"/>
                  </w:tcBorders>
                  <w:noWrap w:val="0"/>
                  <w:vAlign w:val="center"/>
                </w:tcPr>
                <w:p w14:paraId="23B3D8E0">
                  <w:pPr>
                    <w:jc w:val="center"/>
                    <w:rPr>
                      <w:rFonts w:hint="default"/>
                      <w:b w:val="0"/>
                      <w:color w:val="000000"/>
                    </w:rPr>
                  </w:pPr>
                  <w:r>
                    <w:rPr>
                      <w:rFonts w:hint="default"/>
                      <w:b w:val="0"/>
                      <w:color w:val="000000"/>
                      <w:lang w:val="en-US" w:eastAsia="zh-CN"/>
                    </w:rPr>
                    <w:t>序号</w:t>
                  </w:r>
                </w:p>
              </w:tc>
              <w:tc>
                <w:tcPr>
                  <w:tcW w:w="1650" w:type="dxa"/>
                  <w:tcBorders>
                    <w:top w:val="single" w:color="000000" w:sz="12" w:space="0"/>
                  </w:tcBorders>
                  <w:noWrap w:val="0"/>
                  <w:vAlign w:val="center"/>
                </w:tcPr>
                <w:p w14:paraId="578535F1">
                  <w:pPr>
                    <w:jc w:val="center"/>
                    <w:rPr>
                      <w:rFonts w:hint="default"/>
                      <w:b w:val="0"/>
                      <w:color w:val="000000"/>
                    </w:rPr>
                  </w:pPr>
                  <w:r>
                    <w:rPr>
                      <w:rFonts w:hint="default"/>
                      <w:b w:val="0"/>
                      <w:color w:val="000000"/>
                      <w:lang w:val="en-US" w:eastAsia="zh-CN"/>
                    </w:rPr>
                    <w:t>危险物质名称</w:t>
                  </w:r>
                </w:p>
              </w:tc>
              <w:tc>
                <w:tcPr>
                  <w:tcW w:w="2067" w:type="dxa"/>
                  <w:tcBorders>
                    <w:top w:val="single" w:color="000000" w:sz="12" w:space="0"/>
                  </w:tcBorders>
                  <w:noWrap w:val="0"/>
                  <w:vAlign w:val="center"/>
                </w:tcPr>
                <w:p w14:paraId="13289940">
                  <w:pPr>
                    <w:jc w:val="center"/>
                    <w:rPr>
                      <w:rFonts w:hint="default"/>
                      <w:b w:val="0"/>
                      <w:color w:val="000000"/>
                    </w:rPr>
                  </w:pPr>
                  <w:r>
                    <w:rPr>
                      <w:rFonts w:hint="default"/>
                      <w:b w:val="0"/>
                      <w:color w:val="000000"/>
                      <w:lang w:val="en-US" w:eastAsia="zh-CN"/>
                    </w:rPr>
                    <w:t>最大存在总量qn/t</w:t>
                  </w:r>
                </w:p>
              </w:tc>
              <w:tc>
                <w:tcPr>
                  <w:tcW w:w="1350" w:type="dxa"/>
                  <w:tcBorders>
                    <w:top w:val="single" w:color="000000" w:sz="12" w:space="0"/>
                  </w:tcBorders>
                  <w:noWrap w:val="0"/>
                  <w:vAlign w:val="center"/>
                </w:tcPr>
                <w:p w14:paraId="6E6618C2">
                  <w:pPr>
                    <w:jc w:val="center"/>
                    <w:rPr>
                      <w:rFonts w:hint="default"/>
                      <w:b w:val="0"/>
                      <w:color w:val="000000"/>
                    </w:rPr>
                  </w:pPr>
                  <w:r>
                    <w:rPr>
                      <w:rFonts w:hint="default"/>
                      <w:b w:val="0"/>
                      <w:color w:val="000000"/>
                      <w:lang w:val="en-US" w:eastAsia="zh-CN"/>
                    </w:rPr>
                    <w:t>临界量Qn/t</w:t>
                  </w:r>
                </w:p>
              </w:tc>
              <w:tc>
                <w:tcPr>
                  <w:tcW w:w="2038" w:type="dxa"/>
                  <w:tcBorders>
                    <w:top w:val="single" w:color="000000" w:sz="12" w:space="0"/>
                    <w:right w:val="nil"/>
                  </w:tcBorders>
                  <w:noWrap w:val="0"/>
                  <w:vAlign w:val="center"/>
                </w:tcPr>
                <w:p w14:paraId="22A6BE60">
                  <w:pPr>
                    <w:jc w:val="center"/>
                    <w:rPr>
                      <w:rFonts w:hint="default"/>
                      <w:b w:val="0"/>
                      <w:color w:val="000000"/>
                    </w:rPr>
                  </w:pPr>
                  <w:r>
                    <w:rPr>
                      <w:rFonts w:hint="default"/>
                      <w:b w:val="0"/>
                      <w:color w:val="000000"/>
                      <w:lang w:val="en-US" w:eastAsia="zh-CN"/>
                    </w:rPr>
                    <w:t>该种危险物质Q值</w:t>
                  </w:r>
                </w:p>
              </w:tc>
            </w:tr>
            <w:tr w14:paraId="51B0B0A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35" w:type="dxa"/>
                  <w:tcBorders>
                    <w:left w:val="nil"/>
                  </w:tcBorders>
                  <w:noWrap w:val="0"/>
                  <w:vAlign w:val="center"/>
                </w:tcPr>
                <w:p w14:paraId="00724023">
                  <w:pPr>
                    <w:jc w:val="center"/>
                    <w:rPr>
                      <w:rFonts w:hint="default"/>
                      <w:b w:val="0"/>
                      <w:color w:val="000000"/>
                    </w:rPr>
                  </w:pPr>
                  <w:r>
                    <w:rPr>
                      <w:rFonts w:hint="default"/>
                      <w:b w:val="0"/>
                      <w:color w:val="000000"/>
                      <w:lang w:val="en-US" w:eastAsia="zh-CN"/>
                    </w:rPr>
                    <w:t>1</w:t>
                  </w:r>
                </w:p>
              </w:tc>
              <w:tc>
                <w:tcPr>
                  <w:tcW w:w="1650" w:type="dxa"/>
                  <w:noWrap w:val="0"/>
                  <w:vAlign w:val="center"/>
                </w:tcPr>
                <w:p w14:paraId="29F88F29">
                  <w:pPr>
                    <w:jc w:val="center"/>
                    <w:rPr>
                      <w:rFonts w:hint="default"/>
                      <w:b w:val="0"/>
                      <w:color w:val="000000"/>
                    </w:rPr>
                  </w:pPr>
                  <w:r>
                    <w:rPr>
                      <w:rFonts w:hint="default"/>
                      <w:b w:val="0"/>
                      <w:color w:val="000000"/>
                      <w:lang w:val="en-US" w:eastAsia="zh-CN"/>
                    </w:rPr>
                    <w:t>废机油</w:t>
                  </w:r>
                </w:p>
              </w:tc>
              <w:tc>
                <w:tcPr>
                  <w:tcW w:w="2067" w:type="dxa"/>
                  <w:noWrap w:val="0"/>
                  <w:vAlign w:val="center"/>
                </w:tcPr>
                <w:p w14:paraId="47D26EE5">
                  <w:pPr>
                    <w:jc w:val="center"/>
                    <w:rPr>
                      <w:rFonts w:hint="default"/>
                      <w:b w:val="0"/>
                      <w:color w:val="000000"/>
                      <w:lang w:val="en-US"/>
                    </w:rPr>
                  </w:pPr>
                  <w:r>
                    <w:rPr>
                      <w:rFonts w:hint="default"/>
                      <w:b w:val="0"/>
                      <w:color w:val="000000"/>
                      <w:lang w:val="en-US" w:eastAsia="zh-CN"/>
                    </w:rPr>
                    <w:t>0.</w:t>
                  </w:r>
                  <w:r>
                    <w:rPr>
                      <w:rFonts w:hint="eastAsia"/>
                      <w:b w:val="0"/>
                      <w:color w:val="000000"/>
                      <w:lang w:val="en-US" w:eastAsia="zh-CN"/>
                    </w:rPr>
                    <w:t>3</w:t>
                  </w:r>
                </w:p>
              </w:tc>
              <w:tc>
                <w:tcPr>
                  <w:tcW w:w="1350" w:type="dxa"/>
                  <w:noWrap w:val="0"/>
                  <w:vAlign w:val="center"/>
                </w:tcPr>
                <w:p w14:paraId="3B254590">
                  <w:pPr>
                    <w:jc w:val="center"/>
                    <w:rPr>
                      <w:rFonts w:hint="default"/>
                      <w:b w:val="0"/>
                      <w:color w:val="000000"/>
                    </w:rPr>
                  </w:pPr>
                  <w:r>
                    <w:rPr>
                      <w:rFonts w:hint="default"/>
                      <w:b w:val="0"/>
                      <w:color w:val="000000"/>
                      <w:lang w:val="en-US" w:eastAsia="zh-CN"/>
                    </w:rPr>
                    <w:t>2500</w:t>
                  </w:r>
                </w:p>
              </w:tc>
              <w:tc>
                <w:tcPr>
                  <w:tcW w:w="2038" w:type="dxa"/>
                  <w:tcBorders>
                    <w:right w:val="nil"/>
                  </w:tcBorders>
                  <w:noWrap w:val="0"/>
                  <w:vAlign w:val="center"/>
                </w:tcPr>
                <w:p w14:paraId="4F6B061E">
                  <w:pPr>
                    <w:jc w:val="center"/>
                    <w:rPr>
                      <w:rFonts w:hint="default"/>
                      <w:b w:val="0"/>
                      <w:color w:val="000000"/>
                    </w:rPr>
                  </w:pPr>
                  <w:r>
                    <w:rPr>
                      <w:rFonts w:hint="default"/>
                      <w:b w:val="0"/>
                      <w:color w:val="000000"/>
                      <w:lang w:val="en-US" w:eastAsia="zh-CN"/>
                    </w:rPr>
                    <w:t>0.000</w:t>
                  </w:r>
                  <w:r>
                    <w:rPr>
                      <w:rFonts w:hint="eastAsia"/>
                      <w:b w:val="0"/>
                      <w:color w:val="000000"/>
                      <w:lang w:val="en-US" w:eastAsia="zh-CN"/>
                    </w:rPr>
                    <w:t>1</w:t>
                  </w:r>
                  <w:r>
                    <w:rPr>
                      <w:rFonts w:hint="default"/>
                      <w:b w:val="0"/>
                      <w:color w:val="000000"/>
                      <w:lang w:val="en-US" w:eastAsia="zh-CN"/>
                    </w:rPr>
                    <w:t>2</w:t>
                  </w:r>
                </w:p>
              </w:tc>
            </w:tr>
            <w:tr w14:paraId="341A3D2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35" w:type="dxa"/>
                  <w:tcBorders>
                    <w:left w:val="nil"/>
                    <w:bottom w:val="single" w:color="000000" w:sz="12" w:space="0"/>
                  </w:tcBorders>
                  <w:noWrap w:val="0"/>
                  <w:vAlign w:val="center"/>
                </w:tcPr>
                <w:p w14:paraId="352848F5">
                  <w:pPr>
                    <w:pStyle w:val="20"/>
                    <w:keepNext w:val="0"/>
                    <w:keepLines w:val="0"/>
                    <w:widowControl/>
                    <w:suppressLineNumbers w:val="0"/>
                    <w:spacing w:line="240" w:lineRule="auto"/>
                    <w:ind w:left="0" w:leftChars="0" w:firstLine="0" w:firstLineChars="0"/>
                    <w:jc w:val="center"/>
                    <w:textAlignment w:val="center"/>
                    <w:rPr>
                      <w:rFonts w:hint="default"/>
                      <w:b w:val="0"/>
                      <w:color w:val="000000"/>
                      <w:lang w:val="en-US" w:eastAsia="zh-CN"/>
                    </w:rPr>
                  </w:pPr>
                  <w:r>
                    <w:rPr>
                      <w:rFonts w:hint="default" w:ascii="Times New Roman" w:hAnsi="Times New Roman" w:cs="Times New Roman"/>
                      <w:color w:val="000000"/>
                      <w:spacing w:val="0"/>
                      <w:position w:val="0"/>
                      <w:sz w:val="20"/>
                      <w:szCs w:val="20"/>
                    </w:rPr>
                    <w:t>2</w:t>
                  </w:r>
                </w:p>
              </w:tc>
              <w:tc>
                <w:tcPr>
                  <w:tcW w:w="1650" w:type="dxa"/>
                  <w:tcBorders>
                    <w:bottom w:val="single" w:color="000000" w:sz="12" w:space="0"/>
                  </w:tcBorders>
                  <w:noWrap w:val="0"/>
                  <w:vAlign w:val="center"/>
                </w:tcPr>
                <w:p w14:paraId="3C1DFEAA">
                  <w:pPr>
                    <w:pStyle w:val="20"/>
                    <w:keepNext w:val="0"/>
                    <w:keepLines w:val="0"/>
                    <w:widowControl/>
                    <w:suppressLineNumbers w:val="0"/>
                    <w:spacing w:line="240" w:lineRule="auto"/>
                    <w:ind w:left="0" w:leftChars="0" w:firstLine="0" w:firstLineChars="0"/>
                    <w:jc w:val="center"/>
                    <w:textAlignment w:val="center"/>
                    <w:rPr>
                      <w:rFonts w:hint="default"/>
                      <w:b w:val="0"/>
                      <w:color w:val="000000"/>
                      <w:lang w:val="en-US" w:eastAsia="zh-CN"/>
                    </w:rPr>
                  </w:pPr>
                  <w:r>
                    <w:rPr>
                      <w:rFonts w:hint="eastAsia" w:cs="Times New Roman"/>
                      <w:b w:val="0"/>
                      <w:i w:val="0"/>
                      <w:iCs w:val="0"/>
                      <w:color w:val="000000"/>
                      <w:kern w:val="0"/>
                      <w:sz w:val="21"/>
                      <w:szCs w:val="21"/>
                      <w:u w:val="none"/>
                      <w:lang w:val="en-US" w:eastAsia="zh-CN" w:bidi="ar"/>
                    </w:rPr>
                    <w:t>柴油</w:t>
                  </w:r>
                </w:p>
              </w:tc>
              <w:tc>
                <w:tcPr>
                  <w:tcW w:w="2067" w:type="dxa"/>
                  <w:tcBorders>
                    <w:bottom w:val="single" w:color="000000" w:sz="12" w:space="0"/>
                  </w:tcBorders>
                  <w:noWrap w:val="0"/>
                  <w:vAlign w:val="center"/>
                </w:tcPr>
                <w:p w14:paraId="3F373E35">
                  <w:pPr>
                    <w:jc w:val="center"/>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2</w:t>
                  </w:r>
                </w:p>
              </w:tc>
              <w:tc>
                <w:tcPr>
                  <w:tcW w:w="1350" w:type="dxa"/>
                  <w:tcBorders>
                    <w:bottom w:val="single" w:color="000000" w:sz="12" w:space="0"/>
                  </w:tcBorders>
                  <w:noWrap w:val="0"/>
                  <w:vAlign w:val="center"/>
                </w:tcPr>
                <w:p w14:paraId="0F2441F1">
                  <w:pPr>
                    <w:jc w:val="center"/>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2500</w:t>
                  </w:r>
                </w:p>
              </w:tc>
              <w:tc>
                <w:tcPr>
                  <w:tcW w:w="2038" w:type="dxa"/>
                  <w:tcBorders>
                    <w:bottom w:val="single" w:color="000000" w:sz="12" w:space="0"/>
                    <w:right w:val="nil"/>
                  </w:tcBorders>
                  <w:noWrap w:val="0"/>
                  <w:vAlign w:val="center"/>
                </w:tcPr>
                <w:p w14:paraId="49113F9E">
                  <w:pPr>
                    <w:jc w:val="center"/>
                    <w:rPr>
                      <w:rFonts w:hint="default" w:ascii="Times New Roman" w:hAnsi="Times New Roman" w:eastAsia="宋体" w:cs="Times New Roman"/>
                      <w:b w:val="0"/>
                      <w:color w:val="000000"/>
                      <w:lang w:val="en-US" w:eastAsia="zh-CN"/>
                    </w:rPr>
                  </w:pPr>
                  <w:r>
                    <w:rPr>
                      <w:rFonts w:hint="default" w:ascii="Times New Roman" w:hAnsi="Times New Roman" w:eastAsia="宋体" w:cs="Times New Roman"/>
                      <w:b w:val="0"/>
                      <w:color w:val="000000"/>
                      <w:lang w:val="en-US" w:eastAsia="zh-CN"/>
                    </w:rPr>
                    <w:t>0.00</w:t>
                  </w:r>
                  <w:r>
                    <w:rPr>
                      <w:rFonts w:hint="eastAsia" w:cs="Times New Roman"/>
                      <w:b w:val="0"/>
                      <w:color w:val="000000"/>
                      <w:lang w:val="en-US" w:eastAsia="zh-CN"/>
                    </w:rPr>
                    <w:t>08</w:t>
                  </w:r>
                </w:p>
              </w:tc>
            </w:tr>
          </w:tbl>
          <w:p w14:paraId="4A13305B">
            <w:pPr>
              <w:pStyle w:val="45"/>
              <w:keepNext w:val="0"/>
              <w:keepLines w:val="0"/>
              <w:pageBreakBefore w:val="0"/>
              <w:kinsoku/>
              <w:wordWrap/>
              <w:overflowPunct/>
              <w:topLinePunct w:val="0"/>
              <w:autoSpaceDE/>
              <w:autoSpaceDN/>
              <w:bidi w:val="0"/>
              <w:adjustRightInd/>
              <w:snapToGrid/>
              <w:spacing w:line="360" w:lineRule="auto"/>
              <w:ind w:left="0" w:right="0" w:firstLine="468" w:firstLineChars="200"/>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由上表可知，本项目生产过程中涉及的危险物质的最大存在量与临界</w:t>
            </w:r>
            <w:r>
              <w:rPr>
                <w:rFonts w:hint="default" w:ascii="Times New Roman" w:hAnsi="Times New Roman" w:eastAsia="宋体" w:cs="Times New Roman"/>
                <w:spacing w:val="5"/>
                <w:sz w:val="24"/>
                <w:szCs w:val="24"/>
              </w:rPr>
              <w:t>量比值Q=0.00</w:t>
            </w:r>
            <w:r>
              <w:rPr>
                <w:rFonts w:hint="eastAsia" w:ascii="Times New Roman" w:hAnsi="Times New Roman" w:eastAsia="宋体" w:cs="Times New Roman"/>
                <w:spacing w:val="5"/>
                <w:sz w:val="24"/>
                <w:szCs w:val="24"/>
                <w:lang w:val="en-US" w:eastAsia="zh-CN"/>
              </w:rPr>
              <w:t>092</w:t>
            </w:r>
            <w:r>
              <w:rPr>
                <w:rFonts w:hint="default" w:ascii="Times New Roman" w:hAnsi="Times New Roman" w:eastAsia="宋体" w:cs="Times New Roman"/>
                <w:spacing w:val="5"/>
                <w:sz w:val="24"/>
                <w:szCs w:val="24"/>
              </w:rPr>
              <w:t>＜1，则该项目环境风险潜势为Ⅰ。</w:t>
            </w:r>
          </w:p>
          <w:p w14:paraId="5B2A3F1E">
            <w:pPr>
              <w:pStyle w:val="45"/>
              <w:keepNext w:val="0"/>
              <w:keepLines w:val="0"/>
              <w:pageBreakBefore w:val="0"/>
              <w:kinsoku/>
              <w:wordWrap/>
              <w:overflowPunct/>
              <w:topLinePunct w:val="0"/>
              <w:autoSpaceDE/>
              <w:autoSpaceDN/>
              <w:bidi w:val="0"/>
              <w:adjustRightInd/>
              <w:snapToGrid/>
              <w:spacing w:line="360" w:lineRule="auto"/>
              <w:ind w:left="0" w:right="0" w:firstLine="498" w:firstLineChars="200"/>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（3）环境风险识别</w:t>
            </w:r>
          </w:p>
          <w:p w14:paraId="07717A3A">
            <w:pPr>
              <w:pStyle w:val="45"/>
              <w:keepNext w:val="0"/>
              <w:keepLines w:val="0"/>
              <w:pageBreakBefore w:val="0"/>
              <w:kinsoku/>
              <w:wordWrap/>
              <w:overflowPunct/>
              <w:topLinePunct w:val="0"/>
              <w:autoSpaceDE/>
              <w:autoSpaceDN/>
              <w:bidi w:val="0"/>
              <w:adjustRightInd/>
              <w:snapToGrid/>
              <w:spacing w:line="360" w:lineRule="auto"/>
              <w:ind w:left="0" w:right="0" w:firstLine="476" w:firstLineChars="200"/>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项目环境风险识别见下表。</w:t>
            </w:r>
          </w:p>
          <w:p w14:paraId="76136C9B">
            <w:pPr>
              <w:pStyle w:val="45"/>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46" w:firstLineChars="200"/>
              <w:jc w:val="center"/>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表 4-</w:t>
            </w:r>
            <w:r>
              <w:rPr>
                <w:rFonts w:hint="eastAsia" w:ascii="Times New Roman" w:hAnsi="Times New Roman" w:eastAsia="宋体" w:cs="Times New Roman"/>
                <w:b/>
                <w:bCs/>
                <w:spacing w:val="6"/>
                <w:sz w:val="21"/>
                <w:szCs w:val="21"/>
                <w:lang w:val="en-US" w:eastAsia="zh-CN"/>
              </w:rPr>
              <w:t>20</w:t>
            </w:r>
            <w:r>
              <w:rPr>
                <w:rFonts w:hint="default" w:ascii="Times New Roman" w:hAnsi="Times New Roman" w:eastAsia="宋体" w:cs="Times New Roman"/>
                <w:b/>
                <w:bCs/>
                <w:spacing w:val="16"/>
                <w:sz w:val="21"/>
                <w:szCs w:val="21"/>
              </w:rPr>
              <w:t xml:space="preserve">   </w:t>
            </w:r>
            <w:r>
              <w:rPr>
                <w:rFonts w:hint="default" w:ascii="Times New Roman" w:hAnsi="Times New Roman" w:eastAsia="宋体" w:cs="Times New Roman"/>
                <w:b/>
                <w:bCs/>
                <w:spacing w:val="6"/>
                <w:sz w:val="21"/>
                <w:szCs w:val="21"/>
              </w:rPr>
              <w:t>项目环境风险识别结果表</w:t>
            </w:r>
          </w:p>
          <w:tbl>
            <w:tblPr>
              <w:tblStyle w:val="23"/>
              <w:tblW w:w="7997" w:type="dxa"/>
              <w:tblInd w:w="113"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168"/>
              <w:gridCol w:w="1288"/>
              <w:gridCol w:w="1900"/>
              <w:gridCol w:w="1333"/>
              <w:gridCol w:w="1333"/>
            </w:tblGrid>
            <w:tr w14:paraId="4D62B31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75" w:type="dxa"/>
                  <w:tcBorders>
                    <w:top w:val="single" w:color="000000" w:sz="12" w:space="0"/>
                    <w:left w:val="nil"/>
                    <w:tl2br w:val="nil"/>
                  </w:tcBorders>
                  <w:noWrap w:val="0"/>
                  <w:vAlign w:val="center"/>
                </w:tcPr>
                <w:p w14:paraId="627FE7C9">
                  <w:pPr>
                    <w:jc w:val="center"/>
                    <w:rPr>
                      <w:rFonts w:hint="default"/>
                      <w:b w:val="0"/>
                      <w:color w:val="000000"/>
                    </w:rPr>
                  </w:pPr>
                  <w:r>
                    <w:rPr>
                      <w:rFonts w:hint="default"/>
                      <w:b w:val="0"/>
                      <w:color w:val="000000"/>
                      <w:lang w:val="en-US" w:eastAsia="zh-CN"/>
                    </w:rPr>
                    <w:t>风险源</w:t>
                  </w:r>
                </w:p>
              </w:tc>
              <w:tc>
                <w:tcPr>
                  <w:tcW w:w="1168" w:type="dxa"/>
                  <w:tcBorders>
                    <w:top w:val="single" w:color="000000" w:sz="12" w:space="0"/>
                  </w:tcBorders>
                  <w:noWrap w:val="0"/>
                  <w:vAlign w:val="center"/>
                </w:tcPr>
                <w:p w14:paraId="6CF1061A">
                  <w:pPr>
                    <w:jc w:val="center"/>
                    <w:rPr>
                      <w:rFonts w:hint="default"/>
                      <w:b w:val="0"/>
                      <w:color w:val="000000"/>
                    </w:rPr>
                  </w:pPr>
                  <w:r>
                    <w:rPr>
                      <w:rFonts w:hint="default"/>
                      <w:b w:val="0"/>
                      <w:color w:val="000000"/>
                      <w:lang w:val="en-US" w:eastAsia="zh-CN"/>
                    </w:rPr>
                    <w:t>主要危险物质</w:t>
                  </w:r>
                </w:p>
              </w:tc>
              <w:tc>
                <w:tcPr>
                  <w:tcW w:w="1288" w:type="dxa"/>
                  <w:tcBorders>
                    <w:top w:val="single" w:color="000000" w:sz="12" w:space="0"/>
                  </w:tcBorders>
                  <w:noWrap w:val="0"/>
                  <w:vAlign w:val="center"/>
                </w:tcPr>
                <w:p w14:paraId="73F03700">
                  <w:pPr>
                    <w:jc w:val="center"/>
                    <w:rPr>
                      <w:rFonts w:hint="default"/>
                      <w:b w:val="0"/>
                      <w:color w:val="000000"/>
                    </w:rPr>
                  </w:pPr>
                  <w:r>
                    <w:rPr>
                      <w:rFonts w:hint="default"/>
                      <w:b w:val="0"/>
                      <w:color w:val="000000"/>
                      <w:lang w:val="en-US" w:eastAsia="zh-CN"/>
                    </w:rPr>
                    <w:t>环境风险类型</w:t>
                  </w:r>
                </w:p>
              </w:tc>
              <w:tc>
                <w:tcPr>
                  <w:tcW w:w="1900" w:type="dxa"/>
                  <w:tcBorders>
                    <w:top w:val="single" w:color="000000" w:sz="12" w:space="0"/>
                  </w:tcBorders>
                  <w:noWrap w:val="0"/>
                  <w:vAlign w:val="center"/>
                </w:tcPr>
                <w:p w14:paraId="55CBE75B">
                  <w:pPr>
                    <w:jc w:val="center"/>
                    <w:rPr>
                      <w:rFonts w:hint="default"/>
                      <w:b w:val="0"/>
                      <w:color w:val="000000"/>
                    </w:rPr>
                  </w:pPr>
                  <w:r>
                    <w:rPr>
                      <w:rFonts w:hint="default"/>
                      <w:b w:val="0"/>
                      <w:color w:val="000000"/>
                      <w:lang w:val="en-US" w:eastAsia="zh-CN"/>
                    </w:rPr>
                    <w:t>环境影响途径</w:t>
                  </w:r>
                </w:p>
              </w:tc>
              <w:tc>
                <w:tcPr>
                  <w:tcW w:w="1333" w:type="dxa"/>
                  <w:tcBorders>
                    <w:top w:val="single" w:color="000000" w:sz="12" w:space="0"/>
                  </w:tcBorders>
                  <w:noWrap w:val="0"/>
                  <w:vAlign w:val="center"/>
                </w:tcPr>
                <w:p w14:paraId="69B8B00A">
                  <w:pPr>
                    <w:jc w:val="center"/>
                    <w:rPr>
                      <w:rFonts w:hint="default"/>
                      <w:b w:val="0"/>
                      <w:color w:val="000000"/>
                    </w:rPr>
                  </w:pPr>
                  <w:r>
                    <w:rPr>
                      <w:rFonts w:hint="default"/>
                      <w:b w:val="0"/>
                      <w:color w:val="000000"/>
                      <w:lang w:val="en-US" w:eastAsia="zh-CN"/>
                    </w:rPr>
                    <w:t>可能受影响的环境敏感目标</w:t>
                  </w:r>
                </w:p>
              </w:tc>
              <w:tc>
                <w:tcPr>
                  <w:tcW w:w="1333" w:type="dxa"/>
                  <w:tcBorders>
                    <w:top w:val="single" w:color="000000" w:sz="12" w:space="0"/>
                    <w:right w:val="nil"/>
                  </w:tcBorders>
                  <w:noWrap w:val="0"/>
                  <w:vAlign w:val="center"/>
                </w:tcPr>
                <w:p w14:paraId="7151A3F7">
                  <w:pPr>
                    <w:jc w:val="center"/>
                    <w:rPr>
                      <w:rFonts w:hint="default"/>
                      <w:b w:val="0"/>
                      <w:color w:val="000000"/>
                    </w:rPr>
                  </w:pPr>
                  <w:r>
                    <w:rPr>
                      <w:rFonts w:hint="default"/>
                      <w:b w:val="0"/>
                      <w:color w:val="000000"/>
                      <w:lang w:val="en-US" w:eastAsia="zh-CN"/>
                    </w:rPr>
                    <w:t>风险源的主要参数</w:t>
                  </w:r>
                </w:p>
              </w:tc>
            </w:tr>
            <w:tr w14:paraId="73B2C2B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75" w:type="dxa"/>
                  <w:tcBorders>
                    <w:left w:val="nil"/>
                  </w:tcBorders>
                  <w:noWrap w:val="0"/>
                  <w:vAlign w:val="center"/>
                </w:tcPr>
                <w:p w14:paraId="59850BD4">
                  <w:pPr>
                    <w:jc w:val="center"/>
                    <w:rPr>
                      <w:rFonts w:hint="default"/>
                      <w:b w:val="0"/>
                      <w:color w:val="000000"/>
                    </w:rPr>
                  </w:pPr>
                  <w:r>
                    <w:rPr>
                      <w:rFonts w:hint="default"/>
                      <w:b w:val="0"/>
                      <w:color w:val="000000"/>
                      <w:lang w:val="en-US" w:eastAsia="zh-CN"/>
                    </w:rPr>
                    <w:t>危废贮存点</w:t>
                  </w:r>
                </w:p>
              </w:tc>
              <w:tc>
                <w:tcPr>
                  <w:tcW w:w="1168" w:type="dxa"/>
                  <w:noWrap w:val="0"/>
                  <w:vAlign w:val="center"/>
                </w:tcPr>
                <w:p w14:paraId="084A19E5">
                  <w:pPr>
                    <w:jc w:val="center"/>
                    <w:rPr>
                      <w:rFonts w:hint="default"/>
                      <w:b w:val="0"/>
                      <w:color w:val="000000"/>
                    </w:rPr>
                  </w:pPr>
                  <w:r>
                    <w:rPr>
                      <w:rFonts w:hint="default"/>
                      <w:b w:val="0"/>
                      <w:color w:val="000000"/>
                      <w:lang w:val="en-US" w:eastAsia="zh-CN"/>
                    </w:rPr>
                    <w:t>废机油</w:t>
                  </w:r>
                  <w:r>
                    <w:rPr>
                      <w:rFonts w:hint="eastAsia"/>
                      <w:b w:val="0"/>
                      <w:color w:val="000000"/>
                      <w:lang w:val="en-US" w:eastAsia="zh-CN"/>
                    </w:rPr>
                    <w:t>、、废润滑油</w:t>
                  </w:r>
                </w:p>
              </w:tc>
              <w:tc>
                <w:tcPr>
                  <w:tcW w:w="1288" w:type="dxa"/>
                  <w:noWrap w:val="0"/>
                  <w:vAlign w:val="center"/>
                </w:tcPr>
                <w:p w14:paraId="661C799D">
                  <w:pPr>
                    <w:jc w:val="center"/>
                    <w:rPr>
                      <w:rFonts w:hint="default"/>
                      <w:b w:val="0"/>
                      <w:color w:val="000000"/>
                    </w:rPr>
                  </w:pPr>
                  <w:r>
                    <w:rPr>
                      <w:rFonts w:hint="default"/>
                      <w:b w:val="0"/>
                      <w:color w:val="000000"/>
                      <w:lang w:val="en-US" w:eastAsia="zh-CN"/>
                    </w:rPr>
                    <w:t>物质泄漏、火灾引发的伴生/次生污染物排放</w:t>
                  </w:r>
                </w:p>
              </w:tc>
              <w:tc>
                <w:tcPr>
                  <w:tcW w:w="1900" w:type="dxa"/>
                  <w:noWrap w:val="0"/>
                  <w:vAlign w:val="center"/>
                </w:tcPr>
                <w:p w14:paraId="17408523">
                  <w:pPr>
                    <w:jc w:val="center"/>
                    <w:rPr>
                      <w:rFonts w:hint="default"/>
                      <w:b w:val="0"/>
                      <w:color w:val="000000"/>
                    </w:rPr>
                  </w:pPr>
                  <w:r>
                    <w:rPr>
                      <w:rFonts w:hint="default"/>
                      <w:b w:val="0"/>
                      <w:color w:val="000000"/>
                      <w:lang w:val="en-US" w:eastAsia="zh-CN"/>
                    </w:rPr>
                    <w:t>CO、NOx等有毒有害气体通过大气进入环境造成污染，废油泄漏污染土壤、</w:t>
                  </w:r>
                  <w:r>
                    <w:rPr>
                      <w:rFonts w:hint="eastAsia"/>
                      <w:b w:val="0"/>
                      <w:color w:val="000000"/>
                      <w:lang w:val="en-US" w:eastAsia="zh-CN"/>
                    </w:rPr>
                    <w:t>地</w:t>
                  </w:r>
                  <w:r>
                    <w:rPr>
                      <w:rFonts w:hint="default"/>
                      <w:b w:val="0"/>
                      <w:color w:val="000000"/>
                      <w:lang w:val="en-US" w:eastAsia="zh-CN"/>
                    </w:rPr>
                    <w:t>下水。</w:t>
                  </w:r>
                </w:p>
              </w:tc>
              <w:tc>
                <w:tcPr>
                  <w:tcW w:w="1333" w:type="dxa"/>
                  <w:noWrap w:val="0"/>
                  <w:vAlign w:val="center"/>
                </w:tcPr>
                <w:p w14:paraId="245BE36F">
                  <w:pPr>
                    <w:jc w:val="center"/>
                    <w:rPr>
                      <w:rFonts w:hint="default"/>
                      <w:b w:val="0"/>
                      <w:color w:val="000000"/>
                    </w:rPr>
                  </w:pPr>
                  <w:r>
                    <w:rPr>
                      <w:rFonts w:hint="default"/>
                      <w:b w:val="0"/>
                      <w:color w:val="000000"/>
                      <w:lang w:val="en-US" w:eastAsia="zh-CN"/>
                    </w:rPr>
                    <w:t>土壤、地下水</w:t>
                  </w:r>
                </w:p>
              </w:tc>
              <w:tc>
                <w:tcPr>
                  <w:tcW w:w="1333" w:type="dxa"/>
                  <w:tcBorders>
                    <w:right w:val="nil"/>
                  </w:tcBorders>
                  <w:noWrap w:val="0"/>
                  <w:vAlign w:val="center"/>
                </w:tcPr>
                <w:p w14:paraId="27963835">
                  <w:pPr>
                    <w:jc w:val="center"/>
                    <w:rPr>
                      <w:rFonts w:hint="default"/>
                      <w:b w:val="0"/>
                      <w:color w:val="000000"/>
                    </w:rPr>
                  </w:pPr>
                  <w:r>
                    <w:rPr>
                      <w:rFonts w:hint="default"/>
                      <w:b w:val="0"/>
                      <w:color w:val="000000"/>
                      <w:lang w:val="en-US" w:eastAsia="zh-CN"/>
                    </w:rPr>
                    <w:t>废机油</w:t>
                  </w:r>
                  <w:r>
                    <w:rPr>
                      <w:rFonts w:hint="eastAsia"/>
                      <w:b w:val="0"/>
                      <w:color w:val="000000"/>
                      <w:lang w:val="en-US" w:eastAsia="zh-CN"/>
                    </w:rPr>
                    <w:t>最大储</w:t>
                  </w:r>
                  <w:r>
                    <w:rPr>
                      <w:rFonts w:hint="default"/>
                      <w:b w:val="0"/>
                      <w:color w:val="000000"/>
                      <w:lang w:val="en-US" w:eastAsia="zh-CN"/>
                    </w:rPr>
                    <w:t>存量0.</w:t>
                  </w:r>
                  <w:r>
                    <w:rPr>
                      <w:rFonts w:hint="eastAsia"/>
                      <w:b w:val="0"/>
                      <w:color w:val="000000"/>
                      <w:lang w:val="en-US" w:eastAsia="zh-CN"/>
                    </w:rPr>
                    <w:t>3</w:t>
                  </w:r>
                  <w:r>
                    <w:rPr>
                      <w:rFonts w:hint="default"/>
                      <w:b w:val="0"/>
                      <w:color w:val="000000"/>
                      <w:lang w:val="en-US" w:eastAsia="zh-CN"/>
                    </w:rPr>
                    <w:t>t</w:t>
                  </w:r>
                </w:p>
              </w:tc>
            </w:tr>
            <w:tr w14:paraId="002EBCB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75" w:type="dxa"/>
                  <w:tcBorders>
                    <w:left w:val="nil"/>
                    <w:bottom w:val="single" w:color="000000" w:sz="12" w:space="0"/>
                  </w:tcBorders>
                  <w:noWrap w:val="0"/>
                  <w:vAlign w:val="center"/>
                </w:tcPr>
                <w:p w14:paraId="4B5BFD3C">
                  <w:pPr>
                    <w:jc w:val="center"/>
                    <w:rPr>
                      <w:rFonts w:hint="default"/>
                      <w:b w:val="0"/>
                      <w:color w:val="000000"/>
                      <w:lang w:val="en-US" w:eastAsia="zh-CN"/>
                    </w:rPr>
                  </w:pPr>
                  <w:r>
                    <w:rPr>
                      <w:rFonts w:hint="eastAsia" w:cs="Times New Roman"/>
                      <w:color w:val="auto"/>
                      <w:sz w:val="21"/>
                      <w:szCs w:val="21"/>
                      <w:highlight w:val="none"/>
                      <w:lang w:val="en-US" w:eastAsia="zh-CN"/>
                    </w:rPr>
                    <w:t>矿区</w:t>
                  </w:r>
                </w:p>
              </w:tc>
              <w:tc>
                <w:tcPr>
                  <w:tcW w:w="1168" w:type="dxa"/>
                  <w:tcBorders>
                    <w:bottom w:val="single" w:color="000000" w:sz="12" w:space="0"/>
                  </w:tcBorders>
                  <w:noWrap w:val="0"/>
                  <w:vAlign w:val="center"/>
                </w:tcPr>
                <w:p w14:paraId="50AB6E11">
                  <w:pPr>
                    <w:jc w:val="center"/>
                    <w:rPr>
                      <w:rFonts w:hint="default"/>
                      <w:b w:val="0"/>
                      <w:color w:val="000000"/>
                      <w:lang w:val="en-US" w:eastAsia="zh-CN"/>
                    </w:rPr>
                  </w:pPr>
                  <w:r>
                    <w:rPr>
                      <w:rFonts w:hint="eastAsia"/>
                      <w:b w:val="0"/>
                      <w:color w:val="000000"/>
                      <w:lang w:val="en-US" w:eastAsia="zh-CN"/>
                    </w:rPr>
                    <w:t>柴油</w:t>
                  </w:r>
                </w:p>
              </w:tc>
              <w:tc>
                <w:tcPr>
                  <w:tcW w:w="1288" w:type="dxa"/>
                  <w:tcBorders>
                    <w:bottom w:val="single" w:color="000000" w:sz="12" w:space="0"/>
                  </w:tcBorders>
                  <w:noWrap w:val="0"/>
                  <w:vAlign w:val="center"/>
                </w:tcPr>
                <w:p w14:paraId="68CA4348">
                  <w:pPr>
                    <w:jc w:val="center"/>
                    <w:rPr>
                      <w:rFonts w:hint="default"/>
                      <w:b w:val="0"/>
                      <w:color w:val="000000"/>
                      <w:lang w:val="en-US" w:eastAsia="zh-CN"/>
                    </w:rPr>
                  </w:pPr>
                  <w:r>
                    <w:rPr>
                      <w:rFonts w:hint="default" w:ascii="Times New Roman" w:hAnsi="Times New Roman" w:eastAsia="宋体" w:cs="Times New Roman"/>
                      <w:color w:val="auto"/>
                      <w:sz w:val="21"/>
                      <w:szCs w:val="21"/>
                      <w:highlight w:val="none"/>
                    </w:rPr>
                    <w:t>物质泄漏、火灾引发的伴生/次生污染物排放</w:t>
                  </w:r>
                </w:p>
              </w:tc>
              <w:tc>
                <w:tcPr>
                  <w:tcW w:w="1900" w:type="dxa"/>
                  <w:tcBorders>
                    <w:bottom w:val="single" w:color="000000" w:sz="12" w:space="0"/>
                  </w:tcBorders>
                  <w:noWrap w:val="0"/>
                  <w:vAlign w:val="center"/>
                </w:tcPr>
                <w:p w14:paraId="076B129D">
                  <w:pPr>
                    <w:jc w:val="center"/>
                    <w:rPr>
                      <w:rFonts w:hint="default"/>
                      <w:b w:val="0"/>
                      <w:color w:val="000000"/>
                      <w:lang w:val="en-US" w:eastAsia="zh-CN"/>
                    </w:rPr>
                  </w:pPr>
                  <w:r>
                    <w:rPr>
                      <w:rFonts w:hint="default"/>
                      <w:b w:val="0"/>
                      <w:color w:val="000000"/>
                      <w:lang w:val="en-US" w:eastAsia="zh-CN"/>
                    </w:rPr>
                    <w:t>CO、NOx等有毒有害气体通过大气进入环境造成污染，废油泄漏污染土壤、地下水</w:t>
                  </w:r>
                </w:p>
              </w:tc>
              <w:tc>
                <w:tcPr>
                  <w:tcW w:w="1333" w:type="dxa"/>
                  <w:tcBorders>
                    <w:bottom w:val="single" w:color="000000" w:sz="12" w:space="0"/>
                  </w:tcBorders>
                  <w:noWrap w:val="0"/>
                  <w:vAlign w:val="center"/>
                </w:tcPr>
                <w:p w14:paraId="39B31D16">
                  <w:pPr>
                    <w:jc w:val="center"/>
                    <w:rPr>
                      <w:rFonts w:hint="default"/>
                      <w:b w:val="0"/>
                      <w:color w:val="000000"/>
                      <w:lang w:val="en-US" w:eastAsia="zh-CN"/>
                    </w:rPr>
                  </w:pPr>
                  <w:r>
                    <w:rPr>
                      <w:rFonts w:hint="default" w:ascii="Times New Roman" w:hAnsi="Times New Roman" w:eastAsia="宋体" w:cs="Times New Roman"/>
                      <w:color w:val="auto"/>
                      <w:sz w:val="21"/>
                      <w:szCs w:val="21"/>
                      <w:highlight w:val="none"/>
                    </w:rPr>
                    <w:t>土壤、地下水</w:t>
                  </w:r>
                </w:p>
              </w:tc>
              <w:tc>
                <w:tcPr>
                  <w:tcW w:w="1333" w:type="dxa"/>
                  <w:tcBorders>
                    <w:bottom w:val="single" w:color="000000" w:sz="12" w:space="0"/>
                    <w:right w:val="nil"/>
                  </w:tcBorders>
                  <w:noWrap w:val="0"/>
                  <w:vAlign w:val="center"/>
                </w:tcPr>
                <w:p w14:paraId="48BAEFAB">
                  <w:pPr>
                    <w:jc w:val="center"/>
                    <w:rPr>
                      <w:rFonts w:hint="default"/>
                      <w:b w:val="0"/>
                      <w:color w:val="000000"/>
                      <w:lang w:val="en-US" w:eastAsia="zh-CN"/>
                    </w:rPr>
                  </w:pPr>
                  <w:r>
                    <w:rPr>
                      <w:rFonts w:hint="default" w:ascii="Times New Roman" w:hAnsi="Times New Roman" w:eastAsia="宋体" w:cs="Times New Roman"/>
                      <w:color w:val="auto"/>
                      <w:sz w:val="21"/>
                      <w:szCs w:val="21"/>
                      <w:highlight w:val="none"/>
                      <w:lang w:val="en-US" w:eastAsia="zh-CN"/>
                    </w:rPr>
                    <w:t>柴油单次最大存在量</w:t>
                  </w:r>
                  <w:r>
                    <w:rPr>
                      <w:rFonts w:hint="eastAsia"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t</w:t>
                  </w:r>
                </w:p>
              </w:tc>
            </w:tr>
          </w:tbl>
          <w:p w14:paraId="3FF4D247">
            <w:pPr>
              <w:pStyle w:val="45"/>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（4）环境风险影响分析</w:t>
            </w:r>
          </w:p>
          <w:p w14:paraId="67E7081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本项目风险类型包括油类物质泄漏和火灾、爆炸</w:t>
            </w:r>
            <w:r>
              <w:rPr>
                <w:rFonts w:hint="default" w:ascii="Times New Roman" w:hAnsi="Times New Roman" w:eastAsia="宋体" w:cs="Times New Roman"/>
                <w:spacing w:val="-1"/>
                <w:sz w:val="24"/>
                <w:szCs w:val="24"/>
              </w:rPr>
              <w:t>事故两类。</w:t>
            </w:r>
          </w:p>
          <w:p w14:paraId="67369E9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①油类物质发生火灾、爆炸事故环境影响分析</w:t>
            </w:r>
          </w:p>
          <w:p w14:paraId="45F06594">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危废贮存点油桶及车辆油箱在静电、明火或高热等引发火灾、爆炸事</w:t>
            </w:r>
            <w:r>
              <w:rPr>
                <w:rFonts w:hint="default" w:ascii="Times New Roman" w:hAnsi="Times New Roman" w:eastAsia="宋体" w:cs="Times New Roman"/>
                <w:spacing w:val="6"/>
                <w:sz w:val="24"/>
                <w:szCs w:val="24"/>
              </w:rPr>
              <w:t>故，事故中产生</w:t>
            </w:r>
            <w:r>
              <w:rPr>
                <w:rFonts w:hint="default" w:ascii="Times New Roman" w:hAnsi="Times New Roman" w:eastAsia="宋体" w:cs="Times New Roman"/>
                <w:sz w:val="24"/>
                <w:szCs w:val="24"/>
              </w:rPr>
              <w:t>CO</w:t>
            </w:r>
            <w:r>
              <w:rPr>
                <w:rFonts w:hint="default" w:ascii="Times New Roman" w:hAnsi="Times New Roman" w:eastAsia="宋体" w:cs="Times New Roman"/>
                <w:spacing w:val="6"/>
                <w:sz w:val="24"/>
                <w:szCs w:val="24"/>
              </w:rPr>
              <w:t>、</w:t>
            </w:r>
            <w:r>
              <w:rPr>
                <w:rFonts w:hint="default" w:ascii="Times New Roman" w:hAnsi="Times New Roman" w:eastAsia="宋体" w:cs="Times New Roman"/>
                <w:sz w:val="24"/>
                <w:szCs w:val="24"/>
              </w:rPr>
              <w:t>NOx</w:t>
            </w:r>
            <w:r>
              <w:rPr>
                <w:rFonts w:hint="default" w:ascii="Times New Roman" w:hAnsi="Times New Roman" w:eastAsia="宋体" w:cs="Times New Roman"/>
                <w:spacing w:val="-47"/>
                <w:sz w:val="24"/>
                <w:szCs w:val="24"/>
              </w:rPr>
              <w:t xml:space="preserve"> </w:t>
            </w:r>
            <w:r>
              <w:rPr>
                <w:rFonts w:hint="default" w:ascii="Times New Roman" w:hAnsi="Times New Roman" w:eastAsia="宋体" w:cs="Times New Roman"/>
                <w:spacing w:val="6"/>
                <w:sz w:val="24"/>
                <w:szCs w:val="24"/>
              </w:rPr>
              <w:t>等，大量有害气体瞬间扩散，造成对局部环境</w:t>
            </w:r>
            <w:r>
              <w:rPr>
                <w:rFonts w:hint="default" w:ascii="Times New Roman" w:hAnsi="Times New Roman" w:eastAsia="宋体" w:cs="Times New Roman"/>
                <w:spacing w:val="-3"/>
                <w:sz w:val="24"/>
                <w:szCs w:val="24"/>
              </w:rPr>
              <w:t>空气的污染影响及使人员中毒等事故的发生，随着时间与距离逐渐衰减，</w:t>
            </w:r>
            <w:r>
              <w:rPr>
                <w:rFonts w:hint="default" w:ascii="Times New Roman" w:hAnsi="Times New Roman" w:eastAsia="宋体" w:cs="Times New Roman"/>
                <w:spacing w:val="6"/>
                <w:sz w:val="24"/>
                <w:szCs w:val="24"/>
              </w:rPr>
              <w:t>本项目场地周</w:t>
            </w:r>
            <w:r>
              <w:rPr>
                <w:rFonts w:hint="eastAsia" w:ascii="Times New Roman" w:hAnsi="Times New Roman" w:eastAsia="宋体" w:cs="Times New Roman"/>
                <w:spacing w:val="6"/>
                <w:sz w:val="24"/>
                <w:szCs w:val="24"/>
                <w:lang w:val="en-US" w:eastAsia="zh-CN"/>
              </w:rPr>
              <w:t>边</w:t>
            </w:r>
            <w:r>
              <w:rPr>
                <w:rFonts w:hint="default" w:ascii="Times New Roman" w:hAnsi="Times New Roman" w:eastAsia="宋体" w:cs="Times New Roman"/>
                <w:spacing w:val="6"/>
                <w:sz w:val="24"/>
                <w:szCs w:val="24"/>
              </w:rPr>
              <w:t>5</w:t>
            </w:r>
            <w:r>
              <w:rPr>
                <w:rFonts w:hint="default" w:ascii="Times New Roman" w:hAnsi="Times New Roman" w:eastAsia="宋体" w:cs="Times New Roman"/>
                <w:sz w:val="24"/>
                <w:szCs w:val="24"/>
              </w:rPr>
              <w:t>km</w:t>
            </w:r>
            <w:r>
              <w:rPr>
                <w:rFonts w:hint="default" w:ascii="Times New Roman" w:hAnsi="Times New Roman" w:eastAsia="宋体" w:cs="Times New Roman"/>
                <w:spacing w:val="-46"/>
                <w:sz w:val="24"/>
                <w:szCs w:val="24"/>
              </w:rPr>
              <w:t xml:space="preserve"> </w:t>
            </w:r>
            <w:r>
              <w:rPr>
                <w:rFonts w:hint="default" w:ascii="Times New Roman" w:hAnsi="Times New Roman" w:eastAsia="宋体" w:cs="Times New Roman"/>
                <w:spacing w:val="6"/>
                <w:sz w:val="24"/>
                <w:szCs w:val="24"/>
              </w:rPr>
              <w:t>范围没居民聚集区</w:t>
            </w:r>
            <w:r>
              <w:rPr>
                <w:rFonts w:hint="default" w:ascii="Times New Roman" w:hAnsi="Times New Roman" w:eastAsia="宋体" w:cs="Times New Roman"/>
                <w:spacing w:val="5"/>
                <w:sz w:val="24"/>
                <w:szCs w:val="24"/>
              </w:rPr>
              <w:t>等敏感点，项目区常年风速</w:t>
            </w:r>
            <w:r>
              <w:rPr>
                <w:rFonts w:hint="default" w:ascii="Times New Roman" w:hAnsi="Times New Roman" w:eastAsia="宋体" w:cs="Times New Roman"/>
                <w:spacing w:val="-2"/>
                <w:sz w:val="24"/>
                <w:szCs w:val="24"/>
              </w:rPr>
              <w:t>较大，大气污染物能较快的稀释和扩散，对其造成的环境影响较小。</w:t>
            </w:r>
          </w:p>
          <w:p w14:paraId="614B123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②油类物质泄漏环境影响分析</w:t>
            </w:r>
          </w:p>
          <w:p w14:paraId="0452A0A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危废贮存点及车辆油箱油类物质发生泄漏，如进入地下水，会造成地</w:t>
            </w:r>
            <w:r>
              <w:rPr>
                <w:rFonts w:hint="default" w:ascii="Times New Roman" w:hAnsi="Times New Roman" w:eastAsia="宋体" w:cs="Times New Roman"/>
                <w:spacing w:val="-1"/>
                <w:sz w:val="24"/>
                <w:szCs w:val="24"/>
              </w:rPr>
              <w:t>下水的污染。油类物质的主要成分为烃类、芳烃类、醇</w:t>
            </w:r>
            <w:r>
              <w:rPr>
                <w:rFonts w:hint="default" w:ascii="Times New Roman" w:hAnsi="Times New Roman" w:eastAsia="宋体" w:cs="Times New Roman"/>
                <w:spacing w:val="-2"/>
                <w:sz w:val="24"/>
                <w:szCs w:val="24"/>
              </w:rPr>
              <w:t>酮类等有机物，难</w:t>
            </w:r>
            <w:r>
              <w:rPr>
                <w:rFonts w:hint="default" w:ascii="Times New Roman" w:hAnsi="Times New Roman" w:eastAsia="宋体" w:cs="Times New Roman"/>
                <w:spacing w:val="-3"/>
                <w:sz w:val="24"/>
                <w:szCs w:val="24"/>
              </w:rPr>
              <w:t>溶于水，一旦进入地下水环境，由于可生化性差，可能造成污染水体长期</w:t>
            </w:r>
            <w:r>
              <w:rPr>
                <w:rFonts w:hint="default" w:ascii="Times New Roman" w:hAnsi="Times New Roman" w:eastAsia="宋体" w:cs="Times New Roman"/>
                <w:spacing w:val="-6"/>
                <w:sz w:val="24"/>
                <w:szCs w:val="24"/>
              </w:rPr>
              <w:t>得不到净化，影响地下水水质。同时，由于这种渗漏</w:t>
            </w:r>
            <w:r>
              <w:rPr>
                <w:rFonts w:hint="default" w:ascii="Times New Roman" w:hAnsi="Times New Roman" w:eastAsia="宋体" w:cs="Times New Roman"/>
                <w:spacing w:val="-7"/>
                <w:sz w:val="24"/>
                <w:szCs w:val="24"/>
              </w:rPr>
              <w:t>必然首先穿过土壤层，</w:t>
            </w:r>
            <w:r>
              <w:rPr>
                <w:rFonts w:hint="default" w:ascii="Times New Roman" w:hAnsi="Times New Roman" w:eastAsia="宋体" w:cs="Times New Roman"/>
                <w:spacing w:val="-1"/>
                <w:sz w:val="24"/>
                <w:szCs w:val="24"/>
              </w:rPr>
              <w:t>使土壤层中吸附了大量的油类物质，土壤层吸附</w:t>
            </w:r>
            <w:r>
              <w:rPr>
                <w:rFonts w:hint="default" w:ascii="Times New Roman" w:hAnsi="Times New Roman" w:eastAsia="宋体" w:cs="Times New Roman"/>
                <w:spacing w:val="-2"/>
                <w:sz w:val="24"/>
                <w:szCs w:val="24"/>
              </w:rPr>
              <w:t>的油类物质不仅会造成植</w:t>
            </w:r>
            <w:r>
              <w:rPr>
                <w:rFonts w:hint="default" w:ascii="Times New Roman" w:hAnsi="Times New Roman" w:eastAsia="宋体" w:cs="Times New Roman"/>
                <w:spacing w:val="-1"/>
                <w:sz w:val="24"/>
                <w:szCs w:val="24"/>
              </w:rPr>
              <w:t>物生物的死亡，而且土壤层吸附的油类还会随着</w:t>
            </w:r>
            <w:r>
              <w:rPr>
                <w:rFonts w:hint="default" w:ascii="Times New Roman" w:hAnsi="Times New Roman" w:eastAsia="宋体" w:cs="Times New Roman"/>
                <w:spacing w:val="-2"/>
                <w:sz w:val="24"/>
                <w:szCs w:val="24"/>
              </w:rPr>
              <w:t>地表径流的下渗对土壤层</w:t>
            </w:r>
            <w:r>
              <w:rPr>
                <w:rFonts w:hint="default" w:ascii="Times New Roman" w:hAnsi="Times New Roman" w:eastAsia="宋体" w:cs="Times New Roman"/>
                <w:spacing w:val="-1"/>
                <w:sz w:val="24"/>
                <w:szCs w:val="24"/>
              </w:rPr>
              <w:t>的冲刷作用扩散到地下水，尽管污染源能够得到</w:t>
            </w:r>
            <w:r>
              <w:rPr>
                <w:rFonts w:hint="default" w:ascii="Times New Roman" w:hAnsi="Times New Roman" w:eastAsia="宋体" w:cs="Times New Roman"/>
                <w:spacing w:val="-2"/>
                <w:sz w:val="24"/>
                <w:szCs w:val="24"/>
              </w:rPr>
              <w:t>及时控制，但这种污染仅</w:t>
            </w:r>
            <w:r>
              <w:rPr>
                <w:rFonts w:hint="default" w:ascii="Times New Roman" w:hAnsi="Times New Roman" w:eastAsia="宋体" w:cs="Times New Roman"/>
                <w:spacing w:val="-1"/>
                <w:sz w:val="24"/>
                <w:szCs w:val="24"/>
              </w:rPr>
              <w:t>靠地表径流入渗的冲刷，含水层的自净降解将是</w:t>
            </w:r>
            <w:r>
              <w:rPr>
                <w:rFonts w:hint="default" w:ascii="Times New Roman" w:hAnsi="Times New Roman" w:eastAsia="宋体" w:cs="Times New Roman"/>
                <w:spacing w:val="-2"/>
                <w:sz w:val="24"/>
                <w:szCs w:val="24"/>
              </w:rPr>
              <w:t>一个长期的过程，达到地</w:t>
            </w:r>
            <w:r>
              <w:rPr>
                <w:rFonts w:hint="default" w:ascii="Times New Roman" w:hAnsi="Times New Roman" w:eastAsia="宋体" w:cs="Times New Roman"/>
                <w:spacing w:val="-1"/>
                <w:sz w:val="24"/>
                <w:szCs w:val="24"/>
              </w:rPr>
              <w:t>下水的完全恢复需几十年甚至上百年的时间。可</w:t>
            </w:r>
            <w:r>
              <w:rPr>
                <w:rFonts w:hint="default" w:ascii="Times New Roman" w:hAnsi="Times New Roman" w:eastAsia="宋体" w:cs="Times New Roman"/>
                <w:spacing w:val="-2"/>
                <w:sz w:val="24"/>
                <w:szCs w:val="24"/>
              </w:rPr>
              <w:t>见，一旦发生大面积的油</w:t>
            </w:r>
            <w:r>
              <w:rPr>
                <w:rFonts w:hint="default" w:ascii="Times New Roman" w:hAnsi="Times New Roman" w:eastAsia="宋体" w:cs="Times New Roman"/>
                <w:sz w:val="24"/>
                <w:szCs w:val="24"/>
              </w:rPr>
              <w:t>类物质泄漏污染后，其造成的环境影响短时间内将难</w:t>
            </w:r>
            <w:r>
              <w:rPr>
                <w:rFonts w:hint="default" w:ascii="Times New Roman" w:hAnsi="Times New Roman" w:eastAsia="宋体" w:cs="Times New Roman"/>
                <w:spacing w:val="-1"/>
                <w:sz w:val="24"/>
                <w:szCs w:val="24"/>
              </w:rPr>
              <w:t>以消除。</w:t>
            </w:r>
          </w:p>
          <w:p w14:paraId="0937337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本项目对危废贮存点设置围堰，储油桶置于托盘内，基础按照重点防</w:t>
            </w:r>
            <w:r>
              <w:rPr>
                <w:rFonts w:hint="default" w:ascii="Times New Roman" w:hAnsi="Times New Roman" w:eastAsia="宋体" w:cs="Times New Roman"/>
                <w:spacing w:val="-1"/>
                <w:sz w:val="24"/>
                <w:szCs w:val="24"/>
              </w:rPr>
              <w:t>渗区进行防渗处理，在发生油类物质事故泄</w:t>
            </w:r>
            <w:r>
              <w:rPr>
                <w:rFonts w:hint="default" w:ascii="Times New Roman" w:hAnsi="Times New Roman" w:eastAsia="宋体" w:cs="Times New Roman"/>
                <w:spacing w:val="-2"/>
                <w:sz w:val="24"/>
                <w:szCs w:val="24"/>
              </w:rPr>
              <w:t>露或消防救援时，外泄油类或</w:t>
            </w:r>
            <w:r>
              <w:rPr>
                <w:rFonts w:hint="default" w:ascii="Times New Roman" w:hAnsi="Times New Roman" w:eastAsia="宋体" w:cs="Times New Roman"/>
                <w:spacing w:val="-1"/>
                <w:sz w:val="24"/>
                <w:szCs w:val="24"/>
              </w:rPr>
              <w:t>消防废液等液体均可控制在围堰内，同时矿</w:t>
            </w:r>
            <w:r>
              <w:rPr>
                <w:rFonts w:hint="default" w:ascii="Times New Roman" w:hAnsi="Times New Roman" w:eastAsia="宋体" w:cs="Times New Roman"/>
                <w:spacing w:val="-2"/>
                <w:sz w:val="24"/>
                <w:szCs w:val="24"/>
              </w:rPr>
              <w:t>区备用桶装容器可对围堰内泄</w:t>
            </w:r>
            <w:r>
              <w:rPr>
                <w:rFonts w:hint="default" w:ascii="Times New Roman" w:hAnsi="Times New Roman" w:eastAsia="宋体" w:cs="Times New Roman"/>
                <w:spacing w:val="-1"/>
                <w:sz w:val="24"/>
                <w:szCs w:val="24"/>
              </w:rPr>
              <w:t>漏液体进行及时收集，以此降低外泄液体进</w:t>
            </w:r>
            <w:r>
              <w:rPr>
                <w:rFonts w:hint="default" w:ascii="Times New Roman" w:hAnsi="Times New Roman" w:eastAsia="宋体" w:cs="Times New Roman"/>
                <w:spacing w:val="-2"/>
                <w:sz w:val="24"/>
                <w:szCs w:val="24"/>
              </w:rPr>
              <w:t>入外环境的风险，对矿山工作</w:t>
            </w:r>
            <w:r>
              <w:rPr>
                <w:rFonts w:hint="default" w:ascii="Times New Roman" w:hAnsi="Times New Roman" w:eastAsia="宋体" w:cs="Times New Roman"/>
                <w:spacing w:val="-1"/>
                <w:sz w:val="24"/>
                <w:szCs w:val="24"/>
              </w:rPr>
              <w:t>车辆定期检修预防柴油泄露。</w:t>
            </w:r>
          </w:p>
          <w:p w14:paraId="5F89C22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0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（5）分析结论</w:t>
            </w:r>
          </w:p>
          <w:p w14:paraId="5320794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本项目涉及的风险物质为废机油</w:t>
            </w:r>
            <w:r>
              <w:rPr>
                <w:rFonts w:hint="default" w:ascii="Times New Roman" w:hAnsi="Times New Roman" w:eastAsia="宋体" w:cs="Times New Roman"/>
                <w:spacing w:val="-2"/>
                <w:sz w:val="24"/>
                <w:szCs w:val="24"/>
              </w:rPr>
              <w:t>等物质，主要</w:t>
            </w:r>
            <w:r>
              <w:rPr>
                <w:rFonts w:hint="default" w:ascii="Times New Roman" w:hAnsi="Times New Roman" w:eastAsia="宋体" w:cs="Times New Roman"/>
                <w:spacing w:val="-5"/>
                <w:sz w:val="24"/>
                <w:szCs w:val="24"/>
              </w:rPr>
              <w:t>事故类型为油类物质泄漏、火灾引发的伴生/次生污染物排放。本次评价从</w:t>
            </w:r>
            <w:r>
              <w:rPr>
                <w:rFonts w:hint="default" w:ascii="Times New Roman" w:hAnsi="Times New Roman" w:eastAsia="宋体" w:cs="Times New Roman"/>
                <w:spacing w:val="-1"/>
                <w:sz w:val="24"/>
                <w:szCs w:val="24"/>
              </w:rPr>
              <w:t>危废贮存点的建设、运行管理等方面提出多项有</w:t>
            </w:r>
            <w:r>
              <w:rPr>
                <w:rFonts w:hint="default" w:ascii="Times New Roman" w:hAnsi="Times New Roman" w:eastAsia="宋体" w:cs="Times New Roman"/>
                <w:spacing w:val="-2"/>
                <w:sz w:val="24"/>
                <w:szCs w:val="24"/>
              </w:rPr>
              <w:t>效可行的环境风险防范措</w:t>
            </w:r>
            <w:r>
              <w:rPr>
                <w:rFonts w:hint="default" w:ascii="Times New Roman" w:hAnsi="Times New Roman" w:eastAsia="宋体" w:cs="Times New Roman"/>
                <w:spacing w:val="-1"/>
                <w:sz w:val="24"/>
                <w:szCs w:val="24"/>
              </w:rPr>
              <w:t>施，建设单位只要按照风险防范要求进行操作，</w:t>
            </w:r>
            <w:r>
              <w:rPr>
                <w:rFonts w:hint="default" w:ascii="Times New Roman" w:hAnsi="Times New Roman" w:eastAsia="宋体" w:cs="Times New Roman"/>
                <w:spacing w:val="-2"/>
                <w:sz w:val="24"/>
                <w:szCs w:val="24"/>
              </w:rPr>
              <w:t>并认真执行评价所提出的</w:t>
            </w:r>
            <w:r>
              <w:rPr>
                <w:rFonts w:hint="default" w:ascii="Times New Roman" w:hAnsi="Times New Roman" w:eastAsia="宋体" w:cs="Times New Roman"/>
                <w:spacing w:val="-3"/>
                <w:sz w:val="24"/>
                <w:szCs w:val="24"/>
              </w:rPr>
              <w:t>各项综合风险防范措施后，可把事故发生的几率降至最低，同时制定有效</w:t>
            </w:r>
            <w:r>
              <w:rPr>
                <w:rFonts w:hint="default" w:ascii="Times New Roman" w:hAnsi="Times New Roman" w:eastAsia="宋体" w:cs="Times New Roman"/>
                <w:spacing w:val="-2"/>
                <w:sz w:val="24"/>
                <w:szCs w:val="24"/>
              </w:rPr>
              <w:t>的风险应急预案</w:t>
            </w:r>
            <w:r>
              <w:rPr>
                <w:rFonts w:hint="default" w:ascii="Times New Roman" w:hAnsi="Times New Roman" w:eastAsia="宋体" w:cs="Times New Roman"/>
                <w:spacing w:val="-17"/>
                <w:sz w:val="24"/>
                <w:szCs w:val="24"/>
              </w:rPr>
              <w:t xml:space="preserve"> </w:t>
            </w:r>
            <w:r>
              <w:rPr>
                <w:rFonts w:hint="default" w:ascii="Times New Roman" w:hAnsi="Times New Roman" w:eastAsia="宋体" w:cs="Times New Roman"/>
                <w:spacing w:val="-2"/>
                <w:sz w:val="24"/>
                <w:szCs w:val="24"/>
              </w:rPr>
              <w:t>，可将风险事故的环境影响控制在可接受范围内。</w:t>
            </w:r>
          </w:p>
          <w:p w14:paraId="54F8FAE6">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502" w:firstLineChars="200"/>
              <w:textAlignment w:val="auto"/>
              <w:rPr>
                <w:rFonts w:hint="default" w:ascii="Times New Roman" w:hAnsi="Times New Roman" w:eastAsia="宋体" w:cs="Times New Roman"/>
                <w:b/>
                <w:bCs/>
                <w:spacing w:val="5"/>
                <w:sz w:val="24"/>
                <w:szCs w:val="24"/>
              </w:rPr>
            </w:pPr>
            <w:r>
              <w:rPr>
                <w:rFonts w:hint="default" w:ascii="Times New Roman" w:hAnsi="Times New Roman" w:eastAsia="宋体" w:cs="Times New Roman"/>
                <w:b/>
                <w:bCs/>
                <w:spacing w:val="5"/>
                <w:sz w:val="24"/>
                <w:szCs w:val="24"/>
              </w:rPr>
              <w:t>2.</w:t>
            </w:r>
            <w:r>
              <w:rPr>
                <w:rFonts w:hint="eastAsia" w:ascii="Times New Roman" w:hAnsi="Times New Roman" w:eastAsia="宋体" w:cs="Times New Roman"/>
                <w:b/>
                <w:bCs/>
                <w:spacing w:val="5"/>
                <w:sz w:val="24"/>
                <w:szCs w:val="24"/>
                <w:lang w:val="en-US" w:eastAsia="zh-CN"/>
              </w:rPr>
              <w:t xml:space="preserve">7   </w:t>
            </w:r>
            <w:r>
              <w:rPr>
                <w:rFonts w:hint="default" w:ascii="Times New Roman" w:hAnsi="Times New Roman" w:eastAsia="宋体" w:cs="Times New Roman"/>
                <w:b/>
                <w:bCs/>
                <w:spacing w:val="5"/>
                <w:sz w:val="24"/>
                <w:szCs w:val="24"/>
              </w:rPr>
              <w:t>服务期满后环境影响分析</w:t>
            </w:r>
          </w:p>
          <w:p w14:paraId="4E30A98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项目矿山开采使原有地表植被被破坏、造成局</w:t>
            </w:r>
            <w:r>
              <w:rPr>
                <w:rFonts w:hint="default" w:ascii="Times New Roman" w:hAnsi="Times New Roman" w:eastAsia="宋体" w:cs="Times New Roman"/>
                <w:sz w:val="24"/>
                <w:szCs w:val="24"/>
              </w:rPr>
              <w:t>部生态结构发生变化、</w:t>
            </w:r>
            <w:r>
              <w:rPr>
                <w:rFonts w:hint="default" w:ascii="Times New Roman" w:hAnsi="Times New Roman" w:eastAsia="宋体" w:cs="Times New Roman"/>
                <w:spacing w:val="-3"/>
                <w:sz w:val="24"/>
                <w:szCs w:val="24"/>
              </w:rPr>
              <w:t>水土流失增加。矿山到了退役期，废气、噪声等污染随之消失，由于经过</w:t>
            </w:r>
            <w:r>
              <w:rPr>
                <w:rFonts w:hint="default" w:ascii="Times New Roman" w:hAnsi="Times New Roman" w:eastAsia="宋体" w:cs="Times New Roman"/>
                <w:spacing w:val="-1"/>
                <w:sz w:val="24"/>
                <w:szCs w:val="24"/>
              </w:rPr>
              <w:t>多年的开采，各项工程已形成了固定的框架，</w:t>
            </w:r>
            <w:r>
              <w:rPr>
                <w:rFonts w:hint="default" w:ascii="Times New Roman" w:hAnsi="Times New Roman" w:eastAsia="宋体" w:cs="Times New Roman"/>
                <w:spacing w:val="-2"/>
                <w:sz w:val="24"/>
                <w:szCs w:val="24"/>
              </w:rPr>
              <w:t>土地使用类型及结构发生了</w:t>
            </w:r>
            <w:r>
              <w:rPr>
                <w:rFonts w:hint="default" w:ascii="Times New Roman" w:hAnsi="Times New Roman" w:eastAsia="宋体" w:cs="Times New Roman"/>
                <w:spacing w:val="-1"/>
                <w:sz w:val="24"/>
                <w:szCs w:val="24"/>
              </w:rPr>
              <w:t>变化。服务期满后，受损的草地面积不会再扩</w:t>
            </w:r>
            <w:r>
              <w:rPr>
                <w:rFonts w:hint="default" w:ascii="Times New Roman" w:hAnsi="Times New Roman" w:eastAsia="宋体" w:cs="Times New Roman"/>
                <w:spacing w:val="-2"/>
                <w:sz w:val="24"/>
                <w:szCs w:val="24"/>
              </w:rPr>
              <w:t>大，如果在整个运营期边开</w:t>
            </w:r>
            <w:r>
              <w:rPr>
                <w:rFonts w:hint="default" w:ascii="Times New Roman" w:hAnsi="Times New Roman" w:eastAsia="宋体" w:cs="Times New Roman"/>
                <w:spacing w:val="-6"/>
                <w:sz w:val="24"/>
                <w:szCs w:val="24"/>
              </w:rPr>
              <w:t>采边治理，即土地复垦方案能落实，水土保持</w:t>
            </w:r>
            <w:r>
              <w:rPr>
                <w:rFonts w:hint="default" w:ascii="Times New Roman" w:hAnsi="Times New Roman" w:eastAsia="宋体" w:cs="Times New Roman"/>
                <w:spacing w:val="-7"/>
                <w:sz w:val="24"/>
                <w:szCs w:val="24"/>
              </w:rPr>
              <w:t>工程和生物措施能逐步实施，</w:t>
            </w:r>
            <w:r>
              <w:rPr>
                <w:rFonts w:hint="default" w:ascii="Times New Roman" w:hAnsi="Times New Roman" w:eastAsia="宋体" w:cs="Times New Roman"/>
                <w:spacing w:val="-1"/>
                <w:sz w:val="24"/>
                <w:szCs w:val="24"/>
              </w:rPr>
              <w:t>矿区生态环境会得到改善。只是原来的景观格</w:t>
            </w:r>
            <w:r>
              <w:rPr>
                <w:rFonts w:hint="default" w:ascii="Times New Roman" w:hAnsi="Times New Roman" w:eastAsia="宋体" w:cs="Times New Roman"/>
                <w:spacing w:val="-2"/>
                <w:sz w:val="24"/>
                <w:szCs w:val="24"/>
              </w:rPr>
              <w:t>局发生变化，土地利用情况</w:t>
            </w:r>
            <w:r>
              <w:rPr>
                <w:rFonts w:hint="default" w:ascii="Times New Roman" w:hAnsi="Times New Roman" w:eastAsia="宋体" w:cs="Times New Roman"/>
                <w:spacing w:val="-1"/>
                <w:sz w:val="24"/>
                <w:szCs w:val="24"/>
              </w:rPr>
              <w:t>发生了变化。在采矿服务期满后，矿区在没有</w:t>
            </w:r>
            <w:r>
              <w:rPr>
                <w:rFonts w:hint="default" w:ascii="Times New Roman" w:hAnsi="Times New Roman" w:eastAsia="宋体" w:cs="Times New Roman"/>
                <w:spacing w:val="-2"/>
                <w:sz w:val="24"/>
                <w:szCs w:val="24"/>
              </w:rPr>
              <w:t>采取及时的生态恢复措施时</w:t>
            </w:r>
            <w:r>
              <w:rPr>
                <w:rFonts w:hint="default" w:ascii="Times New Roman" w:hAnsi="Times New Roman" w:eastAsia="宋体" w:cs="Times New Roman"/>
                <w:spacing w:val="-6"/>
                <w:sz w:val="24"/>
                <w:szCs w:val="24"/>
              </w:rPr>
              <w:t>容易发生风蚀沙化造成土壤侵蚀，对矿区的生</w:t>
            </w:r>
            <w:r>
              <w:rPr>
                <w:rFonts w:hint="default" w:ascii="Times New Roman" w:hAnsi="Times New Roman" w:eastAsia="宋体" w:cs="Times New Roman"/>
                <w:spacing w:val="-7"/>
                <w:sz w:val="24"/>
                <w:szCs w:val="24"/>
              </w:rPr>
              <w:t>态环境产生不利影响。因此，</w:t>
            </w:r>
            <w:r>
              <w:rPr>
                <w:rFonts w:hint="default" w:ascii="Times New Roman" w:hAnsi="Times New Roman" w:eastAsia="宋体" w:cs="Times New Roman"/>
                <w:sz w:val="24"/>
                <w:szCs w:val="24"/>
              </w:rPr>
              <w:t>在矿山服务期满后应对生态破坏区实施土地复垦和植被恢复</w:t>
            </w:r>
            <w:r>
              <w:rPr>
                <w:rFonts w:hint="default" w:ascii="Times New Roman" w:hAnsi="Times New Roman" w:eastAsia="宋体" w:cs="Times New Roman"/>
                <w:spacing w:val="-1"/>
                <w:sz w:val="24"/>
                <w:szCs w:val="24"/>
              </w:rPr>
              <w:t>等生态治理</w:t>
            </w:r>
            <w:r>
              <w:rPr>
                <w:rFonts w:hint="default" w:ascii="Times New Roman" w:hAnsi="Times New Roman" w:eastAsia="宋体" w:cs="Times New Roman"/>
                <w:spacing w:val="-2"/>
                <w:sz w:val="24"/>
                <w:szCs w:val="24"/>
              </w:rPr>
              <w:t>措施；严格执行水土保持治理，防止水土流失，减小对区域环境的影响。</w:t>
            </w:r>
          </w:p>
          <w:p w14:paraId="11D611BF">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68" w:firstLineChars="200"/>
              <w:textAlignment w:val="auto"/>
              <w:rPr>
                <w:rFonts w:hint="default" w:ascii="Times New Roman" w:hAnsi="Times New Roman" w:eastAsia="宋体" w:cs="Times New Roman"/>
                <w:b/>
                <w:bCs/>
                <w:spacing w:val="5"/>
                <w:sz w:val="24"/>
                <w:szCs w:val="24"/>
              </w:rPr>
            </w:pPr>
            <w:r>
              <w:rPr>
                <w:rFonts w:hint="default" w:ascii="Times New Roman" w:hAnsi="Times New Roman" w:eastAsia="宋体" w:cs="Times New Roman"/>
                <w:spacing w:val="-3"/>
                <w:sz w:val="24"/>
                <w:szCs w:val="24"/>
              </w:rPr>
              <w:t>由此可见，本项目矿山服务期满后，经采取土地复垦和植被恢复等生态治理措施后，可以降低对区域生态环境的影响。</w:t>
            </w:r>
          </w:p>
        </w:tc>
      </w:tr>
      <w:tr w14:paraId="327C5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13" w:type="dxa"/>
            <w:bottom w:w="0" w:type="dxa"/>
            <w:right w:w="113" w:type="dxa"/>
          </w:tblCellMar>
        </w:tblPrEx>
        <w:trPr>
          <w:trHeight w:val="90" w:hRule="atLeast"/>
        </w:trPr>
        <w:tc>
          <w:tcPr>
            <w:tcW w:w="454" w:type="dxa"/>
            <w:noWrap w:val="0"/>
            <w:vAlign w:val="top"/>
          </w:tcPr>
          <w:p w14:paraId="6F043896">
            <w:pPr>
              <w:rPr>
                <w:rFonts w:hint="default" w:ascii="Times New Roman" w:hAnsi="Times New Roman" w:eastAsia="宋体" w:cs="Times New Roman"/>
                <w:sz w:val="24"/>
                <w:szCs w:val="24"/>
              </w:rPr>
            </w:pPr>
            <w:r>
              <w:rPr>
                <w:rFonts w:hint="default" w:ascii="Times New Roman" w:hAnsi="Times New Roman" w:eastAsia="宋体" w:cs="Times New Roman"/>
                <w:bCs/>
                <w:kern w:val="2"/>
                <w:sz w:val="24"/>
                <w:szCs w:val="24"/>
              </w:rPr>
              <w:t>选址选线环境合理性分析</w:t>
            </w:r>
          </w:p>
        </w:tc>
        <w:tc>
          <w:tcPr>
            <w:tcW w:w="8344" w:type="dxa"/>
            <w:noWrap w:val="0"/>
            <w:vAlign w:val="top"/>
          </w:tcPr>
          <w:p w14:paraId="00078889">
            <w:pPr>
              <w:pStyle w:val="45"/>
              <w:keepNext w:val="0"/>
              <w:keepLines w:val="0"/>
              <w:pageBreakBefore w:val="0"/>
              <w:widowControl w:val="0"/>
              <w:kinsoku/>
              <w:wordWrap/>
              <w:overflowPunct/>
              <w:topLinePunct w:val="0"/>
              <w:autoSpaceDE/>
              <w:autoSpaceDN/>
              <w:bidi w:val="0"/>
              <w:spacing w:line="360" w:lineRule="auto"/>
              <w:ind w:left="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
                <w:sz w:val="24"/>
                <w:szCs w:val="24"/>
              </w:rPr>
              <w:t>1、矿山选址环境合理性分析</w:t>
            </w:r>
          </w:p>
          <w:p w14:paraId="173F8C6D">
            <w:pPr>
              <w:pStyle w:val="45"/>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本项目位于</w:t>
            </w:r>
            <w:r>
              <w:rPr>
                <w:rFonts w:hint="default" w:ascii="Times New Roman" w:hAnsi="Times New Roman" w:eastAsia="宋体" w:cs="Times New Roman"/>
                <w:sz w:val="24"/>
                <w:szCs w:val="24"/>
                <w:lang w:val="en-US" w:eastAsia="zh-CN"/>
              </w:rPr>
              <w:t>张掖</w:t>
            </w:r>
            <w:r>
              <w:rPr>
                <w:rFonts w:hint="default" w:ascii="Times New Roman" w:hAnsi="Times New Roman" w:eastAsia="宋体" w:cs="Times New Roman"/>
                <w:sz w:val="24"/>
                <w:szCs w:val="24"/>
              </w:rPr>
              <w:t>市</w:t>
            </w:r>
            <w:r>
              <w:rPr>
                <w:rFonts w:hint="default" w:ascii="Times New Roman" w:hAnsi="Times New Roman" w:eastAsia="宋体" w:cs="Times New Roman"/>
                <w:sz w:val="24"/>
                <w:szCs w:val="24"/>
                <w:lang w:val="en-US" w:eastAsia="zh-CN"/>
              </w:rPr>
              <w:t>临泽</w:t>
            </w:r>
            <w:r>
              <w:rPr>
                <w:rFonts w:hint="default" w:ascii="Times New Roman" w:hAnsi="Times New Roman" w:eastAsia="宋体" w:cs="Times New Roman"/>
                <w:sz w:val="24"/>
                <w:szCs w:val="24"/>
              </w:rPr>
              <w:t>县</w:t>
            </w:r>
            <w:r>
              <w:rPr>
                <w:rFonts w:hint="default" w:ascii="Times New Roman" w:hAnsi="Times New Roman" w:eastAsia="宋体" w:cs="Times New Roman"/>
                <w:sz w:val="24"/>
                <w:szCs w:val="24"/>
                <w:lang w:val="en-US" w:eastAsia="zh-CN"/>
              </w:rPr>
              <w:t>板桥镇凹凸棒石粘土矿</w:t>
            </w:r>
            <w:r>
              <w:rPr>
                <w:rFonts w:hint="default" w:ascii="Times New Roman" w:hAnsi="Times New Roman" w:eastAsia="宋体" w:cs="Times New Roman"/>
                <w:sz w:val="24"/>
                <w:szCs w:val="24"/>
              </w:rPr>
              <w:t>，项目《矿产资源开采方案》</w:t>
            </w:r>
            <w:r>
              <w:rPr>
                <w:rFonts w:hint="default" w:ascii="Times New Roman" w:hAnsi="Times New Roman" w:eastAsia="宋体" w:cs="Times New Roman"/>
                <w:spacing w:val="-1"/>
                <w:sz w:val="24"/>
                <w:szCs w:val="24"/>
              </w:rPr>
              <w:t>已通过评审。矿权范围、</w:t>
            </w:r>
            <w:r>
              <w:rPr>
                <w:rFonts w:hint="eastAsia" w:ascii="Times New Roman" w:hAnsi="Times New Roman" w:eastAsia="宋体" w:cs="Times New Roman"/>
                <w:spacing w:val="-1"/>
                <w:sz w:val="24"/>
                <w:szCs w:val="24"/>
                <w:lang w:val="en-US" w:eastAsia="zh-CN"/>
              </w:rPr>
              <w:t>采矿区</w:t>
            </w:r>
            <w:r>
              <w:rPr>
                <w:rFonts w:hint="default" w:ascii="Times New Roman" w:hAnsi="Times New Roman" w:eastAsia="宋体" w:cs="Times New Roman"/>
                <w:spacing w:val="-1"/>
                <w:sz w:val="24"/>
                <w:szCs w:val="24"/>
              </w:rPr>
              <w:t>、</w:t>
            </w:r>
            <w:r>
              <w:rPr>
                <w:rFonts w:hint="eastAsia" w:ascii="Times New Roman" w:hAnsi="Times New Roman" w:eastAsia="宋体" w:cs="Times New Roman"/>
                <w:spacing w:val="-1"/>
                <w:sz w:val="24"/>
                <w:szCs w:val="24"/>
                <w:lang w:val="en-US" w:eastAsia="zh-CN"/>
              </w:rPr>
              <w:t>临时值班室</w:t>
            </w:r>
            <w:r>
              <w:rPr>
                <w:rFonts w:hint="default" w:ascii="Times New Roman" w:hAnsi="Times New Roman" w:eastAsia="宋体" w:cs="Times New Roman"/>
                <w:spacing w:val="-1"/>
                <w:sz w:val="24"/>
                <w:szCs w:val="24"/>
              </w:rPr>
              <w:t>以及排</w:t>
            </w:r>
            <w:r>
              <w:rPr>
                <w:rFonts w:hint="default" w:ascii="Times New Roman" w:hAnsi="Times New Roman" w:eastAsia="宋体" w:cs="Times New Roman"/>
                <w:spacing w:val="-2"/>
                <w:sz w:val="24"/>
                <w:szCs w:val="24"/>
              </w:rPr>
              <w:t>土场等占地范围内</w:t>
            </w:r>
            <w:r>
              <w:rPr>
                <w:rFonts w:hint="default" w:ascii="Times New Roman" w:hAnsi="Times New Roman" w:eastAsia="宋体" w:cs="Times New Roman"/>
                <w:spacing w:val="-1"/>
                <w:sz w:val="24"/>
                <w:szCs w:val="24"/>
              </w:rPr>
              <w:t>无自然保护区、风景名胜区、饮用水水源地、基本农田</w:t>
            </w:r>
            <w:r>
              <w:rPr>
                <w:rFonts w:hint="default" w:ascii="Times New Roman" w:hAnsi="Times New Roman" w:eastAsia="宋体" w:cs="Times New Roman"/>
                <w:spacing w:val="-2"/>
                <w:sz w:val="24"/>
                <w:szCs w:val="24"/>
              </w:rPr>
              <w:t>等需要特殊保护的</w:t>
            </w:r>
            <w:r>
              <w:rPr>
                <w:rFonts w:hint="default" w:ascii="Times New Roman" w:hAnsi="Times New Roman" w:eastAsia="宋体" w:cs="Times New Roman"/>
                <w:spacing w:val="-1"/>
                <w:sz w:val="24"/>
                <w:szCs w:val="24"/>
              </w:rPr>
              <w:t>区域。项目无生产废水产生，工作人员产生的生活污水</w:t>
            </w:r>
            <w:r>
              <w:rPr>
                <w:rFonts w:hint="default" w:ascii="Times New Roman" w:hAnsi="Times New Roman" w:eastAsia="宋体" w:cs="Times New Roman"/>
                <w:spacing w:val="-2"/>
                <w:sz w:val="24"/>
                <w:szCs w:val="24"/>
              </w:rPr>
              <w:t>洒水降尘；项目采</w:t>
            </w:r>
            <w:r>
              <w:rPr>
                <w:rFonts w:hint="default" w:ascii="Times New Roman" w:hAnsi="Times New Roman" w:eastAsia="宋体" w:cs="Times New Roman"/>
                <w:spacing w:val="-1"/>
                <w:sz w:val="24"/>
                <w:szCs w:val="24"/>
              </w:rPr>
              <w:t>场距离周围村庄较远，项目开采期采矿工程及运</w:t>
            </w:r>
            <w:r>
              <w:rPr>
                <w:rFonts w:hint="default" w:ascii="Times New Roman" w:hAnsi="Times New Roman" w:eastAsia="宋体" w:cs="Times New Roman"/>
                <w:spacing w:val="-2"/>
                <w:sz w:val="24"/>
                <w:szCs w:val="24"/>
              </w:rPr>
              <w:t>输过程产生的噪声经距离</w:t>
            </w:r>
            <w:r>
              <w:rPr>
                <w:rFonts w:hint="default" w:ascii="Times New Roman" w:hAnsi="Times New Roman" w:eastAsia="宋体" w:cs="Times New Roman"/>
                <w:spacing w:val="-1"/>
                <w:sz w:val="24"/>
                <w:szCs w:val="24"/>
              </w:rPr>
              <w:t>衰减后，不会对周围村庄造成影响；项目采矿各</w:t>
            </w:r>
            <w:r>
              <w:rPr>
                <w:rFonts w:hint="default" w:ascii="Times New Roman" w:hAnsi="Times New Roman" w:eastAsia="宋体" w:cs="Times New Roman"/>
                <w:spacing w:val="-2"/>
                <w:sz w:val="24"/>
                <w:szCs w:val="24"/>
              </w:rPr>
              <w:t>工序产生的粉尘经采取措</w:t>
            </w:r>
            <w:r>
              <w:rPr>
                <w:rFonts w:hint="default" w:ascii="Times New Roman" w:hAnsi="Times New Roman" w:eastAsia="宋体" w:cs="Times New Roman"/>
                <w:spacing w:val="-1"/>
                <w:sz w:val="24"/>
                <w:szCs w:val="24"/>
              </w:rPr>
              <w:t>施处理后，不会对周边大气环境造成大的影响；</w:t>
            </w:r>
            <w:r>
              <w:rPr>
                <w:rFonts w:hint="default" w:ascii="Times New Roman" w:hAnsi="Times New Roman" w:eastAsia="宋体" w:cs="Times New Roman"/>
                <w:spacing w:val="-2"/>
                <w:sz w:val="24"/>
                <w:szCs w:val="24"/>
              </w:rPr>
              <w:t>工人生活产生的生活垃圾</w:t>
            </w:r>
            <w:r>
              <w:rPr>
                <w:rFonts w:hint="default" w:ascii="Times New Roman" w:hAnsi="Times New Roman" w:eastAsia="宋体" w:cs="Times New Roman"/>
                <w:spacing w:val="-3"/>
                <w:sz w:val="24"/>
                <w:szCs w:val="24"/>
              </w:rPr>
              <w:t>量较少，经垃圾桶收集后定期运至当地环卫部门指定地点处置，固体废弃</w:t>
            </w:r>
            <w:r>
              <w:rPr>
                <w:rFonts w:hint="default" w:ascii="Times New Roman" w:hAnsi="Times New Roman" w:eastAsia="宋体" w:cs="Times New Roman"/>
                <w:spacing w:val="-1"/>
                <w:sz w:val="24"/>
                <w:szCs w:val="24"/>
              </w:rPr>
              <w:t>物不会对周边敏感点造成影响。污染物的排放不</w:t>
            </w:r>
            <w:r>
              <w:rPr>
                <w:rFonts w:hint="default" w:ascii="Times New Roman" w:hAnsi="Times New Roman" w:eastAsia="宋体" w:cs="Times New Roman"/>
                <w:spacing w:val="-2"/>
                <w:sz w:val="24"/>
                <w:szCs w:val="24"/>
              </w:rPr>
              <w:t>会改变区域现有的环境功</w:t>
            </w:r>
            <w:r>
              <w:rPr>
                <w:rFonts w:hint="default" w:ascii="Times New Roman" w:hAnsi="Times New Roman" w:eastAsia="宋体" w:cs="Times New Roman"/>
                <w:spacing w:val="-1"/>
                <w:sz w:val="24"/>
                <w:szCs w:val="24"/>
              </w:rPr>
              <w:t>能，对周边环境的影响均控制在当地环境可接受</w:t>
            </w:r>
            <w:r>
              <w:rPr>
                <w:rFonts w:hint="default" w:ascii="Times New Roman" w:hAnsi="Times New Roman" w:eastAsia="宋体" w:cs="Times New Roman"/>
                <w:spacing w:val="-2"/>
                <w:sz w:val="24"/>
                <w:szCs w:val="24"/>
              </w:rPr>
              <w:t>范围内。项目矿区边界内无其他矿权设置</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矿区不位于铁路、国道、省道两侧</w:t>
            </w:r>
            <w:r>
              <w:rPr>
                <w:rFonts w:hint="default" w:ascii="Times New Roman" w:hAnsi="Times New Roman" w:eastAsia="宋体" w:cs="Times New Roman"/>
                <w:spacing w:val="-3"/>
                <w:sz w:val="24"/>
                <w:szCs w:val="24"/>
              </w:rPr>
              <w:t>的直观可视范围内；</w:t>
            </w:r>
            <w:r>
              <w:rPr>
                <w:rFonts w:hint="default" w:ascii="Times New Roman" w:hAnsi="Times New Roman" w:eastAsia="宋体" w:cs="Times New Roman"/>
                <w:spacing w:val="-1"/>
                <w:sz w:val="24"/>
                <w:szCs w:val="24"/>
              </w:rPr>
              <w:t>矿区不在地质灾害危险区。</w:t>
            </w:r>
          </w:p>
          <w:p w14:paraId="45DEA076">
            <w:pPr>
              <w:pStyle w:val="45"/>
              <w:keepNext w:val="0"/>
              <w:keepLines w:val="0"/>
              <w:pageBreakBefore w:val="0"/>
              <w:widowControl w:val="0"/>
              <w:kinsoku/>
              <w:wordWrap/>
              <w:overflowPunct/>
              <w:topLinePunct w:val="0"/>
              <w:autoSpaceDE/>
              <w:autoSpaceDN/>
              <w:bidi w:val="0"/>
              <w:spacing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甘肃省生态环境分区管控公众服务平台</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选址分析结果，本</w:t>
            </w:r>
            <w:r>
              <w:rPr>
                <w:rFonts w:hint="default" w:ascii="Times New Roman" w:hAnsi="Times New Roman" w:eastAsia="宋体" w:cs="Times New Roman"/>
                <w:spacing w:val="1"/>
                <w:sz w:val="24"/>
                <w:szCs w:val="24"/>
              </w:rPr>
              <w:t>项目选址涉及</w:t>
            </w: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spacing w:val="1"/>
                <w:sz w:val="24"/>
                <w:szCs w:val="24"/>
                <w:lang w:val="en-US" w:eastAsia="zh-CN"/>
              </w:rPr>
              <w:t>临泽县一般管控单元</w:t>
            </w: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spacing w:val="1"/>
                <w:sz w:val="24"/>
                <w:szCs w:val="24"/>
                <w:lang w:val="en-US" w:eastAsia="zh-CN"/>
              </w:rPr>
              <w:t>和“临泽县城镇空间”</w:t>
            </w:r>
            <w:r>
              <w:rPr>
                <w:rFonts w:hint="default" w:ascii="Times New Roman" w:hAnsi="Times New Roman" w:eastAsia="宋体" w:cs="Times New Roman"/>
                <w:spacing w:val="1"/>
                <w:sz w:val="24"/>
                <w:szCs w:val="24"/>
              </w:rPr>
              <w:t>，不在生态保护红线划定范围</w:t>
            </w:r>
            <w:r>
              <w:rPr>
                <w:rFonts w:hint="default" w:ascii="Times New Roman" w:hAnsi="Times New Roman" w:eastAsia="宋体" w:cs="Times New Roman"/>
                <w:spacing w:val="-1"/>
                <w:sz w:val="24"/>
                <w:szCs w:val="24"/>
              </w:rPr>
              <w:t>之内，符合生态环境分区管控管理要求。</w:t>
            </w:r>
          </w:p>
          <w:p w14:paraId="5708737E">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z w:val="24"/>
                <w:szCs w:val="24"/>
              </w:rPr>
              <w:t>综上分析，项目选址无环境制约因素，从环保的角度考</w:t>
            </w:r>
            <w:r>
              <w:rPr>
                <w:rFonts w:hint="default" w:ascii="Times New Roman" w:hAnsi="Times New Roman" w:eastAsia="宋体" w:cs="Times New Roman"/>
                <w:spacing w:val="-1"/>
                <w:sz w:val="24"/>
                <w:szCs w:val="24"/>
              </w:rPr>
              <w:t>虑可行。</w:t>
            </w:r>
          </w:p>
          <w:p w14:paraId="1A0D2CBC">
            <w:pPr>
              <w:keepNext w:val="0"/>
              <w:keepLines w:val="0"/>
              <w:pageBreakBefore w:val="0"/>
              <w:widowControl w:val="0"/>
              <w:kinsoku/>
              <w:wordWrap/>
              <w:overflowPunct/>
              <w:topLinePunct w:val="0"/>
              <w:autoSpaceDE/>
              <w:autoSpaceDN/>
              <w:bidi w:val="0"/>
              <w:adjustRightInd w:val="0"/>
              <w:snapToGrid w:val="0"/>
              <w:spacing w:line="360" w:lineRule="auto"/>
              <w:ind w:left="0" w:right="0" w:firstLine="476"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1"/>
                <w:sz w:val="24"/>
                <w:szCs w:val="24"/>
              </w:rPr>
              <w:t>2、排土场选址合理性分析</w:t>
            </w:r>
          </w:p>
          <w:p w14:paraId="70FD40FA">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排土场布置在矿区西北侧。排土场设计规格为长度约265m，宽度约255m，平均高度约20m，排土场分层排土高度10m，安全平台宽度6m，</w:t>
            </w:r>
            <w:r>
              <w:rPr>
                <w:rFonts w:hint="default" w:ascii="Times New Roman" w:hAnsi="Times New Roman" w:eastAsia="宋体" w:cs="Times New Roman"/>
                <w:sz w:val="24"/>
                <w:szCs w:val="24"/>
                <w:highlight w:val="none"/>
              </w:rPr>
              <w:t>排土场总容积约为116万m³。</w:t>
            </w:r>
            <w:r>
              <w:rPr>
                <w:rFonts w:hint="default" w:ascii="Times New Roman" w:hAnsi="Times New Roman" w:eastAsia="宋体" w:cs="Times New Roman"/>
                <w:sz w:val="24"/>
                <w:szCs w:val="24"/>
              </w:rPr>
              <w:t>排土场表面应形成2～5%的反坡，排土卸载平台边缘，设置固定的挡车设施，其高度不小于0.8m，顶宽和底宽分别不小于0.6m和1.0m，排土场台阶坡面角33°（1:1.5），最终边坡角28°。</w:t>
            </w:r>
          </w:p>
          <w:p w14:paraId="2C25C071">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排土工艺为挖掘机铲装，自卸翻斗汽车拉运排放，挖掘机辅助场内平整作业。</w:t>
            </w:r>
          </w:p>
          <w:p w14:paraId="47CF7D1D">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废石严禁乱采乱倒，破坏矿区整体布局。排土场不应形成大面积的积水，发现大量积水应尽快排水并将其填平，以免形成泥石流，威胁人员安全。</w:t>
            </w:r>
          </w:p>
          <w:p w14:paraId="54CA1EC2">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内部排土场不应影响矿山正常开采，排土场坡脚与开采作业点之间应留设安全距离，必要时设置滚石或泥石流拦挡设施。</w:t>
            </w:r>
          </w:p>
          <w:p w14:paraId="3D094AEE">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在排土场周围要设置警示牌，以防发生安全事故。</w:t>
            </w:r>
          </w:p>
          <w:p w14:paraId="6FF0AD8F">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本次环评根据《一般工业固体废物贮存和填埋污染控制标准》</w:t>
            </w:r>
            <w:r>
              <w:rPr>
                <w:rFonts w:hint="default" w:ascii="Times New Roman" w:hAnsi="Times New Roman" w:eastAsia="宋体" w:cs="Times New Roman"/>
                <w:spacing w:val="10"/>
                <w:sz w:val="24"/>
                <w:szCs w:val="24"/>
              </w:rPr>
              <w:t>（</w:t>
            </w:r>
            <w:r>
              <w:rPr>
                <w:rFonts w:hint="default" w:ascii="Times New Roman" w:hAnsi="Times New Roman" w:eastAsia="宋体" w:cs="Times New Roman"/>
                <w:sz w:val="24"/>
                <w:szCs w:val="24"/>
              </w:rPr>
              <w:t>GB</w:t>
            </w:r>
            <w:r>
              <w:rPr>
                <w:rFonts w:hint="default" w:ascii="Times New Roman" w:hAnsi="Times New Roman" w:eastAsia="宋体" w:cs="Times New Roman"/>
                <w:spacing w:val="10"/>
                <w:sz w:val="24"/>
                <w:szCs w:val="24"/>
              </w:rPr>
              <w:t>18599-2020）中选址要求对项目排土场的选址进行分析，选址符</w:t>
            </w:r>
            <w:r>
              <w:rPr>
                <w:rFonts w:hint="default" w:ascii="Times New Roman" w:hAnsi="Times New Roman" w:eastAsia="宋体" w:cs="Times New Roman"/>
                <w:spacing w:val="3"/>
                <w:sz w:val="24"/>
                <w:szCs w:val="24"/>
              </w:rPr>
              <w:t>合性分析结果详见表4-</w:t>
            </w:r>
            <w:r>
              <w:rPr>
                <w:rFonts w:hint="eastAsia" w:ascii="Times New Roman" w:hAnsi="Times New Roman" w:eastAsia="宋体" w:cs="Times New Roman"/>
                <w:spacing w:val="3"/>
                <w:sz w:val="24"/>
                <w:szCs w:val="24"/>
                <w:lang w:val="en-US" w:eastAsia="zh-CN"/>
              </w:rPr>
              <w:t>21</w:t>
            </w:r>
            <w:r>
              <w:rPr>
                <w:rFonts w:hint="default" w:ascii="Times New Roman" w:hAnsi="Times New Roman" w:eastAsia="宋体" w:cs="Times New Roman"/>
                <w:spacing w:val="3"/>
                <w:sz w:val="24"/>
                <w:szCs w:val="24"/>
              </w:rPr>
              <w:t>。</w:t>
            </w:r>
          </w:p>
          <w:p w14:paraId="148189EF">
            <w:pPr>
              <w:adjustRightInd w:val="0"/>
              <w:snapToGrid w:val="0"/>
              <w:jc w:val="center"/>
              <w:rPr>
                <w:rFonts w:hint="default" w:ascii="Times New Roman" w:hAnsi="Times New Roman" w:eastAsia="宋体" w:cs="Times New Roman"/>
                <w:b/>
                <w:bCs/>
                <w:spacing w:val="12"/>
                <w:sz w:val="21"/>
                <w:szCs w:val="21"/>
              </w:rPr>
            </w:pPr>
            <w:r>
              <w:rPr>
                <w:rFonts w:hint="default" w:ascii="Times New Roman" w:hAnsi="Times New Roman" w:eastAsia="宋体" w:cs="Times New Roman"/>
                <w:b/>
                <w:bCs/>
                <w:spacing w:val="13"/>
                <w:sz w:val="21"/>
                <w:szCs w:val="21"/>
              </w:rPr>
              <w:t>表4-</w:t>
            </w:r>
            <w:r>
              <w:rPr>
                <w:rFonts w:hint="eastAsia" w:ascii="Times New Roman" w:hAnsi="Times New Roman" w:eastAsia="宋体" w:cs="Times New Roman"/>
                <w:b/>
                <w:bCs/>
                <w:spacing w:val="13"/>
                <w:sz w:val="21"/>
                <w:szCs w:val="21"/>
                <w:lang w:val="en-US" w:eastAsia="zh-CN"/>
              </w:rPr>
              <w:t>2</w:t>
            </w:r>
            <w:r>
              <w:rPr>
                <w:rFonts w:hint="eastAsia" w:cs="Times New Roman"/>
                <w:b/>
                <w:bCs/>
                <w:spacing w:val="13"/>
                <w:sz w:val="21"/>
                <w:szCs w:val="21"/>
                <w:lang w:val="en-US" w:eastAsia="zh-CN"/>
              </w:rPr>
              <w:t>1</w:t>
            </w:r>
            <w:r>
              <w:rPr>
                <w:rFonts w:hint="default" w:ascii="Times New Roman" w:hAnsi="Times New Roman" w:eastAsia="宋体" w:cs="Times New Roman"/>
                <w:b/>
                <w:bCs/>
                <w:spacing w:val="13"/>
                <w:sz w:val="21"/>
                <w:szCs w:val="21"/>
              </w:rPr>
              <w:t xml:space="preserve">   项目排土场选址与 </w:t>
            </w:r>
            <w:r>
              <w:rPr>
                <w:rFonts w:hint="default" w:ascii="Times New Roman" w:hAnsi="Times New Roman" w:eastAsia="宋体" w:cs="Times New Roman"/>
                <w:b/>
                <w:bCs/>
                <w:sz w:val="21"/>
                <w:szCs w:val="21"/>
              </w:rPr>
              <w:t>GB</w:t>
            </w:r>
            <w:r>
              <w:rPr>
                <w:rFonts w:hint="default" w:ascii="Times New Roman" w:hAnsi="Times New Roman" w:eastAsia="宋体" w:cs="Times New Roman"/>
                <w:b/>
                <w:bCs/>
                <w:spacing w:val="13"/>
                <w:sz w:val="21"/>
                <w:szCs w:val="21"/>
              </w:rPr>
              <w:t>18599-2020 符</w:t>
            </w:r>
            <w:r>
              <w:rPr>
                <w:rFonts w:hint="default" w:ascii="Times New Roman" w:hAnsi="Times New Roman" w:eastAsia="宋体" w:cs="Times New Roman"/>
                <w:b/>
                <w:bCs/>
                <w:spacing w:val="12"/>
                <w:sz w:val="21"/>
                <w:szCs w:val="21"/>
              </w:rPr>
              <w:t>合性分析</w:t>
            </w:r>
          </w:p>
          <w:tbl>
            <w:tblPr>
              <w:tblStyle w:val="23"/>
              <w:tblW w:w="8138"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276"/>
              <w:gridCol w:w="2682"/>
              <w:gridCol w:w="1388"/>
            </w:tblGrid>
            <w:tr w14:paraId="6223A67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92" w:type="dxa"/>
                  <w:tcBorders>
                    <w:top w:val="single" w:color="000000" w:sz="12" w:space="0"/>
                    <w:left w:val="nil"/>
                    <w:tl2br w:val="nil"/>
                  </w:tcBorders>
                  <w:noWrap w:val="0"/>
                  <w:vAlign w:val="center"/>
                </w:tcPr>
                <w:p w14:paraId="5B50BB3B">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序号</w:t>
                  </w:r>
                </w:p>
              </w:tc>
              <w:tc>
                <w:tcPr>
                  <w:tcW w:w="3276" w:type="dxa"/>
                  <w:tcBorders>
                    <w:top w:val="single" w:color="000000" w:sz="12" w:space="0"/>
                  </w:tcBorders>
                  <w:noWrap w:val="0"/>
                  <w:vAlign w:val="center"/>
                </w:tcPr>
                <w:p w14:paraId="53BC872B">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GB18599-2020 选址要求</w:t>
                  </w:r>
                </w:p>
              </w:tc>
              <w:tc>
                <w:tcPr>
                  <w:tcW w:w="2682" w:type="dxa"/>
                  <w:tcBorders>
                    <w:top w:val="single" w:color="000000" w:sz="12" w:space="0"/>
                  </w:tcBorders>
                  <w:noWrap w:val="0"/>
                  <w:vAlign w:val="center"/>
                </w:tcPr>
                <w:p w14:paraId="592C44FE">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实际条件</w:t>
                  </w:r>
                </w:p>
              </w:tc>
              <w:tc>
                <w:tcPr>
                  <w:tcW w:w="1388" w:type="dxa"/>
                  <w:tcBorders>
                    <w:top w:val="single" w:color="000000" w:sz="12" w:space="0"/>
                    <w:right w:val="nil"/>
                  </w:tcBorders>
                  <w:noWrap w:val="0"/>
                  <w:vAlign w:val="center"/>
                </w:tcPr>
                <w:p w14:paraId="2C838512">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val="0"/>
                      <w:bCs/>
                      <w:i w:val="0"/>
                      <w:iCs w:val="0"/>
                      <w:color w:val="000000"/>
                      <w:kern w:val="0"/>
                      <w:sz w:val="21"/>
                      <w:szCs w:val="21"/>
                      <w:u w:val="none"/>
                      <w:lang w:val="en-US" w:eastAsia="zh-CN" w:bidi="ar"/>
                    </w:rPr>
                    <w:t>符合性</w:t>
                  </w:r>
                </w:p>
              </w:tc>
            </w:tr>
            <w:tr w14:paraId="5A390B1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792" w:type="dxa"/>
                  <w:tcBorders>
                    <w:left w:val="nil"/>
                  </w:tcBorders>
                  <w:noWrap w:val="0"/>
                  <w:vAlign w:val="center"/>
                </w:tcPr>
                <w:p w14:paraId="5DE9EDC8">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w:t>
                  </w:r>
                </w:p>
              </w:tc>
              <w:tc>
                <w:tcPr>
                  <w:tcW w:w="3276" w:type="dxa"/>
                  <w:noWrap w:val="0"/>
                  <w:vAlign w:val="center"/>
                </w:tcPr>
                <w:p w14:paraId="34892986">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一般工业固体废物贮存场、填埋场的选址应符合环境保护法律法规及相关法定规划要求。</w:t>
                  </w:r>
                </w:p>
              </w:tc>
              <w:tc>
                <w:tcPr>
                  <w:tcW w:w="2682" w:type="dxa"/>
                  <w:noWrap w:val="0"/>
                  <w:vAlign w:val="center"/>
                </w:tcPr>
                <w:p w14:paraId="5CE81D53">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不在市区及乡镇城乡总体规划用地范围，不属于限制与禁止建设区。</w:t>
                  </w:r>
                </w:p>
              </w:tc>
              <w:tc>
                <w:tcPr>
                  <w:tcW w:w="1388" w:type="dxa"/>
                  <w:tcBorders>
                    <w:right w:val="nil"/>
                  </w:tcBorders>
                  <w:noWrap w:val="0"/>
                  <w:vAlign w:val="center"/>
                </w:tcPr>
                <w:p w14:paraId="1B94BF9B">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符合</w:t>
                  </w:r>
                </w:p>
              </w:tc>
            </w:tr>
            <w:tr w14:paraId="3B601B7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792" w:type="dxa"/>
                  <w:tcBorders>
                    <w:left w:val="nil"/>
                  </w:tcBorders>
                  <w:noWrap w:val="0"/>
                  <w:vAlign w:val="center"/>
                </w:tcPr>
                <w:p w14:paraId="50B4BB87">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w:t>
                  </w:r>
                </w:p>
              </w:tc>
              <w:tc>
                <w:tcPr>
                  <w:tcW w:w="3276" w:type="dxa"/>
                  <w:noWrap w:val="0"/>
                  <w:vAlign w:val="center"/>
                </w:tcPr>
                <w:p w14:paraId="088B90F3">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贮存场、填埋场不得选在生态保护红线区域、永久基本农田集中区域和其他需要特别保护的区域内。</w:t>
                  </w:r>
                </w:p>
              </w:tc>
              <w:tc>
                <w:tcPr>
                  <w:tcW w:w="2682" w:type="dxa"/>
                  <w:noWrap w:val="0"/>
                  <w:vAlign w:val="center"/>
                </w:tcPr>
                <w:p w14:paraId="4F133BC2">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排土场占地范围内不涉及生态保护红线、基本农田和其它需要保护的区域内。</w:t>
                  </w:r>
                </w:p>
              </w:tc>
              <w:tc>
                <w:tcPr>
                  <w:tcW w:w="1388" w:type="dxa"/>
                  <w:tcBorders>
                    <w:right w:val="nil"/>
                  </w:tcBorders>
                  <w:noWrap w:val="0"/>
                  <w:vAlign w:val="center"/>
                </w:tcPr>
                <w:p w14:paraId="4C20C2CA">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符合</w:t>
                  </w:r>
                </w:p>
              </w:tc>
            </w:tr>
            <w:tr w14:paraId="1DB8E29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792" w:type="dxa"/>
                  <w:tcBorders>
                    <w:left w:val="nil"/>
                  </w:tcBorders>
                  <w:noWrap w:val="0"/>
                  <w:vAlign w:val="center"/>
                </w:tcPr>
                <w:p w14:paraId="14AC4898">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3</w:t>
                  </w:r>
                </w:p>
              </w:tc>
              <w:tc>
                <w:tcPr>
                  <w:tcW w:w="3276" w:type="dxa"/>
                  <w:noWrap w:val="0"/>
                  <w:vAlign w:val="center"/>
                </w:tcPr>
                <w:p w14:paraId="11046B85">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贮存场、填埋场应避开活动断层、溶洞区、天然滑坡或泥石流影响区以及湿地等区域。</w:t>
                  </w:r>
                </w:p>
              </w:tc>
              <w:tc>
                <w:tcPr>
                  <w:tcW w:w="2682" w:type="dxa"/>
                  <w:noWrap w:val="0"/>
                  <w:vAlign w:val="center"/>
                </w:tcPr>
                <w:p w14:paraId="7410B0E8">
                  <w:pPr>
                    <w:keepNext w:val="0"/>
                    <w:keepLines w:val="0"/>
                    <w:pageBreakBefore w:val="0"/>
                    <w:widowControl/>
                    <w:suppressLineNumbers w:val="0"/>
                    <w:kinsoku/>
                    <w:wordWrap/>
                    <w:overflowPunct/>
                    <w:topLinePunct w:val="0"/>
                    <w:autoSpaceDE/>
                    <w:autoSpaceDN/>
                    <w:bidi w:val="0"/>
                    <w:adjustRightInd/>
                    <w:snapToGrid/>
                    <w:spacing w:line="360" w:lineRule="auto"/>
                    <w:ind w:left="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不在断层、溶洞区，地形坡度较小，现状不具有发生滑坡或泥石流条件，不在湿地区域。</w:t>
                  </w:r>
                </w:p>
              </w:tc>
              <w:tc>
                <w:tcPr>
                  <w:tcW w:w="1388" w:type="dxa"/>
                  <w:tcBorders>
                    <w:right w:val="nil"/>
                  </w:tcBorders>
                  <w:noWrap w:val="0"/>
                  <w:vAlign w:val="center"/>
                </w:tcPr>
                <w:p w14:paraId="1FA1388C">
                  <w:pPr>
                    <w:keepNext w:val="0"/>
                    <w:keepLines w:val="0"/>
                    <w:pageBreakBefore w:val="0"/>
                    <w:widowControl/>
                    <w:suppressLineNumbers w:val="0"/>
                    <w:kinsoku/>
                    <w:wordWrap/>
                    <w:overflowPunct/>
                    <w:topLinePunct w:val="0"/>
                    <w:autoSpaceDE/>
                    <w:autoSpaceDN/>
                    <w:bidi w:val="0"/>
                    <w:adjustRightInd/>
                    <w:snapToGrid/>
                    <w:spacing w:line="360" w:lineRule="auto"/>
                    <w:ind w:left="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符合</w:t>
                  </w:r>
                </w:p>
              </w:tc>
            </w:tr>
            <w:tr w14:paraId="11B628E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792" w:type="dxa"/>
                  <w:tcBorders>
                    <w:left w:val="nil"/>
                    <w:bottom w:val="single" w:color="000000" w:sz="12" w:space="0"/>
                  </w:tcBorders>
                  <w:noWrap/>
                  <w:vAlign w:val="center"/>
                </w:tcPr>
                <w:p w14:paraId="74F56E31">
                  <w:pPr>
                    <w:keepNext w:val="0"/>
                    <w:keepLines w:val="0"/>
                    <w:pageBreakBefore w:val="0"/>
                    <w:kinsoku/>
                    <w:wordWrap/>
                    <w:overflowPunct/>
                    <w:topLinePunct w:val="0"/>
                    <w:autoSpaceDE/>
                    <w:autoSpaceDN/>
                    <w:bidi w:val="0"/>
                    <w:adjustRightInd/>
                    <w:snapToGrid/>
                    <w:spacing w:line="360" w:lineRule="auto"/>
                    <w:ind w:left="0"/>
                    <w:jc w:val="center"/>
                    <w:rPr>
                      <w:rFonts w:hint="default" w:ascii="Times New Roman" w:hAnsi="Times New Roman" w:eastAsia="宋体" w:cs="Times New Roman"/>
                      <w:b w:val="0"/>
                      <w:color w:val="000000"/>
                      <w:sz w:val="21"/>
                      <w:szCs w:val="21"/>
                    </w:rPr>
                  </w:pPr>
                </w:p>
                <w:p w14:paraId="0E59F931">
                  <w:pPr>
                    <w:keepNext w:val="0"/>
                    <w:keepLines w:val="0"/>
                    <w:pageBreakBefore w:val="0"/>
                    <w:kinsoku/>
                    <w:wordWrap/>
                    <w:overflowPunct/>
                    <w:topLinePunct w:val="0"/>
                    <w:autoSpaceDE/>
                    <w:autoSpaceDN/>
                    <w:bidi w:val="0"/>
                    <w:adjustRightInd/>
                    <w:snapToGrid/>
                    <w:spacing w:line="360" w:lineRule="auto"/>
                    <w:ind w:left="0"/>
                    <w:jc w:val="center"/>
                    <w:rPr>
                      <w:rFonts w:hint="default" w:ascii="Times New Roman" w:hAnsi="Times New Roman" w:eastAsia="宋体" w:cs="Times New Roman"/>
                      <w:b w:val="0"/>
                      <w:color w:val="000000"/>
                      <w:sz w:val="21"/>
                      <w:szCs w:val="21"/>
                    </w:rPr>
                  </w:pPr>
                </w:p>
                <w:p w14:paraId="027AECFD">
                  <w:pPr>
                    <w:keepNext w:val="0"/>
                    <w:keepLines w:val="0"/>
                    <w:pageBreakBefore w:val="0"/>
                    <w:kinsoku/>
                    <w:wordWrap/>
                    <w:overflowPunct/>
                    <w:topLinePunct w:val="0"/>
                    <w:autoSpaceDE/>
                    <w:autoSpaceDN/>
                    <w:bidi w:val="0"/>
                    <w:adjustRightInd/>
                    <w:snapToGrid/>
                    <w:spacing w:line="360" w:lineRule="auto"/>
                    <w:ind w:left="0" w:leftChars="0"/>
                    <w:jc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color w:val="000000"/>
                      <w:spacing w:val="22"/>
                      <w:sz w:val="21"/>
                      <w:szCs w:val="21"/>
                    </w:rPr>
                    <w:t>4</w:t>
                  </w:r>
                </w:p>
              </w:tc>
              <w:tc>
                <w:tcPr>
                  <w:tcW w:w="3276" w:type="dxa"/>
                  <w:tcBorders>
                    <w:bottom w:val="single" w:color="000000" w:sz="12" w:space="0"/>
                  </w:tcBorders>
                  <w:noWrap w:val="0"/>
                  <w:vAlign w:val="center"/>
                </w:tcPr>
                <w:p w14:paraId="03F3F884">
                  <w:pPr>
                    <w:pStyle w:val="45"/>
                    <w:keepNext w:val="0"/>
                    <w:keepLines w:val="0"/>
                    <w:pageBreakBefore w:val="0"/>
                    <w:kinsoku/>
                    <w:wordWrap/>
                    <w:overflowPunct/>
                    <w:topLinePunct w:val="0"/>
                    <w:autoSpaceDE/>
                    <w:autoSpaceDN/>
                    <w:bidi w:val="0"/>
                    <w:adjustRightInd/>
                    <w:snapToGrid/>
                    <w:spacing w:line="360" w:lineRule="auto"/>
                    <w:ind w:left="0"/>
                    <w:jc w:val="left"/>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pacing w:val="-3"/>
                      <w:sz w:val="21"/>
                      <w:szCs w:val="21"/>
                    </w:rPr>
                    <w:t>贮存场、填埋场不得选在江河、湖泊、</w:t>
                  </w:r>
                  <w:r>
                    <w:rPr>
                      <w:rFonts w:hint="default" w:ascii="Times New Roman" w:hAnsi="Times New Roman" w:eastAsia="宋体" w:cs="Times New Roman"/>
                      <w:b w:val="0"/>
                      <w:color w:val="000000"/>
                      <w:spacing w:val="7"/>
                      <w:sz w:val="21"/>
                      <w:szCs w:val="21"/>
                    </w:rPr>
                    <w:t>运河、渠道、水库最高水位线以下的</w:t>
                  </w:r>
                  <w:r>
                    <w:rPr>
                      <w:rFonts w:hint="default" w:ascii="Times New Roman" w:hAnsi="Times New Roman" w:eastAsia="宋体" w:cs="Times New Roman"/>
                      <w:b w:val="0"/>
                      <w:color w:val="000000"/>
                      <w:spacing w:val="5"/>
                      <w:sz w:val="21"/>
                      <w:szCs w:val="21"/>
                    </w:rPr>
                    <w:t>滩地和岸坡，以及国家和地方长远规</w:t>
                  </w:r>
                  <w:r>
                    <w:rPr>
                      <w:rFonts w:hint="default" w:ascii="Times New Roman" w:hAnsi="Times New Roman" w:eastAsia="宋体" w:cs="Times New Roman"/>
                      <w:b w:val="0"/>
                      <w:color w:val="000000"/>
                      <w:spacing w:val="9"/>
                      <w:sz w:val="21"/>
                      <w:szCs w:val="21"/>
                    </w:rPr>
                    <w:t>划中的水库等人工蓄水设</w:t>
                  </w:r>
                  <w:r>
                    <w:rPr>
                      <w:rFonts w:hint="default" w:ascii="Times New Roman" w:hAnsi="Times New Roman" w:eastAsia="宋体" w:cs="Times New Roman"/>
                      <w:b w:val="0"/>
                      <w:color w:val="000000"/>
                      <w:spacing w:val="8"/>
                      <w:sz w:val="21"/>
                      <w:szCs w:val="21"/>
                    </w:rPr>
                    <w:t>施的淹没区和保护区之内。</w:t>
                  </w:r>
                </w:p>
              </w:tc>
              <w:tc>
                <w:tcPr>
                  <w:tcW w:w="2682" w:type="dxa"/>
                  <w:tcBorders>
                    <w:bottom w:val="single" w:color="000000" w:sz="12" w:space="0"/>
                  </w:tcBorders>
                  <w:noWrap w:val="0"/>
                  <w:vAlign w:val="center"/>
                </w:tcPr>
                <w:p w14:paraId="254D4CB2">
                  <w:pPr>
                    <w:pStyle w:val="45"/>
                    <w:keepNext w:val="0"/>
                    <w:keepLines w:val="0"/>
                    <w:pageBreakBefore w:val="0"/>
                    <w:kinsoku/>
                    <w:wordWrap/>
                    <w:overflowPunct/>
                    <w:topLinePunct w:val="0"/>
                    <w:autoSpaceDE/>
                    <w:autoSpaceDN/>
                    <w:bidi w:val="0"/>
                    <w:adjustRightInd/>
                    <w:snapToGrid/>
                    <w:spacing w:line="360" w:lineRule="auto"/>
                    <w:ind w:left="0"/>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pacing w:val="3"/>
                      <w:sz w:val="21"/>
                      <w:szCs w:val="21"/>
                    </w:rPr>
                    <w:t>不在江河、湖泊、运河、渠道、水</w:t>
                  </w:r>
                  <w:r>
                    <w:rPr>
                      <w:rFonts w:hint="default" w:ascii="Times New Roman" w:hAnsi="Times New Roman" w:eastAsia="宋体" w:cs="Times New Roman"/>
                      <w:b w:val="0"/>
                      <w:color w:val="000000"/>
                      <w:spacing w:val="9"/>
                      <w:sz w:val="21"/>
                      <w:szCs w:val="21"/>
                    </w:rPr>
                    <w:t>库最高水位线以下的滩地和岸坡</w:t>
                  </w:r>
                  <w:r>
                    <w:rPr>
                      <w:rFonts w:hint="default" w:ascii="Times New Roman" w:hAnsi="Times New Roman" w:eastAsia="宋体" w:cs="Times New Roman"/>
                      <w:b w:val="0"/>
                      <w:color w:val="000000"/>
                      <w:spacing w:val="2"/>
                      <w:sz w:val="21"/>
                      <w:szCs w:val="21"/>
                    </w:rPr>
                    <w:t>区，不涉及国家和地方长远规划中</w:t>
                  </w:r>
                </w:p>
                <w:p w14:paraId="2E9D4D71">
                  <w:pPr>
                    <w:pStyle w:val="45"/>
                    <w:keepNext w:val="0"/>
                    <w:keepLines w:val="0"/>
                    <w:pageBreakBefore w:val="0"/>
                    <w:kinsoku/>
                    <w:wordWrap/>
                    <w:overflowPunct/>
                    <w:topLinePunct w:val="0"/>
                    <w:autoSpaceDE/>
                    <w:autoSpaceDN/>
                    <w:bidi w:val="0"/>
                    <w:adjustRightInd/>
                    <w:snapToGrid/>
                    <w:spacing w:line="360" w:lineRule="auto"/>
                    <w:ind w:left="0"/>
                    <w:jc w:val="left"/>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color w:val="000000"/>
                      <w:spacing w:val="8"/>
                      <w:sz w:val="21"/>
                      <w:szCs w:val="21"/>
                    </w:rPr>
                    <w:t>的水库等人工蓄水设施的淹</w:t>
                  </w:r>
                  <w:r>
                    <w:rPr>
                      <w:rFonts w:hint="default" w:ascii="Times New Roman" w:hAnsi="Times New Roman" w:eastAsia="宋体" w:cs="Times New Roman"/>
                      <w:b w:val="0"/>
                      <w:color w:val="000000"/>
                      <w:spacing w:val="7"/>
                      <w:sz w:val="21"/>
                      <w:szCs w:val="21"/>
                    </w:rPr>
                    <w:t>没区和保护区。</w:t>
                  </w:r>
                </w:p>
              </w:tc>
              <w:tc>
                <w:tcPr>
                  <w:tcW w:w="1388" w:type="dxa"/>
                  <w:tcBorders>
                    <w:bottom w:val="single" w:color="000000" w:sz="12" w:space="0"/>
                    <w:right w:val="nil"/>
                  </w:tcBorders>
                  <w:noWrap/>
                  <w:vAlign w:val="center"/>
                </w:tcPr>
                <w:p w14:paraId="064679E4">
                  <w:pPr>
                    <w:keepNext w:val="0"/>
                    <w:keepLines w:val="0"/>
                    <w:pageBreakBefore w:val="0"/>
                    <w:kinsoku/>
                    <w:wordWrap/>
                    <w:overflowPunct/>
                    <w:topLinePunct w:val="0"/>
                    <w:autoSpaceDE/>
                    <w:autoSpaceDN/>
                    <w:bidi w:val="0"/>
                    <w:adjustRightInd/>
                    <w:snapToGrid/>
                    <w:spacing w:line="360" w:lineRule="auto"/>
                    <w:ind w:left="0"/>
                    <w:jc w:val="center"/>
                    <w:rPr>
                      <w:rFonts w:hint="default" w:ascii="Times New Roman" w:hAnsi="Times New Roman" w:eastAsia="宋体" w:cs="Times New Roman"/>
                      <w:b w:val="0"/>
                      <w:color w:val="000000"/>
                      <w:sz w:val="21"/>
                      <w:szCs w:val="21"/>
                    </w:rPr>
                  </w:pPr>
                </w:p>
                <w:p w14:paraId="0639E4FA">
                  <w:pPr>
                    <w:keepNext w:val="0"/>
                    <w:keepLines w:val="0"/>
                    <w:pageBreakBefore w:val="0"/>
                    <w:kinsoku/>
                    <w:wordWrap/>
                    <w:overflowPunct/>
                    <w:topLinePunct w:val="0"/>
                    <w:autoSpaceDE/>
                    <w:autoSpaceDN/>
                    <w:bidi w:val="0"/>
                    <w:adjustRightInd/>
                    <w:snapToGrid/>
                    <w:spacing w:line="360" w:lineRule="auto"/>
                    <w:ind w:left="0"/>
                    <w:jc w:val="center"/>
                    <w:rPr>
                      <w:rFonts w:hint="default" w:ascii="Times New Roman" w:hAnsi="Times New Roman" w:eastAsia="宋体" w:cs="Times New Roman"/>
                      <w:b w:val="0"/>
                      <w:color w:val="000000"/>
                      <w:sz w:val="21"/>
                      <w:szCs w:val="21"/>
                    </w:rPr>
                  </w:pPr>
                </w:p>
                <w:p w14:paraId="421DEDD9">
                  <w:pPr>
                    <w:pStyle w:val="45"/>
                    <w:keepNext w:val="0"/>
                    <w:keepLines w:val="0"/>
                    <w:pageBreakBefore w:val="0"/>
                    <w:kinsoku/>
                    <w:wordWrap/>
                    <w:overflowPunct/>
                    <w:topLinePunct w:val="0"/>
                    <w:autoSpaceDE/>
                    <w:autoSpaceDN/>
                    <w:bidi w:val="0"/>
                    <w:adjustRightInd/>
                    <w:snapToGrid/>
                    <w:spacing w:line="360" w:lineRule="auto"/>
                    <w:ind w:left="0" w:leftChars="0"/>
                    <w:jc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color w:val="000000"/>
                      <w:spacing w:val="6"/>
                      <w:sz w:val="21"/>
                      <w:szCs w:val="21"/>
                    </w:rPr>
                    <w:t>符合</w:t>
                  </w:r>
                </w:p>
              </w:tc>
            </w:tr>
          </w:tbl>
          <w:p w14:paraId="7D9199B4">
            <w:pPr>
              <w:pStyle w:val="45"/>
              <w:keepNext w:val="0"/>
              <w:keepLines w:val="0"/>
              <w:pageBreakBefore w:val="0"/>
              <w:widowControl w:val="0"/>
              <w:kinsoku/>
              <w:wordWrap/>
              <w:overflowPunct/>
              <w:topLinePunct w:val="0"/>
              <w:autoSpaceDE/>
              <w:autoSpaceDN/>
              <w:bidi w:val="0"/>
              <w:spacing w:line="360" w:lineRule="auto"/>
              <w:ind w:left="0" w:right="0" w:firstLine="46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由上表分析结果可知，本项目排土场选址符合《一般工业固体废物贮</w:t>
            </w:r>
            <w:r>
              <w:rPr>
                <w:rFonts w:hint="default" w:ascii="Times New Roman" w:hAnsi="Times New Roman" w:eastAsia="宋体" w:cs="Times New Roman"/>
                <w:spacing w:val="-6"/>
                <w:sz w:val="24"/>
                <w:szCs w:val="24"/>
              </w:rPr>
              <w:t>存和填埋污染控制标准》（</w:t>
            </w:r>
            <w:r>
              <w:rPr>
                <w:rFonts w:hint="default" w:ascii="Times New Roman" w:hAnsi="Times New Roman" w:eastAsia="宋体" w:cs="Times New Roman"/>
                <w:sz w:val="24"/>
                <w:szCs w:val="24"/>
              </w:rPr>
              <w:t>GB</w:t>
            </w:r>
            <w:r>
              <w:rPr>
                <w:rFonts w:hint="default" w:ascii="Times New Roman" w:hAnsi="Times New Roman" w:eastAsia="宋体" w:cs="Times New Roman"/>
                <w:spacing w:val="19"/>
                <w:sz w:val="24"/>
                <w:szCs w:val="24"/>
              </w:rPr>
              <w:t>18599-2020）要求，</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19"/>
                <w:sz w:val="24"/>
                <w:szCs w:val="24"/>
              </w:rPr>
              <w:t>因此本评价认</w:t>
            </w:r>
            <w:r>
              <w:rPr>
                <w:rFonts w:hint="default" w:ascii="Times New Roman" w:hAnsi="Times New Roman" w:eastAsia="宋体" w:cs="Times New Roman"/>
                <w:spacing w:val="18"/>
                <w:sz w:val="24"/>
                <w:szCs w:val="24"/>
              </w:rPr>
              <w:t>为项</w:t>
            </w:r>
            <w:r>
              <w:rPr>
                <w:rFonts w:hint="default" w:ascii="Times New Roman" w:hAnsi="Times New Roman" w:eastAsia="宋体" w:cs="Times New Roman"/>
                <w:spacing w:val="-1"/>
                <w:sz w:val="24"/>
                <w:szCs w:val="24"/>
              </w:rPr>
              <w:t>目排土场选址可行。</w:t>
            </w:r>
          </w:p>
          <w:p w14:paraId="38949A62">
            <w:pPr>
              <w:pStyle w:val="45"/>
              <w:keepNext w:val="0"/>
              <w:keepLines w:val="0"/>
              <w:pageBreakBefore w:val="0"/>
              <w:widowControl w:val="0"/>
              <w:kinsoku/>
              <w:wordWrap/>
              <w:overflowPunct/>
              <w:topLinePunct w:val="0"/>
              <w:autoSpaceDE/>
              <w:autoSpaceDN/>
              <w:bidi w:val="0"/>
              <w:spacing w:line="360" w:lineRule="auto"/>
              <w:ind w:left="0" w:right="0" w:firstLine="49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2"/>
                <w:sz w:val="24"/>
                <w:szCs w:val="24"/>
              </w:rPr>
              <w:t>4、其他</w:t>
            </w:r>
          </w:p>
          <w:p w14:paraId="0D2C8A6A">
            <w:pPr>
              <w:keepNext w:val="0"/>
              <w:keepLines w:val="0"/>
              <w:pageBreakBefore w:val="0"/>
              <w:widowControl w:val="0"/>
              <w:kinsoku/>
              <w:wordWrap/>
              <w:overflowPunct/>
              <w:topLinePunct w:val="0"/>
              <w:autoSpaceDE/>
              <w:autoSpaceDN/>
              <w:bidi w:val="0"/>
              <w:adjustRightInd w:val="0"/>
              <w:snapToGrid w:val="0"/>
              <w:spacing w:line="360" w:lineRule="auto"/>
              <w:ind w:left="0" w:right="0" w:firstLine="472" w:firstLineChars="20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2"/>
                <w:sz w:val="24"/>
                <w:szCs w:val="24"/>
              </w:rPr>
              <w:t>本项目</w:t>
            </w:r>
            <w:r>
              <w:rPr>
                <w:rFonts w:hint="eastAsia" w:ascii="Times New Roman" w:hAnsi="Times New Roman" w:eastAsia="宋体" w:cs="Times New Roman"/>
                <w:spacing w:val="-2"/>
                <w:sz w:val="24"/>
                <w:szCs w:val="24"/>
                <w:lang w:val="en-US" w:eastAsia="zh-CN"/>
              </w:rPr>
              <w:t>临时值班室位于</w:t>
            </w:r>
            <w:r>
              <w:rPr>
                <w:rFonts w:hint="default" w:ascii="Times New Roman" w:hAnsi="Times New Roman" w:eastAsia="宋体" w:cs="Times New Roman"/>
                <w:spacing w:val="-2"/>
                <w:sz w:val="24"/>
                <w:szCs w:val="24"/>
                <w:lang w:val="en-US" w:eastAsia="zh-CN"/>
              </w:rPr>
              <w:t>整个矿区西南侧</w:t>
            </w:r>
            <w:r>
              <w:rPr>
                <w:rFonts w:hint="default" w:ascii="Times New Roman" w:hAnsi="Times New Roman" w:eastAsia="宋体" w:cs="Times New Roman"/>
                <w:spacing w:val="-3"/>
                <w:sz w:val="24"/>
                <w:szCs w:val="24"/>
              </w:rPr>
              <w:t>，占地类型为占地类型为其</w:t>
            </w:r>
            <w:r>
              <w:rPr>
                <w:rFonts w:hint="default" w:ascii="Times New Roman" w:hAnsi="Times New Roman" w:eastAsia="宋体" w:cs="Times New Roman"/>
                <w:color w:val="auto"/>
                <w:spacing w:val="-3"/>
                <w:sz w:val="24"/>
                <w:szCs w:val="24"/>
              </w:rPr>
              <w:t>它土地中的裸</w:t>
            </w:r>
            <w:r>
              <w:rPr>
                <w:rFonts w:hint="eastAsia" w:ascii="Times New Roman" w:hAnsi="Times New Roman" w:eastAsia="宋体" w:cs="Times New Roman"/>
                <w:color w:val="auto"/>
                <w:spacing w:val="-3"/>
                <w:sz w:val="24"/>
                <w:szCs w:val="24"/>
                <w:lang w:val="en-US" w:eastAsia="zh-CN"/>
              </w:rPr>
              <w:t>土地</w:t>
            </w:r>
            <w:r>
              <w:rPr>
                <w:rFonts w:hint="default" w:ascii="Times New Roman" w:hAnsi="Times New Roman" w:eastAsia="宋体" w:cs="Times New Roman"/>
                <w:color w:val="auto"/>
                <w:spacing w:val="-3"/>
                <w:sz w:val="24"/>
                <w:szCs w:val="24"/>
              </w:rPr>
              <w:t>，</w:t>
            </w:r>
            <w:r>
              <w:rPr>
                <w:rFonts w:hint="default" w:ascii="Times New Roman" w:hAnsi="Times New Roman" w:eastAsia="宋体" w:cs="Times New Roman"/>
                <w:spacing w:val="-3"/>
                <w:sz w:val="24"/>
                <w:szCs w:val="24"/>
              </w:rPr>
              <w:t>办公区建设不会</w:t>
            </w:r>
            <w:r>
              <w:rPr>
                <w:rFonts w:hint="default" w:ascii="Times New Roman" w:hAnsi="Times New Roman" w:eastAsia="宋体" w:cs="Times New Roman"/>
                <w:spacing w:val="-1"/>
                <w:sz w:val="24"/>
                <w:szCs w:val="24"/>
              </w:rPr>
              <w:t>破坏植被及生态环境。</w:t>
            </w:r>
          </w:p>
          <w:p w14:paraId="5F0ED1E5">
            <w:pPr>
              <w:pStyle w:val="45"/>
              <w:keepNext w:val="0"/>
              <w:keepLines w:val="0"/>
              <w:pageBreakBefore w:val="0"/>
              <w:widowControl w:val="0"/>
              <w:kinsoku/>
              <w:wordWrap/>
              <w:overflowPunct/>
              <w:topLinePunct w:val="0"/>
              <w:autoSpaceDE/>
              <w:autoSpaceDN/>
              <w:bidi w:val="0"/>
              <w:spacing w:line="360" w:lineRule="auto"/>
              <w:ind w:left="0" w:right="0" w:firstLine="48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
                <w:sz w:val="24"/>
                <w:szCs w:val="24"/>
              </w:rPr>
              <w:t>5、项目选址的环境合理性分析结论</w:t>
            </w:r>
          </w:p>
          <w:p w14:paraId="7AD6AABD">
            <w:pPr>
              <w:pStyle w:val="45"/>
              <w:keepNext w:val="0"/>
              <w:keepLines w:val="0"/>
              <w:pageBreakBefore w:val="0"/>
              <w:widowControl w:val="0"/>
              <w:kinsoku/>
              <w:wordWrap/>
              <w:overflowPunct/>
              <w:topLinePunct w:val="0"/>
              <w:autoSpaceDE/>
              <w:autoSpaceDN/>
              <w:bidi w:val="0"/>
              <w:spacing w:line="360" w:lineRule="auto"/>
              <w:ind w:left="0" w:right="0" w:firstLine="472"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项目矿区四周为荒山，矿权范围内无自然保护区、水源保护区、基本</w:t>
            </w:r>
            <w:r>
              <w:rPr>
                <w:rFonts w:hint="default" w:ascii="Times New Roman" w:hAnsi="Times New Roman" w:eastAsia="宋体" w:cs="Times New Roman"/>
                <w:spacing w:val="-1"/>
                <w:sz w:val="24"/>
                <w:szCs w:val="24"/>
              </w:rPr>
              <w:t>草原等生态敏感区。矿区周边均有公路、便道可通，</w:t>
            </w:r>
            <w:r>
              <w:rPr>
                <w:rFonts w:hint="default" w:ascii="Times New Roman" w:hAnsi="Times New Roman" w:eastAsia="宋体" w:cs="Times New Roman"/>
                <w:spacing w:val="-2"/>
                <w:sz w:val="24"/>
                <w:szCs w:val="24"/>
              </w:rPr>
              <w:t>交通方便，水文地质条件简单。项目运营过程中产生的废气</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废水、噪声采取相</w:t>
            </w:r>
            <w:r>
              <w:rPr>
                <w:rFonts w:hint="default" w:ascii="Times New Roman" w:hAnsi="Times New Roman" w:eastAsia="宋体" w:cs="Times New Roman"/>
                <w:spacing w:val="-3"/>
                <w:sz w:val="24"/>
                <w:szCs w:val="24"/>
              </w:rPr>
              <w:t>应的污染防治</w:t>
            </w:r>
            <w:r>
              <w:rPr>
                <w:rFonts w:hint="default" w:ascii="Times New Roman" w:hAnsi="Times New Roman" w:eastAsia="宋体" w:cs="Times New Roman"/>
                <w:spacing w:val="-1"/>
                <w:sz w:val="24"/>
                <w:szCs w:val="24"/>
              </w:rPr>
              <w:t>措施后可达标排放，</w:t>
            </w:r>
            <w:r>
              <w:rPr>
                <w:rFonts w:hint="default" w:ascii="Times New Roman" w:hAnsi="Times New Roman" w:eastAsia="宋体" w:cs="Times New Roman"/>
                <w:spacing w:val="-45"/>
                <w:sz w:val="24"/>
                <w:szCs w:val="24"/>
              </w:rPr>
              <w:t xml:space="preserve"> </w:t>
            </w:r>
            <w:r>
              <w:rPr>
                <w:rFonts w:hint="default" w:ascii="Times New Roman" w:hAnsi="Times New Roman" w:eastAsia="宋体" w:cs="Times New Roman"/>
                <w:spacing w:val="-1"/>
                <w:sz w:val="24"/>
                <w:szCs w:val="24"/>
              </w:rPr>
              <w:t>固体废物可得到合理处置。对周边环境影响较小。</w:t>
            </w:r>
          </w:p>
          <w:p w14:paraId="6A55DB2C">
            <w:pPr>
              <w:pStyle w:val="45"/>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72" w:firstLineChars="200"/>
              <w:textAlignment w:val="auto"/>
              <w:rPr>
                <w:rFonts w:hint="default" w:ascii="Times New Roman" w:hAnsi="Times New Roman" w:eastAsia="宋体" w:cs="Times New Roman"/>
                <w:spacing w:val="-3"/>
                <w:sz w:val="24"/>
                <w:szCs w:val="24"/>
              </w:rPr>
            </w:pPr>
            <w:r>
              <w:rPr>
                <w:rFonts w:hint="default" w:ascii="Times New Roman" w:hAnsi="Times New Roman" w:eastAsia="宋体" w:cs="Times New Roman"/>
                <w:spacing w:val="-2"/>
                <w:sz w:val="24"/>
                <w:szCs w:val="24"/>
              </w:rPr>
              <w:t>根据</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甘肃省生态环境分区管控公众服务平台</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选址分析</w:t>
            </w:r>
            <w:r>
              <w:rPr>
                <w:rFonts w:hint="default" w:ascii="Times New Roman" w:hAnsi="Times New Roman" w:eastAsia="宋体" w:cs="Times New Roman"/>
                <w:spacing w:val="-3"/>
                <w:sz w:val="24"/>
                <w:szCs w:val="24"/>
              </w:rPr>
              <w:t>结果，项</w:t>
            </w:r>
            <w:r>
              <w:rPr>
                <w:rFonts w:hint="default" w:ascii="Times New Roman" w:hAnsi="Times New Roman" w:eastAsia="宋体" w:cs="Times New Roman"/>
                <w:spacing w:val="2"/>
                <w:sz w:val="24"/>
                <w:szCs w:val="24"/>
              </w:rPr>
              <w:t>目选址涉及</w:t>
            </w: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临泽县一般管控单元”和“临泽县城镇空间</w:t>
            </w:r>
            <w:r>
              <w:rPr>
                <w:rFonts w:hint="eastAsia" w:cs="Times New Roman"/>
                <w:spacing w:val="2"/>
                <w:sz w:val="24"/>
                <w:szCs w:val="24"/>
                <w:lang w:val="en-US" w:eastAsia="zh-CN"/>
              </w:rPr>
              <w:t>”</w:t>
            </w:r>
            <w:r>
              <w:rPr>
                <w:rFonts w:hint="default" w:ascii="Times New Roman" w:hAnsi="Times New Roman" w:eastAsia="宋体" w:cs="Times New Roman"/>
                <w:spacing w:val="2"/>
                <w:sz w:val="24"/>
                <w:szCs w:val="24"/>
              </w:rPr>
              <w:t>，不在生态保护红线划定范围之</w:t>
            </w:r>
            <w:r>
              <w:rPr>
                <w:rFonts w:hint="default" w:ascii="Times New Roman" w:hAnsi="Times New Roman" w:eastAsia="宋体" w:cs="Times New Roman"/>
                <w:spacing w:val="-1"/>
                <w:sz w:val="24"/>
                <w:szCs w:val="24"/>
              </w:rPr>
              <w:t>内，符合生态环境分区管控管理要求。综上所述，本项目选址合理。</w:t>
            </w:r>
          </w:p>
        </w:tc>
      </w:tr>
    </w:tbl>
    <w:p w14:paraId="5578870E">
      <w:pPr>
        <w:pStyle w:val="20"/>
        <w:jc w:val="both"/>
        <w:rPr>
          <w:rFonts w:hint="default" w:ascii="Times New Roman" w:hAnsi="Times New Roman" w:eastAsia="宋体" w:cs="Times New Roman"/>
          <w:snapToGrid w:val="0"/>
          <w:sz w:val="24"/>
          <w:szCs w:val="24"/>
        </w:rPr>
      </w:pPr>
    </w:p>
    <w:p w14:paraId="1DDA2799">
      <w:pPr>
        <w:pStyle w:val="20"/>
        <w:jc w:val="both"/>
        <w:rPr>
          <w:rFonts w:hint="default" w:ascii="Times New Roman" w:hAnsi="Times New Roman" w:eastAsia="宋体" w:cs="Times New Roman"/>
          <w:snapToGrid w:val="0"/>
          <w:sz w:val="24"/>
          <w:szCs w:val="24"/>
        </w:rPr>
        <w:sectPr>
          <w:pgSz w:w="11906" w:h="16838"/>
          <w:pgMar w:top="1531" w:right="1701" w:bottom="1531" w:left="1701" w:header="851" w:footer="1077" w:gutter="0"/>
          <w:pgNumType w:fmt="decimal"/>
          <w:cols w:space="720" w:num="1"/>
          <w:docGrid w:linePitch="312" w:charSpace="0"/>
        </w:sectPr>
      </w:pPr>
    </w:p>
    <w:p w14:paraId="3F75EFCF">
      <w:pPr>
        <w:pStyle w:val="20"/>
        <w:jc w:val="center"/>
        <w:outlineLvl w:val="0"/>
        <w:rPr>
          <w:rFonts w:hint="default" w:ascii="Times New Roman" w:hAnsi="Times New Roman" w:eastAsia="宋体" w:cs="Times New Roman"/>
          <w:b/>
          <w:bCs/>
          <w:snapToGrid w:val="0"/>
          <w:sz w:val="28"/>
          <w:szCs w:val="28"/>
        </w:rPr>
      </w:pPr>
      <w:r>
        <w:rPr>
          <w:rFonts w:hint="default" w:ascii="Times New Roman" w:hAnsi="Times New Roman" w:eastAsia="宋体" w:cs="Times New Roman"/>
          <w:b/>
          <w:bCs/>
          <w:snapToGrid w:val="0"/>
          <w:sz w:val="28"/>
          <w:szCs w:val="28"/>
        </w:rPr>
        <w:t>五、主要生态环境保护措施</w:t>
      </w:r>
    </w:p>
    <w:tbl>
      <w:tblPr>
        <w:tblStyle w:val="23"/>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055A1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noWrap w:val="0"/>
            <w:tcMar>
              <w:left w:w="28" w:type="dxa"/>
              <w:right w:w="28" w:type="dxa"/>
            </w:tcMar>
            <w:vAlign w:val="center"/>
          </w:tcPr>
          <w:p w14:paraId="0D5D8871">
            <w:pPr>
              <w:adjustRightInd w:val="0"/>
              <w:snapToGrid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pacing w:val="10"/>
                <w:sz w:val="24"/>
                <w:szCs w:val="24"/>
              </w:rPr>
              <w:t>施工期生态环境保护措施</w:t>
            </w:r>
          </w:p>
        </w:tc>
        <w:tc>
          <w:tcPr>
            <w:tcW w:w="8457" w:type="dxa"/>
            <w:noWrap w:val="0"/>
            <w:vAlign w:val="top"/>
          </w:tcPr>
          <w:p w14:paraId="713F1EF2">
            <w:pPr>
              <w:pStyle w:val="45"/>
              <w:keepNext w:val="0"/>
              <w:keepLines w:val="0"/>
              <w:pageBreakBefore w:val="0"/>
              <w:widowControl w:val="0"/>
              <w:kinsoku/>
              <w:wordWrap/>
              <w:overflowPunct/>
              <w:topLinePunct w:val="0"/>
              <w:autoSpaceDE/>
              <w:autoSpaceDN/>
              <w:bidi w:val="0"/>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一、施工期生态环境保护措施</w:t>
            </w:r>
          </w:p>
          <w:p w14:paraId="441A410B">
            <w:pPr>
              <w:pStyle w:val="45"/>
              <w:keepNext w:val="0"/>
              <w:keepLines w:val="0"/>
              <w:pageBreakBefore w:val="0"/>
              <w:widowControl w:val="0"/>
              <w:kinsoku/>
              <w:wordWrap/>
              <w:overflowPunct/>
              <w:topLinePunct w:val="0"/>
              <w:autoSpaceDE/>
              <w:autoSpaceDN/>
              <w:bidi w:val="0"/>
              <w:spacing w:line="360" w:lineRule="auto"/>
              <w:ind w:left="0" w:right="0" w:firstLine="45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1、施工期生态保护原则</w:t>
            </w:r>
          </w:p>
          <w:p w14:paraId="4E512A09">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项目建设期生态保护与恢复坚持</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避让-最小化-削减-恢复-重建</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的原则进行，</w:t>
            </w:r>
            <w:r>
              <w:rPr>
                <w:rFonts w:hint="default" w:ascii="Times New Roman" w:hAnsi="Times New Roman" w:eastAsia="宋体" w:cs="Times New Roman"/>
                <w:spacing w:val="-2"/>
                <w:sz w:val="24"/>
                <w:szCs w:val="24"/>
              </w:rPr>
              <w:t>具体如</w:t>
            </w:r>
            <w:r>
              <w:rPr>
                <w:rFonts w:hint="default" w:ascii="Times New Roman" w:hAnsi="Times New Roman" w:eastAsia="宋体" w:cs="Times New Roman"/>
                <w:spacing w:val="-10"/>
                <w:sz w:val="24"/>
                <w:szCs w:val="24"/>
              </w:rPr>
              <w:t>下：</w:t>
            </w:r>
          </w:p>
          <w:p w14:paraId="49B1F4C0">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1</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制定合理的施工方案，从根源上预防项目建设对周围环境的影响。</w:t>
            </w:r>
          </w:p>
          <w:p w14:paraId="57B55C28">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严格限制临时占地和施工占地的面积，在满足施工要求的前提下</w:t>
            </w:r>
            <w:r>
              <w:rPr>
                <w:rFonts w:hint="default" w:ascii="Times New Roman" w:hAnsi="Times New Roman" w:eastAsia="宋体" w:cs="Times New Roman"/>
                <w:spacing w:val="-1"/>
                <w:sz w:val="24"/>
                <w:szCs w:val="24"/>
              </w:rPr>
              <w:t>，对临时占地</w:t>
            </w:r>
            <w:r>
              <w:rPr>
                <w:rFonts w:hint="default" w:ascii="Times New Roman" w:hAnsi="Times New Roman" w:eastAsia="宋体" w:cs="Times New Roman"/>
                <w:spacing w:val="-2"/>
                <w:sz w:val="24"/>
                <w:szCs w:val="24"/>
              </w:rPr>
              <w:t>内的植被能保留的尽量保留，不得随意侵占周围土地。</w:t>
            </w:r>
          </w:p>
          <w:p w14:paraId="47D262A6">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spacing w:val="-1"/>
                <w:sz w:val="24"/>
                <w:szCs w:val="24"/>
                <w:lang w:val="en-US" w:eastAsia="zh-CN"/>
              </w:rPr>
              <w:t>3</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施工过程中土石方不得乱堆乱放，并及时覆盖，如加盖防尘网，大雨时期禁止</w:t>
            </w:r>
            <w:r>
              <w:rPr>
                <w:rFonts w:hint="default" w:ascii="Times New Roman" w:hAnsi="Times New Roman" w:eastAsia="宋体" w:cs="Times New Roman"/>
                <w:spacing w:val="-2"/>
                <w:sz w:val="24"/>
                <w:szCs w:val="24"/>
              </w:rPr>
              <w:t>施工，防止水土流失。</w:t>
            </w:r>
          </w:p>
          <w:p w14:paraId="4360B68E">
            <w:pPr>
              <w:pStyle w:val="45"/>
              <w:keepNext w:val="0"/>
              <w:keepLines w:val="0"/>
              <w:pageBreakBefore w:val="0"/>
              <w:widowControl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2、施工期生态保护措施</w:t>
            </w:r>
          </w:p>
          <w:p w14:paraId="792C6709">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1</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严格控制工程用地红线，禁止在红线外进行施工活动，尽量减少因主体工程占</w:t>
            </w:r>
            <w:r>
              <w:rPr>
                <w:rFonts w:hint="default" w:ascii="Times New Roman" w:hAnsi="Times New Roman" w:eastAsia="宋体" w:cs="Times New Roman"/>
                <w:spacing w:val="-1"/>
                <w:sz w:val="24"/>
                <w:szCs w:val="24"/>
              </w:rPr>
              <w:t>地或施工造成的扰动地表面积以及直接影响区面积。</w:t>
            </w:r>
          </w:p>
          <w:p w14:paraId="101C222D">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（2）强化施工过程环境管理，要求施工车辆按指定路线行驶，避</w:t>
            </w:r>
            <w:r>
              <w:rPr>
                <w:rFonts w:hint="default" w:ascii="Times New Roman" w:hAnsi="Times New Roman" w:eastAsia="宋体" w:cs="Times New Roman"/>
                <w:spacing w:val="-2"/>
                <w:sz w:val="24"/>
                <w:szCs w:val="24"/>
              </w:rPr>
              <w:t>免对占地范围外和</w:t>
            </w:r>
            <w:r>
              <w:rPr>
                <w:rFonts w:hint="default" w:ascii="Times New Roman" w:hAnsi="Times New Roman" w:eastAsia="宋体" w:cs="Times New Roman"/>
                <w:spacing w:val="-4"/>
                <w:sz w:val="24"/>
                <w:szCs w:val="24"/>
              </w:rPr>
              <w:t>道路外土地、植被造成碾压。</w:t>
            </w:r>
          </w:p>
          <w:p w14:paraId="7069BB36">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（3）施工期产生的弃土、弃渣要及时清运、转运指定场所，表面进行覆土平整、碾</w:t>
            </w:r>
            <w:r>
              <w:rPr>
                <w:rFonts w:hint="default" w:ascii="Times New Roman" w:hAnsi="Times New Roman" w:eastAsia="宋体" w:cs="Times New Roman"/>
                <w:spacing w:val="-4"/>
                <w:sz w:val="24"/>
                <w:szCs w:val="24"/>
              </w:rPr>
              <w:t>压。</w:t>
            </w:r>
          </w:p>
          <w:p w14:paraId="1E6D9489">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（4）施工单位要加强施工过程中的管理措施，施工活动严格控制</w:t>
            </w:r>
            <w:r>
              <w:rPr>
                <w:rFonts w:hint="default" w:ascii="Times New Roman" w:hAnsi="Times New Roman" w:eastAsia="宋体" w:cs="Times New Roman"/>
                <w:spacing w:val="-1"/>
                <w:sz w:val="24"/>
                <w:szCs w:val="24"/>
              </w:rPr>
              <w:t>在征地范围内进</w:t>
            </w:r>
            <w:r>
              <w:rPr>
                <w:rFonts w:hint="default" w:ascii="Times New Roman" w:hAnsi="Times New Roman" w:eastAsia="宋体" w:cs="Times New Roman"/>
                <w:sz w:val="24"/>
                <w:szCs w:val="24"/>
              </w:rPr>
              <w:t>行。规范施工行为，进行水土保持法律、法规宣传教育，增强</w:t>
            </w:r>
            <w:r>
              <w:rPr>
                <w:rFonts w:hint="default" w:ascii="Times New Roman" w:hAnsi="Times New Roman" w:eastAsia="宋体" w:cs="Times New Roman"/>
                <w:spacing w:val="-1"/>
                <w:sz w:val="24"/>
                <w:szCs w:val="24"/>
              </w:rPr>
              <w:t>施工人员的水土保持意识和保护生态环境的责任。</w:t>
            </w:r>
          </w:p>
          <w:p w14:paraId="7D737124">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综上所述，项目施工期对于植被和水土流失均有一定影响，由于项目采取合理措施，同时施工影响会随着施工期的结束而结束，实际影响相对较小。</w:t>
            </w:r>
          </w:p>
          <w:p w14:paraId="3E5D8A04">
            <w:pPr>
              <w:pStyle w:val="45"/>
              <w:keepNext w:val="0"/>
              <w:keepLines w:val="0"/>
              <w:pageBreakBefore w:val="0"/>
              <w:widowControl w:val="0"/>
              <w:kinsoku/>
              <w:wordWrap/>
              <w:overflowPunct/>
              <w:topLinePunct w:val="0"/>
              <w:autoSpaceDE/>
              <w:autoSpaceDN/>
              <w:bidi w:val="0"/>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二、施工期环境空气影响防治措施</w:t>
            </w:r>
          </w:p>
          <w:p w14:paraId="4497B3BB">
            <w:pPr>
              <w:pStyle w:val="45"/>
              <w:keepNext w:val="0"/>
              <w:keepLines w:val="0"/>
              <w:pageBreakBefore w:val="0"/>
              <w:widowControl w:val="0"/>
              <w:kinsoku/>
              <w:wordWrap/>
              <w:overflowPunct/>
              <w:topLinePunct w:val="0"/>
              <w:autoSpaceDE/>
              <w:autoSpaceDN/>
              <w:bidi w:val="0"/>
              <w:spacing w:line="360" w:lineRule="auto"/>
              <w:ind w:left="0" w:right="0" w:firstLine="44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9"/>
                <w:sz w:val="24"/>
                <w:szCs w:val="24"/>
              </w:rPr>
              <w:t>1、减少施工</w:t>
            </w:r>
          </w:p>
          <w:p w14:paraId="7080BDF2">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1</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对施工现场实行合理化管理，使砂石统一堆放，尽量减少搬运环节；</w:t>
            </w:r>
          </w:p>
          <w:p w14:paraId="1875396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rightChars="0" w:firstLine="480" w:firstLineChars="200"/>
              <w:textAlignment w:val="auto"/>
              <w:rPr>
                <w:rFonts w:hint="default" w:ascii="Times New Roman" w:hAnsi="Times New Roman" w:eastAsia="宋体" w:cs="Times New Roman"/>
                <w:spacing w:val="-1"/>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运输沙、石、水泥、以及建筑垃圾等易产生扬尘物质的车辆时，</w:t>
            </w:r>
            <w:r>
              <w:rPr>
                <w:rFonts w:hint="default" w:ascii="Times New Roman" w:hAnsi="Times New Roman" w:eastAsia="宋体" w:cs="Times New Roman"/>
                <w:spacing w:val="-1"/>
                <w:sz w:val="24"/>
                <w:szCs w:val="24"/>
              </w:rPr>
              <w:t>谨防运输车辆</w:t>
            </w:r>
            <w:r>
              <w:rPr>
                <w:rFonts w:hint="default" w:ascii="Times New Roman" w:hAnsi="Times New Roman" w:eastAsia="宋体" w:cs="Times New Roman"/>
                <w:sz w:val="24"/>
                <w:szCs w:val="24"/>
              </w:rPr>
              <w:t>装载过满，并尽量采取遮盖、密闭措施，减少沿途抛洒；应经</w:t>
            </w:r>
            <w:r>
              <w:rPr>
                <w:rFonts w:hint="default" w:ascii="Times New Roman" w:hAnsi="Times New Roman" w:eastAsia="宋体" w:cs="Times New Roman"/>
                <w:spacing w:val="-1"/>
                <w:sz w:val="24"/>
                <w:szCs w:val="24"/>
              </w:rPr>
              <w:t>常保持和维护施工道路路面的清洁、湿润，以减少车辆产生的扬尘污染；</w:t>
            </w:r>
          </w:p>
          <w:p w14:paraId="76F4E0CE">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spacing w:val="-1"/>
                <w:sz w:val="24"/>
                <w:szCs w:val="24"/>
                <w:lang w:val="en-US" w:eastAsia="zh-CN"/>
              </w:rPr>
              <w:t>3</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施工期间产生的废材料、砖石、余土及余渣等若不能及时清运，应当妥善堆放，并采取防泄漏、防扬尘措施；</w:t>
            </w:r>
          </w:p>
          <w:p w14:paraId="48A1CF9F">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（4）施工期间，应加强对机械设备和运输车辆的维修、保养，禁止其超负荷工作，</w:t>
            </w:r>
            <w:r>
              <w:rPr>
                <w:rFonts w:hint="default" w:ascii="Times New Roman" w:hAnsi="Times New Roman" w:eastAsia="宋体" w:cs="Times New Roman"/>
                <w:spacing w:val="-1"/>
                <w:sz w:val="24"/>
                <w:szCs w:val="24"/>
              </w:rPr>
              <w:t>减少燃油燃烧时污染物的排放量。</w:t>
            </w:r>
          </w:p>
          <w:p w14:paraId="7345FA7F">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另外，扬尘的大小跟风力的大小及气候有一定关系。风速较高时，相应的扬尘影响范围较大，细颗粒的输送距离可达到几十公里以上，在洒水和避免大风日的情况下施工，下风向50m处的TSP浓度会小于0.3</w:t>
            </w:r>
            <w:r>
              <w:rPr>
                <w:rFonts w:hint="default" w:ascii="Times New Roman" w:hAnsi="Times New Roman" w:eastAsia="宋体" w:cs="Times New Roman"/>
                <w:spacing w:val="-2"/>
                <w:sz w:val="24"/>
                <w:szCs w:val="24"/>
              </w:rPr>
              <w:t>mg/m</w:t>
            </w:r>
            <w:r>
              <w:rPr>
                <w:rFonts w:hint="eastAsia" w:ascii="Times New Roman" w:hAnsi="Times New Roman" w:eastAsia="宋体" w:cs="Times New Roman"/>
                <w:spacing w:val="-2"/>
                <w:sz w:val="24"/>
                <w:szCs w:val="24"/>
                <w:vertAlign w:val="superscript"/>
                <w:lang w:val="en-US" w:eastAsia="zh-CN"/>
              </w:rPr>
              <w:t>3</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64"/>
                <w:sz w:val="24"/>
                <w:szCs w:val="24"/>
              </w:rPr>
              <w:t xml:space="preserve"> </w:t>
            </w:r>
            <w:r>
              <w:rPr>
                <w:rFonts w:hint="default" w:ascii="Times New Roman" w:hAnsi="Times New Roman" w:eastAsia="宋体" w:cs="Times New Roman"/>
                <w:spacing w:val="-2"/>
                <w:sz w:val="24"/>
                <w:szCs w:val="24"/>
              </w:rPr>
              <w:t>因此本项目施工期间内应根据气象状况调整施工计划与安排。</w:t>
            </w:r>
          </w:p>
          <w:p w14:paraId="2F5DDB84">
            <w:pPr>
              <w:pStyle w:val="45"/>
              <w:keepNext w:val="0"/>
              <w:keepLines w:val="0"/>
              <w:pageBreakBefore w:val="0"/>
              <w:widowControl w:val="0"/>
              <w:kinsoku/>
              <w:wordWrap/>
              <w:overflowPunct/>
              <w:topLinePunct w:val="0"/>
              <w:autoSpaceDE/>
              <w:autoSpaceDN/>
              <w:bidi w:val="0"/>
              <w:spacing w:line="360" w:lineRule="auto"/>
              <w:ind w:left="0" w:right="0" w:firstLine="45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8"/>
                <w:sz w:val="24"/>
                <w:szCs w:val="24"/>
              </w:rPr>
              <w:t>2</w:t>
            </w:r>
            <w:r>
              <w:rPr>
                <w:rFonts w:hint="default" w:ascii="Times New Roman" w:hAnsi="Times New Roman" w:eastAsia="宋体" w:cs="Times New Roman"/>
                <w:b/>
                <w:bCs/>
                <w:spacing w:val="-27"/>
                <w:sz w:val="24"/>
                <w:szCs w:val="24"/>
              </w:rPr>
              <w:t xml:space="preserve"> </w:t>
            </w:r>
            <w:r>
              <w:rPr>
                <w:rFonts w:hint="default" w:ascii="Times New Roman" w:hAnsi="Times New Roman" w:eastAsia="宋体" w:cs="Times New Roman"/>
                <w:b/>
                <w:bCs/>
                <w:spacing w:val="-8"/>
                <w:sz w:val="24"/>
                <w:szCs w:val="24"/>
              </w:rPr>
              <w:t>、汽车尾气</w:t>
            </w:r>
          </w:p>
          <w:p w14:paraId="56946954">
            <w:pPr>
              <w:pStyle w:val="45"/>
              <w:keepNext w:val="0"/>
              <w:keepLines w:val="0"/>
              <w:pageBreakBefore w:val="0"/>
              <w:widowControl w:val="0"/>
              <w:kinsoku/>
              <w:wordWrap/>
              <w:overflowPunct/>
              <w:topLinePunct w:val="0"/>
              <w:autoSpaceDE/>
              <w:autoSpaceDN/>
              <w:bidi w:val="0"/>
              <w:spacing w:line="360" w:lineRule="auto"/>
              <w:ind w:left="0" w:right="0" w:firstLine="46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施工期燃烧的油料燃烧将产生SO</w:t>
            </w:r>
            <w:r>
              <w:rPr>
                <w:rFonts w:hint="eastAsia" w:ascii="Times New Roman" w:hAnsi="Times New Roman" w:eastAsia="宋体" w:cs="Times New Roman"/>
                <w:spacing w:val="-4"/>
                <w:sz w:val="24"/>
                <w:szCs w:val="24"/>
                <w:vertAlign w:val="subscript"/>
                <w:lang w:val="en-US" w:eastAsia="zh-CN"/>
              </w:rPr>
              <w:t>2</w:t>
            </w:r>
            <w:r>
              <w:rPr>
                <w:rFonts w:hint="default" w:ascii="Times New Roman" w:hAnsi="Times New Roman" w:eastAsia="宋体" w:cs="Times New Roman"/>
                <w:spacing w:val="-4"/>
                <w:sz w:val="24"/>
                <w:szCs w:val="24"/>
              </w:rPr>
              <w:t>、CO、NO</w:t>
            </w:r>
            <w:r>
              <w:rPr>
                <w:rFonts w:hint="eastAsia" w:ascii="Times New Roman" w:hAnsi="Times New Roman" w:eastAsia="宋体" w:cs="Times New Roman"/>
                <w:spacing w:val="-4"/>
                <w:sz w:val="24"/>
                <w:szCs w:val="24"/>
                <w:vertAlign w:val="subscript"/>
                <w:lang w:val="en-US" w:eastAsia="zh-CN"/>
              </w:rPr>
              <w:t>2</w:t>
            </w:r>
            <w:r>
              <w:rPr>
                <w:rFonts w:hint="default" w:ascii="Times New Roman" w:hAnsi="Times New Roman" w:eastAsia="宋体" w:cs="Times New Roman"/>
                <w:spacing w:val="-4"/>
                <w:sz w:val="24"/>
                <w:szCs w:val="24"/>
              </w:rPr>
              <w:t>、烟尘等。</w:t>
            </w:r>
            <w:r>
              <w:rPr>
                <w:rFonts w:hint="default" w:ascii="Times New Roman" w:hAnsi="Times New Roman" w:eastAsia="宋体" w:cs="Times New Roman"/>
                <w:spacing w:val="-64"/>
                <w:sz w:val="24"/>
                <w:szCs w:val="24"/>
              </w:rPr>
              <w:t xml:space="preserve"> </w:t>
            </w:r>
            <w:r>
              <w:rPr>
                <w:rFonts w:hint="default" w:ascii="Times New Roman" w:hAnsi="Times New Roman" w:eastAsia="宋体" w:cs="Times New Roman"/>
                <w:spacing w:val="-4"/>
                <w:sz w:val="24"/>
                <w:szCs w:val="24"/>
              </w:rPr>
              <w:t>因施工过程中包括土石方的</w:t>
            </w:r>
            <w:r>
              <w:rPr>
                <w:rFonts w:hint="default" w:ascii="Times New Roman" w:hAnsi="Times New Roman" w:eastAsia="宋体" w:cs="Times New Roman"/>
                <w:sz w:val="24"/>
                <w:szCs w:val="24"/>
              </w:rPr>
              <w:t>开挖回填、运输等工序，并且是沿线同时开始施工，废气排放均为</w:t>
            </w:r>
            <w:r>
              <w:rPr>
                <w:rFonts w:hint="default" w:ascii="Times New Roman" w:hAnsi="Times New Roman" w:eastAsia="宋体" w:cs="Times New Roman"/>
                <w:spacing w:val="-1"/>
                <w:sz w:val="24"/>
                <w:szCs w:val="24"/>
              </w:rPr>
              <w:t>无组织排放，难以进</w:t>
            </w:r>
            <w:r>
              <w:rPr>
                <w:rFonts w:hint="default" w:ascii="Times New Roman" w:hAnsi="Times New Roman" w:eastAsia="宋体" w:cs="Times New Roman"/>
                <w:sz w:val="24"/>
                <w:szCs w:val="24"/>
              </w:rPr>
              <w:t>行定量预测分析。建议施工单位选优质燃油，加强设备和运输车辆</w:t>
            </w:r>
            <w:r>
              <w:rPr>
                <w:rFonts w:hint="default" w:ascii="Times New Roman" w:hAnsi="Times New Roman" w:eastAsia="宋体" w:cs="Times New Roman"/>
                <w:spacing w:val="-1"/>
                <w:sz w:val="24"/>
                <w:szCs w:val="24"/>
              </w:rPr>
              <w:t>的检修和维护，尽量减少施工过程对周围空气环境的影响。</w:t>
            </w:r>
          </w:p>
          <w:p w14:paraId="35D9BDC8">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综上所述，通过采取以上大气污染防治措施，可以将施工期废气对项目所在区域大气环境影响降至最小，这种影响将随施工期结束而结束。</w:t>
            </w:r>
          </w:p>
          <w:p w14:paraId="2D7B75D4">
            <w:pPr>
              <w:pStyle w:val="45"/>
              <w:keepNext w:val="0"/>
              <w:keepLines w:val="0"/>
              <w:pageBreakBefore w:val="0"/>
              <w:widowControl w:val="0"/>
              <w:kinsoku/>
              <w:wordWrap/>
              <w:overflowPunct/>
              <w:topLinePunct w:val="0"/>
              <w:autoSpaceDE/>
              <w:autoSpaceDN/>
              <w:bidi w:val="0"/>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三、施工期水环境影响防治措施</w:t>
            </w:r>
          </w:p>
          <w:p w14:paraId="36E069D2">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本项目施工期产生的废水主要为施工人员产生</w:t>
            </w:r>
            <w:r>
              <w:rPr>
                <w:rFonts w:hint="default" w:ascii="Times New Roman" w:hAnsi="Times New Roman" w:eastAsia="宋体" w:cs="Times New Roman"/>
                <w:spacing w:val="-1"/>
                <w:sz w:val="24"/>
                <w:szCs w:val="24"/>
              </w:rPr>
              <w:t>的生活污水和施工废水。</w:t>
            </w:r>
          </w:p>
          <w:p w14:paraId="7ABCA55E">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生产废水来源于混凝土搅拌、浇注和养护用水等。废水中的主要成分是SS，建设单</w:t>
            </w:r>
            <w:r>
              <w:rPr>
                <w:rFonts w:hint="default" w:ascii="Times New Roman" w:hAnsi="Times New Roman" w:eastAsia="宋体" w:cs="Times New Roman"/>
                <w:sz w:val="24"/>
                <w:szCs w:val="24"/>
              </w:rPr>
              <w:t>位应将其经沉淀处理后回用到施工用水或用作防尘喷洒用水，不外排。</w:t>
            </w:r>
            <w:r>
              <w:rPr>
                <w:rFonts w:hint="default" w:ascii="Times New Roman" w:hAnsi="Times New Roman" w:eastAsia="宋体" w:cs="Times New Roman"/>
                <w:spacing w:val="-1"/>
                <w:sz w:val="24"/>
                <w:szCs w:val="24"/>
              </w:rPr>
              <w:t>施工人员产生的生活污水排入环保厕所。</w:t>
            </w:r>
          </w:p>
          <w:p w14:paraId="5484E49C">
            <w:pPr>
              <w:pStyle w:val="45"/>
              <w:keepNext w:val="0"/>
              <w:keepLines w:val="0"/>
              <w:pageBreakBefore w:val="0"/>
              <w:widowControl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四、施工期声环境影响防治措施</w:t>
            </w:r>
          </w:p>
          <w:p w14:paraId="55FAE834">
            <w:pPr>
              <w:pStyle w:val="45"/>
              <w:keepNext w:val="0"/>
              <w:keepLines w:val="0"/>
              <w:pageBreakBefore w:val="0"/>
              <w:widowControl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5"/>
                <w:sz w:val="24"/>
                <w:szCs w:val="24"/>
                <w:lang w:eastAsia="zh-CN"/>
              </w:rPr>
              <w:t>（</w:t>
            </w:r>
            <w:r>
              <w:rPr>
                <w:rFonts w:hint="eastAsia" w:ascii="Times New Roman" w:hAnsi="Times New Roman" w:eastAsia="宋体" w:cs="Times New Roman"/>
                <w:b/>
                <w:bCs/>
                <w:spacing w:val="-5"/>
                <w:sz w:val="24"/>
                <w:szCs w:val="24"/>
                <w:lang w:val="en-US" w:eastAsia="zh-CN"/>
              </w:rPr>
              <w:t>1</w:t>
            </w:r>
            <w:r>
              <w:rPr>
                <w:rFonts w:hint="eastAsia" w:ascii="Times New Roman" w:hAnsi="Times New Roman" w:eastAsia="宋体" w:cs="Times New Roman"/>
                <w:b/>
                <w:bCs/>
                <w:spacing w:val="-5"/>
                <w:sz w:val="24"/>
                <w:szCs w:val="24"/>
                <w:lang w:eastAsia="zh-CN"/>
              </w:rPr>
              <w:t>）</w:t>
            </w:r>
            <w:r>
              <w:rPr>
                <w:rFonts w:hint="default" w:ascii="Times New Roman" w:hAnsi="Times New Roman" w:eastAsia="宋体" w:cs="Times New Roman"/>
                <w:b/>
                <w:bCs/>
                <w:spacing w:val="-5"/>
                <w:sz w:val="24"/>
                <w:szCs w:val="24"/>
              </w:rPr>
              <w:t>合理安排施工时间</w:t>
            </w:r>
          </w:p>
          <w:p w14:paraId="339EF67B">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合理安排施工计划和施工机械设备组合以及施工时</w:t>
            </w:r>
            <w:r>
              <w:rPr>
                <w:rFonts w:hint="default" w:ascii="Times New Roman" w:hAnsi="Times New Roman" w:eastAsia="宋体" w:cs="Times New Roman"/>
                <w:spacing w:val="-1"/>
                <w:sz w:val="24"/>
                <w:szCs w:val="24"/>
              </w:rPr>
              <w:t>间，避免在同一时间集中使用大</w:t>
            </w:r>
            <w:r>
              <w:rPr>
                <w:rFonts w:hint="default" w:ascii="Times New Roman" w:hAnsi="Times New Roman" w:eastAsia="宋体" w:cs="Times New Roman"/>
                <w:sz w:val="24"/>
                <w:szCs w:val="24"/>
              </w:rPr>
              <w:t>量的动力机械设备。</w:t>
            </w:r>
          </w:p>
          <w:p w14:paraId="7DB9C38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（2）合理布局施工场地</w:t>
            </w:r>
          </w:p>
          <w:p w14:paraId="185B912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根据当地风向、风速变化规律，施工期间合理的布置了施工场地</w:t>
            </w:r>
            <w:r>
              <w:rPr>
                <w:rFonts w:hint="default" w:ascii="Times New Roman" w:hAnsi="Times New Roman" w:eastAsia="宋体" w:cs="Times New Roman"/>
                <w:spacing w:val="-1"/>
                <w:sz w:val="24"/>
                <w:szCs w:val="24"/>
              </w:rPr>
              <w:t>，对高噪声污染设</w:t>
            </w:r>
            <w:r>
              <w:rPr>
                <w:rFonts w:hint="default" w:ascii="Times New Roman" w:hAnsi="Times New Roman" w:eastAsia="宋体" w:cs="Times New Roman"/>
                <w:sz w:val="24"/>
                <w:szCs w:val="24"/>
              </w:rPr>
              <w:t>备设置隔声间操作，减少施工噪声对周围环境的影响。</w:t>
            </w:r>
            <w:r>
              <w:rPr>
                <w:rFonts w:hint="default" w:ascii="Times New Roman" w:hAnsi="Times New Roman" w:eastAsia="宋体" w:cs="Times New Roman"/>
                <w:spacing w:val="-1"/>
                <w:sz w:val="24"/>
                <w:szCs w:val="24"/>
              </w:rPr>
              <w:t>对位置相对固定的机械设备，在</w:t>
            </w:r>
            <w:r>
              <w:rPr>
                <w:rFonts w:hint="default" w:ascii="Times New Roman" w:hAnsi="Times New Roman" w:eastAsia="宋体" w:cs="Times New Roman"/>
                <w:spacing w:val="-2"/>
                <w:sz w:val="24"/>
                <w:szCs w:val="24"/>
              </w:rPr>
              <w:t>棚内进行操作。</w:t>
            </w:r>
          </w:p>
          <w:p w14:paraId="3291FD01">
            <w:pPr>
              <w:pStyle w:val="45"/>
              <w:keepNext w:val="0"/>
              <w:keepLines w:val="0"/>
              <w:pageBreakBefore w:val="0"/>
              <w:widowControl w:val="0"/>
              <w:kinsoku/>
              <w:wordWrap/>
              <w:overflowPunct/>
              <w:topLinePunct w:val="0"/>
              <w:autoSpaceDE/>
              <w:autoSpaceDN/>
              <w:bidi w:val="0"/>
              <w:spacing w:line="360" w:lineRule="auto"/>
              <w:ind w:left="0" w:right="0" w:firstLine="45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6"/>
                <w:sz w:val="24"/>
                <w:szCs w:val="24"/>
                <w:lang w:eastAsia="zh-CN"/>
              </w:rPr>
              <w:t>（</w:t>
            </w:r>
            <w:r>
              <w:rPr>
                <w:rFonts w:hint="eastAsia" w:ascii="Times New Roman" w:hAnsi="Times New Roman" w:eastAsia="宋体" w:cs="Times New Roman"/>
                <w:b/>
                <w:bCs/>
                <w:spacing w:val="-6"/>
                <w:sz w:val="24"/>
                <w:szCs w:val="24"/>
                <w:lang w:val="en-US" w:eastAsia="zh-CN"/>
              </w:rPr>
              <w:t>3</w:t>
            </w:r>
            <w:r>
              <w:rPr>
                <w:rFonts w:hint="eastAsia" w:ascii="Times New Roman" w:hAnsi="Times New Roman" w:eastAsia="宋体" w:cs="Times New Roman"/>
                <w:b/>
                <w:bCs/>
                <w:spacing w:val="-6"/>
                <w:sz w:val="24"/>
                <w:szCs w:val="24"/>
                <w:lang w:eastAsia="zh-CN"/>
              </w:rPr>
              <w:t>）</w:t>
            </w:r>
            <w:r>
              <w:rPr>
                <w:rFonts w:hint="default" w:ascii="Times New Roman" w:hAnsi="Times New Roman" w:eastAsia="宋体" w:cs="Times New Roman"/>
                <w:b/>
                <w:bCs/>
                <w:spacing w:val="-6"/>
                <w:sz w:val="24"/>
                <w:szCs w:val="24"/>
              </w:rPr>
              <w:t>降低设备声级</w:t>
            </w:r>
          </w:p>
          <w:p w14:paraId="410C2CF1">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施工单位严格执行《建筑施工噪声排放标准》（GB12523-2025 ）的要求，在施工过</w:t>
            </w:r>
            <w:r>
              <w:rPr>
                <w:rFonts w:hint="default" w:ascii="Times New Roman" w:hAnsi="Times New Roman" w:eastAsia="宋体" w:cs="Times New Roman"/>
                <w:sz w:val="24"/>
                <w:szCs w:val="24"/>
              </w:rPr>
              <w:t>程中，尽量减少运行动力机械设备的数量，尽可</w:t>
            </w:r>
            <w:r>
              <w:rPr>
                <w:rFonts w:hint="default" w:ascii="Times New Roman" w:hAnsi="Times New Roman" w:eastAsia="宋体" w:cs="Times New Roman"/>
                <w:spacing w:val="-1"/>
                <w:sz w:val="24"/>
                <w:szCs w:val="24"/>
              </w:rPr>
              <w:t>能使动力机械设备均匀地使用。</w:t>
            </w:r>
          </w:p>
          <w:p w14:paraId="316AB28B">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施工中应加强对施工机械的维护保养，避免由于设备性</w:t>
            </w:r>
            <w:r>
              <w:rPr>
                <w:rFonts w:hint="default" w:ascii="Times New Roman" w:hAnsi="Times New Roman" w:eastAsia="宋体" w:cs="Times New Roman"/>
                <w:spacing w:val="-1"/>
                <w:sz w:val="24"/>
                <w:szCs w:val="24"/>
              </w:rPr>
              <w:t>能差而增大机械噪声的现象</w:t>
            </w:r>
            <w:r>
              <w:rPr>
                <w:rFonts w:hint="default" w:ascii="Times New Roman" w:hAnsi="Times New Roman" w:eastAsia="宋体" w:cs="Times New Roman"/>
                <w:spacing w:val="-4"/>
                <w:sz w:val="24"/>
                <w:szCs w:val="24"/>
              </w:rPr>
              <w:t>发生。</w:t>
            </w:r>
          </w:p>
          <w:p w14:paraId="09C7A9EF">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严格控制施工车辆运输路线，规范建筑物料清运车辆进出工地高速行驶、鸣笛等，降低人为噪声影响，减少对周围敏感点的影响。</w:t>
            </w:r>
          </w:p>
          <w:p w14:paraId="4EABAE6B">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经采取以上措施后，本项目施工期产生的噪声对当地环境影响不大。</w:t>
            </w:r>
          </w:p>
          <w:p w14:paraId="096D4F09">
            <w:pPr>
              <w:pStyle w:val="45"/>
              <w:keepNext w:val="0"/>
              <w:keepLines w:val="0"/>
              <w:pageBreakBefore w:val="0"/>
              <w:widowControl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五、施工期固体废物环境影响防治措施</w:t>
            </w:r>
          </w:p>
          <w:p w14:paraId="2933D522">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施工期的固体废弃物主要是生活垃圾和建筑垃圾，要求</w:t>
            </w:r>
            <w:r>
              <w:rPr>
                <w:rFonts w:hint="default" w:ascii="Times New Roman" w:hAnsi="Times New Roman" w:eastAsia="宋体" w:cs="Times New Roman"/>
                <w:spacing w:val="-1"/>
                <w:sz w:val="24"/>
                <w:szCs w:val="24"/>
              </w:rPr>
              <w:t>建设单位在工程施工期采取</w:t>
            </w:r>
            <w:r>
              <w:rPr>
                <w:rFonts w:hint="default" w:ascii="Times New Roman" w:hAnsi="Times New Roman" w:eastAsia="宋体" w:cs="Times New Roman"/>
                <w:spacing w:val="-5"/>
                <w:sz w:val="24"/>
                <w:szCs w:val="24"/>
              </w:rPr>
              <w:t>以下污染防治措施：</w:t>
            </w:r>
          </w:p>
          <w:p w14:paraId="4A039688">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1</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施工人员生活垃圾分类收集，不得任意堆放和丢弃，纳入厂区生活垃圾收集系</w:t>
            </w:r>
            <w:r>
              <w:rPr>
                <w:rFonts w:hint="default" w:ascii="Times New Roman" w:hAnsi="Times New Roman" w:eastAsia="宋体" w:cs="Times New Roman"/>
                <w:spacing w:val="-2"/>
                <w:sz w:val="24"/>
                <w:szCs w:val="24"/>
              </w:rPr>
              <w:t>统，定期送往指定地点进行合理处置。</w:t>
            </w:r>
          </w:p>
          <w:p w14:paraId="47F8E545">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val="en-US" w:eastAsia="zh-CN"/>
              </w:rPr>
              <w:t>建筑垃圾</w:t>
            </w:r>
            <w:r>
              <w:rPr>
                <w:rFonts w:hint="default" w:ascii="Times New Roman" w:hAnsi="Times New Roman" w:eastAsia="宋体" w:cs="Times New Roman"/>
                <w:sz w:val="24"/>
                <w:szCs w:val="24"/>
              </w:rPr>
              <w:t>首先对其中可回收利用部分进行回收，其次，不可回收的交由住建部门指定地点处置，严</w:t>
            </w:r>
            <w:r>
              <w:rPr>
                <w:rFonts w:hint="default" w:ascii="Times New Roman" w:hAnsi="Times New Roman" w:eastAsia="宋体" w:cs="Times New Roman"/>
                <w:spacing w:val="-1"/>
                <w:sz w:val="24"/>
                <w:szCs w:val="24"/>
              </w:rPr>
              <w:t>禁擅自堆放和倾</w:t>
            </w:r>
            <w:r>
              <w:rPr>
                <w:rFonts w:hint="default" w:ascii="Times New Roman" w:hAnsi="Times New Roman" w:eastAsia="宋体" w:cs="Times New Roman"/>
                <w:spacing w:val="-3"/>
                <w:sz w:val="24"/>
                <w:szCs w:val="24"/>
              </w:rPr>
              <w:t>倒。</w:t>
            </w:r>
          </w:p>
          <w:p w14:paraId="1CAE25B1">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（3）施工期建筑垃圾与生活垃圾应分类堆放、分别处置，禁止乱</w:t>
            </w:r>
            <w:r>
              <w:rPr>
                <w:rFonts w:hint="default" w:ascii="Times New Roman" w:hAnsi="Times New Roman" w:eastAsia="宋体" w:cs="Times New Roman"/>
                <w:spacing w:val="-2"/>
                <w:sz w:val="24"/>
                <w:szCs w:val="24"/>
              </w:rPr>
              <w:t>堆乱倒。</w:t>
            </w:r>
          </w:p>
          <w:p w14:paraId="528CD3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宋体" w:cs="Times New Roman"/>
                <w:spacing w:val="-1"/>
                <w:sz w:val="24"/>
                <w:szCs w:val="24"/>
              </w:rPr>
            </w:pPr>
            <w:r>
              <w:rPr>
                <w:rFonts w:hint="default" w:ascii="Times New Roman" w:hAnsi="Times New Roman" w:eastAsia="宋体" w:cs="Times New Roman"/>
                <w:spacing w:val="-1"/>
                <w:sz w:val="24"/>
                <w:szCs w:val="24"/>
              </w:rPr>
              <w:t>综上所述，施工期固体废物经过以上妥善处理后不会产生二次污染。</w:t>
            </w:r>
          </w:p>
        </w:tc>
      </w:tr>
      <w:tr w14:paraId="109C1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753" w:type="dxa"/>
            <w:noWrap w:val="0"/>
            <w:tcMar>
              <w:left w:w="28" w:type="dxa"/>
              <w:right w:w="28" w:type="dxa"/>
            </w:tcMar>
            <w:vAlign w:val="center"/>
          </w:tcPr>
          <w:p w14:paraId="7E40DF56">
            <w:pPr>
              <w:adjustRightInd w:val="0"/>
              <w:snapToGrid w:val="0"/>
              <w:jc w:val="center"/>
              <w:rPr>
                <w:rFonts w:hint="default" w:ascii="Times New Roman" w:hAnsi="Times New Roman" w:eastAsia="宋体" w:cs="Times New Roman"/>
                <w:bCs/>
                <w:spacing w:val="10"/>
                <w:sz w:val="24"/>
                <w:szCs w:val="24"/>
              </w:rPr>
            </w:pPr>
            <w:r>
              <w:rPr>
                <w:rFonts w:hint="default" w:ascii="Times New Roman" w:hAnsi="Times New Roman" w:eastAsia="宋体" w:cs="Times New Roman"/>
                <w:bCs/>
                <w:spacing w:val="10"/>
                <w:sz w:val="24"/>
                <w:szCs w:val="24"/>
              </w:rPr>
              <w:t>运营期生态环境保护措施</w:t>
            </w:r>
          </w:p>
        </w:tc>
        <w:tc>
          <w:tcPr>
            <w:tcW w:w="8457" w:type="dxa"/>
            <w:noWrap w:val="0"/>
            <w:vAlign w:val="top"/>
          </w:tcPr>
          <w:p w14:paraId="23CC3622">
            <w:pPr>
              <w:pStyle w:val="45"/>
              <w:keepNext w:val="0"/>
              <w:keepLines w:val="0"/>
              <w:pageBreakBefore w:val="0"/>
              <w:widowControl w:val="0"/>
              <w:numPr>
                <w:ilvl w:val="0"/>
                <w:numId w:val="14"/>
              </w:numPr>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b/>
                <w:bCs/>
                <w:spacing w:val="-5"/>
                <w:sz w:val="24"/>
                <w:szCs w:val="24"/>
              </w:rPr>
            </w:pPr>
            <w:r>
              <w:rPr>
                <w:rFonts w:hint="default" w:ascii="Times New Roman" w:hAnsi="Times New Roman" w:eastAsia="宋体" w:cs="Times New Roman"/>
                <w:b/>
                <w:bCs/>
                <w:spacing w:val="-5"/>
                <w:sz w:val="24"/>
                <w:szCs w:val="24"/>
              </w:rPr>
              <w:t>生态环境保护措施</w:t>
            </w:r>
          </w:p>
          <w:p w14:paraId="4D0020AD">
            <w:pPr>
              <w:pStyle w:val="45"/>
              <w:keepNext w:val="0"/>
              <w:keepLines w:val="0"/>
              <w:pageBreakBefore w:val="0"/>
              <w:widowControl w:val="0"/>
              <w:numPr>
                <w:ilvl w:val="0"/>
                <w:numId w:val="0"/>
              </w:numPr>
              <w:kinsoku/>
              <w:wordWrap/>
              <w:overflowPunct/>
              <w:topLinePunct w:val="0"/>
              <w:autoSpaceDE/>
              <w:autoSpaceDN/>
              <w:bidi w:val="0"/>
              <w:spacing w:line="360" w:lineRule="auto"/>
              <w:ind w:right="0" w:rightChars="0" w:firstLine="48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val="en-US" w:eastAsia="zh-CN"/>
              </w:rPr>
              <w:t>项目矿山开采主要生态问题</w:t>
            </w:r>
            <w:r>
              <w:rPr>
                <w:rFonts w:hint="eastAsia" w:ascii="Times New Roman" w:hAnsi="Times New Roman" w:eastAsia="宋体" w:cs="Times New Roman"/>
                <w:spacing w:val="1"/>
                <w:sz w:val="24"/>
                <w:szCs w:val="24"/>
                <w:lang w:val="en-US" w:eastAsia="zh-CN"/>
              </w:rPr>
              <w:t>是</w:t>
            </w:r>
            <w:r>
              <w:rPr>
                <w:rFonts w:hint="default" w:ascii="Times New Roman" w:hAnsi="Times New Roman" w:eastAsia="宋体" w:cs="Times New Roman"/>
                <w:spacing w:val="1"/>
                <w:sz w:val="24"/>
                <w:szCs w:val="24"/>
                <w:lang w:val="en-US" w:eastAsia="zh-CN"/>
              </w:rPr>
              <w:t>矿山开采引起的地表水土流失与生态破坏，及其服务</w:t>
            </w:r>
            <w:r>
              <w:rPr>
                <w:rFonts w:hint="default" w:ascii="Times New Roman" w:hAnsi="Times New Roman" w:eastAsia="宋体" w:cs="Times New Roman"/>
                <w:spacing w:val="1"/>
                <w:sz w:val="24"/>
                <w:szCs w:val="24"/>
              </w:rPr>
              <w:t>期满后占地复垦等。本报告根据《矿山生态环境保护与恢复治理技术规范</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试行</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z w:val="24"/>
                <w:szCs w:val="24"/>
              </w:rPr>
              <w:t>(HJ651-2013</w:t>
            </w:r>
            <w:r>
              <w:rPr>
                <w:rFonts w:hint="eastAsia" w:ascii="Times New Roman" w:hAnsi="Times New Roman" w:eastAsia="宋体" w:cs="Times New Roman"/>
                <w:spacing w:val="1"/>
                <w:sz w:val="24"/>
                <w:szCs w:val="24"/>
                <w:lang w:eastAsia="zh-CN"/>
              </w:rPr>
              <w:t>）</w:t>
            </w:r>
            <w:r>
              <w:rPr>
                <w:rFonts w:hint="default" w:ascii="Times New Roman" w:hAnsi="Times New Roman" w:eastAsia="宋体" w:cs="Times New Roman"/>
                <w:sz w:val="24"/>
                <w:szCs w:val="24"/>
              </w:rPr>
              <w:t>对本矿山根据不同时期</w:t>
            </w:r>
            <w:r>
              <w:rPr>
                <w:rFonts w:hint="default" w:ascii="Times New Roman" w:hAnsi="Times New Roman" w:eastAsia="宋体" w:cs="Times New Roman"/>
                <w:spacing w:val="-1"/>
                <w:sz w:val="24"/>
                <w:szCs w:val="24"/>
              </w:rPr>
              <w:t>提出以下生态保护措施。</w:t>
            </w:r>
          </w:p>
          <w:p w14:paraId="6A193477">
            <w:pPr>
              <w:pStyle w:val="45"/>
              <w:keepNext w:val="0"/>
              <w:keepLines w:val="0"/>
              <w:pageBreakBefore w:val="0"/>
              <w:widowControl w:val="0"/>
              <w:kinsoku/>
              <w:wordWrap/>
              <w:overflowPunct/>
              <w:topLinePunct w:val="0"/>
              <w:autoSpaceDE/>
              <w:autoSpaceDN/>
              <w:bidi w:val="0"/>
              <w:spacing w:line="360" w:lineRule="auto"/>
              <w:ind w:left="0" w:right="0" w:firstLine="45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1、运行期生态环境保护措施</w:t>
            </w:r>
          </w:p>
          <w:p w14:paraId="7A5158EF">
            <w:pPr>
              <w:pStyle w:val="45"/>
              <w:keepNext w:val="0"/>
              <w:keepLines w:val="0"/>
              <w:pageBreakBefore w:val="0"/>
              <w:widowControl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5"/>
                <w:sz w:val="24"/>
                <w:szCs w:val="24"/>
                <w:lang w:eastAsia="zh-CN"/>
              </w:rPr>
              <w:t>（</w:t>
            </w:r>
            <w:r>
              <w:rPr>
                <w:rFonts w:hint="eastAsia" w:ascii="Times New Roman" w:hAnsi="Times New Roman" w:eastAsia="宋体" w:cs="Times New Roman"/>
                <w:b/>
                <w:bCs/>
                <w:spacing w:val="-5"/>
                <w:sz w:val="24"/>
                <w:szCs w:val="24"/>
                <w:lang w:val="en-US" w:eastAsia="zh-CN"/>
              </w:rPr>
              <w:t>1</w:t>
            </w:r>
            <w:r>
              <w:rPr>
                <w:rFonts w:hint="eastAsia" w:ascii="Times New Roman" w:hAnsi="Times New Roman" w:eastAsia="宋体" w:cs="Times New Roman"/>
                <w:b/>
                <w:bCs/>
                <w:spacing w:val="-5"/>
                <w:sz w:val="24"/>
                <w:szCs w:val="24"/>
                <w:lang w:eastAsia="zh-CN"/>
              </w:rPr>
              <w:t>）</w:t>
            </w:r>
            <w:r>
              <w:rPr>
                <w:rFonts w:hint="default" w:ascii="Times New Roman" w:hAnsi="Times New Roman" w:eastAsia="宋体" w:cs="Times New Roman"/>
                <w:b/>
                <w:bCs/>
                <w:spacing w:val="-5"/>
                <w:sz w:val="24"/>
                <w:szCs w:val="24"/>
              </w:rPr>
              <w:t>开采区生态环境保护措施</w:t>
            </w:r>
          </w:p>
          <w:p w14:paraId="7941EF74">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①前期对采场周围架设防护栏及悬挂警示牌，明确开采范围</w:t>
            </w:r>
            <w:r>
              <w:rPr>
                <w:rFonts w:hint="default" w:ascii="Times New Roman" w:hAnsi="Times New Roman" w:eastAsia="宋体" w:cs="Times New Roman"/>
                <w:spacing w:val="-1"/>
                <w:sz w:val="24"/>
                <w:szCs w:val="24"/>
              </w:rPr>
              <w:t>，严格控制扰动范围。</w:t>
            </w:r>
          </w:p>
          <w:p w14:paraId="23EA2E0E">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②提前规划建设排土场，前期开采的废石全部进入排土场，严</w:t>
            </w:r>
            <w:r>
              <w:rPr>
                <w:rFonts w:hint="default" w:ascii="Times New Roman" w:hAnsi="Times New Roman" w:eastAsia="宋体" w:cs="Times New Roman"/>
                <w:spacing w:val="-1"/>
                <w:sz w:val="24"/>
                <w:szCs w:val="24"/>
              </w:rPr>
              <w:t>禁随意丢弃堆放，避免造成额外的生态破坏。后期开采废石用于采坑回</w:t>
            </w:r>
            <w:r>
              <w:rPr>
                <w:rFonts w:hint="default" w:ascii="Times New Roman" w:hAnsi="Times New Roman" w:eastAsia="宋体" w:cs="Times New Roman"/>
                <w:spacing w:val="-2"/>
                <w:sz w:val="24"/>
                <w:szCs w:val="24"/>
              </w:rPr>
              <w:t>填。</w:t>
            </w:r>
          </w:p>
          <w:p w14:paraId="7FB08D44">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③本项目采用台阶采矿，控制边坡角，确保稳定。边开采边治</w:t>
            </w:r>
            <w:r>
              <w:rPr>
                <w:rFonts w:hint="default" w:ascii="Times New Roman" w:hAnsi="Times New Roman" w:eastAsia="宋体" w:cs="Times New Roman"/>
                <w:spacing w:val="-1"/>
                <w:sz w:val="24"/>
                <w:szCs w:val="24"/>
              </w:rPr>
              <w:t>理的原则，开采平台完成一个、治理一个。开采完毕后应立即进行生态恢复。</w:t>
            </w:r>
          </w:p>
          <w:p w14:paraId="6D107F37">
            <w:pPr>
              <w:pStyle w:val="45"/>
              <w:keepNext w:val="0"/>
              <w:keepLines w:val="0"/>
              <w:pageBreakBefore w:val="0"/>
              <w:widowControl w:val="0"/>
              <w:kinsoku/>
              <w:wordWrap/>
              <w:overflowPunct/>
              <w:topLinePunct w:val="0"/>
              <w:autoSpaceDE/>
              <w:autoSpaceDN/>
              <w:bidi w:val="0"/>
              <w:spacing w:line="360" w:lineRule="auto"/>
              <w:ind w:left="0" w:right="0" w:firstLine="464"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4"/>
                <w:sz w:val="24"/>
                <w:szCs w:val="24"/>
                <w:lang w:val="en-US" w:eastAsia="zh-CN"/>
              </w:rPr>
              <w:t>④</w:t>
            </w:r>
            <w:r>
              <w:rPr>
                <w:rFonts w:hint="default" w:ascii="Times New Roman" w:hAnsi="Times New Roman" w:eastAsia="宋体" w:cs="Times New Roman"/>
                <w:spacing w:val="-4"/>
                <w:sz w:val="24"/>
                <w:szCs w:val="24"/>
              </w:rPr>
              <w:t>边坡治理，根据开发利用方案设计最终边坡角为≤60</w:t>
            </w:r>
            <w:r>
              <w:rPr>
                <w:rFonts w:hint="default" w:ascii="Times New Roman" w:hAnsi="Times New Roman" w:eastAsia="宋体" w:cs="Times New Roman"/>
                <w:spacing w:val="-83"/>
                <w:sz w:val="24"/>
                <w:szCs w:val="24"/>
              </w:rPr>
              <w:t xml:space="preserve"> </w:t>
            </w:r>
            <w:r>
              <w:rPr>
                <w:rFonts w:hint="eastAsia" w:ascii="Times New Roman" w:hAnsi="Times New Roman" w:eastAsia="宋体" w:cs="Times New Roman"/>
                <w:spacing w:val="-83"/>
                <w:sz w:val="24"/>
                <w:szCs w:val="24"/>
                <w:lang w:val="en-US" w:eastAsia="zh-CN"/>
              </w:rPr>
              <w:t>°，</w:t>
            </w:r>
            <w:r>
              <w:rPr>
                <w:rFonts w:hint="default" w:ascii="Times New Roman" w:hAnsi="Times New Roman" w:eastAsia="宋体" w:cs="Times New Roman"/>
                <w:spacing w:val="-4"/>
                <w:sz w:val="24"/>
                <w:szCs w:val="24"/>
              </w:rPr>
              <w:t>开采结束后对边坡危</w:t>
            </w:r>
            <w:r>
              <w:rPr>
                <w:rFonts w:hint="default" w:ascii="Times New Roman" w:hAnsi="Times New Roman" w:eastAsia="宋体" w:cs="Times New Roman"/>
                <w:sz w:val="24"/>
                <w:szCs w:val="24"/>
              </w:rPr>
              <w:t>岩、浮石进行清理处理，使最终边坡处于稳定状态</w:t>
            </w:r>
            <w:r>
              <w:rPr>
                <w:rFonts w:hint="default" w:ascii="Times New Roman" w:hAnsi="Times New Roman" w:eastAsia="宋体" w:cs="Times New Roman"/>
                <w:spacing w:val="-1"/>
                <w:sz w:val="24"/>
                <w:szCs w:val="24"/>
              </w:rPr>
              <w:t>，清理的危岩、浮石全部回填于采</w:t>
            </w:r>
            <w:r>
              <w:rPr>
                <w:rFonts w:hint="default" w:ascii="Times New Roman" w:hAnsi="Times New Roman" w:eastAsia="宋体" w:cs="Times New Roman"/>
                <w:sz w:val="24"/>
                <w:szCs w:val="24"/>
              </w:rPr>
              <w:t>坑。对生产中的侧向边坡和工作边坡要求按设</w:t>
            </w:r>
            <w:r>
              <w:rPr>
                <w:rFonts w:hint="default" w:ascii="Times New Roman" w:hAnsi="Times New Roman" w:eastAsia="宋体" w:cs="Times New Roman"/>
                <w:spacing w:val="-1"/>
                <w:sz w:val="24"/>
                <w:szCs w:val="24"/>
              </w:rPr>
              <w:t>计进行放坡，对顺向坡的非工作边采取台</w:t>
            </w:r>
            <w:r>
              <w:rPr>
                <w:rFonts w:hint="default" w:ascii="Times New Roman" w:hAnsi="Times New Roman" w:eastAsia="宋体" w:cs="Times New Roman"/>
                <w:spacing w:val="-5"/>
                <w:sz w:val="24"/>
                <w:szCs w:val="24"/>
              </w:rPr>
              <w:t>阶式内排回填。</w:t>
            </w:r>
          </w:p>
          <w:p w14:paraId="1871B3AE">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⑤</w:t>
            </w:r>
            <w:r>
              <w:rPr>
                <w:rFonts w:hint="default" w:ascii="Times New Roman" w:hAnsi="Times New Roman" w:eastAsia="宋体" w:cs="Times New Roman"/>
                <w:sz w:val="24"/>
                <w:szCs w:val="24"/>
              </w:rPr>
              <w:t>生产产生的除尘灰及污泥及时用于采坑的回填，回</w:t>
            </w:r>
            <w:r>
              <w:rPr>
                <w:rFonts w:hint="default" w:ascii="Times New Roman" w:hAnsi="Times New Roman" w:eastAsia="宋体" w:cs="Times New Roman"/>
                <w:spacing w:val="-1"/>
                <w:sz w:val="24"/>
                <w:szCs w:val="24"/>
              </w:rPr>
              <w:t>填后及时压实处理。</w:t>
            </w:r>
          </w:p>
          <w:p w14:paraId="39E6C46E">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
                <w:sz w:val="24"/>
                <w:szCs w:val="24"/>
                <w:lang w:val="en-US" w:eastAsia="zh-CN"/>
              </w:rPr>
              <w:t>⑥</w:t>
            </w:r>
            <w:r>
              <w:rPr>
                <w:rFonts w:hint="default" w:ascii="Times New Roman" w:hAnsi="Times New Roman" w:eastAsia="宋体" w:cs="Times New Roman"/>
                <w:spacing w:val="-1"/>
                <w:sz w:val="24"/>
                <w:szCs w:val="24"/>
              </w:rPr>
              <w:t>运输车辆严格按照既有道路行驶，严禁随意压占周边土地。</w:t>
            </w:r>
          </w:p>
          <w:p w14:paraId="151970B5">
            <w:pPr>
              <w:pStyle w:val="45"/>
              <w:keepNext w:val="0"/>
              <w:keepLines w:val="0"/>
              <w:pageBreakBefore w:val="0"/>
              <w:widowControl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5"/>
                <w:sz w:val="24"/>
                <w:szCs w:val="24"/>
                <w:lang w:eastAsia="zh-CN"/>
              </w:rPr>
              <w:t>（</w:t>
            </w:r>
            <w:r>
              <w:rPr>
                <w:rFonts w:hint="eastAsia" w:ascii="Times New Roman" w:hAnsi="Times New Roman" w:eastAsia="宋体" w:cs="Times New Roman"/>
                <w:b/>
                <w:bCs/>
                <w:spacing w:val="-5"/>
                <w:sz w:val="24"/>
                <w:szCs w:val="24"/>
                <w:lang w:val="en-US" w:eastAsia="zh-CN"/>
              </w:rPr>
              <w:t>2</w:t>
            </w:r>
            <w:r>
              <w:rPr>
                <w:rFonts w:hint="eastAsia" w:ascii="Times New Roman" w:hAnsi="Times New Roman" w:eastAsia="宋体" w:cs="Times New Roman"/>
                <w:b/>
                <w:bCs/>
                <w:spacing w:val="-5"/>
                <w:sz w:val="24"/>
                <w:szCs w:val="24"/>
                <w:lang w:eastAsia="zh-CN"/>
              </w:rPr>
              <w:t>）</w:t>
            </w:r>
            <w:r>
              <w:rPr>
                <w:rFonts w:hint="default" w:ascii="Times New Roman" w:hAnsi="Times New Roman" w:eastAsia="宋体" w:cs="Times New Roman"/>
                <w:b/>
                <w:bCs/>
                <w:spacing w:val="-5"/>
                <w:sz w:val="24"/>
                <w:szCs w:val="24"/>
              </w:rPr>
              <w:t>排土场环境保护措施</w:t>
            </w:r>
          </w:p>
          <w:p w14:paraId="506EF44B">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①排土场严格控制边界，严禁进行乱堆乱放，做到有序排土</w:t>
            </w:r>
            <w:r>
              <w:rPr>
                <w:rFonts w:hint="default" w:ascii="Times New Roman" w:hAnsi="Times New Roman" w:eastAsia="宋体" w:cs="Times New Roman"/>
                <w:spacing w:val="-1"/>
                <w:sz w:val="24"/>
                <w:szCs w:val="24"/>
              </w:rPr>
              <w:t>待采坑形成后尽量减少</w:t>
            </w:r>
            <w:r>
              <w:rPr>
                <w:rFonts w:hint="default" w:ascii="Times New Roman" w:hAnsi="Times New Roman" w:eastAsia="宋体" w:cs="Times New Roman"/>
                <w:spacing w:val="-5"/>
                <w:sz w:val="24"/>
                <w:szCs w:val="24"/>
              </w:rPr>
              <w:t>排土。</w:t>
            </w:r>
          </w:p>
          <w:p w14:paraId="1935CEE1">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②做到先拦后弃，排土场上游设置截排水沟、场内排水渠、下</w:t>
            </w:r>
            <w:r>
              <w:rPr>
                <w:rFonts w:hint="default" w:ascii="Times New Roman" w:hAnsi="Times New Roman" w:eastAsia="宋体" w:cs="Times New Roman"/>
                <w:spacing w:val="-1"/>
                <w:sz w:val="24"/>
                <w:szCs w:val="24"/>
              </w:rPr>
              <w:t>游拦渣坝，减少汇水</w:t>
            </w:r>
            <w:r>
              <w:rPr>
                <w:rFonts w:hint="default" w:ascii="Times New Roman" w:hAnsi="Times New Roman" w:eastAsia="宋体" w:cs="Times New Roman"/>
                <w:spacing w:val="-3"/>
                <w:sz w:val="24"/>
                <w:szCs w:val="24"/>
              </w:rPr>
              <w:t>对堆体的冲刷。</w:t>
            </w:r>
          </w:p>
          <w:p w14:paraId="62D7C0F8">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③对软弱地基进行压实处理，为排土场打下稳定基础。分层压</w:t>
            </w:r>
            <w:r>
              <w:rPr>
                <w:rFonts w:hint="default" w:ascii="Times New Roman" w:hAnsi="Times New Roman" w:eastAsia="宋体" w:cs="Times New Roman"/>
                <w:spacing w:val="-1"/>
                <w:sz w:val="24"/>
                <w:szCs w:val="24"/>
              </w:rPr>
              <w:t>实、阶梯式堆排：采</w:t>
            </w:r>
            <w:r>
              <w:rPr>
                <w:rFonts w:hint="default" w:ascii="Times New Roman" w:hAnsi="Times New Roman" w:eastAsia="宋体" w:cs="Times New Roman"/>
                <w:spacing w:val="-2"/>
                <w:sz w:val="24"/>
                <w:szCs w:val="24"/>
              </w:rPr>
              <w:t>用</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自上而下、分台阶、分层碾压</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的方式，提高堆</w:t>
            </w:r>
            <w:r>
              <w:rPr>
                <w:rFonts w:hint="default" w:ascii="Times New Roman" w:hAnsi="Times New Roman" w:eastAsia="宋体" w:cs="Times New Roman"/>
                <w:spacing w:val="-3"/>
                <w:sz w:val="24"/>
                <w:szCs w:val="24"/>
              </w:rPr>
              <w:t>体密实度和稳定性。及时修整边坡，确</w:t>
            </w:r>
            <w:r>
              <w:rPr>
                <w:rFonts w:hint="default" w:ascii="Times New Roman" w:hAnsi="Times New Roman" w:eastAsia="宋体" w:cs="Times New Roman"/>
                <w:spacing w:val="-1"/>
                <w:sz w:val="24"/>
                <w:szCs w:val="24"/>
              </w:rPr>
              <w:t>保符合设计坡度。</w:t>
            </w:r>
          </w:p>
          <w:p w14:paraId="1F169534">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④对作业面和运输道路进行定期洒水降尘。在干燥大风天气，</w:t>
            </w:r>
            <w:r>
              <w:rPr>
                <w:rFonts w:hint="default" w:ascii="Times New Roman" w:hAnsi="Times New Roman" w:eastAsia="宋体" w:cs="Times New Roman"/>
                <w:spacing w:val="-1"/>
                <w:sz w:val="24"/>
                <w:szCs w:val="24"/>
              </w:rPr>
              <w:t>对非作业平台和边坡采用抑尘网覆盖或喷洒环保抑尘剂。</w:t>
            </w:r>
          </w:p>
          <w:p w14:paraId="4441695A">
            <w:pPr>
              <w:pStyle w:val="45"/>
              <w:keepNext w:val="0"/>
              <w:keepLines w:val="0"/>
              <w:pageBreakBefore w:val="0"/>
              <w:widowControl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2、闭矿后矿山的生态恢复建设</w:t>
            </w:r>
          </w:p>
          <w:p w14:paraId="05FCDC4A">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根据国家环境保护部文件环发《矿山生态环境保护</w:t>
            </w:r>
            <w:r>
              <w:rPr>
                <w:rFonts w:hint="default" w:ascii="Times New Roman" w:hAnsi="Times New Roman" w:eastAsia="宋体" w:cs="Times New Roman"/>
                <w:spacing w:val="-1"/>
                <w:sz w:val="24"/>
                <w:szCs w:val="24"/>
              </w:rPr>
              <w:t>与恢复治理技术规范（试行）》</w:t>
            </w:r>
            <w:r>
              <w:rPr>
                <w:rFonts w:hint="default" w:ascii="Times New Roman" w:hAnsi="Times New Roman" w:eastAsia="宋体" w:cs="Times New Roman"/>
                <w:spacing w:val="-4"/>
                <w:sz w:val="24"/>
                <w:szCs w:val="24"/>
              </w:rPr>
              <w:t>（HJ651-2013）的要求。</w:t>
            </w:r>
          </w:p>
          <w:p w14:paraId="7E8AD66F">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建设单位必须委托有专业资质单位设计水土保持和土地复垦方</w:t>
            </w:r>
            <w:r>
              <w:rPr>
                <w:rFonts w:hint="default" w:ascii="Times New Roman" w:hAnsi="Times New Roman" w:eastAsia="宋体" w:cs="Times New Roman"/>
                <w:spacing w:val="-1"/>
                <w:sz w:val="24"/>
                <w:szCs w:val="24"/>
              </w:rPr>
              <w:t>案，使开采活动对生</w:t>
            </w:r>
            <w:r>
              <w:rPr>
                <w:rFonts w:hint="default" w:ascii="Times New Roman" w:hAnsi="Times New Roman" w:eastAsia="宋体" w:cs="Times New Roman"/>
                <w:spacing w:val="-2"/>
                <w:sz w:val="24"/>
                <w:szCs w:val="24"/>
              </w:rPr>
              <w:t>态环境的不利影响降低到最小程度。结合项目区的自然条件、</w:t>
            </w:r>
            <w:r>
              <w:rPr>
                <w:rFonts w:hint="default" w:ascii="Times New Roman" w:hAnsi="Times New Roman" w:eastAsia="宋体" w:cs="Times New Roman"/>
                <w:spacing w:val="-61"/>
                <w:sz w:val="24"/>
                <w:szCs w:val="24"/>
              </w:rPr>
              <w:t xml:space="preserve"> </w:t>
            </w:r>
            <w:r>
              <w:rPr>
                <w:rFonts w:hint="default" w:ascii="Times New Roman" w:hAnsi="Times New Roman" w:eastAsia="宋体" w:cs="Times New Roman"/>
                <w:spacing w:val="-2"/>
                <w:sz w:val="24"/>
                <w:szCs w:val="24"/>
              </w:rPr>
              <w:t>自然资源、社会经济状况</w:t>
            </w:r>
            <w:r>
              <w:rPr>
                <w:rFonts w:hint="default" w:ascii="Times New Roman" w:hAnsi="Times New Roman" w:eastAsia="宋体" w:cs="Times New Roman"/>
                <w:sz w:val="24"/>
                <w:szCs w:val="24"/>
              </w:rPr>
              <w:t>和区域经济的开发、建设、发展对环境保护综</w:t>
            </w:r>
            <w:r>
              <w:rPr>
                <w:rFonts w:hint="default" w:ascii="Times New Roman" w:hAnsi="Times New Roman" w:eastAsia="宋体" w:cs="Times New Roman"/>
                <w:spacing w:val="-1"/>
                <w:sz w:val="24"/>
                <w:szCs w:val="24"/>
              </w:rPr>
              <w:t>合治理的要求，按照因地制宜、因害设防、科学治理、保护开发并举，遏制废土排放导致的生态环境的恶化，减少各种自然灾</w:t>
            </w:r>
            <w:r>
              <w:rPr>
                <w:rFonts w:hint="default" w:ascii="Times New Roman" w:hAnsi="Times New Roman" w:eastAsia="宋体" w:cs="Times New Roman"/>
                <w:spacing w:val="-4"/>
                <w:sz w:val="24"/>
                <w:szCs w:val="24"/>
              </w:rPr>
              <w:t>害的发生。</w:t>
            </w:r>
          </w:p>
          <w:p w14:paraId="3FDA5EDC">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本项目项目区采用滚动开发的方式进行开采，分片区开采</w:t>
            </w:r>
            <w:r>
              <w:rPr>
                <w:rFonts w:hint="default" w:ascii="Times New Roman" w:hAnsi="Times New Roman" w:eastAsia="宋体" w:cs="Times New Roman"/>
                <w:spacing w:val="-1"/>
                <w:sz w:val="24"/>
                <w:szCs w:val="24"/>
              </w:rPr>
              <w:t>。环评建议建设单位采用</w:t>
            </w:r>
            <w:r>
              <w:rPr>
                <w:rFonts w:hint="default" w:ascii="Times New Roman" w:hAnsi="Times New Roman" w:eastAsia="宋体" w:cs="Times New Roman"/>
                <w:sz w:val="24"/>
                <w:szCs w:val="24"/>
              </w:rPr>
              <w:t>开采--复垦一体化理念，边开采，边回填，边复垦。根</w:t>
            </w:r>
            <w:r>
              <w:rPr>
                <w:rFonts w:hint="default" w:ascii="Times New Roman" w:hAnsi="Times New Roman" w:eastAsia="宋体" w:cs="Times New Roman"/>
                <w:spacing w:val="-1"/>
                <w:sz w:val="24"/>
                <w:szCs w:val="24"/>
              </w:rPr>
              <w:t>据土地损毁情况确定生态恢复的范</w:t>
            </w:r>
            <w:r>
              <w:rPr>
                <w:rFonts w:hint="default" w:ascii="Times New Roman" w:hAnsi="Times New Roman" w:eastAsia="宋体" w:cs="Times New Roman"/>
                <w:sz w:val="24"/>
                <w:szCs w:val="24"/>
              </w:rPr>
              <w:t>围与类型，将生态恢复分为4个综合单元进行工程设计，</w:t>
            </w:r>
            <w:r>
              <w:rPr>
                <w:rFonts w:hint="default" w:ascii="Times New Roman" w:hAnsi="Times New Roman" w:eastAsia="宋体" w:cs="Times New Roman"/>
                <w:spacing w:val="-1"/>
                <w:sz w:val="24"/>
                <w:szCs w:val="24"/>
              </w:rPr>
              <w:t>分别为采矿区、工业场地、矿区</w:t>
            </w:r>
            <w:r>
              <w:rPr>
                <w:rFonts w:hint="default" w:ascii="Times New Roman" w:hAnsi="Times New Roman" w:eastAsia="宋体" w:cs="Times New Roman"/>
                <w:spacing w:val="-2"/>
                <w:sz w:val="24"/>
                <w:szCs w:val="24"/>
              </w:rPr>
              <w:t>道路及排土场。</w:t>
            </w:r>
          </w:p>
          <w:p w14:paraId="110C9EE2">
            <w:pPr>
              <w:pStyle w:val="45"/>
              <w:keepNext w:val="0"/>
              <w:keepLines w:val="0"/>
              <w:pageBreakBefore w:val="0"/>
              <w:widowControl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5"/>
                <w:sz w:val="24"/>
                <w:szCs w:val="24"/>
                <w:lang w:eastAsia="zh-CN"/>
              </w:rPr>
              <w:t>（</w:t>
            </w:r>
            <w:r>
              <w:rPr>
                <w:rFonts w:hint="eastAsia" w:ascii="Times New Roman" w:hAnsi="Times New Roman" w:eastAsia="宋体" w:cs="Times New Roman"/>
                <w:b/>
                <w:bCs/>
                <w:spacing w:val="-5"/>
                <w:sz w:val="24"/>
                <w:szCs w:val="24"/>
                <w:lang w:val="en-US" w:eastAsia="zh-CN"/>
              </w:rPr>
              <w:t>1</w:t>
            </w:r>
            <w:r>
              <w:rPr>
                <w:rFonts w:hint="eastAsia" w:ascii="Times New Roman" w:hAnsi="Times New Roman" w:eastAsia="宋体" w:cs="Times New Roman"/>
                <w:b/>
                <w:bCs/>
                <w:spacing w:val="-5"/>
                <w:sz w:val="24"/>
                <w:szCs w:val="24"/>
                <w:lang w:eastAsia="zh-CN"/>
              </w:rPr>
              <w:t>）</w:t>
            </w:r>
            <w:r>
              <w:rPr>
                <w:rFonts w:hint="eastAsia" w:ascii="Times New Roman" w:hAnsi="Times New Roman" w:eastAsia="宋体" w:cs="Times New Roman"/>
                <w:b/>
                <w:bCs/>
                <w:spacing w:val="-5"/>
                <w:sz w:val="24"/>
                <w:szCs w:val="24"/>
                <w:lang w:val="en-US" w:eastAsia="zh-CN"/>
              </w:rPr>
              <w:t>对露天</w:t>
            </w:r>
            <w:r>
              <w:rPr>
                <w:rFonts w:hint="default" w:ascii="Times New Roman" w:hAnsi="Times New Roman" w:eastAsia="宋体" w:cs="Times New Roman"/>
                <w:b/>
                <w:bCs/>
                <w:spacing w:val="-5"/>
                <w:sz w:val="24"/>
                <w:szCs w:val="24"/>
              </w:rPr>
              <w:t>采矿区</w:t>
            </w:r>
            <w:r>
              <w:rPr>
                <w:rFonts w:hint="eastAsia" w:ascii="Times New Roman" w:hAnsi="Times New Roman" w:eastAsia="宋体" w:cs="Times New Roman"/>
                <w:b/>
                <w:bCs/>
                <w:spacing w:val="-5"/>
                <w:sz w:val="24"/>
                <w:szCs w:val="24"/>
                <w:lang w:val="en-US" w:eastAsia="zh-CN"/>
              </w:rPr>
              <w:t>的</w:t>
            </w:r>
            <w:r>
              <w:rPr>
                <w:rFonts w:hint="default" w:ascii="Times New Roman" w:hAnsi="Times New Roman" w:eastAsia="宋体" w:cs="Times New Roman"/>
                <w:b/>
                <w:bCs/>
                <w:spacing w:val="-5"/>
                <w:sz w:val="24"/>
                <w:szCs w:val="24"/>
              </w:rPr>
              <w:t>生态恢复措施</w:t>
            </w:r>
          </w:p>
          <w:p w14:paraId="59A1527C">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pacing w:val="-6"/>
                <w:sz w:val="24"/>
                <w:szCs w:val="24"/>
              </w:rPr>
            </w:pPr>
            <w:r>
              <w:rPr>
                <w:rFonts w:hint="default" w:ascii="Times New Roman" w:hAnsi="Times New Roman" w:eastAsia="宋体" w:cs="Times New Roman"/>
                <w:spacing w:val="-1"/>
                <w:sz w:val="24"/>
                <w:szCs w:val="24"/>
              </w:rPr>
              <w:t>①用铁刺网围栏将矿区西、北两面及南面部分地段外围进行围封，每隔10m栽1根水</w:t>
            </w:r>
            <w:r>
              <w:rPr>
                <w:rFonts w:hint="default" w:ascii="Times New Roman" w:hAnsi="Times New Roman" w:eastAsia="宋体" w:cs="Times New Roman"/>
                <w:sz w:val="24"/>
                <w:szCs w:val="24"/>
              </w:rPr>
              <w:t>泥柱，高1.80m</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共拉5道水平铁刺和2道倾斜铁刺。大门撑桩</w:t>
            </w:r>
            <w:r>
              <w:rPr>
                <w:rFonts w:hint="default" w:ascii="Times New Roman" w:hAnsi="Times New Roman" w:eastAsia="宋体" w:cs="Times New Roman"/>
                <w:spacing w:val="-1"/>
                <w:sz w:val="24"/>
                <w:szCs w:val="24"/>
              </w:rPr>
              <w:t>在安装网围栏前预留好，门宽</w:t>
            </w:r>
            <w:r>
              <w:rPr>
                <w:rFonts w:hint="default" w:ascii="Times New Roman" w:hAnsi="Times New Roman" w:eastAsia="宋体" w:cs="Times New Roman"/>
                <w:spacing w:val="-2"/>
                <w:sz w:val="24"/>
                <w:szCs w:val="24"/>
              </w:rPr>
              <w:t>在6.5m左右，门桩用内斜撑支持，竖桩规格0.12×0.24×1.80m，斜撑规格</w:t>
            </w:r>
            <w:r>
              <w:rPr>
                <w:rFonts w:hint="eastAsia" w:ascii="Times New Roman" w:hAnsi="Times New Roman" w:eastAsia="宋体" w:cs="Times New Roman"/>
                <w:spacing w:val="-2"/>
                <w:sz w:val="24"/>
                <w:szCs w:val="24"/>
                <w:lang w:val="en-US" w:eastAsia="zh-CN"/>
              </w:rPr>
              <w:t>0.</w:t>
            </w:r>
            <w:r>
              <w:rPr>
                <w:rFonts w:hint="default" w:ascii="Times New Roman" w:hAnsi="Times New Roman" w:eastAsia="宋体" w:cs="Times New Roman"/>
                <w:spacing w:val="-3"/>
                <w:sz w:val="24"/>
                <w:szCs w:val="24"/>
              </w:rPr>
              <w:t>10×0.</w:t>
            </w:r>
            <w:r>
              <w:rPr>
                <w:rFonts w:hint="eastAsia" w:ascii="Times New Roman" w:hAnsi="Times New Roman" w:eastAsia="宋体" w:cs="Times New Roman"/>
                <w:spacing w:val="-3"/>
                <w:sz w:val="24"/>
                <w:szCs w:val="24"/>
                <w:lang w:val="en-US" w:eastAsia="zh-CN"/>
              </w:rPr>
              <w:t>1</w:t>
            </w:r>
            <w:r>
              <w:rPr>
                <w:rFonts w:hint="default" w:ascii="Times New Roman" w:hAnsi="Times New Roman" w:eastAsia="宋体" w:cs="Times New Roman"/>
                <w:spacing w:val="-3"/>
                <w:sz w:val="24"/>
                <w:szCs w:val="24"/>
              </w:rPr>
              <w:t>0×2.20m，角度45°。每隔10m栽一水泥锚拉桩，规格0.1×0.1×1.8m，埋桩深度</w:t>
            </w:r>
            <w:r>
              <w:rPr>
                <w:rFonts w:hint="default" w:ascii="Times New Roman" w:hAnsi="Times New Roman" w:eastAsia="宋体" w:cs="Times New Roman"/>
                <w:spacing w:val="-1"/>
                <w:sz w:val="24"/>
                <w:szCs w:val="24"/>
              </w:rPr>
              <w:t>50cm，栽桩后检查各桩是否一条线，使支持网片与桩面保持一个平</w:t>
            </w:r>
            <w:r>
              <w:rPr>
                <w:rFonts w:hint="default" w:ascii="Times New Roman" w:hAnsi="Times New Roman" w:eastAsia="宋体" w:cs="Times New Roman"/>
                <w:spacing w:val="-2"/>
                <w:sz w:val="24"/>
                <w:szCs w:val="24"/>
              </w:rPr>
              <w:t>面，最后将桩坑踩</w:t>
            </w:r>
            <w:r>
              <w:rPr>
                <w:rFonts w:hint="default" w:ascii="Times New Roman" w:hAnsi="Times New Roman" w:eastAsia="宋体" w:cs="Times New Roman"/>
                <w:spacing w:val="-6"/>
                <w:sz w:val="24"/>
                <w:szCs w:val="24"/>
              </w:rPr>
              <w:t>实。</w:t>
            </w:r>
          </w:p>
          <w:p w14:paraId="56204EC8">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pPr>
            <w:r>
              <w:drawing>
                <wp:inline distT="0" distB="0" distL="114300" distR="114300">
                  <wp:extent cx="4514215" cy="2799080"/>
                  <wp:effectExtent l="0" t="0" r="635" b="127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22"/>
                          <a:stretch>
                            <a:fillRect/>
                          </a:stretch>
                        </pic:blipFill>
                        <pic:spPr>
                          <a:xfrm>
                            <a:off x="0" y="0"/>
                            <a:ext cx="4514215" cy="2799080"/>
                          </a:xfrm>
                          <a:prstGeom prst="rect">
                            <a:avLst/>
                          </a:prstGeom>
                          <a:noFill/>
                          <a:ln>
                            <a:noFill/>
                          </a:ln>
                        </pic:spPr>
                      </pic:pic>
                    </a:graphicData>
                  </a:graphic>
                </wp:inline>
              </w:drawing>
            </w:r>
          </w:p>
          <w:p w14:paraId="7E040C89">
            <w:pPr>
              <w:pStyle w:val="45"/>
              <w:keepNext w:val="0"/>
              <w:keepLines w:val="0"/>
              <w:pageBreakBefore w:val="0"/>
              <w:widowControl w:val="0"/>
              <w:kinsoku/>
              <w:wordWrap/>
              <w:overflowPunct/>
              <w:topLinePunct w:val="0"/>
              <w:autoSpaceDE/>
              <w:autoSpaceDN/>
              <w:bidi w:val="0"/>
              <w:spacing w:line="360" w:lineRule="auto"/>
              <w:ind w:left="0" w:right="0" w:firstLine="422"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val="en-US" w:eastAsia="zh-CN"/>
              </w:rPr>
              <w:t>图5-1   采场防护围栏安装图</w:t>
            </w:r>
          </w:p>
          <w:p w14:paraId="57A2DBEF">
            <w:pPr>
              <w:pStyle w:val="45"/>
              <w:keepNext w:val="0"/>
              <w:keepLines w:val="0"/>
              <w:pageBreakBefore w:val="0"/>
              <w:widowControl w:val="0"/>
              <w:numPr>
                <w:ilvl w:val="0"/>
                <w:numId w:val="0"/>
              </w:numPr>
              <w:kinsoku/>
              <w:wordWrap/>
              <w:overflowPunct/>
              <w:topLinePunct w:val="0"/>
              <w:autoSpaceDE/>
              <w:autoSpaceDN/>
              <w:bidi w:val="0"/>
              <w:spacing w:line="360" w:lineRule="auto"/>
              <w:ind w:leftChars="200" w:right="0" w:rightChars="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
                <w:position w:val="2"/>
                <w:sz w:val="24"/>
                <w:szCs w:val="24"/>
              </w:rPr>
              <w:t>②采场边坡危岩、浮石处理</w:t>
            </w:r>
          </w:p>
          <w:p w14:paraId="7016E560">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开发利用设计</w:t>
            </w:r>
            <w:r>
              <w:rPr>
                <w:rFonts w:hint="eastAsia" w:ascii="Times New Roman" w:hAnsi="Times New Roman" w:eastAsia="宋体" w:cs="Times New Roman"/>
                <w:sz w:val="24"/>
                <w:szCs w:val="24"/>
                <w:lang w:val="en-US" w:eastAsia="zh-CN"/>
              </w:rPr>
              <w:t>方案</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矿体开采后</w:t>
            </w:r>
            <w:r>
              <w:rPr>
                <w:rFonts w:hint="eastAsia" w:ascii="Times New Roman" w:hAnsi="Times New Roman" w:eastAsia="宋体" w:cs="Times New Roman"/>
                <w:sz w:val="24"/>
                <w:szCs w:val="24"/>
                <w:lang w:val="en-US" w:eastAsia="zh-CN"/>
              </w:rPr>
              <w:t>最终边坡角45</w:t>
            </w:r>
            <w:r>
              <w:rPr>
                <w:rFonts w:hint="default" w:ascii="Times New Roman" w:hAnsi="Times New Roman" w:eastAsia="宋体" w:cs="Times New Roman"/>
                <w:sz w:val="24"/>
                <w:szCs w:val="24"/>
              </w:rPr>
              <w:t>°。为此，将采场边坡危岩、浮石进行清理处理，使最终</w:t>
            </w:r>
            <w:r>
              <w:rPr>
                <w:rFonts w:hint="default" w:ascii="Times New Roman" w:hAnsi="Times New Roman" w:eastAsia="宋体" w:cs="Times New Roman"/>
                <w:spacing w:val="-1"/>
                <w:sz w:val="24"/>
                <w:szCs w:val="24"/>
              </w:rPr>
              <w:t>边坡处于稳定状态，可有效防</w:t>
            </w:r>
            <w:r>
              <w:rPr>
                <w:rFonts w:hint="default" w:ascii="Times New Roman" w:hAnsi="Times New Roman" w:eastAsia="宋体" w:cs="Times New Roman"/>
                <w:sz w:val="24"/>
                <w:szCs w:val="24"/>
              </w:rPr>
              <w:t>止危岩、浮石滑落造成人员伤亡事故。清理的浮</w:t>
            </w:r>
            <w:r>
              <w:rPr>
                <w:rFonts w:hint="default" w:ascii="Times New Roman" w:hAnsi="Times New Roman" w:eastAsia="宋体" w:cs="Times New Roman"/>
                <w:spacing w:val="-1"/>
                <w:sz w:val="24"/>
                <w:szCs w:val="24"/>
              </w:rPr>
              <w:t>石用于采坑的回填及土地平整。</w:t>
            </w:r>
          </w:p>
          <w:p w14:paraId="2136D892">
            <w:pPr>
              <w:pStyle w:val="45"/>
              <w:keepNext w:val="0"/>
              <w:keepLines w:val="0"/>
              <w:pageBreakBefore w:val="0"/>
              <w:widowControl w:val="0"/>
              <w:kinsoku/>
              <w:wordWrap/>
              <w:overflowPunct/>
              <w:topLinePunct w:val="0"/>
              <w:autoSpaceDE/>
              <w:autoSpaceDN/>
              <w:bidi w:val="0"/>
              <w:spacing w:line="360" w:lineRule="auto"/>
              <w:ind w:left="0" w:right="0" w:firstLine="452"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7"/>
                <w:position w:val="2"/>
                <w:sz w:val="24"/>
                <w:szCs w:val="24"/>
              </w:rPr>
              <w:t>③警示牌</w:t>
            </w:r>
          </w:p>
          <w:p w14:paraId="28CBD1D0">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在进入露天采场道路入口处布设警示牌，在坡顶和坡脚废石堆外围 3m 设立警示牌，明确地质灾害隐患区范围、危险性及注意事项，警示人们远离危险区或在区内谨慎行事，注意自身安全，</w:t>
            </w:r>
            <w:r>
              <w:rPr>
                <w:rFonts w:hint="eastAsia" w:ascii="Times New Roman" w:hAnsi="Times New Roman" w:eastAsia="宋体" w:cs="Times New Roman"/>
                <w:sz w:val="24"/>
                <w:szCs w:val="24"/>
                <w:lang w:val="en-US" w:eastAsia="zh-CN"/>
              </w:rPr>
              <w:t>防止</w:t>
            </w:r>
            <w:r>
              <w:rPr>
                <w:rFonts w:hint="default" w:ascii="Times New Roman" w:hAnsi="Times New Roman" w:eastAsia="宋体" w:cs="Times New Roman"/>
                <w:sz w:val="24"/>
                <w:szCs w:val="24"/>
                <w:lang w:val="en-US" w:eastAsia="zh-CN"/>
              </w:rPr>
              <w:t>意外发生。</w:t>
            </w:r>
          </w:p>
          <w:p w14:paraId="400A2AD1">
            <w:pPr>
              <w:pStyle w:val="45"/>
              <w:keepNext w:val="0"/>
              <w:keepLines w:val="0"/>
              <w:pageBreakBefore w:val="0"/>
              <w:widowControl w:val="0"/>
              <w:kinsoku/>
              <w:wordWrap/>
              <w:overflowPunct/>
              <w:topLinePunct w:val="0"/>
              <w:autoSpaceDE/>
              <w:autoSpaceDN/>
              <w:bidi w:val="0"/>
              <w:spacing w:line="360" w:lineRule="auto"/>
              <w:ind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警示牌：警示牌上用汉语文字书写内容</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露天采场，严禁入内</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。设立的警示牌采用预制水泥桩和牌</w:t>
            </w:r>
            <w:r>
              <w:rPr>
                <w:rFonts w:hint="default" w:ascii="Times New Roman" w:hAnsi="Times New Roman" w:eastAsia="宋体" w:cs="Times New Roman"/>
                <w:color w:val="auto"/>
                <w:sz w:val="24"/>
                <w:szCs w:val="24"/>
                <w:lang w:val="en-US" w:eastAsia="zh-CN"/>
              </w:rPr>
              <w:t>（见图5-</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sz w:val="24"/>
                <w:szCs w:val="24"/>
                <w:lang w:val="en-US" w:eastAsia="zh-CN"/>
              </w:rPr>
              <w:t>桩长1.5m，桩截面5×20cm，警示牌长宽厚尺寸100cm×50cm×5cm。桩埋置于地下0.5m，高出地面1.5m。警示牌设置间距视山坡及沟道地形条件确定，对于地下低洼起伏地段间距为80m，开阔平坦、通视性较好的地段其间距为200-350m。估算警示牌数量为4个。</w:t>
            </w:r>
          </w:p>
          <w:p w14:paraId="4B5C982B">
            <w:pPr>
              <w:pStyle w:val="45"/>
              <w:keepNext w:val="0"/>
              <w:keepLines w:val="0"/>
              <w:pageBreakBefore w:val="0"/>
              <w:widowControl w:val="0"/>
              <w:kinsoku/>
              <w:wordWrap/>
              <w:overflowPunct/>
              <w:topLinePunct w:val="0"/>
              <w:autoSpaceDE/>
              <w:autoSpaceDN/>
              <w:bidi w:val="0"/>
              <w:spacing w:line="360" w:lineRule="auto"/>
              <w:ind w:right="0" w:firstLine="480" w:firstLineChars="200"/>
              <w:jc w:val="center"/>
              <w:textAlignment w:val="auto"/>
            </w:pPr>
            <w:r>
              <w:drawing>
                <wp:inline distT="0" distB="0" distL="114300" distR="114300">
                  <wp:extent cx="2769870" cy="4171315"/>
                  <wp:effectExtent l="0" t="0" r="11430" b="635"/>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23"/>
                          <a:stretch>
                            <a:fillRect/>
                          </a:stretch>
                        </pic:blipFill>
                        <pic:spPr>
                          <a:xfrm>
                            <a:off x="0" y="0"/>
                            <a:ext cx="2769870" cy="4171315"/>
                          </a:xfrm>
                          <a:prstGeom prst="rect">
                            <a:avLst/>
                          </a:prstGeom>
                          <a:noFill/>
                          <a:ln>
                            <a:noFill/>
                          </a:ln>
                        </pic:spPr>
                      </pic:pic>
                    </a:graphicData>
                  </a:graphic>
                </wp:inline>
              </w:drawing>
            </w:r>
          </w:p>
          <w:p w14:paraId="25188460">
            <w:pPr>
              <w:pStyle w:val="45"/>
              <w:keepNext w:val="0"/>
              <w:keepLines w:val="0"/>
              <w:pageBreakBefore w:val="0"/>
              <w:widowControl w:val="0"/>
              <w:kinsoku/>
              <w:wordWrap/>
              <w:overflowPunct/>
              <w:topLinePunct w:val="0"/>
              <w:autoSpaceDE/>
              <w:autoSpaceDN/>
              <w:bidi w:val="0"/>
              <w:spacing w:line="360" w:lineRule="auto"/>
              <w:ind w:left="0" w:right="0"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 5-</w:t>
            </w: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 xml:space="preserve"> 警示牌设计图</w:t>
            </w:r>
          </w:p>
          <w:p w14:paraId="6682C879">
            <w:pPr>
              <w:pStyle w:val="45"/>
              <w:keepNext w:val="0"/>
              <w:keepLines w:val="0"/>
              <w:pageBreakBefore w:val="0"/>
              <w:widowControl w:val="0"/>
              <w:kinsoku/>
              <w:wordWrap/>
              <w:overflowPunct/>
              <w:topLinePunct w:val="0"/>
              <w:autoSpaceDE/>
              <w:autoSpaceDN/>
              <w:bidi w:val="0"/>
              <w:spacing w:line="360" w:lineRule="auto"/>
              <w:ind w:left="0" w:right="0" w:firstLine="46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4"/>
                <w:sz w:val="24"/>
                <w:szCs w:val="24"/>
                <w:lang w:eastAsia="zh-CN"/>
              </w:rPr>
              <w:t>（</w:t>
            </w:r>
            <w:r>
              <w:rPr>
                <w:rFonts w:hint="eastAsia" w:ascii="Times New Roman" w:hAnsi="Times New Roman" w:eastAsia="宋体" w:cs="Times New Roman"/>
                <w:b/>
                <w:bCs/>
                <w:spacing w:val="-4"/>
                <w:sz w:val="24"/>
                <w:szCs w:val="24"/>
                <w:lang w:val="en-US" w:eastAsia="zh-CN"/>
              </w:rPr>
              <w:t>2</w:t>
            </w:r>
            <w:r>
              <w:rPr>
                <w:rFonts w:hint="eastAsia" w:ascii="Times New Roman" w:hAnsi="Times New Roman" w:eastAsia="宋体" w:cs="Times New Roman"/>
                <w:b/>
                <w:bCs/>
                <w:spacing w:val="-4"/>
                <w:sz w:val="24"/>
                <w:szCs w:val="24"/>
                <w:lang w:eastAsia="zh-CN"/>
              </w:rPr>
              <w:t>）</w:t>
            </w:r>
            <w:r>
              <w:rPr>
                <w:rFonts w:hint="default" w:ascii="Times New Roman" w:hAnsi="Times New Roman" w:eastAsia="宋体" w:cs="Times New Roman"/>
                <w:b/>
                <w:bCs/>
                <w:spacing w:val="-4"/>
                <w:sz w:val="24"/>
                <w:szCs w:val="24"/>
              </w:rPr>
              <w:t>矿区运输道路生态恢复措施</w:t>
            </w:r>
          </w:p>
          <w:p w14:paraId="7866A28B">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①清理矿区运输道路遗落的砂石垃圾，清理完毕后用挖掘机</w:t>
            </w:r>
            <w:r>
              <w:rPr>
                <w:rFonts w:hint="default" w:ascii="Times New Roman" w:hAnsi="Times New Roman" w:eastAsia="宋体" w:cs="Times New Roman"/>
                <w:spacing w:val="-1"/>
                <w:sz w:val="24"/>
                <w:szCs w:val="24"/>
              </w:rPr>
              <w:t>和推土机对场内土地进</w:t>
            </w:r>
            <w:r>
              <w:rPr>
                <w:rFonts w:hint="default" w:ascii="Times New Roman" w:hAnsi="Times New Roman" w:eastAsia="宋体" w:cs="Times New Roman"/>
                <w:sz w:val="24"/>
                <w:szCs w:val="24"/>
              </w:rPr>
              <w:t>行平整，对场地内的较大起伏和坡度进行推高和填低，使其基</w:t>
            </w:r>
            <w:r>
              <w:rPr>
                <w:rFonts w:hint="default" w:ascii="Times New Roman" w:hAnsi="Times New Roman" w:eastAsia="宋体" w:cs="Times New Roman"/>
                <w:spacing w:val="-1"/>
                <w:sz w:val="24"/>
                <w:szCs w:val="24"/>
              </w:rPr>
              <w:t>本水平或其坡度在允许范围内，以利于雨季排水，将其恢复原有地形地貌景观和土地使用功能。</w:t>
            </w:r>
          </w:p>
          <w:p w14:paraId="06807F01">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②矿区运输道路土地损毁土地程度较轻，可直接通</w:t>
            </w:r>
            <w:r>
              <w:rPr>
                <w:rFonts w:hint="default" w:ascii="Times New Roman" w:hAnsi="Times New Roman" w:eastAsia="宋体" w:cs="Times New Roman"/>
                <w:spacing w:val="-1"/>
                <w:sz w:val="24"/>
                <w:szCs w:val="24"/>
              </w:rPr>
              <w:t>过土地翻耕后复垦。</w:t>
            </w:r>
          </w:p>
          <w:p w14:paraId="44475BDD">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③播撒草籽，适当洒水，</w:t>
            </w:r>
            <w:r>
              <w:rPr>
                <w:rFonts w:hint="default" w:ascii="Times New Roman" w:hAnsi="Times New Roman" w:eastAsia="宋体" w:cs="Times New Roman"/>
                <w:spacing w:val="-57"/>
                <w:sz w:val="24"/>
                <w:szCs w:val="24"/>
              </w:rPr>
              <w:t xml:space="preserve"> </w:t>
            </w:r>
            <w:r>
              <w:rPr>
                <w:rFonts w:hint="default" w:ascii="Times New Roman" w:hAnsi="Times New Roman" w:eastAsia="宋体" w:cs="Times New Roman"/>
                <w:spacing w:val="-2"/>
                <w:sz w:val="24"/>
                <w:szCs w:val="24"/>
              </w:rPr>
              <w:t>自然绿化恢复。绿化应以乡土树（草）种为主，选择适应</w:t>
            </w:r>
            <w:r>
              <w:rPr>
                <w:rFonts w:hint="default" w:ascii="Times New Roman" w:hAnsi="Times New Roman" w:eastAsia="宋体" w:cs="Times New Roman"/>
                <w:spacing w:val="-1"/>
                <w:sz w:val="24"/>
                <w:szCs w:val="24"/>
              </w:rPr>
              <w:t>性强、防尘效果好、环保功能强的植物种。绿化面积应与项目区相适应。</w:t>
            </w:r>
          </w:p>
          <w:p w14:paraId="49AF161B">
            <w:pPr>
              <w:pStyle w:val="45"/>
              <w:keepNext w:val="0"/>
              <w:keepLines w:val="0"/>
              <w:pageBreakBefore w:val="0"/>
              <w:widowControl w:val="0"/>
              <w:kinsoku/>
              <w:wordWrap/>
              <w:overflowPunct/>
              <w:topLinePunct w:val="0"/>
              <w:autoSpaceDE/>
              <w:autoSpaceDN/>
              <w:bidi w:val="0"/>
              <w:spacing w:line="360" w:lineRule="auto"/>
              <w:ind w:left="0" w:right="0" w:firstLine="474"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2"/>
                <w:sz w:val="24"/>
                <w:szCs w:val="24"/>
                <w:lang w:eastAsia="zh-CN"/>
              </w:rPr>
              <w:t>（</w:t>
            </w:r>
            <w:r>
              <w:rPr>
                <w:rFonts w:hint="eastAsia" w:ascii="Times New Roman" w:hAnsi="Times New Roman" w:eastAsia="宋体" w:cs="Times New Roman"/>
                <w:b/>
                <w:bCs/>
                <w:spacing w:val="-2"/>
                <w:sz w:val="24"/>
                <w:szCs w:val="24"/>
                <w:lang w:val="en-US" w:eastAsia="zh-CN"/>
              </w:rPr>
              <w:t>4</w:t>
            </w:r>
            <w:r>
              <w:rPr>
                <w:rFonts w:hint="eastAsia" w:ascii="Times New Roman" w:hAnsi="Times New Roman" w:eastAsia="宋体" w:cs="Times New Roman"/>
                <w:b/>
                <w:bCs/>
                <w:spacing w:val="-2"/>
                <w:sz w:val="24"/>
                <w:szCs w:val="24"/>
                <w:lang w:eastAsia="zh-CN"/>
              </w:rPr>
              <w:t>）</w:t>
            </w:r>
            <w:r>
              <w:rPr>
                <w:rFonts w:hint="default" w:ascii="Times New Roman" w:hAnsi="Times New Roman" w:eastAsia="宋体" w:cs="Times New Roman"/>
                <w:b/>
                <w:bCs/>
                <w:spacing w:val="-2"/>
                <w:sz w:val="24"/>
                <w:szCs w:val="24"/>
              </w:rPr>
              <w:t>排土场</w:t>
            </w:r>
            <w:r>
              <w:rPr>
                <w:rFonts w:hint="eastAsia" w:ascii="Times New Roman" w:hAnsi="Times New Roman" w:eastAsia="宋体" w:cs="Times New Roman"/>
                <w:b/>
                <w:bCs/>
                <w:spacing w:val="-2"/>
                <w:sz w:val="24"/>
                <w:szCs w:val="24"/>
                <w:lang w:val="en-US" w:eastAsia="zh-CN"/>
              </w:rPr>
              <w:t>及堆矿场</w:t>
            </w:r>
            <w:r>
              <w:rPr>
                <w:rFonts w:hint="default" w:ascii="Times New Roman" w:hAnsi="Times New Roman" w:eastAsia="宋体" w:cs="Times New Roman"/>
                <w:b/>
                <w:bCs/>
                <w:spacing w:val="-2"/>
                <w:sz w:val="24"/>
                <w:szCs w:val="24"/>
              </w:rPr>
              <w:t>生态恢复措施</w:t>
            </w:r>
          </w:p>
          <w:p w14:paraId="4FBF60AE">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1"/>
                <w:sz w:val="24"/>
                <w:szCs w:val="24"/>
              </w:rPr>
              <w:t>闭坑后对排土场场地整平处理。矿山服务年限期治理工程量：矿山开采结束后，对</w:t>
            </w:r>
            <w:r>
              <w:rPr>
                <w:rFonts w:hint="default" w:ascii="Times New Roman" w:hAnsi="Times New Roman" w:eastAsia="宋体" w:cs="Times New Roman"/>
                <w:sz w:val="24"/>
                <w:szCs w:val="24"/>
              </w:rPr>
              <w:t>排土场场地进行平整处理，平整面积为</w:t>
            </w:r>
            <w:r>
              <w:rPr>
                <w:rFonts w:hint="default" w:ascii="Times New Roman" w:hAnsi="Times New Roman" w:eastAsia="宋体" w:cs="Times New Roman"/>
                <w:sz w:val="24"/>
                <w:szCs w:val="24"/>
                <w:lang w:val="en-US" w:eastAsia="zh-CN"/>
              </w:rPr>
              <w:t>7.44</w:t>
            </w:r>
            <w:r>
              <w:rPr>
                <w:rFonts w:hint="default" w:ascii="Times New Roman" w:hAnsi="Times New Roman" w:eastAsia="宋体" w:cs="Times New Roman"/>
                <w:sz w:val="24"/>
                <w:szCs w:val="24"/>
              </w:rPr>
              <w:t>hm</w:t>
            </w:r>
            <w:r>
              <w:rPr>
                <w:rFonts w:hint="eastAsia"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rPr>
              <w:t>。排土场下部外</w:t>
            </w:r>
            <w:r>
              <w:rPr>
                <w:rFonts w:hint="default" w:ascii="Times New Roman" w:hAnsi="Times New Roman" w:eastAsia="宋体" w:cs="Times New Roman"/>
                <w:spacing w:val="-1"/>
                <w:sz w:val="24"/>
                <w:szCs w:val="24"/>
              </w:rPr>
              <w:t>围修筑钢丝石笼结构的拦</w:t>
            </w:r>
            <w:r>
              <w:rPr>
                <w:rFonts w:hint="default" w:ascii="Times New Roman" w:hAnsi="Times New Roman" w:eastAsia="宋体" w:cs="Times New Roman"/>
                <w:sz w:val="24"/>
                <w:szCs w:val="24"/>
              </w:rPr>
              <w:t>渣坝，长度约70m，规格上宽1m，下宽1.5m，高1m。</w:t>
            </w:r>
            <w:r>
              <w:rPr>
                <w:rFonts w:hint="default" w:ascii="Times New Roman" w:hAnsi="Times New Roman" w:eastAsia="宋体" w:cs="Times New Roman"/>
                <w:spacing w:val="-1"/>
                <w:sz w:val="24"/>
                <w:szCs w:val="24"/>
              </w:rPr>
              <w:t>排土场两侧开挖毛体排水沟长约</w:t>
            </w:r>
            <w:r>
              <w:rPr>
                <w:rFonts w:hint="default" w:ascii="Times New Roman" w:hAnsi="Times New Roman" w:eastAsia="宋体" w:cs="Times New Roman"/>
                <w:spacing w:val="-2"/>
                <w:sz w:val="24"/>
                <w:szCs w:val="24"/>
              </w:rPr>
              <w:t>320m，规格上宽1m，下宽1.5m，深1m。</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9"/>
              <w:gridCol w:w="4080"/>
            </w:tblGrid>
            <w:tr w14:paraId="7F72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079" w:type="dxa"/>
                  <w:noWrap w:val="0"/>
                  <w:vAlign w:val="center"/>
                </w:tcPr>
                <w:p w14:paraId="776540E1">
                  <w:pPr>
                    <w:jc w:val="center"/>
                    <w:rPr>
                      <w:rFonts w:hint="default"/>
                    </w:rPr>
                  </w:pPr>
                  <w:r>
                    <w:drawing>
                      <wp:inline distT="0" distB="0" distL="114300" distR="114300">
                        <wp:extent cx="2552700" cy="1979930"/>
                        <wp:effectExtent l="0" t="0" r="0" b="1270"/>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24"/>
                                <a:stretch>
                                  <a:fillRect/>
                                </a:stretch>
                              </pic:blipFill>
                              <pic:spPr>
                                <a:xfrm>
                                  <a:off x="0" y="0"/>
                                  <a:ext cx="2552700" cy="1979930"/>
                                </a:xfrm>
                                <a:prstGeom prst="rect">
                                  <a:avLst/>
                                </a:prstGeom>
                                <a:noFill/>
                                <a:ln>
                                  <a:noFill/>
                                </a:ln>
                              </pic:spPr>
                            </pic:pic>
                          </a:graphicData>
                        </a:graphic>
                      </wp:inline>
                    </w:drawing>
                  </w:r>
                </w:p>
              </w:tc>
              <w:tc>
                <w:tcPr>
                  <w:tcW w:w="4080" w:type="dxa"/>
                  <w:noWrap w:val="0"/>
                  <w:vAlign w:val="center"/>
                </w:tcPr>
                <w:p w14:paraId="57F1CFE0">
                  <w:pPr>
                    <w:jc w:val="center"/>
                    <w:rPr>
                      <w:rFonts w:hint="default"/>
                    </w:rPr>
                  </w:pPr>
                  <w:r>
                    <w:drawing>
                      <wp:inline distT="0" distB="0" distL="114300" distR="114300">
                        <wp:extent cx="2449830" cy="1979930"/>
                        <wp:effectExtent l="0" t="0" r="7620" b="1270"/>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pic:cNvPicPr>
                                  <a:picLocks noChangeAspect="1"/>
                                </pic:cNvPicPr>
                              </pic:nvPicPr>
                              <pic:blipFill>
                                <a:blip r:embed="rId25"/>
                                <a:stretch>
                                  <a:fillRect/>
                                </a:stretch>
                              </pic:blipFill>
                              <pic:spPr>
                                <a:xfrm>
                                  <a:off x="0" y="0"/>
                                  <a:ext cx="2449830" cy="1979930"/>
                                </a:xfrm>
                                <a:prstGeom prst="rect">
                                  <a:avLst/>
                                </a:prstGeom>
                                <a:noFill/>
                                <a:ln>
                                  <a:noFill/>
                                </a:ln>
                              </pic:spPr>
                            </pic:pic>
                          </a:graphicData>
                        </a:graphic>
                      </wp:inline>
                    </w:drawing>
                  </w:r>
                </w:p>
              </w:tc>
            </w:tr>
            <w:tr w14:paraId="2C6B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079" w:type="dxa"/>
                  <w:noWrap w:val="0"/>
                  <w:vAlign w:val="center"/>
                </w:tcPr>
                <w:p w14:paraId="5D767791">
                  <w:pPr>
                    <w:jc w:val="center"/>
                  </w:pPr>
                  <w:r>
                    <w:rPr>
                      <w:lang w:val="en-US" w:eastAsia="zh-CN"/>
                    </w:rPr>
                    <w:t>排土场下部拦渣坝</w:t>
                  </w:r>
                </w:p>
              </w:tc>
              <w:tc>
                <w:tcPr>
                  <w:tcW w:w="4080" w:type="dxa"/>
                  <w:noWrap w:val="0"/>
                  <w:vAlign w:val="center"/>
                </w:tcPr>
                <w:p w14:paraId="48908824">
                  <w:pPr>
                    <w:jc w:val="center"/>
                  </w:pPr>
                  <w:r>
                    <w:rPr>
                      <w:lang w:val="en-US" w:eastAsia="zh-CN"/>
                    </w:rPr>
                    <w:t>排土场两侧排水沟</w:t>
                  </w:r>
                </w:p>
              </w:tc>
            </w:tr>
          </w:tbl>
          <w:p w14:paraId="6229D66E">
            <w:pPr>
              <w:pStyle w:val="45"/>
              <w:keepNext w:val="0"/>
              <w:keepLines w:val="0"/>
              <w:pageBreakBefore w:val="0"/>
              <w:widowControl w:val="0"/>
              <w:kinsoku/>
              <w:wordWrap/>
              <w:overflowPunct/>
              <w:topLinePunct w:val="0"/>
              <w:autoSpaceDE/>
              <w:autoSpaceDN/>
              <w:bidi w:val="0"/>
              <w:spacing w:line="360" w:lineRule="auto"/>
              <w:ind w:left="0" w:right="0" w:firstLine="54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6"/>
                <w:sz w:val="24"/>
                <w:szCs w:val="24"/>
              </w:rPr>
              <w:t>2、运营期废气污染防治措施</w:t>
            </w:r>
          </w:p>
          <w:p w14:paraId="40B996EE">
            <w:pPr>
              <w:pStyle w:val="45"/>
              <w:keepNext w:val="0"/>
              <w:keepLines w:val="0"/>
              <w:pageBreakBefore w:val="0"/>
              <w:widowControl w:val="0"/>
              <w:kinsoku/>
              <w:wordWrap/>
              <w:overflowPunct/>
              <w:topLinePunct w:val="0"/>
              <w:autoSpaceDE/>
              <w:autoSpaceDN/>
              <w:bidi w:val="0"/>
              <w:spacing w:line="360" w:lineRule="auto"/>
              <w:ind w:left="0" w:right="0" w:firstLine="488"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运营期的大气污染物主要为矿石开采加工环节产生的粉尘</w:t>
            </w: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矿石装卸、排土场及堆矿场、</w:t>
            </w:r>
            <w:r>
              <w:rPr>
                <w:rFonts w:hint="default" w:ascii="Times New Roman" w:hAnsi="Times New Roman" w:eastAsia="宋体" w:cs="Times New Roman"/>
                <w:spacing w:val="2"/>
                <w:sz w:val="24"/>
                <w:szCs w:val="24"/>
              </w:rPr>
              <w:t>运输道路扬尘以及燃油机械车辆产生的废气</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本次评价根据《甘肃省大气污染</w:t>
            </w:r>
            <w:r>
              <w:rPr>
                <w:rFonts w:hint="default" w:ascii="Times New Roman" w:hAnsi="Times New Roman" w:eastAsia="宋体" w:cs="Times New Roman"/>
                <w:spacing w:val="-2"/>
                <w:sz w:val="24"/>
                <w:szCs w:val="24"/>
              </w:rPr>
              <w:t>防治条例》的相关要求，提出如下废气污染防治措施：</w:t>
            </w:r>
          </w:p>
          <w:p w14:paraId="346285F7">
            <w:pPr>
              <w:pStyle w:val="45"/>
              <w:keepNext w:val="0"/>
              <w:keepLines w:val="0"/>
              <w:pageBreakBefore w:val="0"/>
              <w:widowControl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（1）采剥扬尘防治措施</w:t>
            </w:r>
          </w:p>
          <w:p w14:paraId="6C1389E6">
            <w:pPr>
              <w:pStyle w:val="45"/>
              <w:keepNext w:val="0"/>
              <w:keepLines w:val="0"/>
              <w:pageBreakBefore w:val="0"/>
              <w:widowControl w:val="0"/>
              <w:kinsoku/>
              <w:wordWrap/>
              <w:overflowPunct/>
              <w:topLinePunct w:val="0"/>
              <w:autoSpaceDE/>
              <w:autoSpaceDN/>
              <w:bidi w:val="0"/>
              <w:spacing w:line="360" w:lineRule="auto"/>
              <w:ind w:left="0" w:right="0" w:firstLine="48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①采剥采取湿法作业，在采剥过程持续洒水，使其保持一定的</w:t>
            </w:r>
            <w:r>
              <w:rPr>
                <w:rFonts w:hint="default" w:ascii="Times New Roman" w:hAnsi="Times New Roman" w:eastAsia="宋体" w:cs="Times New Roman"/>
                <w:spacing w:val="-3"/>
                <w:sz w:val="24"/>
                <w:szCs w:val="24"/>
              </w:rPr>
              <w:t>湿度。</w:t>
            </w:r>
          </w:p>
          <w:p w14:paraId="193218AF">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②在露天采场开采面作业时洒水喷淋，减轻二次扬尘污染；</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1"/>
                <w:sz w:val="24"/>
                <w:szCs w:val="24"/>
              </w:rPr>
              <w:t>限制</w:t>
            </w:r>
            <w:r>
              <w:rPr>
                <w:rFonts w:hint="eastAsia" w:ascii="Times New Roman" w:hAnsi="Times New Roman" w:eastAsia="宋体" w:cs="Times New Roman"/>
                <w:spacing w:val="-1"/>
                <w:sz w:val="24"/>
                <w:szCs w:val="24"/>
                <w:lang w:val="en-US" w:eastAsia="zh-CN"/>
              </w:rPr>
              <w:t>矿石</w:t>
            </w:r>
            <w:r>
              <w:rPr>
                <w:rFonts w:hint="default" w:ascii="Times New Roman" w:hAnsi="Times New Roman" w:eastAsia="宋体" w:cs="Times New Roman"/>
                <w:spacing w:val="-1"/>
                <w:sz w:val="24"/>
                <w:szCs w:val="24"/>
              </w:rPr>
              <w:t>装卸作业高度，尽可能减少起尘量。</w:t>
            </w:r>
          </w:p>
          <w:p w14:paraId="7EB86354">
            <w:pPr>
              <w:pStyle w:val="45"/>
              <w:keepNext w:val="0"/>
              <w:keepLines w:val="0"/>
              <w:pageBreakBefore w:val="0"/>
              <w:widowControl w:val="0"/>
              <w:kinsoku/>
              <w:wordWrap/>
              <w:overflowPunct/>
              <w:topLinePunct w:val="0"/>
              <w:autoSpaceDE/>
              <w:autoSpaceDN/>
              <w:bidi w:val="0"/>
              <w:spacing w:line="360" w:lineRule="auto"/>
              <w:ind w:left="0" w:right="0" w:firstLine="460" w:firstLineChars="200"/>
              <w:textAlignment w:val="auto"/>
              <w:rPr>
                <w:rFonts w:hint="default" w:ascii="Times New Roman" w:hAnsi="Times New Roman" w:eastAsia="宋体" w:cs="Times New Roman"/>
                <w:spacing w:val="-3"/>
                <w:sz w:val="24"/>
                <w:szCs w:val="24"/>
              </w:rPr>
            </w:pPr>
            <w:r>
              <w:rPr>
                <w:rFonts w:hint="eastAsia" w:ascii="Times New Roman" w:hAnsi="Times New Roman" w:eastAsia="宋体" w:cs="Times New Roman"/>
                <w:spacing w:val="-5"/>
                <w:sz w:val="24"/>
                <w:szCs w:val="24"/>
                <w:lang w:val="en-US" w:eastAsia="zh-CN"/>
              </w:rPr>
              <w:t>③</w:t>
            </w:r>
            <w:r>
              <w:rPr>
                <w:rFonts w:hint="default" w:ascii="Times New Roman" w:hAnsi="Times New Roman" w:eastAsia="宋体" w:cs="Times New Roman"/>
                <w:spacing w:val="-5"/>
                <w:sz w:val="24"/>
                <w:szCs w:val="24"/>
              </w:rPr>
              <w:t>尽可能缩短疏松地面裸露时间，合理安排作业时</w:t>
            </w:r>
            <w:r>
              <w:rPr>
                <w:rFonts w:hint="default" w:ascii="Times New Roman" w:hAnsi="Times New Roman" w:eastAsia="宋体" w:cs="Times New Roman"/>
                <w:spacing w:val="-6"/>
                <w:sz w:val="24"/>
                <w:szCs w:val="24"/>
              </w:rPr>
              <w:t>间，尽量避开大风</w:t>
            </w:r>
            <w:r>
              <w:rPr>
                <w:rFonts w:hint="default" w:ascii="Times New Roman" w:hAnsi="Times New Roman" w:eastAsia="宋体" w:cs="Times New Roman"/>
                <w:spacing w:val="-3"/>
                <w:sz w:val="24"/>
                <w:szCs w:val="24"/>
              </w:rPr>
              <w:t>和雨天施工。</w:t>
            </w:r>
          </w:p>
          <w:p w14:paraId="212CC406">
            <w:pPr>
              <w:pStyle w:val="45"/>
              <w:keepNext w:val="0"/>
              <w:keepLines w:val="0"/>
              <w:pageBreakBefore w:val="0"/>
              <w:widowControl w:val="0"/>
              <w:kinsoku/>
              <w:wordWrap/>
              <w:overflowPunct/>
              <w:topLinePunct w:val="0"/>
              <w:autoSpaceDE/>
              <w:autoSpaceDN/>
              <w:bidi w:val="0"/>
              <w:spacing w:line="360" w:lineRule="auto"/>
              <w:ind w:left="0" w:right="0" w:firstLine="49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（2）</w:t>
            </w:r>
            <w:r>
              <w:rPr>
                <w:rFonts w:hint="eastAsia" w:ascii="Times New Roman" w:hAnsi="Times New Roman" w:eastAsia="宋体" w:cs="Times New Roman"/>
                <w:b/>
                <w:bCs/>
                <w:spacing w:val="3"/>
                <w:sz w:val="24"/>
                <w:szCs w:val="24"/>
                <w:lang w:val="en-US" w:eastAsia="zh-CN"/>
              </w:rPr>
              <w:t>矿石装卸粉尘</w:t>
            </w:r>
            <w:r>
              <w:rPr>
                <w:rFonts w:hint="default" w:ascii="Times New Roman" w:hAnsi="Times New Roman" w:eastAsia="宋体" w:cs="Times New Roman"/>
                <w:b/>
                <w:bCs/>
                <w:spacing w:val="3"/>
                <w:sz w:val="24"/>
                <w:szCs w:val="24"/>
              </w:rPr>
              <w:t>防治措施</w:t>
            </w:r>
          </w:p>
          <w:p w14:paraId="083D3941">
            <w:pPr>
              <w:pStyle w:val="45"/>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eastAsia" w:ascii="Times New Roman" w:hAnsi="Times New Roman" w:eastAsia="宋体" w:cs="Times New Roman"/>
                <w:spacing w:val="-3"/>
                <w:sz w:val="24"/>
                <w:szCs w:val="24"/>
                <w:lang w:val="en-US" w:eastAsia="zh-CN"/>
              </w:rPr>
            </w:pPr>
            <w:r>
              <w:rPr>
                <w:rFonts w:hint="eastAsia" w:ascii="Times New Roman" w:hAnsi="Times New Roman" w:eastAsia="宋体" w:cs="Times New Roman"/>
                <w:spacing w:val="-3"/>
                <w:sz w:val="24"/>
                <w:szCs w:val="24"/>
                <w:lang w:val="en-US" w:eastAsia="zh-CN"/>
              </w:rPr>
              <w:t>矿石</w:t>
            </w:r>
            <w:r>
              <w:rPr>
                <w:rFonts w:hint="eastAsia" w:ascii="Times New Roman" w:hAnsi="Times New Roman" w:eastAsia="宋体" w:cs="Times New Roman"/>
                <w:spacing w:val="-3"/>
                <w:sz w:val="24"/>
                <w:szCs w:val="24"/>
                <w:lang w:eastAsia="zh-CN"/>
              </w:rPr>
              <w:t>装卸过程中会产生一定量的装卸扬尘，</w:t>
            </w:r>
            <w:r>
              <w:rPr>
                <w:rFonts w:hint="eastAsia" w:ascii="Times New Roman" w:hAnsi="Times New Roman" w:eastAsia="宋体" w:cs="Times New Roman"/>
                <w:spacing w:val="-3"/>
                <w:sz w:val="24"/>
                <w:szCs w:val="24"/>
                <w:lang w:val="en-US" w:eastAsia="zh-CN"/>
              </w:rPr>
              <w:t>通过洒水</w:t>
            </w:r>
            <w:r>
              <w:rPr>
                <w:rFonts w:hint="default" w:ascii="Times New Roman" w:hAnsi="Times New Roman" w:eastAsia="宋体" w:cs="Times New Roman"/>
                <w:spacing w:val="-1"/>
                <w:sz w:val="24"/>
                <w:szCs w:val="24"/>
              </w:rPr>
              <w:t>降尘措施</w:t>
            </w:r>
            <w:r>
              <w:rPr>
                <w:rFonts w:hint="eastAsia" w:ascii="Times New Roman" w:hAnsi="Times New Roman" w:eastAsia="宋体" w:cs="Times New Roman"/>
                <w:spacing w:val="-1"/>
                <w:sz w:val="24"/>
                <w:szCs w:val="24"/>
                <w:lang w:eastAsia="zh-CN"/>
              </w:rPr>
              <w:t>。</w:t>
            </w:r>
          </w:p>
          <w:p w14:paraId="4F5287D2">
            <w:pPr>
              <w:pStyle w:val="45"/>
              <w:keepNext w:val="0"/>
              <w:keepLines w:val="0"/>
              <w:pageBreakBefore w:val="0"/>
              <w:widowControl w:val="0"/>
              <w:kinsoku/>
              <w:wordWrap/>
              <w:overflowPunct/>
              <w:topLinePunct w:val="0"/>
              <w:autoSpaceDE/>
              <w:autoSpaceDN/>
              <w:bidi w:val="0"/>
              <w:spacing w:line="360" w:lineRule="auto"/>
              <w:ind w:left="0" w:right="0" w:firstLine="49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w:t>
            </w:r>
            <w:r>
              <w:rPr>
                <w:rFonts w:hint="eastAsia" w:ascii="Times New Roman" w:hAnsi="Times New Roman" w:eastAsia="宋体" w:cs="Times New Roman"/>
                <w:b/>
                <w:bCs/>
                <w:spacing w:val="3"/>
                <w:sz w:val="24"/>
                <w:szCs w:val="24"/>
                <w:lang w:val="en-US" w:eastAsia="zh-CN"/>
              </w:rPr>
              <w:t>3</w:t>
            </w:r>
            <w:r>
              <w:rPr>
                <w:rFonts w:hint="default" w:ascii="Times New Roman" w:hAnsi="Times New Roman" w:eastAsia="宋体" w:cs="Times New Roman"/>
                <w:b/>
                <w:bCs/>
                <w:spacing w:val="3"/>
                <w:sz w:val="24"/>
                <w:szCs w:val="24"/>
              </w:rPr>
              <w:t>）运输道路扬尘防治措施</w:t>
            </w:r>
          </w:p>
          <w:p w14:paraId="242F22E5">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对运输道路采用碎石对路面进行铺垫或硬化，并定期洒水</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运输车</w:t>
            </w:r>
            <w:r>
              <w:rPr>
                <w:rFonts w:hint="default" w:ascii="Times New Roman" w:hAnsi="Times New Roman" w:eastAsia="宋体" w:cs="Times New Roman"/>
                <w:spacing w:val="-2"/>
                <w:sz w:val="24"/>
                <w:szCs w:val="24"/>
              </w:rPr>
              <w:t>辆限速、限载，运输时应加盖篷布，严禁超载，防止撒漏。</w:t>
            </w:r>
          </w:p>
          <w:p w14:paraId="0FD8C876">
            <w:pPr>
              <w:pStyle w:val="45"/>
              <w:keepNext w:val="0"/>
              <w:keepLines w:val="0"/>
              <w:pageBreakBefore w:val="0"/>
              <w:widowControl w:val="0"/>
              <w:kinsoku/>
              <w:wordWrap/>
              <w:overflowPunct/>
              <w:topLinePunct w:val="0"/>
              <w:autoSpaceDE/>
              <w:autoSpaceDN/>
              <w:bidi w:val="0"/>
              <w:spacing w:line="360" w:lineRule="auto"/>
              <w:ind w:left="0" w:right="0" w:firstLine="49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w:t>
            </w:r>
            <w:r>
              <w:rPr>
                <w:rFonts w:hint="eastAsia" w:ascii="Times New Roman" w:hAnsi="Times New Roman" w:eastAsia="宋体" w:cs="Times New Roman"/>
                <w:b/>
                <w:bCs/>
                <w:spacing w:val="4"/>
                <w:sz w:val="24"/>
                <w:szCs w:val="24"/>
                <w:lang w:val="en-US" w:eastAsia="zh-CN"/>
              </w:rPr>
              <w:t>4</w:t>
            </w:r>
            <w:r>
              <w:rPr>
                <w:rFonts w:hint="default" w:ascii="Times New Roman" w:hAnsi="Times New Roman" w:eastAsia="宋体" w:cs="Times New Roman"/>
                <w:b/>
                <w:bCs/>
                <w:spacing w:val="4"/>
                <w:sz w:val="24"/>
                <w:szCs w:val="24"/>
              </w:rPr>
              <w:t>）排土场扬尘防治措施</w:t>
            </w:r>
          </w:p>
          <w:p w14:paraId="4445D76E">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1"/>
                <w:sz w:val="24"/>
                <w:szCs w:val="24"/>
              </w:rPr>
              <w:t>通过对排土场进行规范管理，采取分区堆放，分层梯级推进堆放、</w:t>
            </w:r>
            <w:r>
              <w:rPr>
                <w:rFonts w:hint="default" w:ascii="Times New Roman" w:hAnsi="Times New Roman" w:eastAsia="宋体" w:cs="Times New Roman"/>
                <w:sz w:val="24"/>
                <w:szCs w:val="24"/>
              </w:rPr>
              <w:t>压实处理，并进行表面定期洒水，并采取密目网苫盖，坚持</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边开采，</w:t>
            </w:r>
            <w:r>
              <w:rPr>
                <w:rFonts w:hint="default" w:ascii="Times New Roman" w:hAnsi="Times New Roman" w:eastAsia="宋体" w:cs="Times New Roman"/>
                <w:spacing w:val="-2"/>
                <w:sz w:val="24"/>
                <w:szCs w:val="24"/>
              </w:rPr>
              <w:t>边恢复</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pacing w:val="-2"/>
                <w:sz w:val="24"/>
                <w:szCs w:val="24"/>
              </w:rPr>
              <w:t>措施，及时进行土地复垦及生态恢复。</w:t>
            </w:r>
          </w:p>
          <w:p w14:paraId="5E6E7D83">
            <w:pPr>
              <w:pStyle w:val="45"/>
              <w:keepNext w:val="0"/>
              <w:keepLines w:val="0"/>
              <w:pageBreakBefore w:val="0"/>
              <w:widowControl w:val="0"/>
              <w:kinsoku/>
              <w:wordWrap/>
              <w:overflowPunct/>
              <w:topLinePunct w:val="0"/>
              <w:autoSpaceDE/>
              <w:autoSpaceDN/>
              <w:bidi w:val="0"/>
              <w:spacing w:line="360" w:lineRule="auto"/>
              <w:ind w:left="0" w:right="0" w:firstLine="49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4"/>
                <w:sz w:val="24"/>
                <w:szCs w:val="24"/>
                <w:lang w:eastAsia="zh-CN"/>
              </w:rPr>
              <w:t>（</w:t>
            </w:r>
            <w:r>
              <w:rPr>
                <w:rFonts w:hint="eastAsia" w:ascii="Times New Roman" w:hAnsi="Times New Roman" w:eastAsia="宋体" w:cs="Times New Roman"/>
                <w:b/>
                <w:bCs/>
                <w:spacing w:val="4"/>
                <w:sz w:val="24"/>
                <w:szCs w:val="24"/>
                <w:lang w:val="en-US" w:eastAsia="zh-CN"/>
              </w:rPr>
              <w:t>5</w:t>
            </w:r>
            <w:r>
              <w:rPr>
                <w:rFonts w:hint="eastAsia" w:ascii="Times New Roman" w:hAnsi="Times New Roman" w:eastAsia="宋体" w:cs="Times New Roman"/>
                <w:b/>
                <w:bCs/>
                <w:spacing w:val="4"/>
                <w:sz w:val="24"/>
                <w:szCs w:val="24"/>
                <w:lang w:eastAsia="zh-CN"/>
              </w:rPr>
              <w:t>）</w:t>
            </w:r>
            <w:r>
              <w:rPr>
                <w:rFonts w:hint="default" w:ascii="Times New Roman" w:hAnsi="Times New Roman" w:eastAsia="宋体" w:cs="Times New Roman"/>
                <w:b/>
                <w:bCs/>
                <w:spacing w:val="4"/>
                <w:sz w:val="24"/>
                <w:szCs w:val="24"/>
              </w:rPr>
              <w:t>堆</w:t>
            </w:r>
            <w:r>
              <w:rPr>
                <w:rFonts w:hint="eastAsia" w:ascii="Times New Roman" w:hAnsi="Times New Roman" w:eastAsia="宋体" w:cs="Times New Roman"/>
                <w:b/>
                <w:bCs/>
                <w:spacing w:val="4"/>
                <w:sz w:val="24"/>
                <w:szCs w:val="24"/>
                <w:lang w:val="en-US" w:eastAsia="zh-CN"/>
              </w:rPr>
              <w:t>矿</w:t>
            </w:r>
            <w:r>
              <w:rPr>
                <w:rFonts w:hint="default" w:ascii="Times New Roman" w:hAnsi="Times New Roman" w:eastAsia="宋体" w:cs="Times New Roman"/>
                <w:b/>
                <w:bCs/>
                <w:spacing w:val="4"/>
                <w:sz w:val="24"/>
                <w:szCs w:val="24"/>
              </w:rPr>
              <w:t>场扬</w:t>
            </w:r>
            <w:r>
              <w:rPr>
                <w:rFonts w:hint="default" w:ascii="Times New Roman" w:hAnsi="Times New Roman" w:eastAsia="宋体" w:cs="Times New Roman"/>
                <w:b/>
                <w:bCs/>
                <w:spacing w:val="-3"/>
                <w:sz w:val="24"/>
                <w:szCs w:val="24"/>
              </w:rPr>
              <w:t>尘</w:t>
            </w:r>
            <w:r>
              <w:rPr>
                <w:rFonts w:hint="default" w:ascii="Times New Roman" w:hAnsi="Times New Roman" w:eastAsia="宋体" w:cs="Times New Roman"/>
                <w:b/>
                <w:bCs/>
                <w:spacing w:val="4"/>
                <w:sz w:val="24"/>
                <w:szCs w:val="24"/>
              </w:rPr>
              <w:t>防治措施</w:t>
            </w:r>
          </w:p>
          <w:p w14:paraId="12D5B2A7">
            <w:pPr>
              <w:pStyle w:val="45"/>
              <w:keepNext w:val="0"/>
              <w:keepLines w:val="0"/>
              <w:pageBreakBefore w:val="0"/>
              <w:widowControl w:val="0"/>
              <w:kinsoku/>
              <w:wordWrap/>
              <w:overflowPunct/>
              <w:topLinePunct w:val="0"/>
              <w:autoSpaceDE/>
              <w:autoSpaceDN/>
              <w:bidi w:val="0"/>
              <w:spacing w:line="360" w:lineRule="auto"/>
              <w:ind w:right="0" w:firstLine="464" w:firstLineChars="200"/>
              <w:textAlignment w:val="auto"/>
              <w:rPr>
                <w:rFonts w:hint="eastAsia" w:ascii="Times New Roman" w:hAnsi="Times New Roman" w:eastAsia="宋体" w:cs="Times New Roman"/>
                <w:spacing w:val="-2"/>
                <w:sz w:val="24"/>
                <w:szCs w:val="24"/>
                <w:lang w:eastAsia="zh-CN"/>
              </w:rPr>
            </w:pPr>
            <w:r>
              <w:rPr>
                <w:rFonts w:hint="default" w:ascii="Times New Roman" w:hAnsi="Times New Roman" w:eastAsia="宋体" w:cs="Times New Roman"/>
                <w:b w:val="0"/>
                <w:bCs w:val="0"/>
                <w:spacing w:val="-4"/>
                <w:sz w:val="24"/>
                <w:szCs w:val="24"/>
                <w:lang w:val="en-US" w:eastAsia="zh-CN"/>
              </w:rPr>
              <w:t>堆矿场采用三面围挡+顶棚式结构，并进行洒水抑尘</w:t>
            </w:r>
            <w:r>
              <w:rPr>
                <w:rFonts w:hint="eastAsia" w:ascii="Times New Roman" w:hAnsi="Times New Roman" w:eastAsia="宋体" w:cs="Times New Roman"/>
                <w:b w:val="0"/>
                <w:bCs w:val="0"/>
                <w:spacing w:val="-4"/>
                <w:sz w:val="24"/>
                <w:szCs w:val="24"/>
                <w:lang w:val="en-US" w:eastAsia="zh-CN"/>
              </w:rPr>
              <w:t>。</w:t>
            </w:r>
          </w:p>
          <w:p w14:paraId="058BCF38">
            <w:pPr>
              <w:pStyle w:val="45"/>
              <w:keepNext w:val="0"/>
              <w:keepLines w:val="0"/>
              <w:pageBreakBefore w:val="0"/>
              <w:widowControl w:val="0"/>
              <w:kinsoku/>
              <w:wordWrap/>
              <w:overflowPunct/>
              <w:topLinePunct w:val="0"/>
              <w:autoSpaceDE/>
              <w:autoSpaceDN/>
              <w:bidi w:val="0"/>
              <w:spacing w:line="360" w:lineRule="auto"/>
              <w:ind w:left="0" w:right="0" w:firstLine="49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w:t>
            </w:r>
            <w:r>
              <w:rPr>
                <w:rFonts w:hint="eastAsia" w:ascii="Times New Roman" w:hAnsi="Times New Roman" w:eastAsia="宋体" w:cs="Times New Roman"/>
                <w:b/>
                <w:bCs/>
                <w:spacing w:val="3"/>
                <w:sz w:val="24"/>
                <w:szCs w:val="24"/>
                <w:lang w:val="en-US" w:eastAsia="zh-CN"/>
              </w:rPr>
              <w:t>6</w:t>
            </w:r>
            <w:r>
              <w:rPr>
                <w:rFonts w:hint="default" w:ascii="Times New Roman" w:hAnsi="Times New Roman" w:eastAsia="宋体" w:cs="Times New Roman"/>
                <w:b/>
                <w:bCs/>
                <w:spacing w:val="3"/>
                <w:sz w:val="24"/>
                <w:szCs w:val="24"/>
              </w:rPr>
              <w:t>）燃油废气防治措施分析</w:t>
            </w:r>
          </w:p>
          <w:p w14:paraId="3C577CF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采矿机械设备和运输车辆使用柴油做能源，外排尾气中主要为</w:t>
            </w:r>
            <w:r>
              <w:rPr>
                <w:rFonts w:hint="default" w:ascii="Times New Roman" w:hAnsi="Times New Roman" w:eastAsia="宋体" w:cs="Times New Roman"/>
                <w:spacing w:val="-1"/>
                <w:sz w:val="24"/>
                <w:szCs w:val="24"/>
              </w:rPr>
              <w:t>NOx、</w:t>
            </w:r>
            <w:r>
              <w:rPr>
                <w:rFonts w:hint="default" w:ascii="Times New Roman" w:hAnsi="Times New Roman" w:eastAsia="宋体" w:cs="Times New Roman"/>
                <w:sz w:val="24"/>
                <w:szCs w:val="24"/>
              </w:rPr>
              <w:t>CO</w:t>
            </w:r>
            <w:r>
              <w:rPr>
                <w:rFonts w:hint="default" w:ascii="Times New Roman" w:hAnsi="Times New Roman" w:eastAsia="宋体" w:cs="Times New Roman"/>
                <w:spacing w:val="23"/>
                <w:sz w:val="24"/>
                <w:szCs w:val="24"/>
              </w:rPr>
              <w:t>、</w:t>
            </w:r>
            <w:r>
              <w:rPr>
                <w:rFonts w:hint="default" w:ascii="Times New Roman" w:hAnsi="Times New Roman" w:eastAsia="宋体" w:cs="Times New Roman"/>
                <w:sz w:val="24"/>
                <w:szCs w:val="24"/>
              </w:rPr>
              <w:t>THC</w:t>
            </w:r>
            <w:r>
              <w:rPr>
                <w:rFonts w:hint="default" w:ascii="Times New Roman" w:hAnsi="Times New Roman" w:eastAsia="宋体" w:cs="Times New Roman"/>
                <w:spacing w:val="-53"/>
                <w:sz w:val="24"/>
                <w:szCs w:val="24"/>
              </w:rPr>
              <w:t xml:space="preserve"> </w:t>
            </w:r>
            <w:r>
              <w:rPr>
                <w:rFonts w:hint="default" w:ascii="Times New Roman" w:hAnsi="Times New Roman" w:eastAsia="宋体" w:cs="Times New Roman"/>
                <w:spacing w:val="23"/>
                <w:sz w:val="24"/>
                <w:szCs w:val="24"/>
              </w:rPr>
              <w:t>等，采取以下措施：</w:t>
            </w:r>
          </w:p>
          <w:p w14:paraId="11ACBF82">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①加强工程机械维护保养，避免带故障运行；</w:t>
            </w:r>
          </w:p>
          <w:p w14:paraId="72BB2EEA">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②选用清洁燃料以减少尾气排放；</w:t>
            </w:r>
          </w:p>
          <w:p w14:paraId="5189B15E">
            <w:pPr>
              <w:pStyle w:val="45"/>
              <w:keepNext w:val="0"/>
              <w:keepLines w:val="0"/>
              <w:pageBreakBefore w:val="0"/>
              <w:widowControl w:val="0"/>
              <w:kinsoku/>
              <w:wordWrap/>
              <w:overflowPunct/>
              <w:topLinePunct w:val="0"/>
              <w:autoSpaceDE/>
              <w:autoSpaceDN/>
              <w:bidi w:val="0"/>
              <w:spacing w:line="360" w:lineRule="auto"/>
              <w:ind w:left="0" w:right="0" w:firstLine="48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为减少柴油废气的排放对大气环境造成的影响</w:t>
            </w:r>
            <w:r>
              <w:rPr>
                <w:rFonts w:hint="default" w:ascii="Times New Roman" w:hAnsi="Times New Roman" w:eastAsia="宋体" w:cs="Times New Roman"/>
                <w:spacing w:val="-15"/>
                <w:sz w:val="24"/>
                <w:szCs w:val="24"/>
              </w:rPr>
              <w:t xml:space="preserve"> </w:t>
            </w:r>
            <w:r>
              <w:rPr>
                <w:rFonts w:hint="default" w:ascii="Times New Roman" w:hAnsi="Times New Roman" w:eastAsia="宋体" w:cs="Times New Roman"/>
                <w:spacing w:val="1"/>
                <w:sz w:val="24"/>
                <w:szCs w:val="24"/>
              </w:rPr>
              <w:t>，通过采用含硫量低</w:t>
            </w:r>
            <w:r>
              <w:rPr>
                <w:rFonts w:hint="default" w:ascii="Times New Roman" w:hAnsi="Times New Roman" w:eastAsia="宋体" w:cs="Times New Roman"/>
                <w:sz w:val="24"/>
                <w:szCs w:val="24"/>
              </w:rPr>
              <w:t>的轻质柴油，选择达标排放的车辆</w:t>
            </w:r>
            <w:r>
              <w:rPr>
                <w:rFonts w:hint="default" w:ascii="Times New Roman" w:hAnsi="Times New Roman" w:eastAsia="宋体" w:cs="Times New Roman"/>
                <w:spacing w:val="-23"/>
                <w:sz w:val="24"/>
                <w:szCs w:val="24"/>
              </w:rPr>
              <w:t xml:space="preserve"> </w:t>
            </w:r>
            <w:r>
              <w:rPr>
                <w:rFonts w:hint="default" w:ascii="Times New Roman" w:hAnsi="Times New Roman" w:eastAsia="宋体" w:cs="Times New Roman"/>
                <w:sz w:val="24"/>
                <w:szCs w:val="24"/>
              </w:rPr>
              <w:t>，注意运输车辆的保养</w:t>
            </w:r>
            <w:r>
              <w:rPr>
                <w:rFonts w:hint="default" w:ascii="Times New Roman" w:hAnsi="Times New Roman" w:eastAsia="宋体" w:cs="Times New Roman"/>
                <w:spacing w:val="-26"/>
                <w:sz w:val="24"/>
                <w:szCs w:val="24"/>
              </w:rPr>
              <w:t xml:space="preserve"> </w:t>
            </w:r>
            <w:r>
              <w:rPr>
                <w:rFonts w:hint="default" w:ascii="Times New Roman" w:hAnsi="Times New Roman" w:eastAsia="宋体" w:cs="Times New Roman"/>
                <w:sz w:val="24"/>
                <w:szCs w:val="24"/>
              </w:rPr>
              <w:t>，项目燃油废</w:t>
            </w:r>
            <w:r>
              <w:rPr>
                <w:rFonts w:hint="default" w:ascii="Times New Roman" w:hAnsi="Times New Roman" w:eastAsia="宋体" w:cs="Times New Roman"/>
                <w:spacing w:val="-1"/>
                <w:sz w:val="24"/>
                <w:szCs w:val="24"/>
              </w:rPr>
              <w:t>气将会得到有效抑制。</w:t>
            </w:r>
          </w:p>
          <w:p w14:paraId="5E63800F">
            <w:pPr>
              <w:pStyle w:val="45"/>
              <w:keepNext w:val="0"/>
              <w:keepLines w:val="0"/>
              <w:pageBreakBefore w:val="0"/>
              <w:widowControl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w:t>
            </w:r>
            <w:r>
              <w:rPr>
                <w:rFonts w:hint="eastAsia"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运营期噪声污染防治措施</w:t>
            </w:r>
          </w:p>
          <w:p w14:paraId="109EE939">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项目采取的降噪措施如下：</w:t>
            </w:r>
          </w:p>
          <w:p w14:paraId="6579A7DB">
            <w:pPr>
              <w:pStyle w:val="45"/>
              <w:keepNext w:val="0"/>
              <w:keepLines w:val="0"/>
              <w:pageBreakBefore w:val="0"/>
              <w:widowControl w:val="0"/>
              <w:numPr>
                <w:ilvl w:val="0"/>
                <w:numId w:val="15"/>
              </w:numPr>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优先选用振动小、噪声低的设备；</w:t>
            </w:r>
          </w:p>
          <w:p w14:paraId="5A03002A">
            <w:pPr>
              <w:pStyle w:val="45"/>
              <w:keepNext w:val="0"/>
              <w:keepLines w:val="0"/>
              <w:pageBreakBefore w:val="0"/>
              <w:widowControl w:val="0"/>
              <w:numPr>
                <w:ilvl w:val="0"/>
                <w:numId w:val="0"/>
              </w:numPr>
              <w:kinsoku/>
              <w:wordWrap/>
              <w:overflowPunct/>
              <w:topLinePunct w:val="0"/>
              <w:autoSpaceDE/>
              <w:autoSpaceDN/>
              <w:bidi w:val="0"/>
              <w:spacing w:line="360" w:lineRule="auto"/>
              <w:ind w:right="0" w:rightChars="0" w:firstLine="472"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2</w:t>
            </w:r>
            <w:r>
              <w:rPr>
                <w:rFonts w:hint="eastAsia"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rPr>
              <w:t>合理布局，加工厂房密闭，采取基础减振；</w:t>
            </w:r>
          </w:p>
          <w:p w14:paraId="6B88A341">
            <w:pPr>
              <w:pStyle w:val="45"/>
              <w:keepNext w:val="0"/>
              <w:keepLines w:val="0"/>
              <w:pageBreakBefore w:val="0"/>
              <w:widowControl w:val="0"/>
              <w:kinsoku/>
              <w:wordWrap/>
              <w:overflowPunct/>
              <w:topLinePunct w:val="0"/>
              <w:autoSpaceDE/>
              <w:autoSpaceDN/>
              <w:bidi w:val="0"/>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（3）车辆限速，减少鸣笛；</w:t>
            </w:r>
          </w:p>
          <w:p w14:paraId="2F125A60">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（4）加强设备的维护保养，确保设备处于良好的运转状态，杜绝因设备不正常运转时产生的高噪声现象。</w:t>
            </w:r>
          </w:p>
          <w:p w14:paraId="4381F3D3">
            <w:pPr>
              <w:pStyle w:val="45"/>
              <w:keepNext w:val="0"/>
              <w:keepLines w:val="0"/>
              <w:pageBreakBefore w:val="0"/>
              <w:widowControl w:val="0"/>
              <w:kinsoku/>
              <w:wordWrap/>
              <w:overflowPunct/>
              <w:topLinePunct w:val="0"/>
              <w:autoSpaceDE/>
              <w:autoSpaceDN/>
              <w:bidi w:val="0"/>
              <w:spacing w:line="360" w:lineRule="auto"/>
              <w:ind w:left="0" w:right="0" w:firstLine="54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6"/>
                <w:sz w:val="24"/>
                <w:szCs w:val="24"/>
              </w:rPr>
              <w:t>4</w:t>
            </w:r>
            <w:r>
              <w:rPr>
                <w:rFonts w:hint="eastAsia" w:ascii="Times New Roman" w:hAnsi="Times New Roman" w:eastAsia="宋体" w:cs="Times New Roman"/>
                <w:b/>
                <w:bCs/>
                <w:spacing w:val="16"/>
                <w:sz w:val="24"/>
                <w:szCs w:val="24"/>
                <w:lang w:eastAsia="zh-CN"/>
              </w:rPr>
              <w:t>、</w:t>
            </w:r>
            <w:r>
              <w:rPr>
                <w:rFonts w:hint="default" w:ascii="Times New Roman" w:hAnsi="Times New Roman" w:eastAsia="宋体" w:cs="Times New Roman"/>
                <w:b/>
                <w:bCs/>
                <w:spacing w:val="16"/>
                <w:sz w:val="24"/>
                <w:szCs w:val="24"/>
              </w:rPr>
              <w:t>运营期废水防治措施</w:t>
            </w:r>
          </w:p>
          <w:p w14:paraId="45AD35B7">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项目运营期废水主要为生产废水和职工生活产生</w:t>
            </w:r>
            <w:r>
              <w:rPr>
                <w:rFonts w:hint="default" w:ascii="Times New Roman" w:hAnsi="Times New Roman" w:eastAsia="宋体" w:cs="Times New Roman"/>
                <w:spacing w:val="-1"/>
                <w:sz w:val="24"/>
                <w:szCs w:val="24"/>
              </w:rPr>
              <w:t>的生活污水。</w:t>
            </w:r>
          </w:p>
          <w:p w14:paraId="2D1CA063">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①生产废水</w:t>
            </w:r>
          </w:p>
          <w:p w14:paraId="2B9CB0CE">
            <w:pPr>
              <w:pStyle w:val="45"/>
              <w:keepNext w:val="0"/>
              <w:keepLines w:val="0"/>
              <w:pageBreakBefore w:val="0"/>
              <w:widowControl w:val="0"/>
              <w:kinsoku/>
              <w:wordWrap/>
              <w:overflowPunct/>
              <w:topLinePunct w:val="0"/>
              <w:autoSpaceDE/>
              <w:autoSpaceDN/>
              <w:bidi w:val="0"/>
              <w:spacing w:line="360" w:lineRule="auto"/>
              <w:ind w:left="0" w:right="0" w:firstLine="49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项目生产废水主要来源于矿山开采及抑尘等环节，废水全部蒸发或</w:t>
            </w:r>
            <w:r>
              <w:rPr>
                <w:rFonts w:hint="default" w:ascii="Times New Roman" w:hAnsi="Times New Roman" w:eastAsia="宋体" w:cs="Times New Roman"/>
                <w:spacing w:val="-1"/>
                <w:sz w:val="24"/>
                <w:szCs w:val="24"/>
              </w:rPr>
              <w:t>渗透于物料中，无生产废水产生。</w:t>
            </w:r>
          </w:p>
          <w:p w14:paraId="38BD8B2A">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②生活污水</w:t>
            </w:r>
          </w:p>
          <w:p w14:paraId="068A1B09">
            <w:pPr>
              <w:pStyle w:val="45"/>
              <w:keepNext w:val="0"/>
              <w:keepLines w:val="0"/>
              <w:pageBreakBefore w:val="0"/>
              <w:widowControl w:val="0"/>
              <w:kinsoku/>
              <w:wordWrap/>
              <w:overflowPunct/>
              <w:topLinePunct w:val="0"/>
              <w:autoSpaceDE/>
              <w:autoSpaceDN/>
              <w:bidi w:val="0"/>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项目运营期生活废水主要为职工生活产生的盥洗废水，水质成分简</w:t>
            </w:r>
            <w:r>
              <w:rPr>
                <w:rFonts w:hint="default" w:ascii="Times New Roman" w:hAnsi="Times New Roman" w:eastAsia="宋体" w:cs="Times New Roman"/>
                <w:spacing w:val="-3"/>
                <w:sz w:val="24"/>
                <w:szCs w:val="24"/>
              </w:rPr>
              <w:t>单，可就地泼洒降尘；矿区设环保旱厕1</w:t>
            </w:r>
            <w:r>
              <w:rPr>
                <w:rFonts w:hint="default" w:ascii="Times New Roman" w:hAnsi="Times New Roman" w:eastAsia="宋体" w:cs="Times New Roman"/>
                <w:spacing w:val="-52"/>
                <w:sz w:val="24"/>
                <w:szCs w:val="24"/>
              </w:rPr>
              <w:t xml:space="preserve"> </w:t>
            </w:r>
            <w:r>
              <w:rPr>
                <w:rFonts w:hint="default" w:ascii="Times New Roman" w:hAnsi="Times New Roman" w:eastAsia="宋体" w:cs="Times New Roman"/>
                <w:spacing w:val="-3"/>
                <w:sz w:val="24"/>
                <w:szCs w:val="24"/>
              </w:rPr>
              <w:t>座，粪污定期清掏后用作附近</w:t>
            </w:r>
            <w:r>
              <w:rPr>
                <w:rFonts w:hint="default" w:ascii="Times New Roman" w:hAnsi="Times New Roman" w:eastAsia="宋体" w:cs="Times New Roman"/>
                <w:spacing w:val="-1"/>
                <w:sz w:val="24"/>
                <w:szCs w:val="24"/>
              </w:rPr>
              <w:t>村庄农田肥料。</w:t>
            </w:r>
          </w:p>
          <w:p w14:paraId="7499F910">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综上所述，本项目无生产废水产生，生活污水可以得到合理处置，</w:t>
            </w:r>
            <w:r>
              <w:rPr>
                <w:rFonts w:hint="default" w:ascii="Times New Roman" w:hAnsi="Times New Roman" w:eastAsia="宋体" w:cs="Times New Roman"/>
                <w:spacing w:val="-1"/>
                <w:sz w:val="24"/>
                <w:szCs w:val="24"/>
              </w:rPr>
              <w:t>废水对周围环境影响小，措施可行。</w:t>
            </w:r>
          </w:p>
          <w:p w14:paraId="178C97F9">
            <w:pPr>
              <w:pStyle w:val="45"/>
              <w:keepNext w:val="0"/>
              <w:keepLines w:val="0"/>
              <w:pageBreakBefore w:val="0"/>
              <w:widowControl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5</w:t>
            </w:r>
            <w:r>
              <w:rPr>
                <w:rFonts w:hint="eastAsia"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rPr>
              <w:t>运营期固体废物污染防治措施</w:t>
            </w:r>
          </w:p>
          <w:p w14:paraId="44785F02">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项目运营期产生的</w:t>
            </w:r>
            <w:r>
              <w:rPr>
                <w:rFonts w:hint="eastAsia" w:ascii="Times New Roman" w:hAnsi="Times New Roman" w:eastAsia="宋体" w:cs="Times New Roman"/>
                <w:sz w:val="24"/>
                <w:szCs w:val="24"/>
                <w:lang w:val="en-US" w:eastAsia="zh-CN"/>
              </w:rPr>
              <w:t>固体</w:t>
            </w:r>
            <w:r>
              <w:rPr>
                <w:rFonts w:hint="default" w:ascii="Times New Roman" w:hAnsi="Times New Roman" w:eastAsia="宋体" w:cs="Times New Roman"/>
                <w:sz w:val="24"/>
                <w:szCs w:val="24"/>
              </w:rPr>
              <w:t>废物主要包括一般固体废物</w:t>
            </w:r>
            <w:r>
              <w:rPr>
                <w:rFonts w:hint="default" w:ascii="Times New Roman" w:hAnsi="Times New Roman" w:eastAsia="宋体" w:cs="Times New Roman"/>
                <w:spacing w:val="-1"/>
                <w:sz w:val="24"/>
                <w:szCs w:val="24"/>
              </w:rPr>
              <w:t>和危险废物。</w:t>
            </w:r>
          </w:p>
          <w:p w14:paraId="3A9C227D">
            <w:pPr>
              <w:pStyle w:val="45"/>
              <w:keepNext w:val="0"/>
              <w:keepLines w:val="0"/>
              <w:pageBreakBefore w:val="0"/>
              <w:widowControl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（1）一般固体废物</w:t>
            </w:r>
          </w:p>
          <w:p w14:paraId="0FF1E624">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运营期产生的一般固体废物主要来源于矿石开采、剥离产生的表土、</w:t>
            </w:r>
            <w:r>
              <w:rPr>
                <w:rFonts w:hint="default" w:ascii="Times New Roman" w:hAnsi="Times New Roman" w:eastAsia="宋体" w:cs="Times New Roman"/>
                <w:spacing w:val="-1"/>
                <w:sz w:val="24"/>
                <w:szCs w:val="24"/>
              </w:rPr>
              <w:t>废石以及员工生活产生的生活垃圾。</w:t>
            </w:r>
          </w:p>
          <w:p w14:paraId="534FA0D4">
            <w:pPr>
              <w:pStyle w:val="45"/>
              <w:keepNext w:val="0"/>
              <w:keepLines w:val="0"/>
              <w:pageBreakBefore w:val="0"/>
              <w:widowControl w:val="0"/>
              <w:kinsoku/>
              <w:wordWrap/>
              <w:overflowPunct/>
              <w:topLinePunct w:val="0"/>
              <w:autoSpaceDE/>
              <w:autoSpaceDN/>
              <w:bidi w:val="0"/>
              <w:spacing w:line="360" w:lineRule="auto"/>
              <w:ind w:left="0" w:right="0" w:firstLine="464"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4"/>
                <w:sz w:val="24"/>
                <w:szCs w:val="24"/>
              </w:rPr>
              <w:t>本项目新建堆场和排土场各1</w:t>
            </w:r>
            <w:r>
              <w:rPr>
                <w:rFonts w:hint="default" w:ascii="Times New Roman" w:hAnsi="Times New Roman" w:eastAsia="宋体" w:cs="Times New Roman"/>
                <w:color w:val="auto"/>
                <w:spacing w:val="-40"/>
                <w:sz w:val="24"/>
                <w:szCs w:val="24"/>
              </w:rPr>
              <w:t xml:space="preserve"> </w:t>
            </w:r>
            <w:r>
              <w:rPr>
                <w:rFonts w:hint="default" w:ascii="Times New Roman" w:hAnsi="Times New Roman" w:eastAsia="宋体" w:cs="Times New Roman"/>
                <w:color w:val="auto"/>
                <w:spacing w:val="-4"/>
                <w:sz w:val="24"/>
                <w:szCs w:val="24"/>
              </w:rPr>
              <w:t>处，矿山开采过程中产生的</w:t>
            </w:r>
            <w:r>
              <w:rPr>
                <w:rFonts w:hint="default" w:ascii="Times New Roman" w:hAnsi="Times New Roman" w:eastAsia="宋体" w:cs="Times New Roman"/>
                <w:color w:val="auto"/>
                <w:spacing w:val="-2"/>
                <w:sz w:val="24"/>
                <w:szCs w:val="24"/>
              </w:rPr>
              <w:t>剥离物分类暂存至排土场内。矿山开采实行</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边开采、边恢复、边治理</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6"/>
                <w:sz w:val="24"/>
                <w:szCs w:val="24"/>
              </w:rPr>
              <w:t>的措施，只要上一个台段推进到了最终边帮，就及时进行采区回填并进</w:t>
            </w:r>
            <w:r>
              <w:rPr>
                <w:rFonts w:hint="default" w:ascii="Times New Roman" w:hAnsi="Times New Roman" w:eastAsia="宋体" w:cs="Times New Roman"/>
                <w:color w:val="auto"/>
                <w:spacing w:val="1"/>
                <w:sz w:val="24"/>
                <w:szCs w:val="24"/>
              </w:rPr>
              <w:t>行生态恢复及复垦作业，开采终了境界时会形成一个高</w:t>
            </w:r>
            <w:r>
              <w:rPr>
                <w:rFonts w:hint="eastAsia" w:ascii="Times New Roman" w:hAnsi="Times New Roman" w:eastAsia="宋体" w:cs="Times New Roman"/>
                <w:color w:val="auto"/>
                <w:spacing w:val="1"/>
                <w:sz w:val="24"/>
                <w:szCs w:val="24"/>
                <w:lang w:val="en-US" w:eastAsia="zh-CN"/>
              </w:rPr>
              <w:t>50</w:t>
            </w:r>
            <w:r>
              <w:rPr>
                <w:rFonts w:hint="default" w:ascii="Times New Roman" w:hAnsi="Times New Roman" w:eastAsia="宋体" w:cs="Times New Roman"/>
                <w:color w:val="auto"/>
                <w:spacing w:val="1"/>
                <w:sz w:val="24"/>
                <w:szCs w:val="24"/>
              </w:rPr>
              <w:t>m的采坑</w:t>
            </w:r>
            <w:r>
              <w:rPr>
                <w:rFonts w:hint="eastAsia" w:ascii="Times New Roman" w:hAnsi="Times New Roman" w:eastAsia="宋体" w:cs="Times New Roman"/>
                <w:color w:val="auto"/>
                <w:spacing w:val="1"/>
                <w:sz w:val="24"/>
                <w:szCs w:val="24"/>
                <w:lang w:eastAsia="zh-CN"/>
              </w:rPr>
              <w:t>。</w:t>
            </w:r>
          </w:p>
          <w:p w14:paraId="14DB0A1D">
            <w:pPr>
              <w:pStyle w:val="45"/>
              <w:keepNext w:val="0"/>
              <w:keepLines w:val="0"/>
              <w:pageBreakBefore w:val="0"/>
              <w:widowControl w:val="0"/>
              <w:kinsoku/>
              <w:wordWrap/>
              <w:overflowPunct/>
              <w:topLinePunct w:val="0"/>
              <w:autoSpaceDE/>
              <w:autoSpaceDN/>
              <w:bidi w:val="0"/>
              <w:spacing w:line="360" w:lineRule="auto"/>
              <w:ind w:left="0" w:right="0" w:firstLine="472" w:firstLineChars="200"/>
              <w:textAlignment w:val="auto"/>
              <w:rPr>
                <w:rFonts w:hint="default" w:ascii="Times New Roman" w:hAnsi="Times New Roman" w:eastAsia="宋体" w:cs="Times New Roman"/>
                <w:color w:val="0000FF"/>
                <w:spacing w:val="-1"/>
                <w:sz w:val="24"/>
                <w:szCs w:val="24"/>
                <w:highlight w:val="none"/>
              </w:rPr>
            </w:pPr>
            <w:r>
              <w:rPr>
                <w:rFonts w:hint="default" w:ascii="Times New Roman" w:hAnsi="Times New Roman" w:eastAsia="宋体" w:cs="Times New Roman"/>
                <w:color w:val="auto"/>
                <w:spacing w:val="-2"/>
                <w:sz w:val="24"/>
                <w:szCs w:val="24"/>
                <w:highlight w:val="none"/>
              </w:rPr>
              <w:t>废石还可用于采坑回填；生</w:t>
            </w:r>
            <w:r>
              <w:rPr>
                <w:rFonts w:hint="default" w:ascii="Times New Roman" w:hAnsi="Times New Roman" w:eastAsia="宋体" w:cs="Times New Roman"/>
                <w:color w:val="auto"/>
                <w:spacing w:val="-1"/>
                <w:sz w:val="24"/>
                <w:szCs w:val="24"/>
                <w:highlight w:val="none"/>
              </w:rPr>
              <w:t>活垃圾集中收集后定期清运。</w:t>
            </w:r>
          </w:p>
          <w:p w14:paraId="13A5BDED">
            <w:pPr>
              <w:pStyle w:val="45"/>
              <w:keepNext w:val="0"/>
              <w:keepLines w:val="0"/>
              <w:pageBreakBefore w:val="0"/>
              <w:widowControl w:val="0"/>
              <w:kinsoku/>
              <w:wordWrap/>
              <w:overflowPunct/>
              <w:topLinePunct w:val="0"/>
              <w:autoSpaceDE/>
              <w:autoSpaceDN/>
              <w:bidi w:val="0"/>
              <w:spacing w:line="360" w:lineRule="auto"/>
              <w:ind w:left="0" w:right="0" w:firstLine="50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（2）危险废物</w:t>
            </w:r>
          </w:p>
          <w:p w14:paraId="0C4DBB99">
            <w:pPr>
              <w:pStyle w:val="45"/>
              <w:keepNext w:val="0"/>
              <w:keepLines w:val="0"/>
              <w:pageBreakBefore w:val="0"/>
              <w:widowControl w:val="0"/>
              <w:kinsoku/>
              <w:wordWrap/>
              <w:overflowPunct/>
              <w:topLinePunct w:val="0"/>
              <w:autoSpaceDE/>
              <w:autoSpaceDN/>
              <w:bidi w:val="0"/>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项目运营期危险废物主要为设备及车辆保养产生的废机油</w:t>
            </w:r>
            <w:r>
              <w:rPr>
                <w:rFonts w:hint="default" w:ascii="Times New Roman" w:hAnsi="Times New Roman" w:eastAsia="宋体" w:cs="Times New Roman"/>
                <w:spacing w:val="4"/>
                <w:sz w:val="24"/>
                <w:szCs w:val="24"/>
              </w:rPr>
              <w:t>暂存至新建危废贮存点（5m</w:t>
            </w:r>
            <w:r>
              <w:rPr>
                <w:rFonts w:hint="eastAsia" w:ascii="Times New Roman" w:hAnsi="Times New Roman" w:eastAsia="宋体" w:cs="Times New Roman"/>
                <w:spacing w:val="4"/>
                <w:sz w:val="24"/>
                <w:szCs w:val="24"/>
                <w:vertAlign w:val="superscript"/>
                <w:lang w:val="en-US" w:eastAsia="zh-CN"/>
              </w:rPr>
              <w:t>2</w:t>
            </w:r>
            <w:r>
              <w:rPr>
                <w:rFonts w:hint="default" w:ascii="Times New Roman" w:hAnsi="Times New Roman" w:eastAsia="宋体" w:cs="Times New Roman"/>
                <w:spacing w:val="-39"/>
                <w:position w:val="1"/>
                <w:sz w:val="24"/>
                <w:szCs w:val="24"/>
              </w:rPr>
              <w:t>）</w:t>
            </w:r>
            <w:r>
              <w:rPr>
                <w:rFonts w:hint="default" w:ascii="Times New Roman" w:hAnsi="Times New Roman" w:eastAsia="宋体" w:cs="Times New Roman"/>
                <w:spacing w:val="-39"/>
                <w:sz w:val="24"/>
                <w:szCs w:val="24"/>
              </w:rPr>
              <w:t>，</w:t>
            </w:r>
            <w:r>
              <w:rPr>
                <w:rFonts w:hint="default" w:ascii="Times New Roman" w:hAnsi="Times New Roman" w:eastAsia="宋体" w:cs="Times New Roman"/>
                <w:spacing w:val="4"/>
                <w:sz w:val="24"/>
                <w:szCs w:val="24"/>
              </w:rPr>
              <w:t>定</w:t>
            </w:r>
            <w:r>
              <w:rPr>
                <w:rFonts w:hint="default" w:ascii="Times New Roman" w:hAnsi="Times New Roman" w:eastAsia="宋体" w:cs="Times New Roman"/>
                <w:spacing w:val="3"/>
                <w:sz w:val="24"/>
                <w:szCs w:val="24"/>
              </w:rPr>
              <w:t>期交由资质危废单位处置。</w:t>
            </w:r>
          </w:p>
          <w:p w14:paraId="51376AFB">
            <w:pPr>
              <w:pStyle w:val="45"/>
              <w:keepNext w:val="0"/>
              <w:keepLines w:val="0"/>
              <w:pageBreakBefore w:val="0"/>
              <w:widowControl w:val="0"/>
              <w:kinsoku/>
              <w:wordWrap/>
              <w:overflowPunct/>
              <w:topLinePunct w:val="0"/>
              <w:autoSpaceDE/>
              <w:autoSpaceDN/>
              <w:bidi w:val="0"/>
              <w:spacing w:line="360" w:lineRule="auto"/>
              <w:ind w:left="0" w:right="0" w:firstLine="49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（3）危险废物贮存点环境管理要求</w:t>
            </w:r>
          </w:p>
          <w:p w14:paraId="01A433C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企业严格按照《危险废物贮存污染控制标准》</w:t>
            </w:r>
            <w:r>
              <w:rPr>
                <w:rFonts w:hint="eastAsia" w:ascii="Times New Roman" w:hAnsi="Times New Roman" w:eastAsia="宋体" w:cs="Times New Roman"/>
                <w:spacing w:val="-9"/>
                <w:sz w:val="24"/>
                <w:szCs w:val="24"/>
                <w:lang w:eastAsia="zh-CN"/>
              </w:rPr>
              <w:t>（</w:t>
            </w:r>
            <w:r>
              <w:rPr>
                <w:rFonts w:hint="default" w:ascii="Times New Roman" w:hAnsi="Times New Roman" w:eastAsia="宋体" w:cs="Times New Roman"/>
                <w:sz w:val="24"/>
                <w:szCs w:val="24"/>
              </w:rPr>
              <w:t>GB</w:t>
            </w:r>
            <w:r>
              <w:rPr>
                <w:rFonts w:hint="default" w:ascii="Times New Roman" w:hAnsi="Times New Roman" w:eastAsia="宋体" w:cs="Times New Roman"/>
                <w:spacing w:val="32"/>
                <w:sz w:val="24"/>
                <w:szCs w:val="24"/>
              </w:rPr>
              <w:t>18597-</w:t>
            </w:r>
            <w:r>
              <w:rPr>
                <w:rFonts w:hint="eastAsia" w:ascii="Times New Roman" w:hAnsi="Times New Roman" w:eastAsia="宋体" w:cs="Times New Roman"/>
                <w:spacing w:val="32"/>
                <w:sz w:val="24"/>
                <w:szCs w:val="24"/>
                <w:lang w:val="en-US" w:eastAsia="zh-CN"/>
              </w:rPr>
              <w:t>2023</w:t>
            </w:r>
            <w:r>
              <w:rPr>
                <w:rFonts w:hint="eastAsia" w:ascii="Times New Roman" w:hAnsi="Times New Roman" w:eastAsia="宋体" w:cs="Times New Roman"/>
                <w:spacing w:val="-9"/>
                <w:sz w:val="24"/>
                <w:szCs w:val="24"/>
                <w:lang w:eastAsia="zh-CN"/>
              </w:rPr>
              <w:t>）</w:t>
            </w:r>
            <w:r>
              <w:rPr>
                <w:rFonts w:hint="default" w:ascii="Times New Roman" w:hAnsi="Times New Roman" w:eastAsia="宋体" w:cs="Times New Roman"/>
                <w:spacing w:val="6"/>
                <w:sz w:val="24"/>
                <w:szCs w:val="24"/>
              </w:rPr>
              <w:t>《危险废物收集、贮存、运输技术规范》（</w:t>
            </w:r>
            <w:r>
              <w:rPr>
                <w:rFonts w:hint="default" w:ascii="Times New Roman" w:hAnsi="Times New Roman" w:eastAsia="宋体" w:cs="Times New Roman"/>
                <w:sz w:val="24"/>
                <w:szCs w:val="24"/>
              </w:rPr>
              <w:t>HJ</w:t>
            </w:r>
            <w:r>
              <w:rPr>
                <w:rFonts w:hint="default" w:ascii="Times New Roman" w:hAnsi="Times New Roman" w:eastAsia="宋体" w:cs="Times New Roman"/>
                <w:spacing w:val="6"/>
                <w:sz w:val="24"/>
                <w:szCs w:val="24"/>
              </w:rPr>
              <w:t>2025-2012）、《危险废</w:t>
            </w:r>
            <w:r>
              <w:rPr>
                <w:rFonts w:hint="default" w:ascii="Times New Roman" w:hAnsi="Times New Roman" w:eastAsia="宋体" w:cs="Times New Roman"/>
                <w:spacing w:val="2"/>
                <w:sz w:val="24"/>
                <w:szCs w:val="24"/>
              </w:rPr>
              <w:t>物转移管理办法》</w:t>
            </w:r>
            <w:r>
              <w:rPr>
                <w:rFonts w:hint="default" w:ascii="Times New Roman" w:hAnsi="Times New Roman" w:eastAsia="宋体" w:cs="Times New Roman"/>
                <w:spacing w:val="-38"/>
                <w:sz w:val="24"/>
                <w:szCs w:val="24"/>
              </w:rPr>
              <w:t xml:space="preserve"> </w:t>
            </w:r>
            <w:r>
              <w:rPr>
                <w:rFonts w:hint="default" w:ascii="Times New Roman" w:hAnsi="Times New Roman" w:eastAsia="宋体" w:cs="Times New Roman"/>
                <w:spacing w:val="2"/>
                <w:sz w:val="24"/>
                <w:szCs w:val="24"/>
              </w:rPr>
              <w:t>、《危险废物规范化管理指标体系》等要求</w:t>
            </w:r>
            <w:r>
              <w:rPr>
                <w:rFonts w:hint="default" w:ascii="Times New Roman" w:hAnsi="Times New Roman" w:eastAsia="宋体" w:cs="Times New Roman"/>
                <w:spacing w:val="1"/>
                <w:sz w:val="24"/>
                <w:szCs w:val="24"/>
              </w:rPr>
              <w:t>规范化建</w:t>
            </w:r>
            <w:r>
              <w:rPr>
                <w:rFonts w:hint="default" w:ascii="Times New Roman" w:hAnsi="Times New Roman" w:eastAsia="宋体" w:cs="Times New Roman"/>
                <w:sz w:val="24"/>
                <w:szCs w:val="24"/>
              </w:rPr>
              <w:t>设和管理危险废物贮存点。具体要求如下：</w:t>
            </w:r>
          </w:p>
          <w:p w14:paraId="1E58806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rPr>
              <w:t>①按《危险废物识别标志设置技术规范》（</w:t>
            </w:r>
            <w:r>
              <w:rPr>
                <w:rFonts w:hint="default" w:ascii="Times New Roman" w:hAnsi="Times New Roman" w:eastAsia="宋体" w:cs="Times New Roman"/>
                <w:sz w:val="24"/>
                <w:szCs w:val="24"/>
              </w:rPr>
              <w:t>HJ</w:t>
            </w:r>
            <w:r>
              <w:rPr>
                <w:rFonts w:hint="default" w:ascii="Times New Roman" w:hAnsi="Times New Roman" w:eastAsia="宋体" w:cs="Times New Roman"/>
                <w:spacing w:val="6"/>
                <w:sz w:val="24"/>
                <w:szCs w:val="24"/>
              </w:rPr>
              <w:t>1276-2022）在危废</w:t>
            </w:r>
            <w:r>
              <w:rPr>
                <w:rFonts w:hint="default" w:ascii="Times New Roman" w:hAnsi="Times New Roman" w:eastAsia="宋体" w:cs="Times New Roman"/>
                <w:spacing w:val="-1"/>
                <w:sz w:val="24"/>
                <w:szCs w:val="24"/>
              </w:rPr>
              <w:t>贮存点醒目的地方设置危险废物警告标识。</w:t>
            </w:r>
          </w:p>
          <w:p w14:paraId="74C3E8E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②贮存点应具有固定的区域边界</w:t>
            </w:r>
            <w:r>
              <w:rPr>
                <w:rFonts w:hint="default" w:ascii="Times New Roman" w:hAnsi="Times New Roman" w:eastAsia="宋体" w:cs="Times New Roman"/>
                <w:spacing w:val="-27"/>
                <w:sz w:val="24"/>
                <w:szCs w:val="24"/>
              </w:rPr>
              <w:t xml:space="preserve"> </w:t>
            </w:r>
            <w:r>
              <w:rPr>
                <w:rFonts w:hint="default" w:ascii="Times New Roman" w:hAnsi="Times New Roman" w:eastAsia="宋体" w:cs="Times New Roman"/>
                <w:spacing w:val="2"/>
                <w:sz w:val="24"/>
                <w:szCs w:val="24"/>
              </w:rPr>
              <w:t>，并应采取与其</w:t>
            </w:r>
            <w:r>
              <w:rPr>
                <w:rFonts w:hint="default" w:ascii="Times New Roman" w:hAnsi="Times New Roman" w:eastAsia="宋体" w:cs="Times New Roman"/>
                <w:spacing w:val="1"/>
                <w:sz w:val="24"/>
                <w:szCs w:val="24"/>
              </w:rPr>
              <w:t>他区域进行隔离的</w:t>
            </w:r>
            <w:r>
              <w:rPr>
                <w:rFonts w:hint="default" w:ascii="Times New Roman" w:hAnsi="Times New Roman" w:eastAsia="宋体" w:cs="Times New Roman"/>
                <w:spacing w:val="-2"/>
                <w:sz w:val="24"/>
                <w:szCs w:val="24"/>
              </w:rPr>
              <w:t>措施。</w:t>
            </w:r>
          </w:p>
          <w:p w14:paraId="124E38C9">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③贮存点应采取防风</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防雨</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防晒和防止危险废物流失</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扬散等措</w:t>
            </w:r>
            <w:r>
              <w:rPr>
                <w:rFonts w:hint="default" w:ascii="Times New Roman" w:hAnsi="Times New Roman" w:eastAsia="宋体" w:cs="Times New Roman"/>
                <w:spacing w:val="-2"/>
                <w:sz w:val="24"/>
                <w:szCs w:val="24"/>
              </w:rPr>
              <w:t>施。</w:t>
            </w:r>
          </w:p>
          <w:p w14:paraId="7DFE655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④贮存点贮存的危险废物应置于容器或包装物中，不应直接散堆。即危险废物分别装入密闭容器后，按危废种类进行贮存，密闭容器不叠</w:t>
            </w:r>
            <w:r>
              <w:rPr>
                <w:rFonts w:hint="default" w:ascii="Times New Roman" w:hAnsi="Times New Roman" w:eastAsia="宋体" w:cs="Times New Roman"/>
                <w:spacing w:val="-2"/>
                <w:sz w:val="24"/>
                <w:szCs w:val="24"/>
              </w:rPr>
              <w:t>加堆放。</w:t>
            </w:r>
          </w:p>
          <w:p w14:paraId="08C009F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⑤贮存点应根据危险废物的形态</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物理化学性质、</w:t>
            </w:r>
            <w:r>
              <w:rPr>
                <w:rFonts w:hint="default" w:ascii="Times New Roman" w:hAnsi="Times New Roman" w:eastAsia="宋体" w:cs="Times New Roman"/>
                <w:spacing w:val="-1"/>
                <w:sz w:val="24"/>
                <w:szCs w:val="24"/>
              </w:rPr>
              <w:t>包装形式等，采</w:t>
            </w:r>
            <w:r>
              <w:rPr>
                <w:rFonts w:hint="default" w:ascii="Times New Roman" w:hAnsi="Times New Roman" w:eastAsia="宋体" w:cs="Times New Roman"/>
                <w:sz w:val="24"/>
                <w:szCs w:val="24"/>
              </w:rPr>
              <w:t>取防渗、防漏等污染防治措施或采用具有相</w:t>
            </w:r>
            <w:r>
              <w:rPr>
                <w:rFonts w:hint="default" w:ascii="Times New Roman" w:hAnsi="Times New Roman" w:eastAsia="宋体" w:cs="Times New Roman"/>
                <w:spacing w:val="-1"/>
                <w:sz w:val="24"/>
                <w:szCs w:val="24"/>
              </w:rPr>
              <w:t>应功能的装置。</w:t>
            </w:r>
          </w:p>
          <w:p w14:paraId="42C65AAE">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9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⑥贮存点应及时清运贮存的危险废物，实时最大贮存量不应超过3</w:t>
            </w:r>
            <w:r>
              <w:rPr>
                <w:rFonts w:hint="default" w:ascii="Times New Roman" w:hAnsi="Times New Roman" w:eastAsia="宋体" w:cs="Times New Roman"/>
                <w:spacing w:val="-4"/>
                <w:sz w:val="24"/>
                <w:szCs w:val="24"/>
              </w:rPr>
              <w:t>吨，达到转运量后及时委托有资质单位处置。</w:t>
            </w:r>
          </w:p>
          <w:p w14:paraId="13EF703E">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⑦贮存点应建立危险废物管理制度和台账管理制度，要求制度上墙，</w:t>
            </w:r>
            <w:r>
              <w:rPr>
                <w:rFonts w:hint="default" w:ascii="Times New Roman" w:hAnsi="Times New Roman" w:eastAsia="宋体" w:cs="Times New Roman"/>
                <w:spacing w:val="1"/>
                <w:sz w:val="24"/>
                <w:szCs w:val="24"/>
              </w:rPr>
              <w:t>专人看管。管理人员对入库和出库的危险废物种类</w:t>
            </w:r>
            <w:r>
              <w:rPr>
                <w:rFonts w:hint="default" w:ascii="Times New Roman" w:hAnsi="Times New Roman" w:eastAsia="宋体" w:cs="Times New Roman"/>
                <w:spacing w:val="-43"/>
                <w:sz w:val="24"/>
                <w:szCs w:val="24"/>
              </w:rPr>
              <w:t xml:space="preserve"> </w:t>
            </w:r>
            <w:r>
              <w:rPr>
                <w:rFonts w:hint="default" w:ascii="Times New Roman" w:hAnsi="Times New Roman" w:eastAsia="宋体" w:cs="Times New Roman"/>
                <w:spacing w:val="1"/>
                <w:sz w:val="24"/>
                <w:szCs w:val="24"/>
              </w:rPr>
              <w:t>、数量等进行登记，</w:t>
            </w:r>
            <w:r>
              <w:rPr>
                <w:rFonts w:hint="default" w:ascii="Times New Roman" w:hAnsi="Times New Roman" w:eastAsia="宋体" w:cs="Times New Roman"/>
                <w:spacing w:val="3"/>
                <w:sz w:val="24"/>
                <w:szCs w:val="24"/>
              </w:rPr>
              <w:t>并填写交接记录，定期对贮存的危险废物包装容器及危废贮存点进行检</w:t>
            </w:r>
            <w:r>
              <w:rPr>
                <w:rFonts w:hint="default" w:ascii="Times New Roman" w:hAnsi="Times New Roman" w:eastAsia="宋体" w:cs="Times New Roman"/>
                <w:spacing w:val="-3"/>
                <w:sz w:val="24"/>
                <w:szCs w:val="24"/>
              </w:rPr>
              <w:t>查，发现破损，应及时采取措施清理更换。</w:t>
            </w:r>
          </w:p>
          <w:p w14:paraId="14536896">
            <w:pPr>
              <w:keepNext w:val="0"/>
              <w:keepLines w:val="0"/>
              <w:pageBreakBefore w:val="0"/>
              <w:widowControl w:val="0"/>
              <w:kinsoku/>
              <w:wordWrap/>
              <w:overflowPunct/>
              <w:topLinePunct w:val="0"/>
              <w:autoSpaceDE/>
              <w:autoSpaceDN/>
              <w:bidi w:val="0"/>
              <w:adjustRightInd w:val="0"/>
              <w:snapToGrid w:val="0"/>
              <w:spacing w:line="360" w:lineRule="auto"/>
              <w:ind w:left="0" w:right="0" w:firstLine="478" w:firstLineChars="200"/>
              <w:textAlignment w:val="auto"/>
              <w:rPr>
                <w:rFonts w:hint="default" w:ascii="Times New Roman" w:hAnsi="Times New Roman" w:eastAsia="宋体" w:cs="Times New Roman"/>
                <w:b/>
                <w:bCs/>
                <w:spacing w:val="-1"/>
                <w:sz w:val="24"/>
                <w:szCs w:val="24"/>
              </w:rPr>
            </w:pPr>
            <w:r>
              <w:rPr>
                <w:rFonts w:hint="default" w:ascii="Times New Roman" w:hAnsi="Times New Roman" w:eastAsia="宋体" w:cs="Times New Roman"/>
                <w:b/>
                <w:bCs/>
                <w:spacing w:val="-1"/>
                <w:sz w:val="24"/>
                <w:szCs w:val="24"/>
              </w:rPr>
              <w:t>6、环境风险防范措施</w:t>
            </w:r>
          </w:p>
          <w:p w14:paraId="0C58FC36">
            <w:pPr>
              <w:keepNext w:val="0"/>
              <w:keepLines w:val="0"/>
              <w:pageBreakBefore w:val="0"/>
              <w:widowControl w:val="0"/>
              <w:kinsoku/>
              <w:wordWrap/>
              <w:overflowPunct/>
              <w:topLinePunct w:val="0"/>
              <w:autoSpaceDE/>
              <w:autoSpaceDN/>
              <w:bidi w:val="0"/>
              <w:adjustRightInd w:val="0"/>
              <w:snapToGrid w:val="0"/>
              <w:spacing w:line="360" w:lineRule="auto"/>
              <w:ind w:left="0" w:right="0" w:firstLine="508" w:firstLineChars="200"/>
              <w:textAlignment w:val="auto"/>
              <w:rPr>
                <w:rFonts w:hint="default" w:ascii="Times New Roman" w:hAnsi="Times New Roman" w:eastAsia="宋体" w:cs="Times New Roman"/>
                <w:b/>
                <w:bCs/>
                <w:spacing w:val="-1"/>
                <w:sz w:val="24"/>
                <w:szCs w:val="24"/>
              </w:rPr>
            </w:pPr>
            <w:r>
              <w:rPr>
                <w:rFonts w:hint="default" w:ascii="Times New Roman" w:hAnsi="Times New Roman" w:eastAsia="宋体" w:cs="Times New Roman"/>
                <w:spacing w:val="7"/>
                <w:sz w:val="24"/>
                <w:szCs w:val="24"/>
              </w:rPr>
              <w:t>本项目矿区新建危废贮存点1间（5m</w:t>
            </w:r>
            <w:r>
              <w:rPr>
                <w:rFonts w:hint="default" w:ascii="Times New Roman" w:hAnsi="Times New Roman" w:eastAsia="宋体" w:cs="Times New Roman"/>
                <w:spacing w:val="7"/>
                <w:position w:val="1"/>
                <w:sz w:val="24"/>
                <w:szCs w:val="24"/>
                <w:vertAlign w:val="superscript"/>
              </w:rPr>
              <w:t>2</w:t>
            </w:r>
            <w:r>
              <w:rPr>
                <w:rFonts w:hint="default" w:ascii="Times New Roman" w:hAnsi="Times New Roman" w:eastAsia="宋体" w:cs="Times New Roman"/>
                <w:spacing w:val="-24"/>
                <w:position w:val="1"/>
                <w:sz w:val="24"/>
                <w:szCs w:val="24"/>
              </w:rPr>
              <w:t>）</w:t>
            </w:r>
            <w:r>
              <w:rPr>
                <w:rFonts w:hint="default" w:ascii="Times New Roman" w:hAnsi="Times New Roman" w:eastAsia="宋体" w:cs="Times New Roman"/>
                <w:spacing w:val="-24"/>
                <w:sz w:val="24"/>
                <w:szCs w:val="24"/>
              </w:rPr>
              <w:t>，</w:t>
            </w:r>
            <w:r>
              <w:rPr>
                <w:rFonts w:hint="default" w:ascii="Times New Roman" w:hAnsi="Times New Roman" w:eastAsia="宋体" w:cs="Times New Roman"/>
                <w:spacing w:val="7"/>
                <w:sz w:val="24"/>
                <w:szCs w:val="24"/>
              </w:rPr>
              <w:t>危废贮存点地面及裙角</w:t>
            </w:r>
            <w:r>
              <w:rPr>
                <w:rFonts w:hint="default" w:ascii="Times New Roman" w:hAnsi="Times New Roman" w:eastAsia="宋体" w:cs="Times New Roman"/>
                <w:spacing w:val="5"/>
                <w:sz w:val="24"/>
                <w:szCs w:val="24"/>
              </w:rPr>
              <w:t>进行防渗设计（防渗系数不大于</w:t>
            </w:r>
            <w:r>
              <w:rPr>
                <w:rFonts w:hint="default" w:ascii="Times New Roman" w:hAnsi="Times New Roman" w:eastAsia="宋体" w:cs="Times New Roman"/>
                <w:spacing w:val="5"/>
                <w:position w:val="2"/>
                <w:sz w:val="24"/>
                <w:szCs w:val="24"/>
              </w:rPr>
              <w:t>10</w:t>
            </w:r>
            <w:r>
              <w:rPr>
                <w:rFonts w:hint="default" w:ascii="Times New Roman" w:hAnsi="Times New Roman" w:eastAsia="宋体" w:cs="Times New Roman"/>
                <w:spacing w:val="5"/>
                <w:position w:val="2"/>
                <w:sz w:val="24"/>
                <w:szCs w:val="24"/>
                <w:vertAlign w:val="superscript"/>
              </w:rPr>
              <w:t>-1</w:t>
            </w:r>
            <w:r>
              <w:rPr>
                <w:rFonts w:hint="default" w:ascii="Times New Roman" w:hAnsi="Times New Roman" w:eastAsia="宋体" w:cs="Times New Roman"/>
                <w:spacing w:val="4"/>
                <w:position w:val="2"/>
                <w:sz w:val="24"/>
                <w:szCs w:val="24"/>
                <w:vertAlign w:val="superscript"/>
              </w:rPr>
              <w:t>0</w:t>
            </w:r>
            <w:r>
              <w:rPr>
                <w:rFonts w:hint="default" w:ascii="Times New Roman" w:hAnsi="Times New Roman" w:eastAsia="宋体" w:cs="Times New Roman"/>
                <w:sz w:val="24"/>
                <w:szCs w:val="24"/>
              </w:rPr>
              <w:t>cm</w:t>
            </w:r>
            <w:r>
              <w:rPr>
                <w:rFonts w:hint="default" w:ascii="Times New Roman" w:hAnsi="Times New Roman" w:eastAsia="宋体" w:cs="Times New Roman"/>
                <w:spacing w:val="4"/>
                <w:sz w:val="24"/>
                <w:szCs w:val="24"/>
              </w:rPr>
              <w:t>/s）。危险废物采用符合要求</w:t>
            </w:r>
            <w:r>
              <w:rPr>
                <w:rFonts w:hint="default" w:ascii="Times New Roman" w:hAnsi="Times New Roman" w:eastAsia="宋体" w:cs="Times New Roman"/>
                <w:spacing w:val="-1"/>
                <w:sz w:val="24"/>
                <w:szCs w:val="24"/>
              </w:rPr>
              <w:t>的包装容器，容器底部设置防渗托盘。此外，建设单位还需配备吸油毡</w:t>
            </w:r>
            <w:r>
              <w:rPr>
                <w:rFonts w:hint="default" w:ascii="Times New Roman" w:hAnsi="Times New Roman" w:eastAsia="宋体" w:cs="Times New Roman"/>
                <w:spacing w:val="1"/>
                <w:sz w:val="24"/>
                <w:szCs w:val="24"/>
              </w:rPr>
              <w:t>等应急物资，加强日常管理和台账管理，</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spacing w:val="1"/>
                <w:sz w:val="24"/>
                <w:szCs w:val="24"/>
              </w:rPr>
              <w:t>防止危险废物</w:t>
            </w:r>
            <w:r>
              <w:rPr>
                <w:rFonts w:hint="default" w:ascii="Times New Roman" w:hAnsi="Times New Roman" w:eastAsia="宋体" w:cs="Times New Roman"/>
                <w:sz w:val="24"/>
                <w:szCs w:val="24"/>
              </w:rPr>
              <w:t>发生泄漏对周边</w:t>
            </w:r>
            <w:r>
              <w:rPr>
                <w:rFonts w:hint="default" w:ascii="Times New Roman" w:hAnsi="Times New Roman" w:eastAsia="宋体" w:cs="Times New Roman"/>
                <w:spacing w:val="-1"/>
                <w:sz w:val="24"/>
                <w:szCs w:val="24"/>
              </w:rPr>
              <w:t>环境造成影响。</w:t>
            </w:r>
          </w:p>
        </w:tc>
      </w:tr>
      <w:tr w14:paraId="7BC13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noWrap w:val="0"/>
            <w:vAlign w:val="center"/>
          </w:tcPr>
          <w:p w14:paraId="113BA391">
            <w:pPr>
              <w:adjustRightInd w:val="0"/>
              <w:snapToGrid w:val="0"/>
              <w:jc w:val="center"/>
              <w:rPr>
                <w:rFonts w:hint="default" w:ascii="Times New Roman" w:hAnsi="Times New Roman" w:eastAsia="宋体" w:cs="Times New Roman"/>
                <w:bCs/>
                <w:spacing w:val="10"/>
                <w:sz w:val="24"/>
                <w:szCs w:val="24"/>
              </w:rPr>
            </w:pPr>
            <w:r>
              <w:rPr>
                <w:rFonts w:hint="default" w:ascii="Times New Roman" w:hAnsi="Times New Roman" w:eastAsia="宋体" w:cs="Times New Roman"/>
                <w:bCs/>
                <w:sz w:val="24"/>
                <w:szCs w:val="24"/>
              </w:rPr>
              <w:t>其他</w:t>
            </w:r>
          </w:p>
        </w:tc>
        <w:tc>
          <w:tcPr>
            <w:tcW w:w="8457" w:type="dxa"/>
            <w:noWrap w:val="0"/>
            <w:vAlign w:val="top"/>
          </w:tcPr>
          <w:p w14:paraId="251FFE0D">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一、环境管理与监测计划</w:t>
            </w:r>
          </w:p>
          <w:p w14:paraId="55B527A6">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4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10"/>
                <w:sz w:val="24"/>
                <w:szCs w:val="24"/>
              </w:rPr>
              <w:t>1、环境管理</w:t>
            </w:r>
          </w:p>
          <w:p w14:paraId="5DD0B45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rPr>
              <w:t>环境管理：建设项目的环保工作要纳入全面工作之中，要把环保工作贯穿到建设项目的各个部分。环保工作要合理布置、统一安排，使环境污染防范于未然，贯彻以防为主，防治结合的方针。</w:t>
            </w:r>
            <w:r>
              <w:rPr>
                <w:rFonts w:hint="eastAsia" w:ascii="Times New Roman" w:hAnsi="Times New Roman" w:eastAsia="宋体" w:cs="Times New Roman"/>
                <w:spacing w:val="0"/>
                <w:sz w:val="24"/>
                <w:szCs w:val="24"/>
                <w:lang w:val="en-US" w:eastAsia="zh-CN"/>
              </w:rPr>
              <w:t>日常</w:t>
            </w:r>
            <w:r>
              <w:rPr>
                <w:rFonts w:hint="default" w:ascii="Times New Roman" w:hAnsi="Times New Roman" w:eastAsia="宋体" w:cs="Times New Roman"/>
                <w:spacing w:val="0"/>
                <w:sz w:val="24"/>
                <w:szCs w:val="24"/>
              </w:rPr>
              <w:t>的环境管理要有一整套行之有效的管理制度，落实具体责任和奖励制度，环保管理机构要对厂区环保设备进行定期检查，并接受政府环保部门的监督。</w:t>
            </w:r>
          </w:p>
          <w:p w14:paraId="49C86CB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5"/>
                <w:sz w:val="24"/>
                <w:szCs w:val="24"/>
                <w:lang w:eastAsia="zh-CN"/>
              </w:rPr>
              <w:t>（</w:t>
            </w:r>
            <w:r>
              <w:rPr>
                <w:rFonts w:hint="eastAsia" w:ascii="Times New Roman" w:hAnsi="Times New Roman" w:eastAsia="宋体" w:cs="Times New Roman"/>
                <w:spacing w:val="-5"/>
                <w:sz w:val="24"/>
                <w:szCs w:val="24"/>
                <w:lang w:val="en-US" w:eastAsia="zh-CN"/>
              </w:rPr>
              <w:t>1</w:t>
            </w:r>
            <w:r>
              <w:rPr>
                <w:rFonts w:hint="eastAsia" w:ascii="Times New Roman" w:hAnsi="Times New Roman" w:eastAsia="宋体" w:cs="Times New Roman"/>
                <w:spacing w:val="-5"/>
                <w:sz w:val="24"/>
                <w:szCs w:val="24"/>
                <w:lang w:eastAsia="zh-CN"/>
              </w:rPr>
              <w:t>）</w:t>
            </w:r>
            <w:r>
              <w:rPr>
                <w:rFonts w:hint="default" w:ascii="Times New Roman" w:hAnsi="Times New Roman" w:eastAsia="宋体" w:cs="Times New Roman"/>
                <w:spacing w:val="-5"/>
                <w:sz w:val="24"/>
                <w:szCs w:val="24"/>
              </w:rPr>
              <w:t>建立和健全规章制度，并确保制度有效落实；</w:t>
            </w:r>
          </w:p>
          <w:p w14:paraId="24CA792A">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（2）按有关规定编制各种报告和报表，并</w:t>
            </w:r>
            <w:r>
              <w:rPr>
                <w:rFonts w:hint="default" w:ascii="Times New Roman" w:hAnsi="Times New Roman" w:eastAsia="宋体" w:cs="Times New Roman"/>
                <w:spacing w:val="-1"/>
                <w:sz w:val="24"/>
                <w:szCs w:val="24"/>
              </w:rPr>
              <w:t>负责呈报工作；</w:t>
            </w:r>
          </w:p>
          <w:p w14:paraId="404571D2">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（3）定期对生产设备及防护措施等进行检测、维修，确保设备良好稳定运</w:t>
            </w:r>
            <w:r>
              <w:rPr>
                <w:rFonts w:hint="default" w:ascii="Times New Roman" w:hAnsi="Times New Roman" w:eastAsia="宋体" w:cs="Times New Roman"/>
                <w:spacing w:val="-2"/>
                <w:sz w:val="24"/>
                <w:szCs w:val="24"/>
              </w:rPr>
              <w:t>行。</w:t>
            </w:r>
          </w:p>
          <w:p w14:paraId="64D8A047">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（4）严格执行排污许可制度，开采实行登记管理，破碎工业场地</w:t>
            </w:r>
            <w:r>
              <w:rPr>
                <w:rFonts w:hint="default" w:ascii="Times New Roman" w:hAnsi="Times New Roman" w:eastAsia="宋体" w:cs="Times New Roman"/>
                <w:spacing w:val="-1"/>
                <w:sz w:val="24"/>
                <w:szCs w:val="24"/>
              </w:rPr>
              <w:t>进行简化管理。</w:t>
            </w:r>
          </w:p>
          <w:p w14:paraId="02219BFF">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2、运营期环境监测计划</w:t>
            </w:r>
          </w:p>
          <w:p w14:paraId="5BE25CEC">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根据国家有关规定，结合本项目的自身特点，确定环境监测的主</w:t>
            </w:r>
            <w:r>
              <w:rPr>
                <w:rFonts w:hint="default" w:ascii="Times New Roman" w:hAnsi="Times New Roman" w:eastAsia="宋体" w:cs="Times New Roman"/>
                <w:spacing w:val="-1"/>
                <w:sz w:val="24"/>
                <w:szCs w:val="24"/>
              </w:rPr>
              <w:t>要工作内容如下：</w:t>
            </w:r>
          </w:p>
          <w:p w14:paraId="704878B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3"/>
                <w:sz w:val="24"/>
                <w:szCs w:val="24"/>
                <w:lang w:eastAsia="zh-CN"/>
              </w:rPr>
              <w:t>（</w:t>
            </w:r>
            <w:r>
              <w:rPr>
                <w:rFonts w:hint="eastAsia" w:ascii="Times New Roman" w:hAnsi="Times New Roman" w:eastAsia="宋体" w:cs="Times New Roman"/>
                <w:spacing w:val="-3"/>
                <w:sz w:val="24"/>
                <w:szCs w:val="24"/>
                <w:lang w:val="en-US" w:eastAsia="zh-CN"/>
              </w:rPr>
              <w:t>1</w:t>
            </w:r>
            <w:r>
              <w:rPr>
                <w:rFonts w:hint="eastAsia"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环境监测的范围应包括污染源强与环境质量，从废气、噪声方面进行监控；</w:t>
            </w:r>
          </w:p>
          <w:p w14:paraId="73A1E638">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（2）监测布点的基本原则：监测点的布设要能够准确反映企业的污</w:t>
            </w:r>
            <w:r>
              <w:rPr>
                <w:rFonts w:hint="default" w:ascii="Times New Roman" w:hAnsi="Times New Roman" w:eastAsia="宋体" w:cs="Times New Roman"/>
                <w:spacing w:val="-1"/>
                <w:sz w:val="24"/>
                <w:szCs w:val="24"/>
              </w:rPr>
              <w:t>染物排放情况、</w:t>
            </w:r>
            <w:r>
              <w:rPr>
                <w:rFonts w:hint="default" w:ascii="Times New Roman" w:hAnsi="Times New Roman" w:eastAsia="宋体" w:cs="Times New Roman"/>
                <w:sz w:val="24"/>
                <w:szCs w:val="24"/>
              </w:rPr>
              <w:t>企业附近地区的环境质量情况及污染物危害情况。根据</w:t>
            </w:r>
            <w:r>
              <w:rPr>
                <w:rFonts w:hint="default" w:ascii="Times New Roman" w:hAnsi="Times New Roman" w:eastAsia="宋体" w:cs="Times New Roman"/>
                <w:spacing w:val="-1"/>
                <w:sz w:val="24"/>
                <w:szCs w:val="24"/>
              </w:rPr>
              <w:t>本项目实际情况布设监测点。</w:t>
            </w:r>
          </w:p>
          <w:p w14:paraId="409C5911">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①日常数据记录</w:t>
            </w:r>
          </w:p>
          <w:p w14:paraId="1E390623">
            <w:pPr>
              <w:pStyle w:val="45"/>
              <w:keepNext w:val="0"/>
              <w:keepLines w:val="0"/>
              <w:pageBreakBefore w:val="0"/>
              <w:widowControl w:val="0"/>
              <w:kinsoku/>
              <w:wordWrap/>
              <w:overflowPunct/>
              <w:topLinePunct w:val="0"/>
              <w:autoSpaceDE/>
              <w:autoSpaceDN/>
              <w:bidi w:val="0"/>
              <w:adjustRightInd/>
              <w:snapToGrid/>
              <w:spacing w:line="360" w:lineRule="auto"/>
              <w:ind w:left="0" w:right="0" w:firstLine="440" w:firstLineChars="200"/>
              <w:textAlignment w:val="auto"/>
              <w:rPr>
                <w:rFonts w:hint="default" w:ascii="Times New Roman" w:hAnsi="Times New Roman" w:eastAsia="宋体" w:cs="Times New Roman"/>
                <w:spacing w:val="-10"/>
                <w:sz w:val="24"/>
                <w:szCs w:val="24"/>
              </w:rPr>
            </w:pPr>
            <w:r>
              <w:rPr>
                <w:rFonts w:hint="default" w:ascii="Times New Roman" w:hAnsi="Times New Roman" w:eastAsia="宋体" w:cs="Times New Roman"/>
                <w:spacing w:val="-10"/>
                <w:sz w:val="24"/>
                <w:szCs w:val="24"/>
              </w:rPr>
              <w:t>日耗电量、</w:t>
            </w:r>
            <w:r>
              <w:rPr>
                <w:rFonts w:hint="default" w:ascii="Times New Roman" w:hAnsi="Times New Roman" w:eastAsia="宋体" w:cs="Times New Roman"/>
                <w:spacing w:val="-56"/>
                <w:sz w:val="24"/>
                <w:szCs w:val="24"/>
              </w:rPr>
              <w:t xml:space="preserve"> </w:t>
            </w:r>
            <w:r>
              <w:rPr>
                <w:rFonts w:hint="default" w:ascii="Times New Roman" w:hAnsi="Times New Roman" w:eastAsia="宋体" w:cs="Times New Roman"/>
                <w:spacing w:val="-10"/>
                <w:sz w:val="24"/>
                <w:szCs w:val="24"/>
              </w:rPr>
              <w:t>日耗水量、</w:t>
            </w:r>
            <w:r>
              <w:rPr>
                <w:rFonts w:hint="default" w:ascii="Times New Roman" w:hAnsi="Times New Roman" w:eastAsia="宋体" w:cs="Times New Roman"/>
                <w:spacing w:val="-60"/>
                <w:sz w:val="24"/>
                <w:szCs w:val="24"/>
              </w:rPr>
              <w:t xml:space="preserve"> </w:t>
            </w:r>
            <w:r>
              <w:rPr>
                <w:rFonts w:hint="default" w:ascii="Times New Roman" w:hAnsi="Times New Roman" w:eastAsia="宋体" w:cs="Times New Roman"/>
                <w:spacing w:val="-10"/>
                <w:sz w:val="24"/>
                <w:szCs w:val="24"/>
              </w:rPr>
              <w:t>日安全生产记录；</w:t>
            </w:r>
          </w:p>
          <w:p w14:paraId="0D0EC06F">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70" w:firstLineChars="200"/>
              <w:textAlignment w:val="auto"/>
              <w:rPr>
                <w:rFonts w:hint="default" w:ascii="Times New Roman" w:hAnsi="Times New Roman" w:eastAsia="宋体" w:cs="Times New Roman"/>
                <w:b/>
                <w:bCs/>
                <w:spacing w:val="-3"/>
                <w:sz w:val="24"/>
                <w:szCs w:val="24"/>
              </w:rPr>
            </w:pPr>
            <w:r>
              <w:rPr>
                <w:rFonts w:hint="default" w:ascii="Times New Roman" w:hAnsi="Times New Roman" w:eastAsia="宋体" w:cs="Times New Roman"/>
                <w:b/>
                <w:bCs/>
                <w:spacing w:val="-3"/>
                <w:sz w:val="24"/>
                <w:szCs w:val="24"/>
              </w:rPr>
              <w:t>②监测内容与频率</w:t>
            </w:r>
          </w:p>
          <w:p w14:paraId="607B3319">
            <w:pPr>
              <w:pStyle w:val="45"/>
              <w:keepNext w:val="0"/>
              <w:keepLines w:val="0"/>
              <w:pageBreakBefore w:val="0"/>
              <w:widowControl w:val="0"/>
              <w:kinsoku/>
              <w:wordWrap/>
              <w:overflowPunct/>
              <w:topLinePunct w:val="0"/>
              <w:autoSpaceDE/>
              <w:autoSpaceDN/>
              <w:bidi w:val="0"/>
              <w:adjustRightInd/>
              <w:snapToGrid/>
              <w:spacing w:line="240" w:lineRule="auto"/>
              <w:ind w:left="0" w:right="0" w:firstLine="410" w:firstLineChars="200"/>
              <w:jc w:val="center"/>
              <w:textAlignment w:val="auto"/>
              <w:rPr>
                <w:rFonts w:hint="default" w:ascii="Times New Roman" w:hAnsi="Times New Roman" w:eastAsia="宋体" w:cs="Times New Roman"/>
                <w:b/>
                <w:bCs/>
                <w:spacing w:val="-3"/>
                <w:sz w:val="24"/>
                <w:szCs w:val="24"/>
              </w:rPr>
            </w:pPr>
            <w:r>
              <w:rPr>
                <w:rFonts w:hint="eastAsia" w:ascii="Times New Roman" w:hAnsi="Times New Roman" w:eastAsia="宋体" w:cs="Times New Roman"/>
                <w:b/>
                <w:bCs/>
                <w:spacing w:val="-3"/>
                <w:sz w:val="21"/>
                <w:szCs w:val="21"/>
                <w:lang w:val="en-US" w:eastAsia="zh-CN"/>
              </w:rPr>
              <w:t>表5.1  监测计划一览表</w:t>
            </w:r>
          </w:p>
          <w:tbl>
            <w:tblPr>
              <w:tblStyle w:val="23"/>
              <w:tblW w:w="801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895"/>
              <w:gridCol w:w="1703"/>
              <w:gridCol w:w="1205"/>
              <w:gridCol w:w="2002"/>
            </w:tblGrid>
            <w:tr w14:paraId="6B983FE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13" w:type="dxa"/>
                  <w:tcBorders>
                    <w:top w:val="single" w:color="000000" w:sz="12" w:space="0"/>
                    <w:left w:val="nil"/>
                    <w:tl2br w:val="nil"/>
                  </w:tcBorders>
                  <w:noWrap w:val="0"/>
                  <w:vAlign w:val="center"/>
                </w:tcPr>
                <w:p w14:paraId="074877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监测项目</w:t>
                  </w:r>
                </w:p>
              </w:tc>
              <w:tc>
                <w:tcPr>
                  <w:tcW w:w="1895" w:type="dxa"/>
                  <w:tcBorders>
                    <w:top w:val="single" w:color="000000" w:sz="12" w:space="0"/>
                  </w:tcBorders>
                  <w:noWrap w:val="0"/>
                  <w:vAlign w:val="center"/>
                </w:tcPr>
                <w:p w14:paraId="3574BD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监测点位</w:t>
                  </w:r>
                </w:p>
              </w:tc>
              <w:tc>
                <w:tcPr>
                  <w:tcW w:w="1703" w:type="dxa"/>
                  <w:tcBorders>
                    <w:top w:val="single" w:color="000000" w:sz="12" w:space="0"/>
                  </w:tcBorders>
                  <w:noWrap w:val="0"/>
                  <w:vAlign w:val="center"/>
                </w:tcPr>
                <w:p w14:paraId="348877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监测因子</w:t>
                  </w:r>
                </w:p>
              </w:tc>
              <w:tc>
                <w:tcPr>
                  <w:tcW w:w="1205" w:type="dxa"/>
                  <w:tcBorders>
                    <w:top w:val="single" w:color="000000" w:sz="12" w:space="0"/>
                  </w:tcBorders>
                  <w:noWrap w:val="0"/>
                  <w:vAlign w:val="center"/>
                </w:tcPr>
                <w:p w14:paraId="12C806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监测频次</w:t>
                  </w:r>
                </w:p>
              </w:tc>
              <w:tc>
                <w:tcPr>
                  <w:tcW w:w="2002" w:type="dxa"/>
                  <w:tcBorders>
                    <w:top w:val="single" w:color="000000" w:sz="12" w:space="0"/>
                    <w:right w:val="nil"/>
                  </w:tcBorders>
                  <w:noWrap w:val="0"/>
                  <w:vAlign w:val="center"/>
                </w:tcPr>
                <w:p w14:paraId="26DCD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执行标准</w:t>
                  </w:r>
                </w:p>
              </w:tc>
            </w:tr>
            <w:tr w14:paraId="76DE490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13" w:type="dxa"/>
                  <w:tcBorders>
                    <w:left w:val="nil"/>
                  </w:tcBorders>
                  <w:noWrap w:val="0"/>
                  <w:vAlign w:val="center"/>
                </w:tcPr>
                <w:p w14:paraId="6DED1A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废气</w:t>
                  </w:r>
                </w:p>
              </w:tc>
              <w:tc>
                <w:tcPr>
                  <w:tcW w:w="1895" w:type="dxa"/>
                  <w:noWrap w:val="0"/>
                  <w:vAlign w:val="center"/>
                </w:tcPr>
                <w:p w14:paraId="0AE568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露天采场边界上风向1个点位、下风向3个点位，共4个点位</w:t>
                  </w:r>
                </w:p>
              </w:tc>
              <w:tc>
                <w:tcPr>
                  <w:tcW w:w="1703" w:type="dxa"/>
                  <w:noWrap w:val="0"/>
                  <w:vAlign w:val="center"/>
                </w:tcPr>
                <w:p w14:paraId="0B4B3C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1205" w:type="dxa"/>
                  <w:noWrap w:val="0"/>
                  <w:vAlign w:val="center"/>
                </w:tcPr>
                <w:p w14:paraId="539FEB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每年一次</w:t>
                  </w:r>
                </w:p>
              </w:tc>
              <w:tc>
                <w:tcPr>
                  <w:tcW w:w="2002" w:type="dxa"/>
                  <w:tcBorders>
                    <w:right w:val="nil"/>
                  </w:tcBorders>
                  <w:noWrap w:val="0"/>
                  <w:vAlign w:val="center"/>
                </w:tcPr>
                <w:p w14:paraId="67E0DA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《大气污染物综合排放标准》</w:t>
                  </w:r>
                </w:p>
                <w:p w14:paraId="16AF3C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（GB16297-1996）中表2二级</w:t>
                  </w:r>
                </w:p>
                <w:p w14:paraId="50BA09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标准</w:t>
                  </w:r>
                </w:p>
              </w:tc>
            </w:tr>
            <w:tr w14:paraId="573A16E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213" w:type="dxa"/>
                  <w:tcBorders>
                    <w:left w:val="nil"/>
                    <w:bottom w:val="single" w:color="000000" w:sz="12" w:space="0"/>
                  </w:tcBorders>
                  <w:noWrap w:val="0"/>
                  <w:vAlign w:val="center"/>
                </w:tcPr>
                <w:p w14:paraId="62D94C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噪声</w:t>
                  </w:r>
                </w:p>
              </w:tc>
              <w:tc>
                <w:tcPr>
                  <w:tcW w:w="1895" w:type="dxa"/>
                  <w:tcBorders>
                    <w:bottom w:val="single" w:color="000000" w:sz="12" w:space="0"/>
                  </w:tcBorders>
                  <w:noWrap w:val="0"/>
                  <w:vAlign w:val="center"/>
                </w:tcPr>
                <w:p w14:paraId="20CB05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厂界外四周1m处各设一个点</w:t>
                  </w:r>
                </w:p>
                <w:p w14:paraId="5E57A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位</w:t>
                  </w:r>
                </w:p>
              </w:tc>
              <w:tc>
                <w:tcPr>
                  <w:tcW w:w="1703" w:type="dxa"/>
                  <w:tcBorders>
                    <w:bottom w:val="single" w:color="000000" w:sz="12" w:space="0"/>
                  </w:tcBorders>
                  <w:noWrap w:val="0"/>
                  <w:vAlign w:val="center"/>
                </w:tcPr>
                <w:p w14:paraId="76DCBA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等效连续A声级</w:t>
                  </w:r>
                </w:p>
              </w:tc>
              <w:tc>
                <w:tcPr>
                  <w:tcW w:w="1205" w:type="dxa"/>
                  <w:tcBorders>
                    <w:bottom w:val="single" w:color="000000" w:sz="12" w:space="0"/>
                  </w:tcBorders>
                  <w:noWrap w:val="0"/>
                  <w:vAlign w:val="center"/>
                </w:tcPr>
                <w:p w14:paraId="13D45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每季度一次</w:t>
                  </w:r>
                </w:p>
              </w:tc>
              <w:tc>
                <w:tcPr>
                  <w:tcW w:w="2002" w:type="dxa"/>
                  <w:tcBorders>
                    <w:bottom w:val="single" w:color="000000" w:sz="12" w:space="0"/>
                    <w:right w:val="nil"/>
                  </w:tcBorders>
                  <w:noWrap w:val="0"/>
                  <w:vAlign w:val="center"/>
                </w:tcPr>
                <w:p w14:paraId="347F73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《工业企业厂界环境噪声排放标准》（GB12348-2008）中2</w:t>
                  </w:r>
                </w:p>
                <w:p w14:paraId="28FC9A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类标准</w:t>
                  </w:r>
                </w:p>
              </w:tc>
            </w:tr>
          </w:tbl>
          <w:p w14:paraId="5D8F2D99">
            <w:pPr>
              <w:pStyle w:val="4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spacing w:val="-4"/>
                <w:sz w:val="24"/>
                <w:szCs w:val="24"/>
              </w:rPr>
            </w:pPr>
          </w:p>
          <w:p w14:paraId="296126BC">
            <w:pPr>
              <w:pStyle w:val="45"/>
              <w:keepNext w:val="0"/>
              <w:keepLines w:val="0"/>
              <w:pageBreakBefore w:val="0"/>
              <w:widowControl w:val="0"/>
              <w:kinsoku/>
              <w:wordWrap/>
              <w:overflowPunct/>
              <w:topLinePunct w:val="0"/>
              <w:autoSpaceDE/>
              <w:autoSpaceDN/>
              <w:bidi w:val="0"/>
              <w:spacing w:line="360" w:lineRule="auto"/>
              <w:ind w:left="0" w:firstLine="233" w:firstLineChars="1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3、服务期满后的环境管理与监控计划</w:t>
            </w:r>
          </w:p>
          <w:p w14:paraId="34354A7E">
            <w:pPr>
              <w:pStyle w:val="45"/>
              <w:keepNext w:val="0"/>
              <w:keepLines w:val="0"/>
              <w:pageBreakBefore w:val="0"/>
              <w:widowControl w:val="0"/>
              <w:kinsoku/>
              <w:wordWrap/>
              <w:overflowPunct/>
              <w:topLinePunct w:val="0"/>
              <w:autoSpaceDE/>
              <w:autoSpaceDN/>
              <w:bidi w:val="0"/>
              <w:spacing w:line="360" w:lineRule="auto"/>
              <w:ind w:left="0" w:right="0" w:firstLine="46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5"/>
                <w:sz w:val="24"/>
                <w:szCs w:val="24"/>
              </w:rPr>
              <w:t>（1）服务期满后的环境管理</w:t>
            </w:r>
          </w:p>
          <w:p w14:paraId="0D316D81">
            <w:pPr>
              <w:pStyle w:val="45"/>
              <w:keepNext w:val="0"/>
              <w:keepLines w:val="0"/>
              <w:pageBreakBefore w:val="0"/>
              <w:widowControl w:val="0"/>
              <w:kinsoku/>
              <w:wordWrap/>
              <w:overflowPunct/>
              <w:topLinePunct w:val="0"/>
              <w:autoSpaceDE/>
              <w:autoSpaceDN/>
              <w:bidi w:val="0"/>
              <w:spacing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服务期满后环境管理包括如下内容：</w:t>
            </w:r>
          </w:p>
          <w:p w14:paraId="73FDF0AC">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进行土地整治，处理堆</w:t>
            </w:r>
            <w:r>
              <w:rPr>
                <w:rFonts w:hint="eastAsia" w:ascii="Times New Roman" w:hAnsi="Times New Roman" w:eastAsia="宋体" w:cs="Times New Roman"/>
                <w:sz w:val="24"/>
                <w:szCs w:val="24"/>
                <w:lang w:val="en-US" w:eastAsia="zh-CN"/>
              </w:rPr>
              <w:t>矿</w:t>
            </w:r>
            <w:r>
              <w:rPr>
                <w:rFonts w:hint="default" w:ascii="Times New Roman" w:hAnsi="Times New Roman" w:eastAsia="宋体" w:cs="Times New Roman"/>
                <w:sz w:val="24"/>
                <w:szCs w:val="24"/>
              </w:rPr>
              <w:t>场、堆土场存在的各类环</w:t>
            </w:r>
            <w:r>
              <w:rPr>
                <w:rFonts w:hint="default" w:ascii="Times New Roman" w:hAnsi="Times New Roman" w:eastAsia="宋体" w:cs="Times New Roman"/>
                <w:spacing w:val="-1"/>
                <w:sz w:val="24"/>
                <w:szCs w:val="24"/>
              </w:rPr>
              <w:t>境隐患，并完善有关水保设施，确保服役期满后不致发生滑坡、崩塌等地质灾害。</w:t>
            </w:r>
          </w:p>
          <w:p w14:paraId="70957335">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进行土地平整护理，如有必要，需进行恢复</w:t>
            </w:r>
            <w:r>
              <w:rPr>
                <w:rFonts w:hint="default" w:ascii="Times New Roman" w:hAnsi="Times New Roman" w:eastAsia="宋体" w:cs="Times New Roman"/>
                <w:spacing w:val="-1"/>
                <w:sz w:val="24"/>
                <w:szCs w:val="24"/>
              </w:rPr>
              <w:t>植被计划的制定与实施。</w:t>
            </w:r>
          </w:p>
          <w:p w14:paraId="24DE7F6D">
            <w:pPr>
              <w:pStyle w:val="45"/>
              <w:keepNext w:val="0"/>
              <w:keepLines w:val="0"/>
              <w:pageBreakBefore w:val="0"/>
              <w:widowControl w:val="0"/>
              <w:kinsoku/>
              <w:wordWrap/>
              <w:overflowPunct/>
              <w:topLinePunct w:val="0"/>
              <w:autoSpaceDE/>
              <w:autoSpaceDN/>
              <w:bidi w:val="0"/>
              <w:spacing w:line="360" w:lineRule="auto"/>
              <w:ind w:left="0" w:right="0" w:firstLine="47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3"/>
                <w:sz w:val="24"/>
                <w:szCs w:val="24"/>
              </w:rPr>
              <w:t>（2）服务期满后的环境监控计划</w:t>
            </w:r>
          </w:p>
          <w:p w14:paraId="2ADAFD78">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服务期满后，环境监控计划由企业委托环保部门的</w:t>
            </w:r>
            <w:r>
              <w:rPr>
                <w:rFonts w:hint="default" w:ascii="Times New Roman" w:hAnsi="Times New Roman" w:eastAsia="宋体" w:cs="Times New Roman"/>
                <w:spacing w:val="-1"/>
                <w:sz w:val="24"/>
                <w:szCs w:val="24"/>
              </w:rPr>
              <w:t>环境监测站和水保部门的预测防监督科及林业部门具体实施。主要内容如下：</w:t>
            </w:r>
          </w:p>
          <w:p w14:paraId="0FA253BA">
            <w:pPr>
              <w:pStyle w:val="45"/>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①水保部门对本项目水土流失范围、程度进行监测，根据存</w:t>
            </w:r>
            <w:r>
              <w:rPr>
                <w:rFonts w:hint="default" w:ascii="Times New Roman" w:hAnsi="Times New Roman" w:eastAsia="宋体" w:cs="Times New Roman"/>
                <w:spacing w:val="-1"/>
                <w:sz w:val="24"/>
                <w:szCs w:val="24"/>
              </w:rPr>
              <w:t>在的问题，由企业采取相应的工程或生物措施进行治理。</w:t>
            </w:r>
          </w:p>
          <w:p w14:paraId="6D42BBE1">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spacing w:val="10"/>
                <w:sz w:val="24"/>
                <w:szCs w:val="24"/>
              </w:rPr>
            </w:pPr>
            <w:r>
              <w:rPr>
                <w:rFonts w:hint="default" w:ascii="Times New Roman" w:hAnsi="Times New Roman" w:eastAsia="宋体" w:cs="Times New Roman"/>
                <w:sz w:val="24"/>
                <w:szCs w:val="24"/>
              </w:rPr>
              <w:t>②林业部门对项目区的土地复垦、植被恢复情况进行检查，根</w:t>
            </w:r>
            <w:r>
              <w:rPr>
                <w:rFonts w:hint="default" w:ascii="Times New Roman" w:hAnsi="Times New Roman" w:eastAsia="宋体" w:cs="Times New Roman"/>
                <w:spacing w:val="-1"/>
                <w:sz w:val="24"/>
                <w:szCs w:val="24"/>
              </w:rPr>
              <w:t>据项目区的自然环境</w:t>
            </w:r>
            <w:r>
              <w:rPr>
                <w:rFonts w:hint="default" w:ascii="Times New Roman" w:hAnsi="Times New Roman" w:eastAsia="宋体" w:cs="Times New Roman"/>
                <w:sz w:val="24"/>
                <w:szCs w:val="24"/>
              </w:rPr>
              <w:t>状况确定树种、草种，制定长远的生态恢复计</w:t>
            </w:r>
            <w:r>
              <w:rPr>
                <w:rFonts w:hint="default" w:ascii="Times New Roman" w:hAnsi="Times New Roman" w:eastAsia="宋体" w:cs="Times New Roman"/>
                <w:spacing w:val="-1"/>
                <w:sz w:val="24"/>
                <w:szCs w:val="24"/>
              </w:rPr>
              <w:t>划，保护和改善项目区的生态。</w:t>
            </w:r>
          </w:p>
        </w:tc>
      </w:tr>
      <w:tr w14:paraId="11738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14:paraId="55A42345">
            <w:pPr>
              <w:adjustRightInd w:val="0"/>
              <w:snapToGrid w:val="0"/>
              <w:jc w:val="center"/>
              <w:rPr>
                <w:rFonts w:hint="default" w:ascii="Times New Roman" w:hAnsi="Times New Roman" w:eastAsia="宋体" w:cs="Times New Roman"/>
                <w:bCs/>
                <w:spacing w:val="10"/>
                <w:sz w:val="24"/>
                <w:szCs w:val="24"/>
              </w:rPr>
            </w:pPr>
            <w:r>
              <w:rPr>
                <w:rFonts w:hint="default" w:ascii="Times New Roman" w:hAnsi="Times New Roman" w:eastAsia="宋体" w:cs="Times New Roman"/>
                <w:bCs/>
                <w:sz w:val="24"/>
                <w:szCs w:val="24"/>
              </w:rPr>
              <w:t>环保投资</w:t>
            </w:r>
          </w:p>
        </w:tc>
        <w:tc>
          <w:tcPr>
            <w:tcW w:w="8457" w:type="dxa"/>
            <w:noWrap w:val="0"/>
            <w:vAlign w:val="top"/>
          </w:tcPr>
          <w:p w14:paraId="3639B3EA">
            <w:pPr>
              <w:pStyle w:val="45"/>
              <w:keepNext w:val="0"/>
              <w:keepLines w:val="0"/>
              <w:pageBreakBefore w:val="0"/>
              <w:widowControl w:val="0"/>
              <w:kinsoku/>
              <w:wordWrap/>
              <w:overflowPunct/>
              <w:topLinePunct w:val="0"/>
              <w:autoSpaceDE/>
              <w:autoSpaceDN/>
              <w:bidi w:val="0"/>
              <w:spacing w:line="360" w:lineRule="auto"/>
              <w:ind w:left="0" w:firstLine="46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pacing w:val="-4"/>
                <w:sz w:val="24"/>
                <w:szCs w:val="24"/>
              </w:rPr>
              <w:t>环保投资估算</w:t>
            </w:r>
          </w:p>
          <w:p w14:paraId="0ECAAED3">
            <w:pPr>
              <w:keepNext w:val="0"/>
              <w:keepLines w:val="0"/>
              <w:pageBreakBefore w:val="0"/>
              <w:widowControl w:val="0"/>
              <w:kinsoku/>
              <w:wordWrap/>
              <w:overflowPunct/>
              <w:topLinePunct w:val="0"/>
              <w:autoSpaceDE/>
              <w:autoSpaceDN/>
              <w:bidi w:val="0"/>
              <w:adjustRightInd w:val="0"/>
              <w:snapToGrid w:val="0"/>
              <w:spacing w:line="360" w:lineRule="auto"/>
              <w:ind w:left="0" w:firstLine="472" w:firstLineChars="200"/>
              <w:textAlignment w:val="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本项目总投资</w:t>
            </w:r>
            <w:r>
              <w:rPr>
                <w:rFonts w:hint="eastAsia" w:ascii="Times New Roman" w:hAnsi="Times New Roman" w:eastAsia="宋体" w:cs="Times New Roman"/>
                <w:spacing w:val="-2"/>
                <w:sz w:val="24"/>
                <w:szCs w:val="24"/>
                <w:lang w:val="en-US" w:eastAsia="zh-CN"/>
              </w:rPr>
              <w:t>520</w:t>
            </w:r>
            <w:r>
              <w:rPr>
                <w:rFonts w:hint="default" w:ascii="Times New Roman" w:hAnsi="Times New Roman" w:eastAsia="宋体" w:cs="Times New Roman"/>
                <w:spacing w:val="-2"/>
                <w:sz w:val="24"/>
                <w:szCs w:val="24"/>
              </w:rPr>
              <w:t>万元，其中环保投资约</w:t>
            </w:r>
            <w:r>
              <w:rPr>
                <w:rFonts w:hint="eastAsia" w:cs="Times New Roman"/>
                <w:spacing w:val="-2"/>
                <w:sz w:val="24"/>
                <w:szCs w:val="24"/>
                <w:lang w:val="en-US" w:eastAsia="zh-CN"/>
              </w:rPr>
              <w:t>41</w:t>
            </w:r>
            <w:r>
              <w:rPr>
                <w:rFonts w:hint="eastAsia" w:ascii="Times New Roman" w:hAnsi="Times New Roman" w:eastAsia="宋体" w:cs="Times New Roman"/>
                <w:spacing w:val="-2"/>
                <w:sz w:val="24"/>
                <w:szCs w:val="24"/>
                <w:lang w:val="en-US" w:eastAsia="zh-CN"/>
              </w:rPr>
              <w:t>.5</w:t>
            </w:r>
            <w:r>
              <w:rPr>
                <w:rFonts w:hint="default" w:ascii="Times New Roman" w:hAnsi="Times New Roman" w:eastAsia="宋体" w:cs="Times New Roman"/>
                <w:spacing w:val="-2"/>
                <w:sz w:val="24"/>
                <w:szCs w:val="24"/>
              </w:rPr>
              <w:t>万元，</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spacing w:val="-2"/>
                <w:sz w:val="24"/>
                <w:szCs w:val="24"/>
              </w:rPr>
              <w:t>占项目总投资的</w:t>
            </w:r>
            <w:r>
              <w:rPr>
                <w:rFonts w:hint="eastAsia" w:cs="Times New Roman"/>
                <w:spacing w:val="-2"/>
                <w:sz w:val="24"/>
                <w:szCs w:val="24"/>
                <w:lang w:val="en-US" w:eastAsia="zh-CN"/>
              </w:rPr>
              <w:t>8</w:t>
            </w:r>
            <w:r>
              <w:rPr>
                <w:rFonts w:hint="default" w:ascii="Times New Roman" w:hAnsi="Times New Roman" w:eastAsia="宋体" w:cs="Times New Roman"/>
                <w:spacing w:val="-2"/>
                <w:sz w:val="24"/>
                <w:szCs w:val="24"/>
              </w:rPr>
              <w:t>%。具体如下表所示。</w:t>
            </w:r>
          </w:p>
          <w:p w14:paraId="028E843C">
            <w:pPr>
              <w:adjustRightInd w:val="0"/>
              <w:snapToGrid w:val="0"/>
              <w:jc w:val="center"/>
              <w:rPr>
                <w:rFonts w:hint="default" w:ascii="Times New Roman" w:hAnsi="Times New Roman" w:eastAsia="宋体" w:cs="Times New Roman"/>
                <w:b/>
                <w:bCs/>
                <w:spacing w:val="-2"/>
                <w:sz w:val="21"/>
                <w:szCs w:val="21"/>
              </w:rPr>
            </w:pPr>
            <w:r>
              <w:rPr>
                <w:rFonts w:hint="default" w:ascii="Times New Roman" w:hAnsi="Times New Roman" w:eastAsia="宋体" w:cs="Times New Roman"/>
                <w:b/>
                <w:bCs/>
                <w:spacing w:val="-2"/>
                <w:sz w:val="21"/>
                <w:szCs w:val="21"/>
              </w:rPr>
              <w:t>表5.</w:t>
            </w:r>
            <w:r>
              <w:rPr>
                <w:rFonts w:hint="eastAsia" w:ascii="Times New Roman" w:hAnsi="Times New Roman" w:eastAsia="宋体" w:cs="Times New Roman"/>
                <w:b/>
                <w:bCs/>
                <w:spacing w:val="-2"/>
                <w:sz w:val="21"/>
                <w:szCs w:val="21"/>
                <w:lang w:val="en-US" w:eastAsia="zh-CN"/>
              </w:rPr>
              <w:t xml:space="preserve">2   </w:t>
            </w:r>
            <w:r>
              <w:rPr>
                <w:rFonts w:hint="default" w:ascii="Times New Roman" w:hAnsi="Times New Roman" w:eastAsia="宋体" w:cs="Times New Roman"/>
                <w:b/>
                <w:bCs/>
                <w:spacing w:val="-2"/>
                <w:sz w:val="21"/>
                <w:szCs w:val="21"/>
              </w:rPr>
              <w:t>环保设施及环保投资一览表</w:t>
            </w:r>
          </w:p>
          <w:tbl>
            <w:tblPr>
              <w:tblStyle w:val="24"/>
              <w:tblW w:w="803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4"/>
              <w:gridCol w:w="634"/>
              <w:gridCol w:w="1200"/>
              <w:gridCol w:w="2962"/>
              <w:gridCol w:w="938"/>
              <w:gridCol w:w="1143"/>
              <w:gridCol w:w="697"/>
            </w:tblGrid>
            <w:tr w14:paraId="0F36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8" w:hRule="atLeast"/>
              </w:trPr>
              <w:tc>
                <w:tcPr>
                  <w:tcW w:w="2298" w:type="dxa"/>
                  <w:gridSpan w:val="3"/>
                  <w:tcBorders>
                    <w:top w:val="single" w:color="000000" w:sz="12" w:space="0"/>
                    <w:left w:val="nil"/>
                    <w:tl2br w:val="nil"/>
                  </w:tcBorders>
                  <w:shd w:val="clear" w:color="auto" w:fill="auto"/>
                  <w:noWrap w:val="0"/>
                  <w:vAlign w:val="center"/>
                </w:tcPr>
                <w:p w14:paraId="184D77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lang w:val="en-US" w:eastAsia="zh-CN"/>
                    </w:rPr>
                  </w:pPr>
                  <w:r>
                    <w:rPr>
                      <w:rFonts w:hint="default"/>
                      <w:b/>
                      <w:bCs/>
                      <w:color w:val="000000"/>
                      <w:lang w:val="en-US" w:eastAsia="zh-CN"/>
                    </w:rPr>
                    <w:t>项目</w:t>
                  </w:r>
                </w:p>
              </w:tc>
              <w:tc>
                <w:tcPr>
                  <w:tcW w:w="2962" w:type="dxa"/>
                  <w:tcBorders>
                    <w:top w:val="single" w:color="000000" w:sz="12" w:space="0"/>
                  </w:tcBorders>
                  <w:shd w:val="clear" w:color="auto" w:fill="auto"/>
                  <w:noWrap w:val="0"/>
                  <w:vAlign w:val="center"/>
                </w:tcPr>
                <w:p w14:paraId="3FF17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rPr>
                  </w:pPr>
                  <w:r>
                    <w:rPr>
                      <w:rFonts w:hint="default"/>
                      <w:b/>
                      <w:bCs/>
                      <w:color w:val="000000"/>
                    </w:rPr>
                    <w:t>处理（保护）措施</w:t>
                  </w:r>
                </w:p>
              </w:tc>
              <w:tc>
                <w:tcPr>
                  <w:tcW w:w="938" w:type="dxa"/>
                  <w:tcBorders>
                    <w:top w:val="single" w:color="000000" w:sz="12" w:space="0"/>
                  </w:tcBorders>
                  <w:shd w:val="clear" w:color="auto" w:fill="auto"/>
                  <w:noWrap w:val="0"/>
                  <w:vAlign w:val="center"/>
                </w:tcPr>
                <w:p w14:paraId="590E6C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rPr>
                  </w:pPr>
                  <w:r>
                    <w:rPr>
                      <w:rFonts w:hint="default"/>
                      <w:b/>
                      <w:bCs/>
                      <w:color w:val="000000"/>
                    </w:rPr>
                    <w:t>数量</w:t>
                  </w:r>
                </w:p>
              </w:tc>
              <w:tc>
                <w:tcPr>
                  <w:tcW w:w="1143" w:type="dxa"/>
                  <w:tcBorders>
                    <w:top w:val="single" w:color="000000" w:sz="12" w:space="0"/>
                  </w:tcBorders>
                  <w:shd w:val="clear" w:color="auto" w:fill="auto"/>
                  <w:noWrap w:val="0"/>
                  <w:vAlign w:val="center"/>
                </w:tcPr>
                <w:p w14:paraId="09C27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rPr>
                  </w:pPr>
                  <w:r>
                    <w:rPr>
                      <w:rFonts w:hint="default"/>
                      <w:b/>
                      <w:bCs/>
                      <w:color w:val="000000"/>
                    </w:rPr>
                    <w:t>投资（万元）</w:t>
                  </w:r>
                </w:p>
              </w:tc>
              <w:tc>
                <w:tcPr>
                  <w:tcW w:w="697" w:type="dxa"/>
                  <w:tcBorders>
                    <w:top w:val="single" w:color="000000" w:sz="12" w:space="0"/>
                    <w:right w:val="nil"/>
                  </w:tcBorders>
                  <w:shd w:val="clear" w:color="auto" w:fill="auto"/>
                  <w:noWrap w:val="0"/>
                  <w:vAlign w:val="center"/>
                </w:tcPr>
                <w:p w14:paraId="01E87C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lang w:val="en-US" w:eastAsia="zh-CN"/>
                    </w:rPr>
                  </w:pPr>
                  <w:r>
                    <w:rPr>
                      <w:rFonts w:hint="eastAsia"/>
                      <w:b/>
                      <w:bCs/>
                      <w:color w:val="000000"/>
                      <w:lang w:val="en-US" w:eastAsia="zh-CN"/>
                    </w:rPr>
                    <w:t>备注</w:t>
                  </w:r>
                </w:p>
              </w:tc>
            </w:tr>
            <w:tr w14:paraId="6C1B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64" w:type="dxa"/>
                  <w:vMerge w:val="restart"/>
                  <w:tcBorders>
                    <w:left w:val="nil"/>
                  </w:tcBorders>
                  <w:shd w:val="clear" w:color="auto" w:fill="auto"/>
                  <w:noWrap w:val="0"/>
                  <w:vAlign w:val="center"/>
                </w:tcPr>
                <w:p w14:paraId="783B61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default"/>
                      <w:b w:val="0"/>
                      <w:color w:val="000000"/>
                      <w:lang w:val="en-US" w:eastAsia="zh-CN"/>
                    </w:rPr>
                    <w:t>施工期</w:t>
                  </w:r>
                </w:p>
              </w:tc>
              <w:tc>
                <w:tcPr>
                  <w:tcW w:w="1834" w:type="dxa"/>
                  <w:gridSpan w:val="2"/>
                  <w:shd w:val="clear" w:color="auto" w:fill="auto"/>
                  <w:noWrap w:val="0"/>
                  <w:vAlign w:val="center"/>
                </w:tcPr>
                <w:p w14:paraId="16796D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废气（扬尘）</w:t>
                  </w:r>
                </w:p>
              </w:tc>
              <w:tc>
                <w:tcPr>
                  <w:tcW w:w="2962" w:type="dxa"/>
                  <w:shd w:val="clear" w:color="auto" w:fill="auto"/>
                  <w:noWrap w:val="0"/>
                  <w:vAlign w:val="center"/>
                </w:tcPr>
                <w:p w14:paraId="3BF437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洒水降尘、苫盖</w:t>
                  </w:r>
                </w:p>
              </w:tc>
              <w:tc>
                <w:tcPr>
                  <w:tcW w:w="938" w:type="dxa"/>
                  <w:shd w:val="clear" w:color="auto" w:fill="auto"/>
                  <w:noWrap w:val="0"/>
                  <w:vAlign w:val="center"/>
                </w:tcPr>
                <w:p w14:paraId="44796C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w:t>
                  </w:r>
                </w:p>
              </w:tc>
              <w:tc>
                <w:tcPr>
                  <w:tcW w:w="1143" w:type="dxa"/>
                  <w:shd w:val="clear" w:color="auto" w:fill="auto"/>
                  <w:noWrap w:val="0"/>
                  <w:vAlign w:val="center"/>
                </w:tcPr>
                <w:p w14:paraId="123EF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2.0</w:t>
                  </w:r>
                </w:p>
              </w:tc>
              <w:tc>
                <w:tcPr>
                  <w:tcW w:w="697" w:type="dxa"/>
                  <w:tcBorders>
                    <w:right w:val="nil"/>
                  </w:tcBorders>
                  <w:shd w:val="clear" w:color="auto" w:fill="auto"/>
                  <w:noWrap w:val="0"/>
                  <w:vAlign w:val="center"/>
                </w:tcPr>
                <w:p w14:paraId="7E392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r>
            <w:tr w14:paraId="5B1B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64" w:type="dxa"/>
                  <w:vMerge w:val="continue"/>
                  <w:tcBorders>
                    <w:left w:val="nil"/>
                  </w:tcBorders>
                  <w:shd w:val="clear" w:color="auto" w:fill="auto"/>
                  <w:noWrap w:val="0"/>
                  <w:vAlign w:val="center"/>
                </w:tcPr>
                <w:p w14:paraId="7936A8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p>
              </w:tc>
              <w:tc>
                <w:tcPr>
                  <w:tcW w:w="634" w:type="dxa"/>
                  <w:vMerge w:val="restart"/>
                  <w:shd w:val="clear" w:color="auto" w:fill="auto"/>
                  <w:noWrap w:val="0"/>
                  <w:vAlign w:val="center"/>
                </w:tcPr>
                <w:p w14:paraId="3174B7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废水</w:t>
                  </w:r>
                </w:p>
              </w:tc>
              <w:tc>
                <w:tcPr>
                  <w:tcW w:w="1200" w:type="dxa"/>
                  <w:shd w:val="clear" w:color="auto" w:fill="auto"/>
                  <w:noWrap w:val="0"/>
                  <w:vAlign w:val="center"/>
                </w:tcPr>
                <w:p w14:paraId="2B3766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生活污水</w:t>
                  </w:r>
                </w:p>
              </w:tc>
              <w:tc>
                <w:tcPr>
                  <w:tcW w:w="2962" w:type="dxa"/>
                  <w:shd w:val="clear" w:color="auto" w:fill="auto"/>
                  <w:noWrap w:val="0"/>
                  <w:vAlign w:val="center"/>
                </w:tcPr>
                <w:p w14:paraId="1EE3C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环保厕所</w:t>
                  </w:r>
                </w:p>
              </w:tc>
              <w:tc>
                <w:tcPr>
                  <w:tcW w:w="938" w:type="dxa"/>
                  <w:shd w:val="clear" w:color="auto" w:fill="auto"/>
                  <w:noWrap w:val="0"/>
                  <w:vAlign w:val="center"/>
                </w:tcPr>
                <w:p w14:paraId="341C87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1个</w:t>
                  </w:r>
                </w:p>
              </w:tc>
              <w:tc>
                <w:tcPr>
                  <w:tcW w:w="1143" w:type="dxa"/>
                  <w:shd w:val="clear" w:color="auto" w:fill="auto"/>
                  <w:noWrap w:val="0"/>
                  <w:vAlign w:val="center"/>
                </w:tcPr>
                <w:p w14:paraId="4DFA97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2</w:t>
                  </w:r>
                </w:p>
              </w:tc>
              <w:tc>
                <w:tcPr>
                  <w:tcW w:w="697" w:type="dxa"/>
                  <w:tcBorders>
                    <w:right w:val="nil"/>
                  </w:tcBorders>
                  <w:shd w:val="clear" w:color="auto" w:fill="auto"/>
                  <w:noWrap w:val="0"/>
                  <w:vAlign w:val="center"/>
                </w:tcPr>
                <w:p w14:paraId="66FFF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r>
            <w:tr w14:paraId="14F8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4" w:hRule="atLeast"/>
              </w:trPr>
              <w:tc>
                <w:tcPr>
                  <w:tcW w:w="464" w:type="dxa"/>
                  <w:vMerge w:val="continue"/>
                  <w:tcBorders>
                    <w:left w:val="nil"/>
                  </w:tcBorders>
                  <w:shd w:val="clear" w:color="auto" w:fill="auto"/>
                  <w:noWrap w:val="0"/>
                  <w:vAlign w:val="center"/>
                </w:tcPr>
                <w:p w14:paraId="50A55D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continue"/>
                  <w:shd w:val="clear" w:color="auto" w:fill="auto"/>
                  <w:noWrap w:val="0"/>
                  <w:vAlign w:val="center"/>
                </w:tcPr>
                <w:p w14:paraId="546945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200" w:type="dxa"/>
                  <w:shd w:val="clear" w:color="auto" w:fill="auto"/>
                  <w:noWrap w:val="0"/>
                  <w:vAlign w:val="center"/>
                </w:tcPr>
                <w:p w14:paraId="1DF954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施工废水</w:t>
                  </w:r>
                </w:p>
              </w:tc>
              <w:tc>
                <w:tcPr>
                  <w:tcW w:w="2962" w:type="dxa"/>
                  <w:shd w:val="clear" w:color="auto" w:fill="auto"/>
                  <w:noWrap w:val="0"/>
                  <w:vAlign w:val="center"/>
                </w:tcPr>
                <w:p w14:paraId="74F66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临时沉淀池</w:t>
                  </w:r>
                </w:p>
              </w:tc>
              <w:tc>
                <w:tcPr>
                  <w:tcW w:w="938" w:type="dxa"/>
                  <w:shd w:val="clear" w:color="auto" w:fill="auto"/>
                  <w:noWrap w:val="0"/>
                  <w:vAlign w:val="center"/>
                </w:tcPr>
                <w:p w14:paraId="6D7B6C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1个</w:t>
                  </w:r>
                </w:p>
              </w:tc>
              <w:tc>
                <w:tcPr>
                  <w:tcW w:w="1143" w:type="dxa"/>
                  <w:shd w:val="clear" w:color="auto" w:fill="auto"/>
                  <w:noWrap w:val="0"/>
                  <w:vAlign w:val="center"/>
                </w:tcPr>
                <w:p w14:paraId="33F8D5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0.2</w:t>
                  </w:r>
                </w:p>
              </w:tc>
              <w:tc>
                <w:tcPr>
                  <w:tcW w:w="697" w:type="dxa"/>
                  <w:tcBorders>
                    <w:right w:val="nil"/>
                  </w:tcBorders>
                  <w:shd w:val="clear" w:color="auto" w:fill="auto"/>
                  <w:noWrap w:val="0"/>
                  <w:vAlign w:val="center"/>
                </w:tcPr>
                <w:p w14:paraId="682945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r>
            <w:tr w14:paraId="0955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64" w:type="dxa"/>
                  <w:vMerge w:val="continue"/>
                  <w:tcBorders>
                    <w:left w:val="nil"/>
                  </w:tcBorders>
                  <w:shd w:val="clear" w:color="auto" w:fill="auto"/>
                  <w:noWrap w:val="0"/>
                  <w:vAlign w:val="center"/>
                </w:tcPr>
                <w:p w14:paraId="5A29CD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restart"/>
                  <w:shd w:val="clear" w:color="auto" w:fill="auto"/>
                  <w:noWrap w:val="0"/>
                  <w:vAlign w:val="center"/>
                </w:tcPr>
                <w:p w14:paraId="70BA5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固体废物</w:t>
                  </w:r>
                </w:p>
              </w:tc>
              <w:tc>
                <w:tcPr>
                  <w:tcW w:w="1200" w:type="dxa"/>
                  <w:shd w:val="clear" w:color="auto" w:fill="auto"/>
                  <w:noWrap w:val="0"/>
                  <w:vAlign w:val="center"/>
                </w:tcPr>
                <w:p w14:paraId="032669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生活垃圾</w:t>
                  </w:r>
                </w:p>
              </w:tc>
              <w:tc>
                <w:tcPr>
                  <w:tcW w:w="2962" w:type="dxa"/>
                  <w:shd w:val="clear" w:color="auto" w:fill="auto"/>
                  <w:noWrap w:val="0"/>
                  <w:vAlign w:val="center"/>
                </w:tcPr>
                <w:p w14:paraId="645CC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各施工场地内设置垃圾桶</w:t>
                  </w:r>
                </w:p>
              </w:tc>
              <w:tc>
                <w:tcPr>
                  <w:tcW w:w="938" w:type="dxa"/>
                  <w:shd w:val="clear" w:color="auto" w:fill="auto"/>
                  <w:noWrap w:val="0"/>
                  <w:vAlign w:val="center"/>
                </w:tcPr>
                <w:p w14:paraId="0F8D39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6个</w:t>
                  </w:r>
                </w:p>
              </w:tc>
              <w:tc>
                <w:tcPr>
                  <w:tcW w:w="1143" w:type="dxa"/>
                  <w:shd w:val="clear" w:color="auto" w:fill="auto"/>
                  <w:noWrap w:val="0"/>
                  <w:vAlign w:val="center"/>
                </w:tcPr>
                <w:p w14:paraId="4DC6D2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0.2</w:t>
                  </w:r>
                </w:p>
              </w:tc>
              <w:tc>
                <w:tcPr>
                  <w:tcW w:w="697" w:type="dxa"/>
                  <w:tcBorders>
                    <w:right w:val="nil"/>
                  </w:tcBorders>
                  <w:shd w:val="clear" w:color="auto" w:fill="auto"/>
                  <w:noWrap w:val="0"/>
                  <w:vAlign w:val="center"/>
                </w:tcPr>
                <w:p w14:paraId="371963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r>
            <w:tr w14:paraId="284D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64" w:type="dxa"/>
                  <w:vMerge w:val="continue"/>
                  <w:tcBorders>
                    <w:left w:val="nil"/>
                  </w:tcBorders>
                  <w:shd w:val="clear" w:color="auto" w:fill="auto"/>
                  <w:noWrap w:val="0"/>
                  <w:vAlign w:val="center"/>
                </w:tcPr>
                <w:p w14:paraId="139E5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continue"/>
                  <w:shd w:val="clear" w:color="auto" w:fill="auto"/>
                  <w:noWrap w:val="0"/>
                  <w:vAlign w:val="center"/>
                </w:tcPr>
                <w:p w14:paraId="6F6D65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200" w:type="dxa"/>
                  <w:shd w:val="clear" w:color="auto" w:fill="auto"/>
                  <w:noWrap w:val="0"/>
                  <w:vAlign w:val="center"/>
                </w:tcPr>
                <w:p w14:paraId="31DEA5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土石方、建筑垃圾</w:t>
                  </w:r>
                </w:p>
              </w:tc>
              <w:tc>
                <w:tcPr>
                  <w:tcW w:w="2962" w:type="dxa"/>
                  <w:shd w:val="clear" w:color="auto" w:fill="auto"/>
                  <w:noWrap w:val="0"/>
                  <w:vAlign w:val="center"/>
                </w:tcPr>
                <w:p w14:paraId="14DEDA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剥离土</w:t>
                  </w:r>
                  <w:r>
                    <w:rPr>
                      <w:rFonts w:hint="default"/>
                      <w:b w:val="0"/>
                      <w:color w:val="000000"/>
                      <w:lang w:val="zh-CN"/>
                    </w:rPr>
                    <w:t>堆存至排土场，场地平整尽量挖填平衡</w:t>
                  </w:r>
                </w:p>
              </w:tc>
              <w:tc>
                <w:tcPr>
                  <w:tcW w:w="938" w:type="dxa"/>
                  <w:shd w:val="clear" w:color="auto" w:fill="auto"/>
                  <w:noWrap w:val="0"/>
                  <w:vAlign w:val="center"/>
                </w:tcPr>
                <w:p w14:paraId="7B7596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val="0"/>
                      <w:color w:val="000000"/>
                    </w:rPr>
                  </w:pPr>
                </w:p>
                <w:p w14:paraId="1C6A58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color w:val="000000"/>
                      <w:lang w:val="en-US" w:eastAsia="zh-CN"/>
                    </w:rPr>
                  </w:pPr>
                  <w:r>
                    <w:rPr>
                      <w:rFonts w:hint="eastAsia"/>
                      <w:b w:val="0"/>
                      <w:color w:val="000000"/>
                      <w:lang w:val="en-US" w:eastAsia="zh-CN"/>
                    </w:rPr>
                    <w:t>/</w:t>
                  </w:r>
                </w:p>
              </w:tc>
              <w:tc>
                <w:tcPr>
                  <w:tcW w:w="1143" w:type="dxa"/>
                  <w:shd w:val="clear" w:color="auto" w:fill="auto"/>
                  <w:noWrap w:val="0"/>
                  <w:vAlign w:val="center"/>
                </w:tcPr>
                <w:p w14:paraId="7100ABD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b w:val="0"/>
                      <w:color w:val="000000"/>
                    </w:rPr>
                  </w:pPr>
                </w:p>
                <w:p w14:paraId="4D0866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color w:val="000000"/>
                      <w:lang w:val="en-US" w:eastAsia="zh-CN"/>
                    </w:rPr>
                  </w:pPr>
                  <w:r>
                    <w:rPr>
                      <w:rFonts w:hint="eastAsia"/>
                      <w:b w:val="0"/>
                      <w:color w:val="000000"/>
                      <w:lang w:val="en-US" w:eastAsia="zh-CN"/>
                    </w:rPr>
                    <w:t>/</w:t>
                  </w:r>
                </w:p>
              </w:tc>
              <w:tc>
                <w:tcPr>
                  <w:tcW w:w="697" w:type="dxa"/>
                  <w:tcBorders>
                    <w:right w:val="nil"/>
                  </w:tcBorders>
                  <w:shd w:val="clear" w:color="auto" w:fill="auto"/>
                  <w:noWrap w:val="0"/>
                  <w:vAlign w:val="center"/>
                </w:tcPr>
                <w:p w14:paraId="19E0EB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eastAsia" w:ascii="Times New Roman" w:eastAsia="宋体" w:cs="Times New Roman"/>
                      <w:b w:val="0"/>
                      <w:color w:val="000000"/>
                      <w:szCs w:val="21"/>
                      <w:lang w:eastAsia="zh-CN"/>
                    </w:rPr>
                    <w:t>计入</w:t>
                  </w:r>
                  <w:r>
                    <w:rPr>
                      <w:rFonts w:ascii="Times New Roman" w:hAnsi="Calibri" w:eastAsia="宋体" w:cs="Times New Roman"/>
                      <w:b w:val="0"/>
                      <w:color w:val="000000"/>
                      <w:szCs w:val="21"/>
                    </w:rPr>
                    <w:t>工程费用</w:t>
                  </w:r>
                </w:p>
              </w:tc>
            </w:tr>
            <w:tr w14:paraId="2E4BE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64" w:type="dxa"/>
                  <w:vMerge w:val="continue"/>
                  <w:tcBorders>
                    <w:left w:val="nil"/>
                  </w:tcBorders>
                  <w:shd w:val="clear" w:color="auto" w:fill="auto"/>
                  <w:noWrap w:val="0"/>
                  <w:vAlign w:val="center"/>
                </w:tcPr>
                <w:p w14:paraId="7993B5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834" w:type="dxa"/>
                  <w:gridSpan w:val="2"/>
                  <w:shd w:val="clear" w:color="auto" w:fill="auto"/>
                  <w:noWrap w:val="0"/>
                  <w:vAlign w:val="center"/>
                </w:tcPr>
                <w:p w14:paraId="15ECE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生态保护</w:t>
                  </w:r>
                </w:p>
              </w:tc>
              <w:tc>
                <w:tcPr>
                  <w:tcW w:w="2962" w:type="dxa"/>
                  <w:shd w:val="clear" w:color="auto" w:fill="auto"/>
                  <w:noWrap w:val="0"/>
                  <w:vAlign w:val="center"/>
                </w:tcPr>
                <w:p w14:paraId="2B8F63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减少施工占地，设置截排水沟，严格按照施工方案施工。</w:t>
                  </w:r>
                </w:p>
              </w:tc>
              <w:tc>
                <w:tcPr>
                  <w:tcW w:w="938" w:type="dxa"/>
                  <w:shd w:val="clear" w:color="auto" w:fill="auto"/>
                  <w:noWrap w:val="0"/>
                  <w:vAlign w:val="center"/>
                </w:tcPr>
                <w:p w14:paraId="6E19A5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w:t>
                  </w:r>
                </w:p>
              </w:tc>
              <w:tc>
                <w:tcPr>
                  <w:tcW w:w="1143" w:type="dxa"/>
                  <w:shd w:val="clear" w:color="auto" w:fill="auto"/>
                  <w:noWrap w:val="0"/>
                  <w:vAlign w:val="center"/>
                </w:tcPr>
                <w:p w14:paraId="2A3857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2</w:t>
                  </w:r>
                </w:p>
              </w:tc>
              <w:tc>
                <w:tcPr>
                  <w:tcW w:w="697" w:type="dxa"/>
                  <w:tcBorders>
                    <w:right w:val="nil"/>
                  </w:tcBorders>
                  <w:shd w:val="clear" w:color="auto" w:fill="auto"/>
                  <w:noWrap w:val="0"/>
                  <w:vAlign w:val="center"/>
                </w:tcPr>
                <w:p w14:paraId="731812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r>
            <w:tr w14:paraId="48C8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9" w:hRule="atLeast"/>
              </w:trPr>
              <w:tc>
                <w:tcPr>
                  <w:tcW w:w="464" w:type="dxa"/>
                  <w:vMerge w:val="restart"/>
                  <w:tcBorders>
                    <w:left w:val="nil"/>
                  </w:tcBorders>
                  <w:shd w:val="clear" w:color="auto" w:fill="auto"/>
                  <w:noWrap w:val="0"/>
                  <w:vAlign w:val="center"/>
                </w:tcPr>
                <w:p w14:paraId="3BD796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default"/>
                      <w:b w:val="0"/>
                      <w:color w:val="000000"/>
                      <w:lang w:val="en-US" w:eastAsia="zh-CN"/>
                    </w:rPr>
                    <w:t>运营期</w:t>
                  </w:r>
                </w:p>
              </w:tc>
              <w:tc>
                <w:tcPr>
                  <w:tcW w:w="634" w:type="dxa"/>
                  <w:vMerge w:val="restart"/>
                  <w:shd w:val="clear" w:color="auto" w:fill="auto"/>
                  <w:noWrap w:val="0"/>
                  <w:vAlign w:val="center"/>
                </w:tcPr>
                <w:p w14:paraId="25444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废气</w:t>
                  </w:r>
                </w:p>
              </w:tc>
              <w:tc>
                <w:tcPr>
                  <w:tcW w:w="1200" w:type="dxa"/>
                  <w:shd w:val="clear" w:color="auto" w:fill="auto"/>
                  <w:noWrap w:val="0"/>
                  <w:vAlign w:val="center"/>
                </w:tcPr>
                <w:p w14:paraId="007213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矿山露天开采粉尘</w:t>
                  </w:r>
                </w:p>
              </w:tc>
              <w:tc>
                <w:tcPr>
                  <w:tcW w:w="2962" w:type="dxa"/>
                  <w:shd w:val="clear" w:color="auto" w:fill="auto"/>
                  <w:noWrap w:val="0"/>
                  <w:vAlign w:val="center"/>
                </w:tcPr>
                <w:p w14:paraId="260B7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采取湿法作业、铲装前采用洒水降尘措施</w:t>
                  </w:r>
                </w:p>
              </w:tc>
              <w:tc>
                <w:tcPr>
                  <w:tcW w:w="938" w:type="dxa"/>
                  <w:shd w:val="clear" w:color="auto" w:fill="auto"/>
                  <w:noWrap w:val="0"/>
                  <w:vAlign w:val="center"/>
                </w:tcPr>
                <w:p w14:paraId="2CD01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eastAsia"/>
                      <w:b w:val="0"/>
                      <w:color w:val="000000"/>
                      <w:lang w:val="en-US" w:eastAsia="zh-CN"/>
                    </w:rPr>
                    <w:t>/</w:t>
                  </w:r>
                </w:p>
              </w:tc>
              <w:tc>
                <w:tcPr>
                  <w:tcW w:w="1143" w:type="dxa"/>
                  <w:shd w:val="clear" w:color="auto" w:fill="auto"/>
                  <w:noWrap w:val="0"/>
                  <w:vAlign w:val="center"/>
                </w:tcPr>
                <w:p w14:paraId="173464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eastAsia"/>
                      <w:b w:val="0"/>
                      <w:color w:val="000000"/>
                      <w:lang w:val="en-US" w:eastAsia="zh-CN"/>
                    </w:rPr>
                    <w:t>3</w:t>
                  </w:r>
                </w:p>
              </w:tc>
              <w:tc>
                <w:tcPr>
                  <w:tcW w:w="697" w:type="dxa"/>
                  <w:tcBorders>
                    <w:right w:val="nil"/>
                  </w:tcBorders>
                  <w:shd w:val="clear" w:color="auto" w:fill="auto"/>
                  <w:noWrap w:val="0"/>
                  <w:vAlign w:val="center"/>
                </w:tcPr>
                <w:p w14:paraId="15BDA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p>
              </w:tc>
            </w:tr>
            <w:tr w14:paraId="2D4E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4" w:hRule="atLeast"/>
              </w:trPr>
              <w:tc>
                <w:tcPr>
                  <w:tcW w:w="464" w:type="dxa"/>
                  <w:vMerge w:val="continue"/>
                  <w:tcBorders>
                    <w:left w:val="nil"/>
                  </w:tcBorders>
                  <w:shd w:val="clear" w:color="auto" w:fill="auto"/>
                  <w:noWrap w:val="0"/>
                  <w:vAlign w:val="center"/>
                </w:tcPr>
                <w:p w14:paraId="72F2D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continue"/>
                  <w:shd w:val="clear" w:color="auto" w:fill="auto"/>
                  <w:noWrap w:val="0"/>
                  <w:vAlign w:val="center"/>
                </w:tcPr>
                <w:p w14:paraId="2B293A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200" w:type="dxa"/>
                  <w:shd w:val="clear" w:color="auto" w:fill="auto"/>
                  <w:noWrap w:val="0"/>
                  <w:vAlign w:val="center"/>
                </w:tcPr>
                <w:p w14:paraId="241BA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lang w:val="en-US" w:eastAsia="zh-CN"/>
                    </w:rPr>
                    <w:t>矿石装卸扬尘</w:t>
                  </w:r>
                </w:p>
              </w:tc>
              <w:tc>
                <w:tcPr>
                  <w:tcW w:w="2962" w:type="dxa"/>
                  <w:shd w:val="clear" w:color="auto" w:fill="auto"/>
                  <w:noWrap w:val="0"/>
                  <w:vAlign w:val="center"/>
                </w:tcPr>
                <w:p w14:paraId="11C2A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洒水降尘</w:t>
                  </w:r>
                </w:p>
              </w:tc>
              <w:tc>
                <w:tcPr>
                  <w:tcW w:w="938" w:type="dxa"/>
                  <w:shd w:val="clear" w:color="auto" w:fill="auto"/>
                  <w:noWrap w:val="0"/>
                  <w:vAlign w:val="center"/>
                </w:tcPr>
                <w:p w14:paraId="006353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r>
                    <w:rPr>
                      <w:rFonts w:hint="eastAsia"/>
                      <w:b w:val="0"/>
                      <w:color w:val="000000"/>
                      <w:lang w:val="en-US" w:eastAsia="zh-CN"/>
                    </w:rPr>
                    <w:t>/</w:t>
                  </w:r>
                </w:p>
              </w:tc>
              <w:tc>
                <w:tcPr>
                  <w:tcW w:w="1143" w:type="dxa"/>
                  <w:shd w:val="clear" w:color="auto" w:fill="auto"/>
                  <w:noWrap w:val="0"/>
                  <w:vAlign w:val="center"/>
                </w:tcPr>
                <w:p w14:paraId="1C8D9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eastAsia"/>
                      <w:b w:val="0"/>
                      <w:color w:val="000000"/>
                      <w:lang w:val="en-US" w:eastAsia="zh-CN"/>
                    </w:rPr>
                    <w:t>2</w:t>
                  </w:r>
                </w:p>
              </w:tc>
              <w:tc>
                <w:tcPr>
                  <w:tcW w:w="697" w:type="dxa"/>
                  <w:tcBorders>
                    <w:right w:val="nil"/>
                  </w:tcBorders>
                  <w:shd w:val="clear" w:color="auto" w:fill="auto"/>
                  <w:noWrap w:val="0"/>
                  <w:vAlign w:val="center"/>
                </w:tcPr>
                <w:p w14:paraId="5A6BA4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p>
              </w:tc>
            </w:tr>
            <w:tr w14:paraId="253E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64" w:type="dxa"/>
                  <w:vMerge w:val="continue"/>
                  <w:tcBorders>
                    <w:left w:val="nil"/>
                  </w:tcBorders>
                  <w:shd w:val="clear" w:color="auto" w:fill="auto"/>
                  <w:noWrap w:val="0"/>
                  <w:vAlign w:val="center"/>
                </w:tcPr>
                <w:p w14:paraId="0C2D14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continue"/>
                  <w:shd w:val="clear" w:color="auto" w:fill="auto"/>
                  <w:noWrap w:val="0"/>
                  <w:vAlign w:val="center"/>
                </w:tcPr>
                <w:p w14:paraId="23B36C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200" w:type="dxa"/>
                  <w:shd w:val="clear" w:color="auto" w:fill="auto"/>
                  <w:noWrap w:val="0"/>
                  <w:vAlign w:val="center"/>
                </w:tcPr>
                <w:p w14:paraId="0B1256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lang w:val="en-US" w:eastAsia="zh-CN"/>
                    </w:rPr>
                    <w:t>道路运输扬尘</w:t>
                  </w:r>
                </w:p>
              </w:tc>
              <w:tc>
                <w:tcPr>
                  <w:tcW w:w="2962" w:type="dxa"/>
                  <w:shd w:val="clear" w:color="auto" w:fill="auto"/>
                  <w:noWrap w:val="0"/>
                  <w:vAlign w:val="center"/>
                </w:tcPr>
                <w:p w14:paraId="7136F5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lang w:val="en-US" w:eastAsia="zh-CN"/>
                    </w:rPr>
                    <w:t>洒水抑尘、车辆遮盖等</w:t>
                  </w:r>
                </w:p>
              </w:tc>
              <w:tc>
                <w:tcPr>
                  <w:tcW w:w="938" w:type="dxa"/>
                  <w:shd w:val="clear" w:color="auto" w:fill="auto"/>
                  <w:noWrap w:val="0"/>
                  <w:vAlign w:val="center"/>
                </w:tcPr>
                <w:p w14:paraId="5EE8F4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r>
                    <w:rPr>
                      <w:rFonts w:hint="eastAsia"/>
                      <w:b w:val="0"/>
                      <w:color w:val="000000"/>
                      <w:lang w:val="en-US" w:eastAsia="zh-CN"/>
                    </w:rPr>
                    <w:t>/</w:t>
                  </w:r>
                </w:p>
              </w:tc>
              <w:tc>
                <w:tcPr>
                  <w:tcW w:w="1143" w:type="dxa"/>
                  <w:shd w:val="clear" w:color="auto" w:fill="auto"/>
                  <w:noWrap w:val="0"/>
                  <w:vAlign w:val="center"/>
                </w:tcPr>
                <w:p w14:paraId="1E1E2A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eastAsia"/>
                      <w:b w:val="0"/>
                      <w:color w:val="000000"/>
                      <w:lang w:val="en-US" w:eastAsia="zh-CN"/>
                    </w:rPr>
                    <w:t>2</w:t>
                  </w:r>
                </w:p>
              </w:tc>
              <w:tc>
                <w:tcPr>
                  <w:tcW w:w="697" w:type="dxa"/>
                  <w:tcBorders>
                    <w:right w:val="nil"/>
                  </w:tcBorders>
                  <w:shd w:val="clear" w:color="auto" w:fill="auto"/>
                  <w:noWrap w:val="0"/>
                  <w:vAlign w:val="center"/>
                </w:tcPr>
                <w:p w14:paraId="2D8315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p>
              </w:tc>
            </w:tr>
            <w:tr w14:paraId="4CEA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64" w:type="dxa"/>
                  <w:vMerge w:val="continue"/>
                  <w:tcBorders>
                    <w:left w:val="nil"/>
                  </w:tcBorders>
                  <w:shd w:val="clear" w:color="auto" w:fill="auto"/>
                  <w:noWrap w:val="0"/>
                  <w:vAlign w:val="center"/>
                </w:tcPr>
                <w:p w14:paraId="368D0D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continue"/>
                  <w:shd w:val="clear" w:color="auto" w:fill="auto"/>
                  <w:noWrap w:val="0"/>
                  <w:vAlign w:val="center"/>
                </w:tcPr>
                <w:p w14:paraId="691B0E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200" w:type="dxa"/>
                  <w:shd w:val="clear" w:color="auto" w:fill="auto"/>
                  <w:noWrap w:val="0"/>
                  <w:vAlign w:val="center"/>
                </w:tcPr>
                <w:p w14:paraId="42564C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排土场堆场扬尘</w:t>
                  </w:r>
                </w:p>
              </w:tc>
              <w:tc>
                <w:tcPr>
                  <w:tcW w:w="2962" w:type="dxa"/>
                  <w:shd w:val="clear" w:color="auto" w:fill="auto"/>
                  <w:noWrap w:val="0"/>
                  <w:vAlign w:val="center"/>
                </w:tcPr>
                <w:p w14:paraId="18E6EF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lang w:val="en-US" w:eastAsia="zh-CN"/>
                    </w:rPr>
                    <w:t>洒水抑尘、密目网苫盖等</w:t>
                  </w:r>
                </w:p>
              </w:tc>
              <w:tc>
                <w:tcPr>
                  <w:tcW w:w="938" w:type="dxa"/>
                  <w:shd w:val="clear" w:color="auto" w:fill="auto"/>
                  <w:noWrap w:val="0"/>
                  <w:vAlign w:val="center"/>
                </w:tcPr>
                <w:p w14:paraId="5E23C8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r>
                    <w:rPr>
                      <w:rFonts w:hint="eastAsia"/>
                      <w:b w:val="0"/>
                      <w:color w:val="000000"/>
                      <w:lang w:val="en-US" w:eastAsia="zh-CN"/>
                    </w:rPr>
                    <w:t>/</w:t>
                  </w:r>
                </w:p>
              </w:tc>
              <w:tc>
                <w:tcPr>
                  <w:tcW w:w="1143" w:type="dxa"/>
                  <w:shd w:val="clear" w:color="auto" w:fill="auto"/>
                  <w:noWrap w:val="0"/>
                  <w:vAlign w:val="center"/>
                </w:tcPr>
                <w:p w14:paraId="17A904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eastAsia"/>
                      <w:b w:val="0"/>
                      <w:color w:val="000000"/>
                      <w:lang w:val="en-US" w:eastAsia="zh-CN"/>
                    </w:rPr>
                    <w:t>3</w:t>
                  </w:r>
                </w:p>
              </w:tc>
              <w:tc>
                <w:tcPr>
                  <w:tcW w:w="697" w:type="dxa"/>
                  <w:tcBorders>
                    <w:right w:val="nil"/>
                  </w:tcBorders>
                  <w:shd w:val="clear" w:color="auto" w:fill="auto"/>
                  <w:noWrap w:val="0"/>
                  <w:vAlign w:val="center"/>
                </w:tcPr>
                <w:p w14:paraId="4C69C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p>
              </w:tc>
            </w:tr>
            <w:tr w14:paraId="14FB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64" w:type="dxa"/>
                  <w:vMerge w:val="continue"/>
                  <w:tcBorders>
                    <w:left w:val="nil"/>
                  </w:tcBorders>
                  <w:shd w:val="clear" w:color="auto" w:fill="auto"/>
                  <w:noWrap w:val="0"/>
                  <w:vAlign w:val="center"/>
                </w:tcPr>
                <w:p w14:paraId="5B5AAF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continue"/>
                  <w:shd w:val="clear" w:color="auto" w:fill="auto"/>
                  <w:noWrap w:val="0"/>
                  <w:vAlign w:val="center"/>
                </w:tcPr>
                <w:p w14:paraId="2FF5C5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200" w:type="dxa"/>
                  <w:shd w:val="clear" w:color="auto" w:fill="auto"/>
                  <w:noWrap w:val="0"/>
                  <w:vAlign w:val="center"/>
                </w:tcPr>
                <w:p w14:paraId="7420D9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堆</w:t>
                  </w:r>
                  <w:r>
                    <w:rPr>
                      <w:rFonts w:hint="default"/>
                      <w:b w:val="0"/>
                      <w:color w:val="000000"/>
                      <w:lang w:val="en-US" w:eastAsia="zh-CN"/>
                    </w:rPr>
                    <w:t>矿</w:t>
                  </w:r>
                  <w:r>
                    <w:rPr>
                      <w:rFonts w:hint="default"/>
                      <w:b w:val="0"/>
                      <w:color w:val="000000"/>
                    </w:rPr>
                    <w:t>场扬尘</w:t>
                  </w:r>
                </w:p>
              </w:tc>
              <w:tc>
                <w:tcPr>
                  <w:tcW w:w="2962" w:type="dxa"/>
                  <w:shd w:val="clear" w:color="auto" w:fill="auto"/>
                  <w:noWrap w:val="0"/>
                  <w:vAlign w:val="center"/>
                </w:tcPr>
                <w:p w14:paraId="23A3F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lang w:val="en-US" w:eastAsia="zh-CN"/>
                    </w:rPr>
                    <w:t>三面围挡+顶棚式结构，并进行洒水抑尘</w:t>
                  </w:r>
                </w:p>
              </w:tc>
              <w:tc>
                <w:tcPr>
                  <w:tcW w:w="938" w:type="dxa"/>
                  <w:shd w:val="clear" w:color="auto" w:fill="auto"/>
                  <w:noWrap w:val="0"/>
                  <w:vAlign w:val="center"/>
                </w:tcPr>
                <w:p w14:paraId="2F5C6D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r>
                    <w:rPr>
                      <w:rFonts w:hint="eastAsia"/>
                      <w:b w:val="0"/>
                      <w:color w:val="000000"/>
                      <w:lang w:val="en-US" w:eastAsia="zh-CN"/>
                    </w:rPr>
                    <w:t>/</w:t>
                  </w:r>
                </w:p>
              </w:tc>
              <w:tc>
                <w:tcPr>
                  <w:tcW w:w="1143" w:type="dxa"/>
                  <w:shd w:val="clear" w:color="auto" w:fill="auto"/>
                  <w:noWrap w:val="0"/>
                  <w:vAlign w:val="center"/>
                </w:tcPr>
                <w:p w14:paraId="169820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eastAsia"/>
                      <w:b w:val="0"/>
                      <w:color w:val="000000"/>
                      <w:lang w:val="en-US" w:eastAsia="zh-CN"/>
                    </w:rPr>
                    <w:t>6</w:t>
                  </w:r>
                </w:p>
              </w:tc>
              <w:tc>
                <w:tcPr>
                  <w:tcW w:w="697" w:type="dxa"/>
                  <w:tcBorders>
                    <w:right w:val="nil"/>
                  </w:tcBorders>
                  <w:shd w:val="clear" w:color="auto" w:fill="auto"/>
                  <w:noWrap w:val="0"/>
                  <w:vAlign w:val="center"/>
                </w:tcPr>
                <w:p w14:paraId="559047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p>
              </w:tc>
            </w:tr>
            <w:tr w14:paraId="241E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64" w:type="dxa"/>
                  <w:vMerge w:val="continue"/>
                  <w:tcBorders>
                    <w:left w:val="nil"/>
                  </w:tcBorders>
                  <w:shd w:val="clear" w:color="auto" w:fill="auto"/>
                  <w:noWrap w:val="0"/>
                  <w:vAlign w:val="center"/>
                </w:tcPr>
                <w:p w14:paraId="08CE10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p>
              </w:tc>
              <w:tc>
                <w:tcPr>
                  <w:tcW w:w="1834" w:type="dxa"/>
                  <w:gridSpan w:val="2"/>
                  <w:shd w:val="clear" w:color="auto" w:fill="auto"/>
                  <w:noWrap w:val="0"/>
                  <w:vAlign w:val="center"/>
                </w:tcPr>
                <w:p w14:paraId="3D1782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噪声防治</w:t>
                  </w:r>
                </w:p>
              </w:tc>
              <w:tc>
                <w:tcPr>
                  <w:tcW w:w="2962" w:type="dxa"/>
                  <w:shd w:val="clear" w:color="auto" w:fill="auto"/>
                  <w:noWrap w:val="0"/>
                  <w:vAlign w:val="center"/>
                </w:tcPr>
                <w:p w14:paraId="56067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default"/>
                      <w:b w:val="0"/>
                      <w:color w:val="000000"/>
                    </w:rPr>
                    <w:t>基础减振厂房隔声</w:t>
                  </w:r>
                </w:p>
              </w:tc>
              <w:tc>
                <w:tcPr>
                  <w:tcW w:w="938" w:type="dxa"/>
                  <w:shd w:val="clear" w:color="auto" w:fill="auto"/>
                  <w:noWrap w:val="0"/>
                  <w:vAlign w:val="center"/>
                </w:tcPr>
                <w:p w14:paraId="4EFEE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若干</w:t>
                  </w:r>
                </w:p>
              </w:tc>
              <w:tc>
                <w:tcPr>
                  <w:tcW w:w="1143" w:type="dxa"/>
                  <w:shd w:val="clear" w:color="auto" w:fill="auto"/>
                  <w:noWrap w:val="0"/>
                  <w:vAlign w:val="center"/>
                </w:tcPr>
                <w:p w14:paraId="6EBA0E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5</w:t>
                  </w:r>
                </w:p>
              </w:tc>
              <w:tc>
                <w:tcPr>
                  <w:tcW w:w="697" w:type="dxa"/>
                  <w:tcBorders>
                    <w:right w:val="nil"/>
                  </w:tcBorders>
                  <w:shd w:val="clear" w:color="auto" w:fill="auto"/>
                  <w:noWrap w:val="0"/>
                  <w:vAlign w:val="center"/>
                </w:tcPr>
                <w:p w14:paraId="38D305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r>
            <w:tr w14:paraId="5F73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464" w:type="dxa"/>
                  <w:vMerge w:val="continue"/>
                  <w:tcBorders>
                    <w:left w:val="nil"/>
                  </w:tcBorders>
                  <w:shd w:val="clear" w:color="auto" w:fill="auto"/>
                  <w:noWrap w:val="0"/>
                  <w:vAlign w:val="center"/>
                </w:tcPr>
                <w:p w14:paraId="2FE17D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restart"/>
                  <w:shd w:val="clear" w:color="auto" w:fill="auto"/>
                  <w:noWrap w:val="0"/>
                  <w:vAlign w:val="center"/>
                </w:tcPr>
                <w:p w14:paraId="55A776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固体废物</w:t>
                  </w:r>
                </w:p>
              </w:tc>
              <w:tc>
                <w:tcPr>
                  <w:tcW w:w="1200" w:type="dxa"/>
                  <w:shd w:val="clear" w:color="auto" w:fill="auto"/>
                  <w:noWrap w:val="0"/>
                  <w:vAlign w:val="center"/>
                </w:tcPr>
                <w:p w14:paraId="17E47B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生活垃圾</w:t>
                  </w:r>
                </w:p>
              </w:tc>
              <w:tc>
                <w:tcPr>
                  <w:tcW w:w="2962" w:type="dxa"/>
                  <w:shd w:val="clear" w:color="auto" w:fill="auto"/>
                  <w:noWrap w:val="0"/>
                  <w:vAlign w:val="center"/>
                </w:tcPr>
                <w:p w14:paraId="73722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default"/>
                      <w:b w:val="0"/>
                      <w:color w:val="000000"/>
                    </w:rPr>
                    <w:t>垃圾桶收集，生活垃圾定期清运</w:t>
                  </w:r>
                </w:p>
              </w:tc>
              <w:tc>
                <w:tcPr>
                  <w:tcW w:w="938" w:type="dxa"/>
                  <w:shd w:val="clear" w:color="auto" w:fill="auto"/>
                  <w:noWrap w:val="0"/>
                  <w:vAlign w:val="center"/>
                </w:tcPr>
                <w:p w14:paraId="6F6B09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6个</w:t>
                  </w:r>
                </w:p>
              </w:tc>
              <w:tc>
                <w:tcPr>
                  <w:tcW w:w="1143" w:type="dxa"/>
                  <w:shd w:val="clear" w:color="auto" w:fill="auto"/>
                  <w:noWrap w:val="0"/>
                  <w:vAlign w:val="center"/>
                </w:tcPr>
                <w:p w14:paraId="25AD03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default"/>
                      <w:b w:val="0"/>
                      <w:color w:val="000000"/>
                      <w:lang w:val="en-US" w:eastAsia="zh-CN"/>
                    </w:rPr>
                    <w:t>0.1</w:t>
                  </w:r>
                </w:p>
              </w:tc>
              <w:tc>
                <w:tcPr>
                  <w:tcW w:w="697" w:type="dxa"/>
                  <w:tcBorders>
                    <w:right w:val="nil"/>
                  </w:tcBorders>
                  <w:shd w:val="clear" w:color="auto" w:fill="auto"/>
                  <w:noWrap w:val="0"/>
                  <w:vAlign w:val="center"/>
                </w:tcPr>
                <w:p w14:paraId="4EC853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p>
              </w:tc>
            </w:tr>
            <w:tr w14:paraId="6391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64" w:type="dxa"/>
                  <w:vMerge w:val="continue"/>
                  <w:tcBorders>
                    <w:left w:val="nil"/>
                  </w:tcBorders>
                  <w:shd w:val="clear" w:color="auto" w:fill="auto"/>
                  <w:noWrap w:val="0"/>
                  <w:vAlign w:val="center"/>
                </w:tcPr>
                <w:p w14:paraId="53E5FA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continue"/>
                  <w:shd w:val="clear" w:color="auto" w:fill="auto"/>
                  <w:noWrap w:val="0"/>
                  <w:vAlign w:val="center"/>
                </w:tcPr>
                <w:p w14:paraId="65CCEF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200" w:type="dxa"/>
                  <w:shd w:val="clear" w:color="auto" w:fill="auto"/>
                  <w:noWrap w:val="0"/>
                  <w:vAlign w:val="center"/>
                </w:tcPr>
                <w:p w14:paraId="77C95F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剥离物</w:t>
                  </w:r>
                </w:p>
              </w:tc>
              <w:tc>
                <w:tcPr>
                  <w:tcW w:w="2962" w:type="dxa"/>
                  <w:shd w:val="clear" w:color="auto" w:fill="auto"/>
                  <w:noWrap w:val="0"/>
                  <w:vAlign w:val="center"/>
                </w:tcPr>
                <w:p w14:paraId="3E1696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存至排土场</w:t>
                  </w:r>
                </w:p>
              </w:tc>
              <w:tc>
                <w:tcPr>
                  <w:tcW w:w="938" w:type="dxa"/>
                  <w:shd w:val="clear" w:color="auto" w:fill="auto"/>
                  <w:noWrap w:val="0"/>
                  <w:vAlign w:val="center"/>
                </w:tcPr>
                <w:p w14:paraId="33904A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eastAsia"/>
                      <w:b w:val="0"/>
                      <w:color w:val="000000"/>
                      <w:lang w:val="en-US" w:eastAsia="zh-CN"/>
                    </w:rPr>
                    <w:t>1</w:t>
                  </w:r>
                  <w:r>
                    <w:rPr>
                      <w:rFonts w:hint="default"/>
                      <w:b w:val="0"/>
                      <w:color w:val="000000"/>
                    </w:rPr>
                    <w:t>个</w:t>
                  </w:r>
                </w:p>
              </w:tc>
              <w:tc>
                <w:tcPr>
                  <w:tcW w:w="1143" w:type="dxa"/>
                  <w:shd w:val="clear" w:color="auto" w:fill="auto"/>
                  <w:noWrap w:val="0"/>
                  <w:vAlign w:val="center"/>
                </w:tcPr>
                <w:p w14:paraId="2683D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w:t>
                  </w:r>
                </w:p>
              </w:tc>
              <w:tc>
                <w:tcPr>
                  <w:tcW w:w="697" w:type="dxa"/>
                  <w:tcBorders>
                    <w:right w:val="nil"/>
                  </w:tcBorders>
                  <w:shd w:val="clear" w:color="auto" w:fill="auto"/>
                  <w:noWrap w:val="0"/>
                  <w:vAlign w:val="center"/>
                </w:tcPr>
                <w:p w14:paraId="05D3D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r>
            <w:tr w14:paraId="62FC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64" w:type="dxa"/>
                  <w:vMerge w:val="continue"/>
                  <w:tcBorders>
                    <w:left w:val="nil"/>
                  </w:tcBorders>
                  <w:shd w:val="clear" w:color="auto" w:fill="auto"/>
                  <w:noWrap w:val="0"/>
                  <w:vAlign w:val="center"/>
                </w:tcPr>
                <w:p w14:paraId="304B31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634" w:type="dxa"/>
                  <w:vMerge w:val="continue"/>
                  <w:shd w:val="clear" w:color="auto" w:fill="auto"/>
                  <w:noWrap w:val="0"/>
                  <w:vAlign w:val="center"/>
                </w:tcPr>
                <w:p w14:paraId="74A486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200" w:type="dxa"/>
                  <w:shd w:val="clear" w:color="auto" w:fill="auto"/>
                  <w:noWrap w:val="0"/>
                  <w:vAlign w:val="center"/>
                </w:tcPr>
                <w:p w14:paraId="363AC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危险废物</w:t>
                  </w:r>
                </w:p>
              </w:tc>
              <w:tc>
                <w:tcPr>
                  <w:tcW w:w="2962" w:type="dxa"/>
                  <w:shd w:val="clear" w:color="auto" w:fill="auto"/>
                  <w:noWrap w:val="0"/>
                  <w:vAlign w:val="center"/>
                </w:tcPr>
                <w:p w14:paraId="0ADD92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设置危废贮存点1座（5m</w:t>
                  </w:r>
                  <w:r>
                    <w:rPr>
                      <w:rFonts w:hint="eastAsia"/>
                      <w:b w:val="0"/>
                      <w:color w:val="000000"/>
                      <w:vertAlign w:val="superscript"/>
                      <w:lang w:val="en-US" w:eastAsia="zh-CN"/>
                    </w:rPr>
                    <w:t>2</w:t>
                  </w:r>
                  <w:r>
                    <w:rPr>
                      <w:rFonts w:hint="default"/>
                      <w:b w:val="0"/>
                      <w:color w:val="000000"/>
                    </w:rPr>
                    <w:t>），地面及墙裙进行基础防渗</w:t>
                  </w:r>
                </w:p>
              </w:tc>
              <w:tc>
                <w:tcPr>
                  <w:tcW w:w="938" w:type="dxa"/>
                  <w:shd w:val="clear" w:color="auto" w:fill="auto"/>
                  <w:noWrap w:val="0"/>
                  <w:vAlign w:val="center"/>
                </w:tcPr>
                <w:p w14:paraId="791676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1间</w:t>
                  </w:r>
                </w:p>
              </w:tc>
              <w:tc>
                <w:tcPr>
                  <w:tcW w:w="1143" w:type="dxa"/>
                  <w:shd w:val="clear" w:color="auto" w:fill="auto"/>
                  <w:noWrap w:val="0"/>
                  <w:vAlign w:val="center"/>
                </w:tcPr>
                <w:p w14:paraId="5EF827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3</w:t>
                  </w:r>
                </w:p>
              </w:tc>
              <w:tc>
                <w:tcPr>
                  <w:tcW w:w="697" w:type="dxa"/>
                  <w:tcBorders>
                    <w:right w:val="nil"/>
                  </w:tcBorders>
                  <w:shd w:val="clear" w:color="auto" w:fill="auto"/>
                  <w:noWrap w:val="0"/>
                  <w:vAlign w:val="center"/>
                </w:tcPr>
                <w:p w14:paraId="6DC0F5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r>
            <w:tr w14:paraId="7864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464" w:type="dxa"/>
                  <w:vMerge w:val="continue"/>
                  <w:tcBorders>
                    <w:left w:val="nil"/>
                  </w:tcBorders>
                  <w:shd w:val="clear" w:color="auto" w:fill="auto"/>
                  <w:noWrap w:val="0"/>
                  <w:vAlign w:val="center"/>
                </w:tcPr>
                <w:p w14:paraId="442A23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p>
              </w:tc>
              <w:tc>
                <w:tcPr>
                  <w:tcW w:w="1834" w:type="dxa"/>
                  <w:gridSpan w:val="2"/>
                  <w:shd w:val="clear" w:color="auto" w:fill="auto"/>
                  <w:noWrap w:val="0"/>
                  <w:vAlign w:val="center"/>
                </w:tcPr>
                <w:p w14:paraId="2E1CF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rPr>
                    <w:t>生态保护</w:t>
                  </w:r>
                </w:p>
              </w:tc>
              <w:tc>
                <w:tcPr>
                  <w:tcW w:w="2962" w:type="dxa"/>
                  <w:shd w:val="clear" w:color="auto" w:fill="auto"/>
                  <w:noWrap w:val="0"/>
                  <w:vAlign w:val="center"/>
                </w:tcPr>
                <w:p w14:paraId="03F5C4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eastAsia" w:ascii="Times New Roman" w:eastAsia="宋体" w:cs="Times New Roman"/>
                      <w:b w:val="0"/>
                      <w:color w:val="000000"/>
                      <w:szCs w:val="21"/>
                      <w:lang w:eastAsia="zh-CN"/>
                    </w:rPr>
                    <w:t>排土场</w:t>
                  </w:r>
                  <w:r>
                    <w:rPr>
                      <w:rFonts w:ascii="Times New Roman" w:hAnsi="Calibri" w:eastAsia="宋体" w:cs="Times New Roman"/>
                      <w:b w:val="0"/>
                      <w:color w:val="000000"/>
                      <w:szCs w:val="21"/>
                    </w:rPr>
                    <w:t>设置截排水沟</w:t>
                  </w:r>
                  <w:r>
                    <w:rPr>
                      <w:rFonts w:hint="eastAsia" w:ascii="Times New Roman" w:cs="Times New Roman"/>
                      <w:b w:val="0"/>
                      <w:color w:val="000000"/>
                      <w:szCs w:val="21"/>
                      <w:lang w:eastAsia="zh-CN"/>
                    </w:rPr>
                    <w:t>、</w:t>
                  </w:r>
                  <w:r>
                    <w:rPr>
                      <w:rFonts w:hint="eastAsia" w:ascii="Times New Roman" w:cs="Times New Roman"/>
                      <w:b w:val="0"/>
                      <w:color w:val="000000"/>
                      <w:szCs w:val="21"/>
                      <w:lang w:val="en-US" w:eastAsia="zh-CN"/>
                    </w:rPr>
                    <w:t>挡土墙，</w:t>
                  </w:r>
                  <w:r>
                    <w:rPr>
                      <w:rFonts w:hint="default"/>
                      <w:b w:val="0"/>
                      <w:color w:val="000000"/>
                      <w:lang w:val="en-US" w:eastAsia="zh-CN"/>
                    </w:rPr>
                    <w:t>采区周围设置警示牌</w:t>
                  </w:r>
                  <w:r>
                    <w:rPr>
                      <w:rFonts w:hint="eastAsia"/>
                      <w:b w:val="0"/>
                      <w:color w:val="000000"/>
                      <w:lang w:val="en-US" w:eastAsia="zh-CN"/>
                    </w:rPr>
                    <w:t>。</w:t>
                  </w:r>
                </w:p>
              </w:tc>
              <w:tc>
                <w:tcPr>
                  <w:tcW w:w="938" w:type="dxa"/>
                  <w:shd w:val="clear" w:color="auto" w:fill="auto"/>
                  <w:noWrap w:val="0"/>
                  <w:vAlign w:val="center"/>
                </w:tcPr>
                <w:p w14:paraId="6404A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eastAsia"/>
                      <w:b w:val="0"/>
                      <w:color w:val="000000"/>
                      <w:lang w:val="en-US" w:eastAsia="zh-CN"/>
                    </w:rPr>
                    <w:t>/</w:t>
                  </w:r>
                </w:p>
              </w:tc>
              <w:tc>
                <w:tcPr>
                  <w:tcW w:w="1143" w:type="dxa"/>
                  <w:shd w:val="clear" w:color="auto" w:fill="auto"/>
                  <w:noWrap w:val="0"/>
                  <w:vAlign w:val="center"/>
                </w:tcPr>
                <w:p w14:paraId="3C4920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r>
                    <w:rPr>
                      <w:rFonts w:hint="eastAsia"/>
                      <w:b w:val="0"/>
                      <w:color w:val="000000"/>
                      <w:lang w:val="en-US" w:eastAsia="zh-CN"/>
                    </w:rPr>
                    <w:t>7</w:t>
                  </w:r>
                </w:p>
              </w:tc>
              <w:tc>
                <w:tcPr>
                  <w:tcW w:w="697" w:type="dxa"/>
                  <w:tcBorders>
                    <w:right w:val="nil"/>
                  </w:tcBorders>
                  <w:shd w:val="clear" w:color="auto" w:fill="auto"/>
                  <w:noWrap w:val="0"/>
                  <w:vAlign w:val="center"/>
                </w:tcPr>
                <w:p w14:paraId="1EFA68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p>
              </w:tc>
            </w:tr>
            <w:tr w14:paraId="223C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9" w:hRule="atLeast"/>
              </w:trPr>
              <w:tc>
                <w:tcPr>
                  <w:tcW w:w="2298" w:type="dxa"/>
                  <w:gridSpan w:val="3"/>
                  <w:tcBorders>
                    <w:left w:val="nil"/>
                  </w:tcBorders>
                  <w:shd w:val="clear" w:color="auto" w:fill="auto"/>
                  <w:noWrap w:val="0"/>
                  <w:vAlign w:val="center"/>
                </w:tcPr>
                <w:p w14:paraId="25EBDD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lang w:val="en-US" w:eastAsia="zh-CN"/>
                    </w:rPr>
                    <w:t>环境监测</w:t>
                  </w:r>
                </w:p>
              </w:tc>
              <w:tc>
                <w:tcPr>
                  <w:tcW w:w="2962" w:type="dxa"/>
                  <w:shd w:val="clear" w:color="auto" w:fill="auto"/>
                  <w:noWrap w:val="0"/>
                  <w:vAlign w:val="center"/>
                </w:tcPr>
                <w:p w14:paraId="008762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lang w:val="en-US" w:eastAsia="zh-CN"/>
                    </w:rPr>
                    <w:t>运营期环境监测，包括厂界无组织颗粒物监测</w:t>
                  </w:r>
                  <w:r>
                    <w:rPr>
                      <w:rFonts w:hint="eastAsia"/>
                      <w:b w:val="0"/>
                      <w:color w:val="000000"/>
                      <w:lang w:val="en-US" w:eastAsia="zh-CN"/>
                    </w:rPr>
                    <w:t>和</w:t>
                  </w:r>
                  <w:r>
                    <w:rPr>
                      <w:rFonts w:hint="default"/>
                      <w:b w:val="0"/>
                      <w:color w:val="000000"/>
                      <w:lang w:val="en-US" w:eastAsia="zh-CN"/>
                    </w:rPr>
                    <w:t>厂界噪声监测。</w:t>
                  </w:r>
                </w:p>
              </w:tc>
              <w:tc>
                <w:tcPr>
                  <w:tcW w:w="938" w:type="dxa"/>
                  <w:shd w:val="clear" w:color="auto" w:fill="auto"/>
                  <w:noWrap w:val="0"/>
                  <w:vAlign w:val="center"/>
                </w:tcPr>
                <w:p w14:paraId="4BF742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lang w:val="en-US" w:eastAsia="zh-CN"/>
                    </w:rPr>
                  </w:pPr>
                  <w:r>
                    <w:rPr>
                      <w:rFonts w:hint="eastAsia"/>
                      <w:b w:val="0"/>
                      <w:color w:val="000000"/>
                      <w:lang w:val="en-US" w:eastAsia="zh-CN"/>
                    </w:rPr>
                    <w:t>/</w:t>
                  </w:r>
                </w:p>
              </w:tc>
              <w:tc>
                <w:tcPr>
                  <w:tcW w:w="1143" w:type="dxa"/>
                  <w:shd w:val="clear" w:color="auto" w:fill="auto"/>
                  <w:noWrap w:val="0"/>
                  <w:vAlign w:val="center"/>
                </w:tcPr>
                <w:p w14:paraId="27F27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r>
                    <w:rPr>
                      <w:rFonts w:hint="eastAsia"/>
                      <w:b w:val="0"/>
                      <w:color w:val="000000"/>
                      <w:lang w:val="en-US" w:eastAsia="zh-CN"/>
                    </w:rPr>
                    <w:t>4</w:t>
                  </w:r>
                </w:p>
              </w:tc>
              <w:tc>
                <w:tcPr>
                  <w:tcW w:w="697" w:type="dxa"/>
                  <w:tcBorders>
                    <w:right w:val="nil"/>
                  </w:tcBorders>
                  <w:shd w:val="clear" w:color="auto" w:fill="auto"/>
                  <w:noWrap w:val="0"/>
                  <w:vAlign w:val="center"/>
                </w:tcPr>
                <w:p w14:paraId="1EBDB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p>
              </w:tc>
            </w:tr>
            <w:tr w14:paraId="3B37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1" w:hRule="atLeast"/>
              </w:trPr>
              <w:tc>
                <w:tcPr>
                  <w:tcW w:w="6198" w:type="dxa"/>
                  <w:gridSpan w:val="5"/>
                  <w:tcBorders>
                    <w:left w:val="nil"/>
                    <w:bottom w:val="single" w:color="000000" w:sz="12" w:space="0"/>
                  </w:tcBorders>
                  <w:shd w:val="clear" w:color="auto" w:fill="auto"/>
                  <w:noWrap w:val="0"/>
                  <w:vAlign w:val="center"/>
                </w:tcPr>
                <w:p w14:paraId="7B7E16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color w:val="000000"/>
                    </w:rPr>
                  </w:pPr>
                  <w:r>
                    <w:rPr>
                      <w:rFonts w:hint="default"/>
                      <w:b w:val="0"/>
                      <w:color w:val="000000"/>
                      <w:lang w:val="en-US" w:eastAsia="zh-CN"/>
                    </w:rPr>
                    <w:t>合计</w:t>
                  </w:r>
                </w:p>
              </w:tc>
              <w:tc>
                <w:tcPr>
                  <w:tcW w:w="1143" w:type="dxa"/>
                  <w:tcBorders>
                    <w:bottom w:val="single" w:color="000000" w:sz="12" w:space="0"/>
                  </w:tcBorders>
                  <w:shd w:val="clear" w:color="auto" w:fill="auto"/>
                  <w:noWrap w:val="0"/>
                  <w:vAlign w:val="center"/>
                </w:tcPr>
                <w:p w14:paraId="3AB893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color w:val="000000"/>
                      <w:lang w:val="en-US" w:eastAsia="zh-CN"/>
                    </w:rPr>
                  </w:pPr>
                  <w:r>
                    <w:rPr>
                      <w:rFonts w:hint="eastAsia"/>
                      <w:b w:val="0"/>
                      <w:color w:val="000000"/>
                      <w:lang w:val="en-US" w:eastAsia="zh-CN"/>
                    </w:rPr>
                    <w:t>41.5</w:t>
                  </w:r>
                </w:p>
              </w:tc>
              <w:tc>
                <w:tcPr>
                  <w:tcW w:w="697" w:type="dxa"/>
                  <w:tcBorders>
                    <w:bottom w:val="single" w:color="000000" w:sz="12" w:space="0"/>
                    <w:right w:val="nil"/>
                  </w:tcBorders>
                  <w:shd w:val="clear" w:color="auto" w:fill="auto"/>
                  <w:noWrap w:val="0"/>
                  <w:vAlign w:val="center"/>
                </w:tcPr>
                <w:p w14:paraId="38D8B9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color w:val="000000"/>
                      <w:lang w:val="en-US" w:eastAsia="zh-CN"/>
                    </w:rPr>
                  </w:pPr>
                </w:p>
              </w:tc>
            </w:tr>
          </w:tbl>
          <w:p w14:paraId="5D95A362">
            <w:pPr>
              <w:adjustRightInd w:val="0"/>
              <w:snapToGrid w:val="0"/>
              <w:rPr>
                <w:rFonts w:hint="default" w:ascii="Times New Roman" w:hAnsi="Times New Roman" w:eastAsia="宋体" w:cs="Times New Roman"/>
                <w:b/>
                <w:bCs/>
                <w:spacing w:val="-2"/>
                <w:sz w:val="24"/>
                <w:szCs w:val="24"/>
              </w:rPr>
            </w:pPr>
          </w:p>
          <w:p w14:paraId="5BF36948">
            <w:pPr>
              <w:adjustRightInd w:val="0"/>
              <w:snapToGrid w:val="0"/>
              <w:rPr>
                <w:rFonts w:hint="default" w:ascii="Times New Roman" w:hAnsi="Times New Roman" w:eastAsia="宋体" w:cs="Times New Roman"/>
                <w:b/>
                <w:bCs/>
                <w:spacing w:val="-2"/>
                <w:sz w:val="24"/>
                <w:szCs w:val="24"/>
              </w:rPr>
            </w:pPr>
          </w:p>
          <w:p w14:paraId="42B402D9">
            <w:pPr>
              <w:adjustRightInd w:val="0"/>
              <w:snapToGrid w:val="0"/>
              <w:rPr>
                <w:rFonts w:hint="default" w:ascii="Times New Roman" w:hAnsi="Times New Roman" w:eastAsia="宋体" w:cs="Times New Roman"/>
                <w:b/>
                <w:bCs/>
                <w:spacing w:val="-2"/>
                <w:sz w:val="24"/>
                <w:szCs w:val="24"/>
              </w:rPr>
            </w:pPr>
          </w:p>
          <w:p w14:paraId="57DA34CE">
            <w:pPr>
              <w:adjustRightInd w:val="0"/>
              <w:snapToGrid w:val="0"/>
              <w:rPr>
                <w:rFonts w:hint="default" w:ascii="Times New Roman" w:hAnsi="Times New Roman" w:eastAsia="宋体" w:cs="Times New Roman"/>
                <w:b/>
                <w:bCs/>
                <w:spacing w:val="-2"/>
                <w:sz w:val="24"/>
                <w:szCs w:val="24"/>
              </w:rPr>
            </w:pPr>
          </w:p>
          <w:p w14:paraId="64EFCF72">
            <w:pPr>
              <w:adjustRightInd w:val="0"/>
              <w:snapToGrid w:val="0"/>
              <w:rPr>
                <w:rFonts w:hint="default" w:ascii="Times New Roman" w:hAnsi="Times New Roman" w:eastAsia="宋体" w:cs="Times New Roman"/>
                <w:b/>
                <w:bCs/>
                <w:spacing w:val="-2"/>
                <w:sz w:val="24"/>
                <w:szCs w:val="24"/>
              </w:rPr>
            </w:pPr>
          </w:p>
        </w:tc>
      </w:tr>
    </w:tbl>
    <w:p w14:paraId="360965BF">
      <w:pPr>
        <w:rPr>
          <w:rFonts w:hint="default" w:ascii="Times New Roman" w:hAnsi="Times New Roman" w:eastAsia="宋体" w:cs="Times New Roman"/>
          <w:sz w:val="24"/>
          <w:szCs w:val="24"/>
        </w:rPr>
        <w:sectPr>
          <w:pgSz w:w="11907" w:h="16840"/>
          <w:pgMar w:top="1440" w:right="1797" w:bottom="1440" w:left="1797" w:header="851" w:footer="1077" w:gutter="0"/>
          <w:pgNumType w:fmt="decimal"/>
          <w:cols w:space="720" w:num="1"/>
          <w:docGrid w:linePitch="312" w:charSpace="0"/>
        </w:sectPr>
      </w:pPr>
    </w:p>
    <w:p w14:paraId="2336F5F1">
      <w:pPr>
        <w:pStyle w:val="20"/>
        <w:jc w:val="center"/>
        <w:outlineLvl w:val="0"/>
        <w:rPr>
          <w:rFonts w:hint="default" w:ascii="Times New Roman" w:hAnsi="Times New Roman" w:eastAsia="宋体" w:cs="Times New Roman"/>
          <w:b/>
          <w:bCs/>
          <w:snapToGrid w:val="0"/>
          <w:sz w:val="28"/>
          <w:szCs w:val="28"/>
        </w:rPr>
      </w:pPr>
      <w:r>
        <w:rPr>
          <w:rFonts w:hint="default" w:ascii="Times New Roman" w:hAnsi="Times New Roman" w:eastAsia="宋体" w:cs="Times New Roman"/>
          <w:b/>
          <w:bCs/>
          <w:snapToGrid w:val="0"/>
          <w:sz w:val="28"/>
          <w:szCs w:val="28"/>
        </w:rPr>
        <w:t>六、生态环境保护措施监督检查清单</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01"/>
        <w:gridCol w:w="3412"/>
        <w:gridCol w:w="1873"/>
        <w:gridCol w:w="3394"/>
        <w:gridCol w:w="1894"/>
      </w:tblGrid>
      <w:tr w14:paraId="55F8D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vMerge w:val="restart"/>
            <w:tcBorders>
              <w:tl2br w:val="single" w:color="auto" w:sz="4" w:space="0"/>
            </w:tcBorders>
            <w:noWrap w:val="0"/>
            <w:vAlign w:val="top"/>
          </w:tcPr>
          <w:p w14:paraId="73981E5C">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       </w:t>
            </w:r>
          </w:p>
          <w:p w14:paraId="41F49B55">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             内容</w:t>
            </w:r>
          </w:p>
          <w:p w14:paraId="7A7E4761">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 xml:space="preserve">  </w:t>
            </w:r>
          </w:p>
          <w:p w14:paraId="16D0B8B0">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要素</w:t>
            </w:r>
          </w:p>
        </w:tc>
        <w:tc>
          <w:tcPr>
            <w:tcW w:w="1864" w:type="pct"/>
            <w:gridSpan w:val="2"/>
            <w:noWrap w:val="0"/>
            <w:vAlign w:val="center"/>
          </w:tcPr>
          <w:p w14:paraId="08EDECF3">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施工期</w:t>
            </w:r>
          </w:p>
        </w:tc>
        <w:tc>
          <w:tcPr>
            <w:tcW w:w="1865" w:type="pct"/>
            <w:gridSpan w:val="2"/>
            <w:noWrap w:val="0"/>
            <w:vAlign w:val="center"/>
          </w:tcPr>
          <w:p w14:paraId="5941361A">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运营期</w:t>
            </w:r>
          </w:p>
        </w:tc>
      </w:tr>
      <w:tr w14:paraId="454B3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vMerge w:val="continue"/>
            <w:noWrap w:val="0"/>
            <w:vAlign w:val="top"/>
          </w:tcPr>
          <w:p w14:paraId="55DAEDB8">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firstLine="840"/>
              <w:jc w:val="center"/>
              <w:textAlignment w:val="auto"/>
              <w:outlineLvl w:val="0"/>
              <w:rPr>
                <w:rFonts w:hint="default" w:ascii="Times New Roman" w:hAnsi="Times New Roman" w:eastAsia="宋体" w:cs="Times New Roman"/>
                <w:kern w:val="2"/>
                <w:sz w:val="21"/>
                <w:szCs w:val="21"/>
              </w:rPr>
            </w:pPr>
          </w:p>
        </w:tc>
        <w:tc>
          <w:tcPr>
            <w:tcW w:w="1203" w:type="pct"/>
            <w:noWrap w:val="0"/>
            <w:vAlign w:val="center"/>
          </w:tcPr>
          <w:p w14:paraId="5AE3F911">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环境保护措施</w:t>
            </w:r>
          </w:p>
        </w:tc>
        <w:tc>
          <w:tcPr>
            <w:tcW w:w="660" w:type="pct"/>
            <w:noWrap w:val="0"/>
            <w:vAlign w:val="center"/>
          </w:tcPr>
          <w:p w14:paraId="2D7B3CC3">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验收要求</w:t>
            </w:r>
          </w:p>
        </w:tc>
        <w:tc>
          <w:tcPr>
            <w:tcW w:w="1197" w:type="pct"/>
            <w:noWrap w:val="0"/>
            <w:vAlign w:val="center"/>
          </w:tcPr>
          <w:p w14:paraId="6E6B2983">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环境保护措施</w:t>
            </w:r>
          </w:p>
        </w:tc>
        <w:tc>
          <w:tcPr>
            <w:tcW w:w="668" w:type="pct"/>
            <w:noWrap w:val="0"/>
            <w:vAlign w:val="center"/>
          </w:tcPr>
          <w:p w14:paraId="5EDE1D6B">
            <w:pPr>
              <w:pStyle w:val="20"/>
              <w:keepNext w:val="0"/>
              <w:keepLines w:val="0"/>
              <w:pageBreakBefore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验收要求</w:t>
            </w:r>
          </w:p>
        </w:tc>
      </w:tr>
      <w:tr w14:paraId="7B5C5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1597FEAA">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陆生生态</w:t>
            </w:r>
          </w:p>
        </w:tc>
        <w:tc>
          <w:tcPr>
            <w:tcW w:w="1203" w:type="pct"/>
            <w:noWrap w:val="0"/>
            <w:vAlign w:val="center"/>
          </w:tcPr>
          <w:p w14:paraId="3F4BF590">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①严格限制临时占地和施工占地的面积，在满足施工要求的前提下，对临时占地内的植被能保留的尽量保留，不得随意侵占周围土地。</w:t>
            </w:r>
          </w:p>
          <w:p w14:paraId="1D60AEDC">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②施工过程中土石方不得乱堆乱放，并及时覆盖，如加盖防尘网，大雨时期禁止施工，防止水土流失。</w:t>
            </w:r>
          </w:p>
          <w:p w14:paraId="23D6E4B4">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③施工过程中应加强宣传教育，严禁施工人员随意砍伐、捕猎。严禁施工人员在占地红线范围外随意活动，减少对植被的破坏。</w:t>
            </w:r>
          </w:p>
          <w:p w14:paraId="561777F0">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④强化施工过程环境管理，要求施工车辆按指定路线行驶，避免对占地范围外和道路外土</w:t>
            </w:r>
          </w:p>
          <w:p w14:paraId="35FAA972">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地、植被造成碾压。工期采取上述措施后可有效减小对项目区生态环境的影响。</w:t>
            </w:r>
          </w:p>
        </w:tc>
        <w:tc>
          <w:tcPr>
            <w:tcW w:w="660" w:type="pct"/>
            <w:noWrap w:val="0"/>
            <w:vAlign w:val="center"/>
          </w:tcPr>
          <w:p w14:paraId="636CB7EF">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对环境影响较</w:t>
            </w:r>
            <w:r>
              <w:rPr>
                <w:rFonts w:hint="default" w:ascii="Times New Roman" w:hAnsi="Times New Roman" w:eastAsia="宋体" w:cs="Times New Roman"/>
                <w:sz w:val="21"/>
                <w:szCs w:val="21"/>
              </w:rPr>
              <w:t>小</w:t>
            </w:r>
          </w:p>
        </w:tc>
        <w:tc>
          <w:tcPr>
            <w:tcW w:w="1197" w:type="pct"/>
            <w:noWrap w:val="0"/>
            <w:vAlign w:val="center"/>
          </w:tcPr>
          <w:p w14:paraId="500FD0EC">
            <w:pPr>
              <w:pStyle w:val="45"/>
              <w:keepNext w:val="0"/>
              <w:keepLines w:val="0"/>
              <w:pageBreakBefore w:val="0"/>
              <w:kinsoku/>
              <w:wordWrap/>
              <w:overflowPunct/>
              <w:topLinePunct w:val="0"/>
              <w:autoSpaceDE/>
              <w:autoSpaceDN/>
              <w:bidi w:val="0"/>
              <w:spacing w:line="240" w:lineRule="auto"/>
              <w:ind w:left="0" w:right="0" w:hanging="3"/>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①露天采场周边设网围栏、警示牌，</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8"/>
                <w:sz w:val="21"/>
                <w:szCs w:val="21"/>
              </w:rPr>
              <w:t>明确开采范围，严格控制</w:t>
            </w:r>
            <w:r>
              <w:rPr>
                <w:rFonts w:hint="default" w:ascii="Times New Roman" w:hAnsi="Times New Roman" w:eastAsia="宋体" w:cs="Times New Roman"/>
                <w:spacing w:val="6"/>
                <w:sz w:val="21"/>
                <w:szCs w:val="21"/>
              </w:rPr>
              <w:t>扰动范围。防止人畜发生危险，减少水土流失。</w:t>
            </w:r>
          </w:p>
          <w:p w14:paraId="5AE3B34F">
            <w:pPr>
              <w:pStyle w:val="45"/>
              <w:keepNext w:val="0"/>
              <w:keepLines w:val="0"/>
              <w:pageBreakBefore w:val="0"/>
              <w:kinsoku/>
              <w:wordWrap/>
              <w:overflowPunct/>
              <w:topLinePunct w:val="0"/>
              <w:autoSpaceDE/>
              <w:autoSpaceDN/>
              <w:bidi w:val="0"/>
              <w:spacing w:line="240" w:lineRule="auto"/>
              <w:ind w:left="0" w:right="0" w:hanging="5"/>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②采用台阶采矿，控制边坡角，确保稳定。</w:t>
            </w:r>
          </w:p>
          <w:p w14:paraId="53F05498">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9"/>
                <w:sz w:val="21"/>
                <w:szCs w:val="21"/>
                <w:lang w:val="en-US" w:eastAsia="zh-CN"/>
              </w:rPr>
              <w:t>③</w:t>
            </w:r>
            <w:r>
              <w:rPr>
                <w:rFonts w:hint="default" w:ascii="Times New Roman" w:hAnsi="Times New Roman" w:eastAsia="宋体" w:cs="Times New Roman"/>
                <w:spacing w:val="9"/>
                <w:sz w:val="21"/>
                <w:szCs w:val="21"/>
              </w:rPr>
              <w:t>运输车辆严格按照既有道路行驶，严禁随意压占周边土地。</w:t>
            </w:r>
          </w:p>
          <w:p w14:paraId="63926609">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9"/>
                <w:sz w:val="21"/>
                <w:szCs w:val="21"/>
                <w:lang w:val="en-US" w:eastAsia="zh-CN"/>
              </w:rPr>
              <w:t>④</w:t>
            </w:r>
            <w:r>
              <w:rPr>
                <w:rFonts w:hint="default" w:ascii="Times New Roman" w:hAnsi="Times New Roman" w:eastAsia="宋体" w:cs="Times New Roman"/>
                <w:spacing w:val="9"/>
                <w:sz w:val="21"/>
                <w:szCs w:val="21"/>
              </w:rPr>
              <w:t>排土场严格控制边界，严禁进行乱堆乱放，做到有序排土。</w:t>
            </w:r>
          </w:p>
          <w:p w14:paraId="3F006614">
            <w:pPr>
              <w:pStyle w:val="45"/>
              <w:keepNext w:val="0"/>
              <w:keepLines w:val="0"/>
              <w:pageBreakBefore w:val="0"/>
              <w:kinsoku/>
              <w:wordWrap/>
              <w:overflowPunct/>
              <w:topLinePunct w:val="0"/>
              <w:autoSpaceDE/>
              <w:autoSpaceDN/>
              <w:bidi w:val="0"/>
              <w:spacing w:line="240" w:lineRule="auto"/>
              <w:ind w:left="0" w:right="0" w:hanging="8"/>
              <w:textAlignment w:val="auto"/>
              <w:rPr>
                <w:rFonts w:hint="default" w:ascii="Times New Roman" w:hAnsi="Times New Roman" w:eastAsia="宋体" w:cs="Times New Roman"/>
                <w:sz w:val="21"/>
                <w:szCs w:val="21"/>
              </w:rPr>
            </w:pPr>
            <w:r>
              <w:rPr>
                <w:rFonts w:hint="eastAsia" w:ascii="Times New Roman" w:hAnsi="Times New Roman" w:eastAsia="宋体" w:cs="Times New Roman"/>
                <w:spacing w:val="9"/>
                <w:sz w:val="21"/>
                <w:szCs w:val="21"/>
                <w:lang w:val="en-US" w:eastAsia="zh-CN"/>
              </w:rPr>
              <w:t>⑤排土场设置挡土墙、排水沟。</w:t>
            </w:r>
          </w:p>
          <w:p w14:paraId="0DB139E0">
            <w:pPr>
              <w:pStyle w:val="45"/>
              <w:keepNext w:val="0"/>
              <w:keepLines w:val="0"/>
              <w:pageBreakBefore w:val="0"/>
              <w:kinsoku/>
              <w:wordWrap/>
              <w:overflowPunct/>
              <w:topLinePunct w:val="0"/>
              <w:autoSpaceDE/>
              <w:autoSpaceDN/>
              <w:bidi w:val="0"/>
              <w:spacing w:line="240" w:lineRule="auto"/>
              <w:ind w:left="0" w:right="0" w:hanging="1"/>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⑦对作业面和运输道路进行定期洒水降尘。对工业场地适当进</w:t>
            </w:r>
            <w:r>
              <w:rPr>
                <w:rFonts w:hint="default" w:ascii="Times New Roman" w:hAnsi="Times New Roman" w:eastAsia="宋体" w:cs="Times New Roman"/>
                <w:spacing w:val="8"/>
                <w:sz w:val="21"/>
                <w:szCs w:val="21"/>
              </w:rPr>
              <w:t>行绿化，种植适合当地的耐寒耐旱物种。</w:t>
            </w:r>
          </w:p>
          <w:p w14:paraId="650270DE">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⑧项目采区、排土场、工业场地在闭矿后进行平整、填平处</w:t>
            </w:r>
            <w:r>
              <w:rPr>
                <w:rFonts w:hint="default" w:ascii="Times New Roman" w:hAnsi="Times New Roman" w:eastAsia="宋体" w:cs="Times New Roman"/>
                <w:spacing w:val="-1"/>
                <w:sz w:val="21"/>
                <w:szCs w:val="21"/>
              </w:rPr>
              <w:t>理。</w:t>
            </w:r>
          </w:p>
        </w:tc>
        <w:tc>
          <w:tcPr>
            <w:tcW w:w="668" w:type="pct"/>
            <w:noWrap w:val="0"/>
            <w:vAlign w:val="center"/>
          </w:tcPr>
          <w:p w14:paraId="7ED40CAB">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做到“边开采、边恢复”。</w:t>
            </w:r>
          </w:p>
        </w:tc>
      </w:tr>
      <w:tr w14:paraId="2D3DF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09CF9729">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水生生态</w:t>
            </w:r>
          </w:p>
        </w:tc>
        <w:tc>
          <w:tcPr>
            <w:tcW w:w="1203" w:type="pct"/>
            <w:noWrap w:val="0"/>
            <w:vAlign w:val="center"/>
          </w:tcPr>
          <w:p w14:paraId="464B3EC4">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0" w:type="pct"/>
            <w:noWrap w:val="0"/>
            <w:vAlign w:val="center"/>
          </w:tcPr>
          <w:p w14:paraId="4DE44A4A">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97" w:type="pct"/>
            <w:noWrap w:val="0"/>
            <w:vAlign w:val="center"/>
          </w:tcPr>
          <w:p w14:paraId="7B753356">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8" w:type="pct"/>
            <w:noWrap w:val="0"/>
            <w:vAlign w:val="center"/>
          </w:tcPr>
          <w:p w14:paraId="508DB2EB">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30D53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3EEAAE6E">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w:t>
            </w:r>
          </w:p>
        </w:tc>
        <w:tc>
          <w:tcPr>
            <w:tcW w:w="1203" w:type="pct"/>
            <w:noWrap w:val="0"/>
            <w:vAlign w:val="center"/>
          </w:tcPr>
          <w:p w14:paraId="2DB65C61">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设置环保防渗旱</w:t>
            </w:r>
            <w:r>
              <w:rPr>
                <w:rFonts w:hint="default" w:ascii="Times New Roman" w:hAnsi="Times New Roman" w:eastAsia="宋体" w:cs="Times New Roman"/>
                <w:spacing w:val="-5"/>
                <w:sz w:val="21"/>
                <w:szCs w:val="21"/>
              </w:rPr>
              <w:t>厕1座，粪污清</w:t>
            </w:r>
            <w:r>
              <w:rPr>
                <w:rFonts w:hint="default" w:ascii="Times New Roman" w:hAnsi="Times New Roman" w:eastAsia="宋体" w:cs="Times New Roman"/>
                <w:spacing w:val="-1"/>
                <w:sz w:val="21"/>
                <w:szCs w:val="21"/>
              </w:rPr>
              <w:t>掏用于农田，盥洗废水泼洒抑尘，施工废水经</w:t>
            </w:r>
            <w:r>
              <w:rPr>
                <w:rFonts w:hint="default" w:ascii="Times New Roman" w:hAnsi="Times New Roman" w:eastAsia="宋体" w:cs="Times New Roman"/>
                <w:spacing w:val="-3"/>
                <w:sz w:val="21"/>
                <w:szCs w:val="21"/>
              </w:rPr>
              <w:t>临时沉淀池处理</w:t>
            </w:r>
            <w:r>
              <w:rPr>
                <w:rFonts w:hint="default" w:ascii="Times New Roman" w:hAnsi="Times New Roman" w:eastAsia="宋体" w:cs="Times New Roman"/>
                <w:spacing w:val="-1"/>
                <w:sz w:val="21"/>
                <w:szCs w:val="21"/>
              </w:rPr>
              <w:t>后用于场地洒水</w:t>
            </w:r>
            <w:r>
              <w:rPr>
                <w:rFonts w:hint="default" w:ascii="Times New Roman" w:hAnsi="Times New Roman" w:eastAsia="宋体" w:cs="Times New Roman"/>
                <w:spacing w:val="-6"/>
                <w:sz w:val="21"/>
                <w:szCs w:val="21"/>
              </w:rPr>
              <w:t>降尘。</w:t>
            </w:r>
          </w:p>
        </w:tc>
        <w:tc>
          <w:tcPr>
            <w:tcW w:w="660" w:type="pct"/>
            <w:noWrap w:val="0"/>
            <w:vAlign w:val="center"/>
          </w:tcPr>
          <w:p w14:paraId="098AE554">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废水不外排。</w:t>
            </w:r>
          </w:p>
        </w:tc>
        <w:tc>
          <w:tcPr>
            <w:tcW w:w="1197" w:type="pct"/>
            <w:noWrap w:val="0"/>
            <w:vAlign w:val="top"/>
          </w:tcPr>
          <w:p w14:paraId="2F9B0F97">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依托施工期环保防渗旱</w:t>
            </w:r>
            <w:r>
              <w:rPr>
                <w:rFonts w:hint="default" w:ascii="Times New Roman" w:hAnsi="Times New Roman" w:eastAsia="宋体" w:cs="Times New Roman"/>
                <w:spacing w:val="-10"/>
                <w:sz w:val="21"/>
                <w:szCs w:val="21"/>
              </w:rPr>
              <w:t>厕1座，粪污定期清掏，</w:t>
            </w:r>
            <w:r>
              <w:rPr>
                <w:rFonts w:hint="default" w:ascii="Times New Roman" w:hAnsi="Times New Roman" w:eastAsia="宋体" w:cs="Times New Roman"/>
                <w:spacing w:val="-1"/>
                <w:sz w:val="21"/>
                <w:szCs w:val="21"/>
              </w:rPr>
              <w:t>盥洗废水泼洒抑尘；露天采场外设置排水沟，</w:t>
            </w:r>
            <w:r>
              <w:rPr>
                <w:rFonts w:hint="default" w:ascii="Times New Roman" w:hAnsi="Times New Roman" w:eastAsia="宋体" w:cs="Times New Roman"/>
                <w:spacing w:val="-3"/>
                <w:sz w:val="21"/>
                <w:szCs w:val="21"/>
              </w:rPr>
              <w:t>防止采场汇水；排土场</w:t>
            </w:r>
            <w:r>
              <w:rPr>
                <w:rFonts w:hint="default" w:ascii="Times New Roman" w:hAnsi="Times New Roman" w:eastAsia="宋体" w:cs="Times New Roman"/>
                <w:spacing w:val="-1"/>
                <w:sz w:val="21"/>
                <w:szCs w:val="21"/>
              </w:rPr>
              <w:t>设置挡土墙和截排水</w:t>
            </w:r>
          </w:p>
          <w:p w14:paraId="1D237D2E">
            <w:pPr>
              <w:pStyle w:val="45"/>
              <w:keepNext w:val="0"/>
              <w:keepLines w:val="0"/>
              <w:pageBreakBefore w:val="0"/>
              <w:kinsoku/>
              <w:wordWrap/>
              <w:overflowPunct/>
              <w:topLinePunct w:val="0"/>
              <w:autoSpaceDE/>
              <w:autoSpaceDN/>
              <w:bidi w:val="0"/>
              <w:spacing w:line="240" w:lineRule="auto"/>
              <w:ind w:left="0" w:leftChars="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渠。</w:t>
            </w:r>
          </w:p>
        </w:tc>
        <w:tc>
          <w:tcPr>
            <w:tcW w:w="668" w:type="pct"/>
            <w:noWrap w:val="0"/>
            <w:vAlign w:val="top"/>
          </w:tcPr>
          <w:p w14:paraId="0007DCC3">
            <w:pPr>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p>
          <w:p w14:paraId="6071B73D">
            <w:pPr>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p>
          <w:p w14:paraId="227BCB98">
            <w:pPr>
              <w:pStyle w:val="45"/>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废水不</w:t>
            </w:r>
            <w:r>
              <w:rPr>
                <w:rFonts w:hint="default" w:ascii="Times New Roman" w:hAnsi="Times New Roman" w:eastAsia="宋体" w:cs="Times New Roman"/>
                <w:spacing w:val="-2"/>
                <w:sz w:val="21"/>
                <w:szCs w:val="21"/>
              </w:rPr>
              <w:t>外排。</w:t>
            </w:r>
          </w:p>
        </w:tc>
      </w:tr>
      <w:tr w14:paraId="53B686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1610BFCF">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地下水及土壤环境</w:t>
            </w:r>
          </w:p>
        </w:tc>
        <w:tc>
          <w:tcPr>
            <w:tcW w:w="1203" w:type="pct"/>
            <w:noWrap w:val="0"/>
            <w:vAlign w:val="center"/>
          </w:tcPr>
          <w:p w14:paraId="2B3609B7">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0" w:type="pct"/>
            <w:noWrap w:val="0"/>
            <w:vAlign w:val="center"/>
          </w:tcPr>
          <w:p w14:paraId="70569CCC">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97" w:type="pct"/>
            <w:noWrap w:val="0"/>
            <w:vAlign w:val="center"/>
          </w:tcPr>
          <w:p w14:paraId="2EC5BA8D">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8" w:type="pct"/>
            <w:noWrap w:val="0"/>
            <w:vAlign w:val="center"/>
          </w:tcPr>
          <w:p w14:paraId="4266D8FC">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52E69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103C3839">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203" w:type="pct"/>
            <w:noWrap w:val="0"/>
            <w:vAlign w:val="center"/>
          </w:tcPr>
          <w:p w14:paraId="21CCB1BE">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有效降噪，建议采取相应的隔声、减振、消声等降噪措施：合理安排施工时间，高噪声施工机械严禁在夜间施工作业：避免多台机械设备</w:t>
            </w:r>
            <w:r>
              <w:rPr>
                <w:rFonts w:hint="default" w:ascii="Times New Roman" w:hAnsi="Times New Roman" w:eastAsia="宋体" w:cs="Times New Roman"/>
                <w:spacing w:val="8"/>
                <w:sz w:val="21"/>
                <w:szCs w:val="21"/>
              </w:rPr>
              <w:t>同时施工：施工运输车辆限速行驶：施工人员</w:t>
            </w:r>
            <w:r>
              <w:rPr>
                <w:rFonts w:hint="default" w:ascii="Times New Roman" w:hAnsi="Times New Roman" w:eastAsia="宋体" w:cs="Times New Roman"/>
                <w:spacing w:val="9"/>
                <w:sz w:val="21"/>
                <w:szCs w:val="21"/>
              </w:rPr>
              <w:t>按劳动卫生标准控制工作时间，或采取个人护</w:t>
            </w:r>
            <w:r>
              <w:rPr>
                <w:rFonts w:hint="default" w:ascii="Times New Roman" w:hAnsi="Times New Roman" w:eastAsia="宋体" w:cs="Times New Roman"/>
                <w:spacing w:val="4"/>
                <w:sz w:val="21"/>
                <w:szCs w:val="21"/>
              </w:rPr>
              <w:t>措施</w:t>
            </w:r>
          </w:p>
        </w:tc>
        <w:tc>
          <w:tcPr>
            <w:tcW w:w="660" w:type="pct"/>
            <w:noWrap w:val="0"/>
            <w:vAlign w:val="center"/>
          </w:tcPr>
          <w:p w14:paraId="4790D09E">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《建筑施工噪声排放标准》（GB12523-2025）标准</w:t>
            </w:r>
          </w:p>
        </w:tc>
        <w:tc>
          <w:tcPr>
            <w:tcW w:w="1197" w:type="pct"/>
            <w:noWrap w:val="0"/>
            <w:vAlign w:val="center"/>
          </w:tcPr>
          <w:p w14:paraId="0E9F84AF">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选用低噪声设备，进行减振且做好维护保养工作。根据本项目工程特征，露天运转的产噪设备，采取优化布置作业场地和运输路线等措施。采取上述措施后，项目噪声预测值可在厂界位置满足《工业企业厂界环境噪声排放标准》（GB12348-2008）中2类标准，本项目厂区周边及运输道路两侧200m内无敏感目标。</w:t>
            </w:r>
          </w:p>
        </w:tc>
        <w:tc>
          <w:tcPr>
            <w:tcW w:w="668" w:type="pct"/>
            <w:noWrap w:val="0"/>
            <w:vAlign w:val="center"/>
          </w:tcPr>
          <w:p w14:paraId="3E6A2479">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《工业企业厂界环境噪声排放</w:t>
            </w:r>
            <w:r>
              <w:rPr>
                <w:rFonts w:hint="default" w:ascii="Times New Roman" w:hAnsi="Times New Roman" w:eastAsia="宋体" w:cs="Times New Roman"/>
                <w:color w:val="auto"/>
                <w:sz w:val="21"/>
                <w:szCs w:val="21"/>
                <w:lang w:val="en-US" w:eastAsia="zh-CN"/>
              </w:rPr>
              <w:t>标准</w:t>
            </w:r>
            <w:r>
              <w:rPr>
                <w:rFonts w:hint="default" w:ascii="Times New Roman" w:hAnsi="Times New Roman" w:eastAsia="宋体" w:cs="Times New Roman"/>
                <w:color w:val="auto"/>
                <w:sz w:val="21"/>
                <w:szCs w:val="21"/>
                <w:lang w:eastAsia="zh-CN"/>
              </w:rPr>
              <w:t>》(GB12348-2008)中2类标准要求</w:t>
            </w:r>
          </w:p>
        </w:tc>
      </w:tr>
      <w:tr w14:paraId="64442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08CE49B9">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振动</w:t>
            </w:r>
          </w:p>
        </w:tc>
        <w:tc>
          <w:tcPr>
            <w:tcW w:w="1203" w:type="pct"/>
            <w:noWrap w:val="0"/>
            <w:vAlign w:val="center"/>
          </w:tcPr>
          <w:p w14:paraId="2F9191B5">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0" w:type="pct"/>
            <w:noWrap w:val="0"/>
            <w:vAlign w:val="center"/>
          </w:tcPr>
          <w:p w14:paraId="4B3358F2">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97" w:type="pct"/>
            <w:noWrap w:val="0"/>
            <w:vAlign w:val="center"/>
          </w:tcPr>
          <w:p w14:paraId="5B518326">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68" w:type="pct"/>
            <w:noWrap w:val="0"/>
            <w:vAlign w:val="center"/>
          </w:tcPr>
          <w:p w14:paraId="0C756C16">
            <w:pPr>
              <w:keepNext w:val="0"/>
              <w:keepLines w:val="0"/>
              <w:pageBreakBefore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1B84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7B9D260B">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c>
          <w:tcPr>
            <w:tcW w:w="1203" w:type="pct"/>
            <w:noWrap w:val="0"/>
            <w:vAlign w:val="center"/>
          </w:tcPr>
          <w:p w14:paraId="040A1ECC">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加强施工管理，避开大风天气施工，配备洒水车辆，及时对施工场地采取洒水、苫盖、土方压实、降低运输车辆行驶速度等措施。</w:t>
            </w:r>
          </w:p>
          <w:p w14:paraId="45A1F666">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p>
        </w:tc>
        <w:tc>
          <w:tcPr>
            <w:tcW w:w="660" w:type="pct"/>
            <w:noWrap w:val="0"/>
            <w:vAlign w:val="center"/>
          </w:tcPr>
          <w:p w14:paraId="1CB19693">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施工期废气满足《大气污染物综合排放</w:t>
            </w:r>
            <w:r>
              <w:rPr>
                <w:rFonts w:hint="default" w:ascii="Times New Roman" w:hAnsi="Times New Roman" w:eastAsia="宋体" w:cs="Times New Roman"/>
                <w:color w:val="auto"/>
                <w:sz w:val="21"/>
                <w:szCs w:val="21"/>
                <w:lang w:eastAsia="zh-CN"/>
              </w:rPr>
              <w:t>标准</w:t>
            </w:r>
            <w:r>
              <w:rPr>
                <w:rFonts w:hint="default" w:ascii="Times New Roman" w:hAnsi="Times New Roman" w:eastAsia="宋体" w:cs="Times New Roman"/>
                <w:color w:val="auto"/>
                <w:kern w:val="2"/>
                <w:sz w:val="21"/>
                <w:szCs w:val="21"/>
                <w:lang w:val="en-US" w:eastAsia="zh-CN" w:bidi="ar-SA"/>
              </w:rPr>
              <w:t>》（GB16297-1996）中无组织监控限值要求</w:t>
            </w:r>
          </w:p>
        </w:tc>
        <w:tc>
          <w:tcPr>
            <w:tcW w:w="1197" w:type="pct"/>
            <w:noWrap w:val="0"/>
            <w:vAlign w:val="center"/>
          </w:tcPr>
          <w:p w14:paraId="4B096555">
            <w:pPr>
              <w:pStyle w:val="45"/>
              <w:keepNext w:val="0"/>
              <w:keepLines w:val="0"/>
              <w:pageBreakBefore w:val="0"/>
              <w:kinsoku/>
              <w:wordWrap/>
              <w:overflowPunct/>
              <w:topLinePunct w:val="0"/>
              <w:autoSpaceDE/>
              <w:autoSpaceDN/>
              <w:bidi w:val="0"/>
              <w:spacing w:line="240" w:lineRule="auto"/>
              <w:ind w:left="0" w:right="0" w:firstLine="2"/>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项目开采过程中产生的扬尘、产品</w:t>
            </w:r>
            <w:r>
              <w:rPr>
                <w:rFonts w:hint="eastAsia" w:ascii="Times New Roman" w:hAnsi="Times New Roman" w:eastAsia="宋体" w:cs="Times New Roman"/>
                <w:color w:val="auto"/>
                <w:kern w:val="2"/>
                <w:sz w:val="21"/>
                <w:szCs w:val="21"/>
                <w:lang w:val="en-US" w:eastAsia="zh-CN" w:bidi="ar-SA"/>
              </w:rPr>
              <w:t>开采、</w:t>
            </w:r>
            <w:r>
              <w:rPr>
                <w:rFonts w:hint="default" w:ascii="Times New Roman" w:hAnsi="Times New Roman" w:eastAsia="宋体" w:cs="Times New Roman"/>
                <w:color w:val="auto"/>
                <w:kern w:val="2"/>
                <w:sz w:val="21"/>
                <w:szCs w:val="21"/>
                <w:lang w:val="en-US" w:eastAsia="zh-CN" w:bidi="ar-SA"/>
              </w:rPr>
              <w:t>装卸扬尘采取洒水降尘措施；排土场粉尘：排土场分层压实，表面覆盖密目网，并定期洒水降尘；堆</w:t>
            </w:r>
            <w:r>
              <w:rPr>
                <w:rFonts w:hint="eastAsia" w:ascii="Times New Roman" w:hAnsi="Times New Roman" w:eastAsia="宋体" w:cs="Times New Roman"/>
                <w:color w:val="auto"/>
                <w:kern w:val="2"/>
                <w:sz w:val="21"/>
                <w:szCs w:val="21"/>
                <w:lang w:val="en-US" w:eastAsia="zh-CN" w:bidi="ar-SA"/>
              </w:rPr>
              <w:t>矿</w:t>
            </w:r>
            <w:r>
              <w:rPr>
                <w:rFonts w:hint="default" w:ascii="Times New Roman" w:hAnsi="Times New Roman" w:eastAsia="宋体" w:cs="Times New Roman"/>
                <w:color w:val="auto"/>
                <w:kern w:val="2"/>
                <w:sz w:val="21"/>
                <w:szCs w:val="21"/>
                <w:lang w:val="en-US" w:eastAsia="zh-CN" w:bidi="ar-SA"/>
              </w:rPr>
              <w:t>场设置三面围挡+顶棚式结构，定期洒水降尘；道路运输扬尘加强对施工车辆的管理，采取在施工区内车辆限速行驶措施，以减少车辆行驶扬尘，并及时在施工区域洒水降尘</w:t>
            </w:r>
            <w:r>
              <w:rPr>
                <w:rFonts w:hint="eastAsia" w:ascii="Times New Roman" w:hAnsi="Times New Roman" w:eastAsia="宋体" w:cs="Times New Roman"/>
                <w:color w:val="auto"/>
                <w:kern w:val="2"/>
                <w:sz w:val="21"/>
                <w:szCs w:val="21"/>
                <w:lang w:val="en-US" w:eastAsia="zh-CN" w:bidi="ar-SA"/>
              </w:rPr>
              <w:t>。</w:t>
            </w:r>
          </w:p>
          <w:p w14:paraId="3AB75A89">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color w:val="auto"/>
                <w:kern w:val="2"/>
                <w:sz w:val="21"/>
                <w:szCs w:val="21"/>
                <w:lang w:val="en-US" w:eastAsia="zh-CN" w:bidi="ar-SA"/>
              </w:rPr>
            </w:pPr>
          </w:p>
        </w:tc>
        <w:tc>
          <w:tcPr>
            <w:tcW w:w="668" w:type="pct"/>
            <w:noWrap w:val="0"/>
            <w:vAlign w:val="center"/>
          </w:tcPr>
          <w:p w14:paraId="504775DD">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《大气污染物综合排放标准》（GB16297- 1996）中表2二级标准</w:t>
            </w:r>
          </w:p>
        </w:tc>
      </w:tr>
      <w:tr w14:paraId="0CF50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188286AE">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1203" w:type="pct"/>
            <w:noWrap w:val="0"/>
            <w:vAlign w:val="center"/>
          </w:tcPr>
          <w:p w14:paraId="3CCA9567">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设置生活垃圾收集桶，建筑垃圾尽可能综合利用，剥离表土单独保存至表土临时堆场，用于矿区生态恢复及土地复垦。</w:t>
            </w:r>
          </w:p>
          <w:p w14:paraId="6BF34125">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p>
        </w:tc>
        <w:tc>
          <w:tcPr>
            <w:tcW w:w="660" w:type="pct"/>
            <w:noWrap w:val="0"/>
            <w:vAlign w:val="center"/>
          </w:tcPr>
          <w:p w14:paraId="2CC09E77">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合理处置</w:t>
            </w:r>
          </w:p>
        </w:tc>
        <w:tc>
          <w:tcPr>
            <w:tcW w:w="1197" w:type="pct"/>
            <w:noWrap w:val="0"/>
            <w:vAlign w:val="center"/>
          </w:tcPr>
          <w:p w14:paraId="63E3D3AE">
            <w:pPr>
              <w:pStyle w:val="45"/>
              <w:keepNext w:val="0"/>
              <w:keepLines w:val="0"/>
              <w:pageBreakBefore w:val="0"/>
              <w:kinsoku/>
              <w:wordWrap/>
              <w:overflowPunct/>
              <w:topLinePunct w:val="0"/>
              <w:autoSpaceDE/>
              <w:autoSpaceDN/>
              <w:bidi w:val="0"/>
              <w:spacing w:line="240" w:lineRule="auto"/>
              <w:ind w:left="0" w:right="0" w:firstLine="2"/>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①新建</w:t>
            </w:r>
            <w:r>
              <w:rPr>
                <w:rFonts w:hint="default" w:ascii="Times New Roman" w:hAnsi="Times New Roman" w:eastAsia="宋体" w:cs="Times New Roman"/>
                <w:spacing w:val="-2"/>
                <w:sz w:val="21"/>
                <w:szCs w:val="21"/>
              </w:rPr>
              <w:t>排土场各1座，用于暂</w:t>
            </w:r>
            <w:r>
              <w:rPr>
                <w:rFonts w:hint="default" w:ascii="Times New Roman" w:hAnsi="Times New Roman" w:eastAsia="宋体" w:cs="Times New Roman"/>
                <w:spacing w:val="8"/>
                <w:sz w:val="21"/>
                <w:szCs w:val="21"/>
              </w:rPr>
              <w:t>存剥离产生的表土及废</w:t>
            </w:r>
            <w:r>
              <w:rPr>
                <w:rFonts w:hint="default" w:ascii="Times New Roman" w:hAnsi="Times New Roman" w:eastAsia="宋体" w:cs="Times New Roman"/>
                <w:spacing w:val="3"/>
                <w:sz w:val="21"/>
                <w:szCs w:val="21"/>
              </w:rPr>
              <w:t>石</w:t>
            </w:r>
            <w:r>
              <w:rPr>
                <w:rFonts w:hint="eastAsia" w:ascii="Times New Roman" w:hAnsi="Times New Roman" w:eastAsia="宋体" w:cs="Times New Roman"/>
                <w:spacing w:val="3"/>
                <w:sz w:val="21"/>
                <w:szCs w:val="21"/>
                <w:lang w:eastAsia="zh-CN"/>
              </w:rPr>
              <w:t>，</w:t>
            </w:r>
            <w:r>
              <w:rPr>
                <w:rFonts w:hint="default" w:ascii="Times New Roman" w:hAnsi="Times New Roman" w:eastAsia="宋体" w:cs="Times New Roman"/>
                <w:spacing w:val="3"/>
                <w:sz w:val="21"/>
                <w:szCs w:val="21"/>
              </w:rPr>
              <w:t>矿山实行“边开采</w:t>
            </w:r>
            <w:r>
              <w:rPr>
                <w:rFonts w:hint="default" w:ascii="Times New Roman" w:hAnsi="Times New Roman" w:eastAsia="宋体" w:cs="Times New Roman"/>
                <w:spacing w:val="2"/>
                <w:sz w:val="21"/>
                <w:szCs w:val="21"/>
              </w:rPr>
              <w:t>边复垦方式”</w:t>
            </w:r>
            <w:r>
              <w:rPr>
                <w:rFonts w:hint="default" w:ascii="Times New Roman" w:hAnsi="Times New Roman" w:eastAsia="宋体" w:cs="Times New Roman"/>
                <w:spacing w:val="-39"/>
                <w:sz w:val="21"/>
                <w:szCs w:val="21"/>
              </w:rPr>
              <w:t xml:space="preserve"> </w:t>
            </w:r>
            <w:r>
              <w:rPr>
                <w:rFonts w:hint="default" w:ascii="Times New Roman" w:hAnsi="Times New Roman" w:eastAsia="宋体" w:cs="Times New Roman"/>
                <w:spacing w:val="2"/>
                <w:sz w:val="21"/>
                <w:szCs w:val="21"/>
              </w:rPr>
              <w:t>开采产</w:t>
            </w:r>
            <w:r>
              <w:rPr>
                <w:rFonts w:hint="default" w:ascii="Times New Roman" w:hAnsi="Times New Roman" w:eastAsia="宋体" w:cs="Times New Roman"/>
                <w:spacing w:val="8"/>
                <w:sz w:val="21"/>
                <w:szCs w:val="21"/>
              </w:rPr>
              <w:t>生的废石剥离物用于上一段采区以及终了形成</w:t>
            </w:r>
            <w:r>
              <w:rPr>
                <w:rFonts w:hint="default" w:ascii="Times New Roman" w:hAnsi="Times New Roman" w:eastAsia="宋体" w:cs="Times New Roman"/>
                <w:spacing w:val="3"/>
                <w:sz w:val="21"/>
                <w:szCs w:val="21"/>
              </w:rPr>
              <w:t>的采坑回填，表土剥离</w:t>
            </w:r>
            <w:r>
              <w:rPr>
                <w:rFonts w:hint="default" w:ascii="Times New Roman" w:hAnsi="Times New Roman" w:eastAsia="宋体" w:cs="Times New Roman"/>
                <w:spacing w:val="8"/>
                <w:sz w:val="21"/>
                <w:szCs w:val="21"/>
              </w:rPr>
              <w:t>物用于生态恢复及土地</w:t>
            </w:r>
            <w:r>
              <w:rPr>
                <w:rFonts w:hint="default" w:ascii="Times New Roman" w:hAnsi="Times New Roman" w:eastAsia="宋体" w:cs="Times New Roman"/>
                <w:spacing w:val="-1"/>
                <w:sz w:val="21"/>
                <w:szCs w:val="21"/>
              </w:rPr>
              <w:t>复垦；</w:t>
            </w:r>
          </w:p>
          <w:p w14:paraId="36CCF501">
            <w:pPr>
              <w:pStyle w:val="45"/>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②生活垃圾垃圾桶收集后定期拉运至当地环卫</w:t>
            </w:r>
            <w:r>
              <w:rPr>
                <w:rFonts w:hint="default" w:ascii="Times New Roman" w:hAnsi="Times New Roman" w:eastAsia="宋体" w:cs="Times New Roman"/>
                <w:spacing w:val="1"/>
                <w:sz w:val="21"/>
                <w:szCs w:val="21"/>
              </w:rPr>
              <w:t>部门指定地点处置；</w:t>
            </w:r>
          </w:p>
          <w:p w14:paraId="10FED231">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3"/>
                <w:sz w:val="21"/>
                <w:szCs w:val="21"/>
              </w:rPr>
              <w:t>③新建1座5m</w:t>
            </w:r>
            <w:r>
              <w:rPr>
                <w:rFonts w:hint="eastAsia" w:cs="Times New Roman"/>
                <w:spacing w:val="-13"/>
                <w:sz w:val="21"/>
                <w:szCs w:val="21"/>
                <w:vertAlign w:val="superscript"/>
                <w:lang w:val="en-US" w:eastAsia="zh-CN"/>
              </w:rPr>
              <w:t>2</w:t>
            </w:r>
            <w:r>
              <w:rPr>
                <w:rFonts w:hint="default" w:ascii="Times New Roman" w:hAnsi="Times New Roman" w:eastAsia="宋体" w:cs="Times New Roman"/>
                <w:spacing w:val="-13"/>
                <w:sz w:val="21"/>
                <w:szCs w:val="21"/>
              </w:rPr>
              <w:t>的危废</w:t>
            </w:r>
            <w:r>
              <w:rPr>
                <w:rFonts w:hint="default" w:ascii="Times New Roman" w:hAnsi="Times New Roman" w:eastAsia="宋体" w:cs="Times New Roman"/>
                <w:spacing w:val="3"/>
                <w:sz w:val="21"/>
                <w:szCs w:val="21"/>
              </w:rPr>
              <w:t>暂存点</w:t>
            </w:r>
            <w:r>
              <w:rPr>
                <w:rFonts w:hint="default" w:ascii="Times New Roman" w:hAnsi="Times New Roman" w:eastAsia="宋体" w:cs="Times New Roman"/>
                <w:spacing w:val="-17"/>
                <w:sz w:val="21"/>
                <w:szCs w:val="21"/>
              </w:rPr>
              <w:t xml:space="preserve"> </w:t>
            </w:r>
            <w:r>
              <w:rPr>
                <w:rFonts w:hint="default" w:ascii="Times New Roman" w:hAnsi="Times New Roman" w:eastAsia="宋体" w:cs="Times New Roman"/>
                <w:spacing w:val="3"/>
                <w:sz w:val="21"/>
                <w:szCs w:val="21"/>
              </w:rPr>
              <w:t>，废机油等危险</w:t>
            </w:r>
            <w:r>
              <w:rPr>
                <w:rFonts w:hint="default" w:ascii="Times New Roman" w:hAnsi="Times New Roman" w:eastAsia="宋体" w:cs="Times New Roman"/>
                <w:spacing w:val="8"/>
                <w:sz w:val="21"/>
                <w:szCs w:val="21"/>
              </w:rPr>
              <w:t>废物集中收集后定期交</w:t>
            </w:r>
            <w:r>
              <w:rPr>
                <w:rFonts w:hint="default" w:ascii="Times New Roman" w:hAnsi="Times New Roman" w:eastAsia="宋体" w:cs="Times New Roman"/>
                <w:spacing w:val="-1"/>
                <w:sz w:val="21"/>
                <w:szCs w:val="21"/>
              </w:rPr>
              <w:t>由有资质的单位处置</w:t>
            </w:r>
          </w:p>
        </w:tc>
        <w:tc>
          <w:tcPr>
            <w:tcW w:w="668" w:type="pct"/>
            <w:noWrap w:val="0"/>
            <w:vAlign w:val="center"/>
          </w:tcPr>
          <w:p w14:paraId="2E1B9266">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《一般工业固体废</w:t>
            </w:r>
            <w:r>
              <w:rPr>
                <w:rFonts w:hint="default" w:ascii="Times New Roman" w:hAnsi="Times New Roman" w:eastAsia="宋体" w:cs="Times New Roman"/>
                <w:spacing w:val="7"/>
                <w:sz w:val="21"/>
                <w:szCs w:val="21"/>
              </w:rPr>
              <w:t>物贮存和填埋污染</w:t>
            </w:r>
            <w:r>
              <w:rPr>
                <w:rFonts w:hint="default" w:ascii="Times New Roman" w:hAnsi="Times New Roman" w:eastAsia="宋体" w:cs="Times New Roman"/>
                <w:spacing w:val="6"/>
                <w:sz w:val="21"/>
                <w:szCs w:val="21"/>
              </w:rPr>
              <w:t>控制标准》</w:t>
            </w:r>
          </w:p>
          <w:p w14:paraId="2C2741D2">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w:t>
            </w:r>
            <w:r>
              <w:rPr>
                <w:rFonts w:hint="default" w:ascii="Times New Roman" w:hAnsi="Times New Roman" w:eastAsia="宋体" w:cs="Times New Roman"/>
                <w:spacing w:val="4"/>
                <w:sz w:val="21"/>
                <w:szCs w:val="21"/>
              </w:rPr>
              <w:t>18599-2020）、</w:t>
            </w:r>
          </w:p>
          <w:p w14:paraId="108D6D31">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《危险废物贮存污</w:t>
            </w:r>
            <w:r>
              <w:rPr>
                <w:rFonts w:hint="default" w:ascii="Times New Roman" w:hAnsi="Times New Roman" w:eastAsia="宋体" w:cs="Times New Roman"/>
                <w:spacing w:val="6"/>
                <w:sz w:val="21"/>
                <w:szCs w:val="21"/>
              </w:rPr>
              <w:t>染控制标准》</w:t>
            </w:r>
          </w:p>
          <w:p w14:paraId="047A9846">
            <w:pPr>
              <w:keepNext w:val="0"/>
              <w:keepLines w:val="0"/>
              <w:pageBreakBefore w:val="0"/>
              <w:kinsoku/>
              <w:wordWrap/>
              <w:overflowPunct/>
              <w:topLinePunct w:val="0"/>
              <w:autoSpaceDE/>
              <w:autoSpaceDN/>
              <w:bidi w:val="0"/>
              <w:adjustRightInd w:val="0"/>
              <w:snapToGrid w:val="0"/>
              <w:spacing w:line="240" w:lineRule="auto"/>
              <w:ind w:left="0" w:right="0"/>
              <w:textAlignment w:val="auto"/>
              <w:rPr>
                <w:rFonts w:hint="default" w:ascii="Times New Roman" w:hAnsi="Times New Roman" w:eastAsia="宋体" w:cs="Times New Roman"/>
                <w:sz w:val="21"/>
                <w:szCs w:val="21"/>
              </w:rPr>
            </w:pPr>
            <w:r>
              <w:rPr>
                <w:rFonts w:hint="eastAsia" w:cs="Times New Roman"/>
                <w:sz w:val="21"/>
                <w:szCs w:val="21"/>
                <w:lang w:eastAsia="zh-CN"/>
              </w:rPr>
              <w:t>（</w:t>
            </w:r>
            <w:r>
              <w:rPr>
                <w:rFonts w:hint="default" w:ascii="Times New Roman" w:hAnsi="Times New Roman" w:eastAsia="宋体" w:cs="Times New Roman"/>
                <w:sz w:val="21"/>
                <w:szCs w:val="21"/>
              </w:rPr>
              <w:t>GB</w:t>
            </w:r>
            <w:r>
              <w:rPr>
                <w:rFonts w:hint="default" w:ascii="Times New Roman" w:hAnsi="Times New Roman" w:eastAsia="宋体" w:cs="Times New Roman"/>
                <w:spacing w:val="3"/>
                <w:sz w:val="21"/>
                <w:szCs w:val="21"/>
              </w:rPr>
              <w:t>18597-2023</w:t>
            </w:r>
            <w:r>
              <w:rPr>
                <w:rFonts w:hint="eastAsia" w:cs="Times New Roman"/>
                <w:sz w:val="21"/>
                <w:szCs w:val="21"/>
                <w:lang w:eastAsia="zh-CN"/>
              </w:rPr>
              <w:t>）</w:t>
            </w:r>
          </w:p>
        </w:tc>
      </w:tr>
      <w:tr w14:paraId="61263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51CC4AED">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电磁环境</w:t>
            </w:r>
          </w:p>
        </w:tc>
        <w:tc>
          <w:tcPr>
            <w:tcW w:w="1203" w:type="pct"/>
            <w:noWrap w:val="0"/>
            <w:vAlign w:val="center"/>
          </w:tcPr>
          <w:p w14:paraId="40F58E19">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0" w:type="pct"/>
            <w:noWrap w:val="0"/>
            <w:vAlign w:val="center"/>
          </w:tcPr>
          <w:p w14:paraId="02D0DAB8">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97" w:type="pct"/>
            <w:noWrap w:val="0"/>
            <w:vAlign w:val="center"/>
          </w:tcPr>
          <w:p w14:paraId="68BB9B21">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8" w:type="pct"/>
            <w:noWrap w:val="0"/>
            <w:vAlign w:val="center"/>
          </w:tcPr>
          <w:p w14:paraId="724B4C29">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5DABC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270" w:type="pct"/>
            <w:noWrap w:val="0"/>
            <w:vAlign w:val="center"/>
          </w:tcPr>
          <w:p w14:paraId="6F92AB21">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w:t>
            </w:r>
          </w:p>
        </w:tc>
        <w:tc>
          <w:tcPr>
            <w:tcW w:w="1203" w:type="pct"/>
            <w:noWrap w:val="0"/>
            <w:vAlign w:val="center"/>
          </w:tcPr>
          <w:p w14:paraId="4367D7B9">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0" w:type="pct"/>
            <w:noWrap w:val="0"/>
            <w:vAlign w:val="center"/>
          </w:tcPr>
          <w:p w14:paraId="36466E1A">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97" w:type="pct"/>
            <w:noWrap w:val="0"/>
            <w:vAlign w:val="top"/>
          </w:tcPr>
          <w:p w14:paraId="1723FF37">
            <w:pPr>
              <w:tabs>
                <w:tab w:val="left" w:pos="679"/>
              </w:tabs>
              <w:bidi w:val="0"/>
              <w:jc w:val="left"/>
              <w:rPr>
                <w:rFonts w:hint="eastAsia" w:eastAsia="宋体"/>
                <w:lang w:eastAsia="zh-CN"/>
              </w:rPr>
            </w:pPr>
            <w:r>
              <w:rPr>
                <w:rFonts w:hint="eastAsia"/>
                <w:lang w:val="en-US" w:eastAsia="zh-CN"/>
              </w:rPr>
              <w:t>危废贮存点地面及墙裙进行防渗</w:t>
            </w:r>
          </w:p>
        </w:tc>
        <w:tc>
          <w:tcPr>
            <w:tcW w:w="668" w:type="pct"/>
            <w:noWrap w:val="0"/>
            <w:vAlign w:val="top"/>
          </w:tcPr>
          <w:p w14:paraId="7D4E4B50">
            <w:pPr>
              <w:pStyle w:val="45"/>
              <w:keepNext w:val="0"/>
              <w:keepLines w:val="0"/>
              <w:pageBreakBefore w:val="0"/>
              <w:kinsoku/>
              <w:wordWrap/>
              <w:overflowPunct/>
              <w:topLinePunct w:val="0"/>
              <w:autoSpaceDE/>
              <w:autoSpaceDN/>
              <w:bidi w:val="0"/>
              <w:spacing w:line="240" w:lineRule="auto"/>
              <w:ind w:left="0" w:leftChars="0" w:right="0" w:rightChars="0" w:firstLine="87"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是否进</w:t>
            </w:r>
            <w:r>
              <w:rPr>
                <w:rFonts w:hint="default" w:ascii="Times New Roman" w:hAnsi="Times New Roman" w:eastAsia="宋体" w:cs="Times New Roman"/>
                <w:spacing w:val="-9"/>
                <w:sz w:val="21"/>
                <w:szCs w:val="21"/>
              </w:rPr>
              <w:t>行防渗。</w:t>
            </w:r>
          </w:p>
        </w:tc>
      </w:tr>
      <w:tr w14:paraId="18009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70" w:type="pct"/>
            <w:noWrap w:val="0"/>
            <w:vAlign w:val="center"/>
          </w:tcPr>
          <w:p w14:paraId="4F427266">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环境监测</w:t>
            </w:r>
          </w:p>
        </w:tc>
        <w:tc>
          <w:tcPr>
            <w:tcW w:w="1203" w:type="pct"/>
            <w:noWrap w:val="0"/>
            <w:vAlign w:val="center"/>
          </w:tcPr>
          <w:p w14:paraId="0DC9B25A">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0" w:type="pct"/>
            <w:noWrap w:val="0"/>
            <w:vAlign w:val="center"/>
          </w:tcPr>
          <w:p w14:paraId="799CB4D5">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97" w:type="pct"/>
            <w:noWrap w:val="0"/>
            <w:vAlign w:val="top"/>
          </w:tcPr>
          <w:p w14:paraId="6B83B991">
            <w:pPr>
              <w:pStyle w:val="45"/>
              <w:keepNext w:val="0"/>
              <w:keepLines w:val="0"/>
              <w:pageBreakBefore w:val="0"/>
              <w:kinsoku/>
              <w:wordWrap/>
              <w:overflowPunct/>
              <w:topLinePunct w:val="0"/>
              <w:autoSpaceDE/>
              <w:autoSpaceDN/>
              <w:bidi w:val="0"/>
              <w:spacing w:line="240" w:lineRule="auto"/>
              <w:ind w:left="0" w:leftChars="0" w:right="0" w:rightChars="0" w:firstLine="2"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开展环境空气和声环境质量监测和生态调查。</w:t>
            </w:r>
          </w:p>
        </w:tc>
        <w:tc>
          <w:tcPr>
            <w:tcW w:w="668" w:type="pct"/>
            <w:noWrap w:val="0"/>
            <w:vAlign w:val="top"/>
          </w:tcPr>
          <w:p w14:paraId="55F87540">
            <w:pPr>
              <w:pStyle w:val="45"/>
              <w:keepNext w:val="0"/>
              <w:keepLines w:val="0"/>
              <w:pageBreakBefore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定期监测和调查。</w:t>
            </w:r>
          </w:p>
        </w:tc>
      </w:tr>
      <w:tr w14:paraId="15F1C2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70" w:type="pct"/>
            <w:noWrap w:val="0"/>
            <w:vAlign w:val="center"/>
          </w:tcPr>
          <w:p w14:paraId="5F51E3E7">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w:t>
            </w:r>
          </w:p>
        </w:tc>
        <w:tc>
          <w:tcPr>
            <w:tcW w:w="1203" w:type="pct"/>
            <w:noWrap w:val="0"/>
            <w:vAlign w:val="center"/>
          </w:tcPr>
          <w:p w14:paraId="68EFE4DE">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0" w:type="pct"/>
            <w:noWrap w:val="0"/>
            <w:vAlign w:val="center"/>
          </w:tcPr>
          <w:p w14:paraId="66DBBFAA">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97" w:type="pct"/>
            <w:noWrap w:val="0"/>
            <w:vAlign w:val="center"/>
          </w:tcPr>
          <w:p w14:paraId="05A45B56">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68" w:type="pct"/>
            <w:noWrap w:val="0"/>
            <w:vAlign w:val="center"/>
          </w:tcPr>
          <w:p w14:paraId="23074E46">
            <w:pPr>
              <w:keepNext w:val="0"/>
              <w:keepLines w:val="0"/>
              <w:pageBreakBefore w:val="0"/>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45AF176C">
      <w:pPr>
        <w:pStyle w:val="20"/>
        <w:jc w:val="center"/>
        <w:outlineLvl w:val="9"/>
        <w:rPr>
          <w:rFonts w:hint="default" w:ascii="Times New Roman" w:hAnsi="Times New Roman" w:eastAsia="宋体" w:cs="Times New Roman"/>
          <w:snapToGrid w:val="0"/>
          <w:sz w:val="24"/>
          <w:szCs w:val="24"/>
        </w:rPr>
      </w:pPr>
    </w:p>
    <w:p w14:paraId="7B9BF6FE">
      <w:pPr>
        <w:pStyle w:val="20"/>
        <w:spacing w:before="0" w:beforeAutospacing="0" w:line="14" w:lineRule="auto"/>
        <w:jc w:val="both"/>
        <w:outlineLvl w:val="0"/>
        <w:rPr>
          <w:rFonts w:hint="default" w:ascii="Times New Roman" w:hAnsi="Times New Roman" w:eastAsia="宋体" w:cs="Times New Roman"/>
          <w:snapToGrid w:val="0"/>
          <w:sz w:val="24"/>
          <w:szCs w:val="24"/>
        </w:rPr>
        <w:sectPr>
          <w:pgSz w:w="16838" w:h="11906" w:orient="landscape"/>
          <w:pgMar w:top="1800" w:right="1440" w:bottom="1800" w:left="1440" w:header="851" w:footer="1077" w:gutter="0"/>
          <w:pgNumType w:fmt="decimal"/>
          <w:cols w:space="720" w:num="1"/>
          <w:docGrid w:linePitch="312" w:charSpace="0"/>
        </w:sectPr>
      </w:pPr>
    </w:p>
    <w:p w14:paraId="4EAC35AF">
      <w:pPr>
        <w:pStyle w:val="20"/>
        <w:spacing w:before="0" w:beforeAutospacing="0" w:line="14" w:lineRule="auto"/>
        <w:jc w:val="center"/>
        <w:outlineLvl w:val="9"/>
        <w:rPr>
          <w:rFonts w:hint="default" w:ascii="Times New Roman" w:hAnsi="Times New Roman" w:eastAsia="宋体" w:cs="Times New Roman"/>
          <w:snapToGrid w:val="0"/>
          <w:sz w:val="24"/>
          <w:szCs w:val="24"/>
        </w:rPr>
      </w:pPr>
    </w:p>
    <w:p w14:paraId="6455C9A8">
      <w:pPr>
        <w:pStyle w:val="20"/>
        <w:spacing w:before="192" w:beforeLines="80" w:beforeAutospacing="0"/>
        <w:jc w:val="center"/>
        <w:outlineLvl w:val="0"/>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七、结论</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A04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200455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eastAsia" w:cs="Times New Roman"/>
                <w:sz w:val="24"/>
                <w:szCs w:val="24"/>
                <w:lang w:eastAsia="zh-CN"/>
              </w:rPr>
              <w:t>“</w:t>
            </w:r>
            <w:r>
              <w:rPr>
                <w:rFonts w:hint="default" w:ascii="Times New Roman" w:hAnsi="Times New Roman" w:eastAsia="宋体" w:cs="Times New Roman"/>
                <w:sz w:val="24"/>
                <w:szCs w:val="24"/>
                <w:lang w:val="en-US" w:eastAsia="zh-CN"/>
              </w:rPr>
              <w:t>甘肃惠临实业发展有限公司年产5万吨凹凸棒石石膏采矿场建设项目</w:t>
            </w:r>
            <w:r>
              <w:rPr>
                <w:rFonts w:hint="eastAsia" w:cs="Times New Roman"/>
                <w:sz w:val="24"/>
                <w:szCs w:val="24"/>
                <w:lang w:eastAsia="zh-CN"/>
              </w:rPr>
              <w:t>”</w:t>
            </w:r>
            <w:r>
              <w:rPr>
                <w:rFonts w:hint="default" w:ascii="Times New Roman" w:hAnsi="Times New Roman" w:eastAsia="宋体" w:cs="Times New Roman"/>
                <w:sz w:val="24"/>
                <w:szCs w:val="24"/>
              </w:rPr>
              <w:t>符合国家产业政策和相关规划要求，满足</w:t>
            </w:r>
            <w:r>
              <w:rPr>
                <w:rFonts w:hint="eastAsia" w:cs="Times New Roman"/>
                <w:sz w:val="24"/>
                <w:szCs w:val="24"/>
                <w:lang w:eastAsia="zh-CN"/>
              </w:rPr>
              <w:t>“</w:t>
            </w:r>
            <w:r>
              <w:rPr>
                <w:rFonts w:hint="default" w:ascii="Times New Roman" w:hAnsi="Times New Roman" w:eastAsia="宋体" w:cs="Times New Roman"/>
                <w:sz w:val="24"/>
                <w:szCs w:val="24"/>
              </w:rPr>
              <w:t>生态环境分区管控</w:t>
            </w:r>
            <w:r>
              <w:rPr>
                <w:rFonts w:hint="eastAsia" w:cs="Times New Roman"/>
                <w:sz w:val="24"/>
                <w:szCs w:val="24"/>
                <w:lang w:eastAsia="zh-CN"/>
              </w:rPr>
              <w:t>”</w:t>
            </w:r>
            <w:r>
              <w:rPr>
                <w:rFonts w:hint="default" w:ascii="Times New Roman" w:hAnsi="Times New Roman" w:eastAsia="宋体" w:cs="Times New Roman"/>
                <w:sz w:val="24"/>
                <w:szCs w:val="24"/>
              </w:rPr>
              <w:t>要求，项目的实施有利于促进当地经济发展和资源合理利用。</w:t>
            </w:r>
          </w:p>
          <w:p w14:paraId="12B2F97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在建设、运行过程中将对当地环境产生一定的不利影响，通过采取合理可行的污染防治措施，各项污染物均能实施达标排放，生态影响可通过相应的生态保护和恢复治理措施逐步修复。建设单位在切实落实本环评提出的各项环保措施和对策，减免各种不利影响，并严格执行环境保护“三同时”制度，确保污染治理设施正常运转、充分重视环境风险防范的前提下，可使本项目对环境的不利影响降低至可接受的水平。从环境保护的角度评价，本项目建设可行。</w:t>
            </w:r>
          </w:p>
          <w:p w14:paraId="42F38A1A">
            <w:pPr>
              <w:rPr>
                <w:rFonts w:hint="default" w:ascii="Times New Roman" w:hAnsi="Times New Roman" w:eastAsia="宋体" w:cs="Times New Roman"/>
                <w:sz w:val="24"/>
                <w:szCs w:val="24"/>
              </w:rPr>
            </w:pPr>
          </w:p>
          <w:p w14:paraId="6D4884D4">
            <w:pPr>
              <w:rPr>
                <w:rFonts w:hint="default" w:ascii="Times New Roman" w:hAnsi="Times New Roman" w:eastAsia="宋体" w:cs="Times New Roman"/>
                <w:sz w:val="24"/>
                <w:szCs w:val="24"/>
              </w:rPr>
            </w:pPr>
          </w:p>
          <w:p w14:paraId="7B6B7707">
            <w:pPr>
              <w:rPr>
                <w:rFonts w:hint="default" w:ascii="Times New Roman" w:hAnsi="Times New Roman" w:eastAsia="宋体" w:cs="Times New Roman"/>
                <w:sz w:val="24"/>
                <w:szCs w:val="24"/>
              </w:rPr>
            </w:pPr>
          </w:p>
          <w:p w14:paraId="137B489D">
            <w:pPr>
              <w:rPr>
                <w:rFonts w:hint="default" w:ascii="Times New Roman" w:hAnsi="Times New Roman" w:eastAsia="宋体" w:cs="Times New Roman"/>
                <w:sz w:val="24"/>
                <w:szCs w:val="24"/>
              </w:rPr>
            </w:pPr>
          </w:p>
          <w:p w14:paraId="348B794C">
            <w:pPr>
              <w:rPr>
                <w:rFonts w:hint="default" w:ascii="Times New Roman" w:hAnsi="Times New Roman" w:eastAsia="宋体" w:cs="Times New Roman"/>
                <w:sz w:val="24"/>
                <w:szCs w:val="24"/>
              </w:rPr>
            </w:pPr>
          </w:p>
          <w:p w14:paraId="4C3FFB4D">
            <w:pPr>
              <w:rPr>
                <w:rFonts w:hint="default" w:ascii="Times New Roman" w:hAnsi="Times New Roman" w:eastAsia="宋体" w:cs="Times New Roman"/>
                <w:sz w:val="24"/>
                <w:szCs w:val="24"/>
              </w:rPr>
            </w:pPr>
          </w:p>
          <w:p w14:paraId="038834C1">
            <w:pPr>
              <w:rPr>
                <w:rFonts w:hint="default" w:ascii="Times New Roman" w:hAnsi="Times New Roman" w:eastAsia="宋体" w:cs="Times New Roman"/>
                <w:sz w:val="24"/>
                <w:szCs w:val="24"/>
              </w:rPr>
            </w:pPr>
          </w:p>
          <w:p w14:paraId="37A2CFAE">
            <w:pPr>
              <w:rPr>
                <w:rFonts w:hint="default" w:ascii="Times New Roman" w:hAnsi="Times New Roman" w:eastAsia="宋体" w:cs="Times New Roman"/>
                <w:sz w:val="24"/>
                <w:szCs w:val="24"/>
              </w:rPr>
            </w:pPr>
          </w:p>
          <w:p w14:paraId="355C88D9">
            <w:pPr>
              <w:rPr>
                <w:rFonts w:hint="default" w:ascii="Times New Roman" w:hAnsi="Times New Roman" w:eastAsia="宋体" w:cs="Times New Roman"/>
                <w:sz w:val="24"/>
                <w:szCs w:val="24"/>
              </w:rPr>
            </w:pPr>
          </w:p>
          <w:p w14:paraId="0F13DB6B">
            <w:pPr>
              <w:rPr>
                <w:rFonts w:hint="default" w:ascii="Times New Roman" w:hAnsi="Times New Roman" w:eastAsia="宋体" w:cs="Times New Roman"/>
                <w:sz w:val="24"/>
                <w:szCs w:val="24"/>
              </w:rPr>
            </w:pPr>
          </w:p>
          <w:p w14:paraId="1151E23E">
            <w:pPr>
              <w:rPr>
                <w:rFonts w:hint="default" w:ascii="Times New Roman" w:hAnsi="Times New Roman" w:eastAsia="宋体" w:cs="Times New Roman"/>
                <w:sz w:val="24"/>
                <w:szCs w:val="24"/>
              </w:rPr>
            </w:pPr>
          </w:p>
          <w:p w14:paraId="1D29373E">
            <w:pPr>
              <w:rPr>
                <w:rFonts w:hint="default" w:ascii="Times New Roman" w:hAnsi="Times New Roman" w:eastAsia="宋体" w:cs="Times New Roman"/>
                <w:sz w:val="24"/>
                <w:szCs w:val="24"/>
              </w:rPr>
            </w:pPr>
          </w:p>
          <w:p w14:paraId="37025EB3">
            <w:pPr>
              <w:rPr>
                <w:rFonts w:hint="default" w:ascii="Times New Roman" w:hAnsi="Times New Roman" w:eastAsia="宋体" w:cs="Times New Roman"/>
                <w:sz w:val="24"/>
                <w:szCs w:val="24"/>
              </w:rPr>
            </w:pPr>
          </w:p>
          <w:p w14:paraId="53216D6D">
            <w:pPr>
              <w:rPr>
                <w:rFonts w:hint="default" w:ascii="Times New Roman" w:hAnsi="Times New Roman" w:eastAsia="宋体" w:cs="Times New Roman"/>
                <w:sz w:val="24"/>
                <w:szCs w:val="24"/>
              </w:rPr>
            </w:pPr>
          </w:p>
          <w:p w14:paraId="5F7D8227">
            <w:pPr>
              <w:rPr>
                <w:rFonts w:hint="default" w:ascii="Times New Roman" w:hAnsi="Times New Roman" w:eastAsia="宋体" w:cs="Times New Roman"/>
                <w:sz w:val="24"/>
                <w:szCs w:val="24"/>
              </w:rPr>
            </w:pPr>
          </w:p>
          <w:p w14:paraId="0D77FE88">
            <w:pPr>
              <w:rPr>
                <w:rFonts w:hint="default" w:ascii="Times New Roman" w:hAnsi="Times New Roman" w:eastAsia="宋体" w:cs="Times New Roman"/>
                <w:sz w:val="24"/>
                <w:szCs w:val="24"/>
              </w:rPr>
            </w:pPr>
          </w:p>
          <w:p w14:paraId="413BDF7F">
            <w:pPr>
              <w:rPr>
                <w:rFonts w:hint="default" w:ascii="Times New Roman" w:hAnsi="Times New Roman" w:eastAsia="宋体" w:cs="Times New Roman"/>
                <w:sz w:val="24"/>
                <w:szCs w:val="24"/>
              </w:rPr>
            </w:pPr>
          </w:p>
          <w:p w14:paraId="20C735E6">
            <w:pPr>
              <w:rPr>
                <w:rFonts w:hint="default" w:ascii="Times New Roman" w:hAnsi="Times New Roman" w:eastAsia="宋体" w:cs="Times New Roman"/>
                <w:sz w:val="24"/>
                <w:szCs w:val="24"/>
              </w:rPr>
            </w:pPr>
          </w:p>
          <w:p w14:paraId="3452E686">
            <w:pPr>
              <w:rPr>
                <w:rFonts w:hint="default" w:ascii="Times New Roman" w:hAnsi="Times New Roman" w:eastAsia="宋体" w:cs="Times New Roman"/>
                <w:sz w:val="24"/>
                <w:szCs w:val="24"/>
              </w:rPr>
            </w:pPr>
          </w:p>
          <w:p w14:paraId="40B1AF49">
            <w:pPr>
              <w:rPr>
                <w:rFonts w:hint="default" w:ascii="Times New Roman" w:hAnsi="Times New Roman" w:eastAsia="宋体" w:cs="Times New Roman"/>
                <w:sz w:val="24"/>
                <w:szCs w:val="24"/>
              </w:rPr>
            </w:pPr>
          </w:p>
          <w:p w14:paraId="53A900F4">
            <w:pPr>
              <w:rPr>
                <w:rFonts w:hint="default" w:ascii="Times New Roman" w:hAnsi="Times New Roman" w:eastAsia="宋体" w:cs="Times New Roman"/>
                <w:sz w:val="24"/>
                <w:szCs w:val="24"/>
              </w:rPr>
            </w:pPr>
          </w:p>
          <w:p w14:paraId="1E67BAF3">
            <w:pPr>
              <w:rPr>
                <w:rFonts w:hint="default" w:ascii="Times New Roman" w:hAnsi="Times New Roman" w:eastAsia="宋体" w:cs="Times New Roman"/>
                <w:sz w:val="24"/>
                <w:szCs w:val="24"/>
              </w:rPr>
            </w:pPr>
          </w:p>
          <w:p w14:paraId="3AA9BC2E">
            <w:pPr>
              <w:rPr>
                <w:rFonts w:hint="default" w:ascii="Times New Roman" w:hAnsi="Times New Roman" w:eastAsia="宋体" w:cs="Times New Roman"/>
                <w:sz w:val="24"/>
                <w:szCs w:val="24"/>
              </w:rPr>
            </w:pPr>
          </w:p>
          <w:p w14:paraId="712CF782">
            <w:pPr>
              <w:rPr>
                <w:rFonts w:hint="default" w:ascii="Times New Roman" w:hAnsi="Times New Roman" w:eastAsia="宋体" w:cs="Times New Roman"/>
                <w:sz w:val="24"/>
                <w:szCs w:val="24"/>
              </w:rPr>
            </w:pPr>
          </w:p>
          <w:p w14:paraId="02C80F93">
            <w:pPr>
              <w:rPr>
                <w:rFonts w:hint="default" w:ascii="Times New Roman" w:hAnsi="Times New Roman" w:eastAsia="宋体" w:cs="Times New Roman"/>
                <w:sz w:val="24"/>
                <w:szCs w:val="24"/>
              </w:rPr>
            </w:pPr>
          </w:p>
          <w:p w14:paraId="431AB190">
            <w:pPr>
              <w:rPr>
                <w:rFonts w:hint="default" w:ascii="Times New Roman" w:hAnsi="Times New Roman" w:eastAsia="宋体" w:cs="Times New Roman"/>
                <w:sz w:val="24"/>
                <w:szCs w:val="24"/>
              </w:rPr>
            </w:pPr>
          </w:p>
          <w:p w14:paraId="62D6840B">
            <w:pPr>
              <w:rPr>
                <w:rFonts w:hint="default" w:ascii="Times New Roman" w:hAnsi="Times New Roman" w:eastAsia="宋体" w:cs="Times New Roman"/>
                <w:sz w:val="24"/>
                <w:szCs w:val="24"/>
              </w:rPr>
            </w:pPr>
          </w:p>
          <w:p w14:paraId="1CD3D29C">
            <w:pPr>
              <w:rPr>
                <w:rFonts w:hint="default" w:ascii="Times New Roman" w:hAnsi="Times New Roman" w:eastAsia="宋体" w:cs="Times New Roman"/>
                <w:sz w:val="24"/>
                <w:szCs w:val="24"/>
              </w:rPr>
            </w:pPr>
          </w:p>
          <w:p w14:paraId="7079C31C">
            <w:pPr>
              <w:rPr>
                <w:rFonts w:hint="default" w:ascii="Times New Roman" w:hAnsi="Times New Roman" w:eastAsia="宋体" w:cs="Times New Roman"/>
                <w:sz w:val="24"/>
                <w:szCs w:val="24"/>
              </w:rPr>
            </w:pPr>
          </w:p>
          <w:p w14:paraId="087BFFF8">
            <w:pPr>
              <w:rPr>
                <w:rFonts w:hint="default" w:ascii="Times New Roman" w:hAnsi="Times New Roman" w:eastAsia="宋体" w:cs="Times New Roman"/>
                <w:sz w:val="24"/>
                <w:szCs w:val="24"/>
              </w:rPr>
            </w:pPr>
          </w:p>
        </w:tc>
      </w:tr>
    </w:tbl>
    <w:p w14:paraId="2FC55008">
      <w:pPr>
        <w:widowControl/>
        <w:adjustRightInd w:val="0"/>
        <w:snapToGrid w:val="0"/>
        <w:spacing w:before="192" w:beforeLines="80"/>
        <w:jc w:val="left"/>
        <w:rPr>
          <w:rFonts w:ascii="宋体"/>
        </w:rPr>
      </w:pPr>
    </w:p>
    <w:sectPr>
      <w:pgSz w:w="11906" w:h="16838"/>
      <w:pgMar w:top="1440" w:right="1800" w:bottom="1440" w:left="1800" w:header="851"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MS Gothic">
    <w:panose1 w:val="020B0609070205080204"/>
    <w:charset w:val="86"/>
    <w:family w:val="auto"/>
    <w:pitch w:val="default"/>
    <w:sig w:usb0="E00002FF" w:usb1="6AC7FDFB" w:usb2="08000012" w:usb3="00000000" w:csb0="4002009F" w:csb1="DFD70000"/>
  </w:font>
  <w:font w:name="Cambria Math">
    <w:panose1 w:val="02040503050406030204"/>
    <w:charset w:val="00"/>
    <w:family w:val="auto"/>
    <w:pitch w:val="default"/>
    <w:sig w:usb0="E00006FF" w:usb1="420024FF" w:usb2="02000000" w:usb3="00000000" w:csb0="2000019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B5553">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843B0">
    <w:pPr>
      <w:pStyle w:val="15"/>
      <w:framePr w:wrap="around" w:vAnchor="text" w:hAnchor="margin" w:xAlign="outside" w:y="1"/>
      <w:rPr>
        <w:rStyle w:val="27"/>
      </w:rPr>
    </w:pPr>
    <w:r>
      <w:rPr>
        <w:rStyle w:val="27"/>
      </w:rPr>
      <w:fldChar w:fldCharType="begin"/>
    </w:r>
    <w:r>
      <w:rPr>
        <w:rStyle w:val="27"/>
      </w:rPr>
      <w:instrText xml:space="preserve">PAGE  </w:instrText>
    </w:r>
    <w:r>
      <w:rPr>
        <w:rStyle w:val="27"/>
      </w:rPr>
      <w:fldChar w:fldCharType="end"/>
    </w:r>
  </w:p>
  <w:p w14:paraId="79E4B2A3">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1F27D">
    <w:pPr>
      <w:pStyle w:val="1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D4EC82">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He6nMPdAQAAvwMAAA4AAAAAAAAA&#10;AQAgAAAAHgEAAGRycy9lMm9Eb2MueG1sUEsFBgAAAAAGAAYAWQEAAG0FAAAAAA==&#10;">
              <v:fill on="f" focussize="0,0"/>
              <v:stroke on="f"/>
              <v:imagedata o:title=""/>
              <o:lock v:ext="edit" aspectratio="f"/>
              <v:textbox inset="0mm,0mm,0mm,0mm" style="mso-fit-shape-to-text:t;">
                <w:txbxContent>
                  <w:p w14:paraId="50D4EC82">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DB923"/>
    <w:multiLevelType w:val="singleLevel"/>
    <w:tmpl w:val="87FDB923"/>
    <w:lvl w:ilvl="0" w:tentative="0">
      <w:start w:val="3"/>
      <w:numFmt w:val="decimal"/>
      <w:suff w:val="nothing"/>
      <w:lvlText w:val="（%1）"/>
      <w:lvlJc w:val="left"/>
    </w:lvl>
  </w:abstractNum>
  <w:abstractNum w:abstractNumId="1">
    <w:nsid w:val="886797B2"/>
    <w:multiLevelType w:val="singleLevel"/>
    <w:tmpl w:val="886797B2"/>
    <w:lvl w:ilvl="0" w:tentative="0">
      <w:start w:val="1"/>
      <w:numFmt w:val="decimal"/>
      <w:suff w:val="nothing"/>
      <w:lvlText w:val="%1、"/>
      <w:lvlJc w:val="left"/>
    </w:lvl>
  </w:abstractNum>
  <w:abstractNum w:abstractNumId="2">
    <w:nsid w:val="A6F6D22E"/>
    <w:multiLevelType w:val="singleLevel"/>
    <w:tmpl w:val="A6F6D22E"/>
    <w:lvl w:ilvl="0" w:tentative="0">
      <w:start w:val="1"/>
      <w:numFmt w:val="decimal"/>
      <w:suff w:val="nothing"/>
      <w:lvlText w:val="%1、"/>
      <w:lvlJc w:val="left"/>
    </w:lvl>
  </w:abstractNum>
  <w:abstractNum w:abstractNumId="3">
    <w:nsid w:val="B795ECC5"/>
    <w:multiLevelType w:val="singleLevel"/>
    <w:tmpl w:val="B795ECC5"/>
    <w:lvl w:ilvl="0" w:tentative="0">
      <w:start w:val="1"/>
      <w:numFmt w:val="decimal"/>
      <w:suff w:val="nothing"/>
      <w:lvlText w:val="%1、"/>
      <w:lvlJc w:val="left"/>
    </w:lvl>
  </w:abstractNum>
  <w:abstractNum w:abstractNumId="4">
    <w:nsid w:val="B8CD2F84"/>
    <w:multiLevelType w:val="singleLevel"/>
    <w:tmpl w:val="B8CD2F84"/>
    <w:lvl w:ilvl="0" w:tentative="0">
      <w:start w:val="3"/>
      <w:numFmt w:val="decimal"/>
      <w:suff w:val="nothing"/>
      <w:lvlText w:val="%1）"/>
      <w:lvlJc w:val="left"/>
    </w:lvl>
  </w:abstractNum>
  <w:abstractNum w:abstractNumId="5">
    <w:nsid w:val="C7B6E85E"/>
    <w:multiLevelType w:val="singleLevel"/>
    <w:tmpl w:val="C7B6E85E"/>
    <w:lvl w:ilvl="0" w:tentative="0">
      <w:start w:val="1"/>
      <w:numFmt w:val="decimal"/>
      <w:suff w:val="nothing"/>
      <w:lvlText w:val="%1、"/>
      <w:lvlJc w:val="left"/>
    </w:lvl>
  </w:abstractNum>
  <w:abstractNum w:abstractNumId="6">
    <w:nsid w:val="CBA1BF15"/>
    <w:multiLevelType w:val="singleLevel"/>
    <w:tmpl w:val="CBA1BF15"/>
    <w:lvl w:ilvl="0" w:tentative="0">
      <w:start w:val="2"/>
      <w:numFmt w:val="chineseCounting"/>
      <w:suff w:val="nothing"/>
      <w:lvlText w:val="%1、"/>
      <w:lvlJc w:val="left"/>
      <w:rPr>
        <w:rFonts w:hint="eastAsia"/>
      </w:rPr>
    </w:lvl>
  </w:abstractNum>
  <w:abstractNum w:abstractNumId="7">
    <w:nsid w:val="E101DC82"/>
    <w:multiLevelType w:val="singleLevel"/>
    <w:tmpl w:val="E101DC82"/>
    <w:lvl w:ilvl="0" w:tentative="0">
      <w:start w:val="1"/>
      <w:numFmt w:val="decimal"/>
      <w:suff w:val="nothing"/>
      <w:lvlText w:val="%1、"/>
      <w:lvlJc w:val="left"/>
    </w:lvl>
  </w:abstractNum>
  <w:abstractNum w:abstractNumId="8">
    <w:nsid w:val="E85A97C1"/>
    <w:multiLevelType w:val="singleLevel"/>
    <w:tmpl w:val="E85A97C1"/>
    <w:lvl w:ilvl="0" w:tentative="0">
      <w:start w:val="1"/>
      <w:numFmt w:val="decimal"/>
      <w:suff w:val="nothing"/>
      <w:lvlText w:val="%1、"/>
      <w:lvlJc w:val="left"/>
    </w:lvl>
  </w:abstractNum>
  <w:abstractNum w:abstractNumId="9">
    <w:nsid w:val="FDF35B3D"/>
    <w:multiLevelType w:val="singleLevel"/>
    <w:tmpl w:val="FDF35B3D"/>
    <w:lvl w:ilvl="0" w:tentative="0">
      <w:start w:val="1"/>
      <w:numFmt w:val="decimal"/>
      <w:suff w:val="nothing"/>
      <w:lvlText w:val="%1、"/>
      <w:lvlJc w:val="left"/>
    </w:lvl>
  </w:abstractNum>
  <w:abstractNum w:abstractNumId="10">
    <w:nsid w:val="FFAFB03E"/>
    <w:multiLevelType w:val="singleLevel"/>
    <w:tmpl w:val="FFAFB03E"/>
    <w:lvl w:ilvl="0" w:tentative="0">
      <w:start w:val="1"/>
      <w:numFmt w:val="decimal"/>
      <w:suff w:val="nothing"/>
      <w:lvlText w:val="%1、"/>
      <w:lvlJc w:val="left"/>
    </w:lvl>
  </w:abstractNum>
  <w:abstractNum w:abstractNumId="11">
    <w:nsid w:val="32735054"/>
    <w:multiLevelType w:val="singleLevel"/>
    <w:tmpl w:val="32735054"/>
    <w:lvl w:ilvl="0" w:tentative="0">
      <w:start w:val="1"/>
      <w:numFmt w:val="decimal"/>
      <w:suff w:val="nothing"/>
      <w:lvlText w:val="%1、"/>
      <w:lvlJc w:val="left"/>
    </w:lvl>
  </w:abstractNum>
  <w:abstractNum w:abstractNumId="12">
    <w:nsid w:val="3EF3FAF3"/>
    <w:multiLevelType w:val="singleLevel"/>
    <w:tmpl w:val="3EF3FAF3"/>
    <w:lvl w:ilvl="0" w:tentative="0">
      <w:start w:val="1"/>
      <w:numFmt w:val="chineseCounting"/>
      <w:suff w:val="nothing"/>
      <w:lvlText w:val="%1、"/>
      <w:lvlJc w:val="left"/>
      <w:rPr>
        <w:rFonts w:hint="eastAsia"/>
      </w:rPr>
    </w:lvl>
  </w:abstractNum>
  <w:abstractNum w:abstractNumId="13">
    <w:nsid w:val="4942B22E"/>
    <w:multiLevelType w:val="singleLevel"/>
    <w:tmpl w:val="4942B22E"/>
    <w:lvl w:ilvl="0" w:tentative="0">
      <w:start w:val="1"/>
      <w:numFmt w:val="decimal"/>
      <w:suff w:val="nothing"/>
      <w:lvlText w:val="%1、"/>
      <w:lvlJc w:val="left"/>
    </w:lvl>
  </w:abstractNum>
  <w:abstractNum w:abstractNumId="14">
    <w:nsid w:val="5F5E3ECE"/>
    <w:multiLevelType w:val="singleLevel"/>
    <w:tmpl w:val="5F5E3ECE"/>
    <w:lvl w:ilvl="0" w:tentative="0">
      <w:start w:val="1"/>
      <w:numFmt w:val="decimal"/>
      <w:suff w:val="nothing"/>
      <w:lvlText w:val="（%1）"/>
      <w:lvlJc w:val="left"/>
    </w:lvl>
  </w:abstractNum>
  <w:num w:numId="1">
    <w:abstractNumId w:val="6"/>
  </w:num>
  <w:num w:numId="2">
    <w:abstractNumId w:val="3"/>
  </w:num>
  <w:num w:numId="3">
    <w:abstractNumId w:val="8"/>
  </w:num>
  <w:num w:numId="4">
    <w:abstractNumId w:val="9"/>
  </w:num>
  <w:num w:numId="5">
    <w:abstractNumId w:val="2"/>
  </w:num>
  <w:num w:numId="6">
    <w:abstractNumId w:val="13"/>
  </w:num>
  <w:num w:numId="7">
    <w:abstractNumId w:val="1"/>
  </w:num>
  <w:num w:numId="8">
    <w:abstractNumId w:val="11"/>
  </w:num>
  <w:num w:numId="9">
    <w:abstractNumId w:val="5"/>
  </w:num>
  <w:num w:numId="10">
    <w:abstractNumId w:val="7"/>
  </w:num>
  <w:num w:numId="11">
    <w:abstractNumId w:val="0"/>
  </w:num>
  <w:num w:numId="12">
    <w:abstractNumId w:val="4"/>
  </w:num>
  <w:num w:numId="13">
    <w:abstractNumId w:val="10"/>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xODNjNDMwNzUzNmM3ODM5MDJlOWI5ZjBlZmI1NmQ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20C8"/>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6795B"/>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158C"/>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27520D7"/>
    <w:rsid w:val="02FD0253"/>
    <w:rsid w:val="043438CC"/>
    <w:rsid w:val="04530B13"/>
    <w:rsid w:val="0458652A"/>
    <w:rsid w:val="04CC6F73"/>
    <w:rsid w:val="05742AC8"/>
    <w:rsid w:val="06352F05"/>
    <w:rsid w:val="063E7D85"/>
    <w:rsid w:val="070875E0"/>
    <w:rsid w:val="07293586"/>
    <w:rsid w:val="07295285"/>
    <w:rsid w:val="07623FEA"/>
    <w:rsid w:val="07770C56"/>
    <w:rsid w:val="0834734B"/>
    <w:rsid w:val="08675D3A"/>
    <w:rsid w:val="092217DD"/>
    <w:rsid w:val="093A7294"/>
    <w:rsid w:val="093D4FB7"/>
    <w:rsid w:val="0ACE0F14"/>
    <w:rsid w:val="0AD800AF"/>
    <w:rsid w:val="0BD27BF6"/>
    <w:rsid w:val="0CA5180B"/>
    <w:rsid w:val="0CF62067"/>
    <w:rsid w:val="0E110D06"/>
    <w:rsid w:val="0E372937"/>
    <w:rsid w:val="0F13775A"/>
    <w:rsid w:val="0F9A112B"/>
    <w:rsid w:val="0FA43DF2"/>
    <w:rsid w:val="105B16A6"/>
    <w:rsid w:val="106D2F64"/>
    <w:rsid w:val="10757746"/>
    <w:rsid w:val="10B63710"/>
    <w:rsid w:val="10E23AE5"/>
    <w:rsid w:val="111C2F7A"/>
    <w:rsid w:val="113013DE"/>
    <w:rsid w:val="122B06C2"/>
    <w:rsid w:val="12837EF9"/>
    <w:rsid w:val="12DC3AAD"/>
    <w:rsid w:val="1316305E"/>
    <w:rsid w:val="13951726"/>
    <w:rsid w:val="141B0BDF"/>
    <w:rsid w:val="14396509"/>
    <w:rsid w:val="143D67CD"/>
    <w:rsid w:val="1447165C"/>
    <w:rsid w:val="14551D69"/>
    <w:rsid w:val="15A85EC8"/>
    <w:rsid w:val="17735226"/>
    <w:rsid w:val="18581E27"/>
    <w:rsid w:val="1A1C66C0"/>
    <w:rsid w:val="1A42393B"/>
    <w:rsid w:val="1A6076B8"/>
    <w:rsid w:val="1A7B1DFD"/>
    <w:rsid w:val="1A8D5661"/>
    <w:rsid w:val="1B046F80"/>
    <w:rsid w:val="1B3267B5"/>
    <w:rsid w:val="1BC25DC8"/>
    <w:rsid w:val="1BF14EB8"/>
    <w:rsid w:val="1C5E7925"/>
    <w:rsid w:val="1C7A60C9"/>
    <w:rsid w:val="1C887FC8"/>
    <w:rsid w:val="1D5F6196"/>
    <w:rsid w:val="1D6132A5"/>
    <w:rsid w:val="1D61352C"/>
    <w:rsid w:val="1D8E56D5"/>
    <w:rsid w:val="1E7A43DA"/>
    <w:rsid w:val="1EB277FE"/>
    <w:rsid w:val="1FE7539E"/>
    <w:rsid w:val="201B2773"/>
    <w:rsid w:val="20523600"/>
    <w:rsid w:val="207B2334"/>
    <w:rsid w:val="20963CB8"/>
    <w:rsid w:val="20B07FB6"/>
    <w:rsid w:val="213B74B1"/>
    <w:rsid w:val="215A2310"/>
    <w:rsid w:val="21DE318A"/>
    <w:rsid w:val="21EF5B80"/>
    <w:rsid w:val="22576990"/>
    <w:rsid w:val="229C4EAB"/>
    <w:rsid w:val="23EA3DCF"/>
    <w:rsid w:val="252D53FE"/>
    <w:rsid w:val="25570F24"/>
    <w:rsid w:val="25BA0095"/>
    <w:rsid w:val="25C04D9A"/>
    <w:rsid w:val="25EC2D81"/>
    <w:rsid w:val="264528BD"/>
    <w:rsid w:val="266A16A4"/>
    <w:rsid w:val="266F0A68"/>
    <w:rsid w:val="27736336"/>
    <w:rsid w:val="27D15DD1"/>
    <w:rsid w:val="280B6CCE"/>
    <w:rsid w:val="28A76295"/>
    <w:rsid w:val="29206EB8"/>
    <w:rsid w:val="29451F54"/>
    <w:rsid w:val="29E325E0"/>
    <w:rsid w:val="2A452503"/>
    <w:rsid w:val="2A7B715C"/>
    <w:rsid w:val="2B4F051B"/>
    <w:rsid w:val="2B6A5CA2"/>
    <w:rsid w:val="2BA936A8"/>
    <w:rsid w:val="2C315A5A"/>
    <w:rsid w:val="2D19172E"/>
    <w:rsid w:val="2D9E56F5"/>
    <w:rsid w:val="2E667F96"/>
    <w:rsid w:val="2E8226AB"/>
    <w:rsid w:val="2F123F97"/>
    <w:rsid w:val="2F4B5DEA"/>
    <w:rsid w:val="2F816846"/>
    <w:rsid w:val="2F832C79"/>
    <w:rsid w:val="2FEF2D58"/>
    <w:rsid w:val="303167E8"/>
    <w:rsid w:val="30580BC9"/>
    <w:rsid w:val="311E2ED7"/>
    <w:rsid w:val="315C449C"/>
    <w:rsid w:val="318908BB"/>
    <w:rsid w:val="31B82709"/>
    <w:rsid w:val="31F2254D"/>
    <w:rsid w:val="32400B34"/>
    <w:rsid w:val="329E6876"/>
    <w:rsid w:val="32A01FA9"/>
    <w:rsid w:val="33D934D4"/>
    <w:rsid w:val="33FE2F6A"/>
    <w:rsid w:val="36074A7F"/>
    <w:rsid w:val="36923549"/>
    <w:rsid w:val="36B75FBF"/>
    <w:rsid w:val="36FB4891"/>
    <w:rsid w:val="373C3AAF"/>
    <w:rsid w:val="389C366B"/>
    <w:rsid w:val="38F12CD3"/>
    <w:rsid w:val="38F94775"/>
    <w:rsid w:val="392971ED"/>
    <w:rsid w:val="3A3C733D"/>
    <w:rsid w:val="3A97001C"/>
    <w:rsid w:val="3B163750"/>
    <w:rsid w:val="3B3763D1"/>
    <w:rsid w:val="3B9A612F"/>
    <w:rsid w:val="3BA40D5C"/>
    <w:rsid w:val="3BC136BC"/>
    <w:rsid w:val="3BE15B0C"/>
    <w:rsid w:val="3C2B4FD9"/>
    <w:rsid w:val="3C2F408B"/>
    <w:rsid w:val="3C9963E7"/>
    <w:rsid w:val="3CDA245A"/>
    <w:rsid w:val="3CEE0A37"/>
    <w:rsid w:val="3D934BE4"/>
    <w:rsid w:val="3E0E6961"/>
    <w:rsid w:val="3E4405D4"/>
    <w:rsid w:val="3F01732B"/>
    <w:rsid w:val="3F660E74"/>
    <w:rsid w:val="3FB13A48"/>
    <w:rsid w:val="3FDD483D"/>
    <w:rsid w:val="401B60BB"/>
    <w:rsid w:val="407A6407"/>
    <w:rsid w:val="40C2245F"/>
    <w:rsid w:val="41792E05"/>
    <w:rsid w:val="41931657"/>
    <w:rsid w:val="423A3BCC"/>
    <w:rsid w:val="433A6FE6"/>
    <w:rsid w:val="4350713C"/>
    <w:rsid w:val="43543068"/>
    <w:rsid w:val="436653E0"/>
    <w:rsid w:val="43803E5D"/>
    <w:rsid w:val="44CD14E0"/>
    <w:rsid w:val="4518759E"/>
    <w:rsid w:val="458946E9"/>
    <w:rsid w:val="469E3530"/>
    <w:rsid w:val="46D955A7"/>
    <w:rsid w:val="47073D89"/>
    <w:rsid w:val="47133957"/>
    <w:rsid w:val="473C4C81"/>
    <w:rsid w:val="4779329E"/>
    <w:rsid w:val="47A07E0C"/>
    <w:rsid w:val="47AF19AB"/>
    <w:rsid w:val="4870272E"/>
    <w:rsid w:val="488E4926"/>
    <w:rsid w:val="48C52312"/>
    <w:rsid w:val="48CE657F"/>
    <w:rsid w:val="49556E0C"/>
    <w:rsid w:val="49A62143"/>
    <w:rsid w:val="49DC7715"/>
    <w:rsid w:val="4A023139"/>
    <w:rsid w:val="4A7B576F"/>
    <w:rsid w:val="4BD27220"/>
    <w:rsid w:val="4C4A0649"/>
    <w:rsid w:val="4CBD1C7E"/>
    <w:rsid w:val="4CE470D3"/>
    <w:rsid w:val="4CEE0CE9"/>
    <w:rsid w:val="4D461C73"/>
    <w:rsid w:val="4DEC4FB0"/>
    <w:rsid w:val="4E075D8A"/>
    <w:rsid w:val="4FC62A8C"/>
    <w:rsid w:val="4FE20F0D"/>
    <w:rsid w:val="50504C4B"/>
    <w:rsid w:val="509C6E7C"/>
    <w:rsid w:val="51461DC7"/>
    <w:rsid w:val="5162104E"/>
    <w:rsid w:val="51FA127E"/>
    <w:rsid w:val="52397FF8"/>
    <w:rsid w:val="52AA6800"/>
    <w:rsid w:val="52D95337"/>
    <w:rsid w:val="53A039CC"/>
    <w:rsid w:val="53A1505A"/>
    <w:rsid w:val="53D14261"/>
    <w:rsid w:val="53DD1FE5"/>
    <w:rsid w:val="54063E08"/>
    <w:rsid w:val="543437E8"/>
    <w:rsid w:val="54D538DD"/>
    <w:rsid w:val="559840C4"/>
    <w:rsid w:val="559B174B"/>
    <w:rsid w:val="559D264C"/>
    <w:rsid w:val="55CE0CF4"/>
    <w:rsid w:val="56B22A9C"/>
    <w:rsid w:val="56D163C8"/>
    <w:rsid w:val="57B72A76"/>
    <w:rsid w:val="59260BAB"/>
    <w:rsid w:val="59684D1F"/>
    <w:rsid w:val="5A2A0227"/>
    <w:rsid w:val="5A3C747D"/>
    <w:rsid w:val="5ABE2233"/>
    <w:rsid w:val="5B276D18"/>
    <w:rsid w:val="5B4A5024"/>
    <w:rsid w:val="5B4D0671"/>
    <w:rsid w:val="5B6A7475"/>
    <w:rsid w:val="5BBD57F6"/>
    <w:rsid w:val="5BD065C2"/>
    <w:rsid w:val="5BDF5D95"/>
    <w:rsid w:val="5C014EA7"/>
    <w:rsid w:val="5C3A62DE"/>
    <w:rsid w:val="5DF87A0F"/>
    <w:rsid w:val="5E0324CA"/>
    <w:rsid w:val="5E8C7702"/>
    <w:rsid w:val="5ED935B1"/>
    <w:rsid w:val="5EFF6126"/>
    <w:rsid w:val="5F1A2B43"/>
    <w:rsid w:val="5FB837BB"/>
    <w:rsid w:val="5FC77B73"/>
    <w:rsid w:val="61BF1B9C"/>
    <w:rsid w:val="621A56A0"/>
    <w:rsid w:val="62364782"/>
    <w:rsid w:val="63D40BE9"/>
    <w:rsid w:val="63E0211F"/>
    <w:rsid w:val="64542A70"/>
    <w:rsid w:val="64740A1C"/>
    <w:rsid w:val="64835103"/>
    <w:rsid w:val="65373578"/>
    <w:rsid w:val="65FA31A3"/>
    <w:rsid w:val="673F2C7A"/>
    <w:rsid w:val="67F145DD"/>
    <w:rsid w:val="67FF2CF3"/>
    <w:rsid w:val="681F6961"/>
    <w:rsid w:val="684F7C8A"/>
    <w:rsid w:val="68610A2F"/>
    <w:rsid w:val="68805514"/>
    <w:rsid w:val="6886714A"/>
    <w:rsid w:val="694E2071"/>
    <w:rsid w:val="697A3B33"/>
    <w:rsid w:val="699E2456"/>
    <w:rsid w:val="6A260A0B"/>
    <w:rsid w:val="6A39656C"/>
    <w:rsid w:val="6A8B6AC0"/>
    <w:rsid w:val="6AB966BF"/>
    <w:rsid w:val="6ADD7798"/>
    <w:rsid w:val="6B322639"/>
    <w:rsid w:val="6C636C38"/>
    <w:rsid w:val="6C835F4E"/>
    <w:rsid w:val="6D350D33"/>
    <w:rsid w:val="6DB34098"/>
    <w:rsid w:val="6DB545B6"/>
    <w:rsid w:val="6E4375A0"/>
    <w:rsid w:val="6E514CED"/>
    <w:rsid w:val="6E79491A"/>
    <w:rsid w:val="6E930639"/>
    <w:rsid w:val="6EB563D5"/>
    <w:rsid w:val="6F225983"/>
    <w:rsid w:val="6FFC5590"/>
    <w:rsid w:val="70301DA3"/>
    <w:rsid w:val="706D1DD0"/>
    <w:rsid w:val="70856B87"/>
    <w:rsid w:val="70D527EE"/>
    <w:rsid w:val="712F166D"/>
    <w:rsid w:val="715B5300"/>
    <w:rsid w:val="715F4BD7"/>
    <w:rsid w:val="71D27F8A"/>
    <w:rsid w:val="71F744C6"/>
    <w:rsid w:val="71F960CF"/>
    <w:rsid w:val="72D57472"/>
    <w:rsid w:val="731629DD"/>
    <w:rsid w:val="731F5D5E"/>
    <w:rsid w:val="741E793C"/>
    <w:rsid w:val="758D75E2"/>
    <w:rsid w:val="76734728"/>
    <w:rsid w:val="76A038F3"/>
    <w:rsid w:val="76F65C09"/>
    <w:rsid w:val="7730111A"/>
    <w:rsid w:val="77762421"/>
    <w:rsid w:val="777D59E2"/>
    <w:rsid w:val="779E42D6"/>
    <w:rsid w:val="77EE5DDA"/>
    <w:rsid w:val="780F09F4"/>
    <w:rsid w:val="788435CF"/>
    <w:rsid w:val="789C4F47"/>
    <w:rsid w:val="78A90480"/>
    <w:rsid w:val="79811327"/>
    <w:rsid w:val="79C93B41"/>
    <w:rsid w:val="79CE69C9"/>
    <w:rsid w:val="7A364017"/>
    <w:rsid w:val="7A8265E1"/>
    <w:rsid w:val="7B686D42"/>
    <w:rsid w:val="7B841746"/>
    <w:rsid w:val="7C34060A"/>
    <w:rsid w:val="7CF20C20"/>
    <w:rsid w:val="7D0239FF"/>
    <w:rsid w:val="7D5E40CD"/>
    <w:rsid w:val="7D693BED"/>
    <w:rsid w:val="7E0A3FA9"/>
    <w:rsid w:val="7E633B84"/>
    <w:rsid w:val="7F0C2D8A"/>
    <w:rsid w:val="7FE47E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spacing w:before="100" w:beforeLines="100"/>
      <w:ind w:firstLine="602"/>
      <w:outlineLvl w:val="1"/>
    </w:pPr>
    <w:rPr>
      <w:rFonts w:eastAsia="黑体"/>
      <w:b/>
      <w:bCs/>
      <w:kern w:val="0"/>
    </w:rPr>
  </w:style>
  <w:style w:type="paragraph" w:styleId="4">
    <w:name w:val="heading 3"/>
    <w:basedOn w:val="3"/>
    <w:next w:val="1"/>
    <w:qFormat/>
    <w:locked/>
    <w:uiPriority w:val="0"/>
    <w:pPr>
      <w:keepLines/>
      <w:outlineLvl w:val="2"/>
    </w:pPr>
    <w:rPr>
      <w:snapToGrid w:val="0"/>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Normal Indent"/>
    <w:basedOn w:val="1"/>
    <w:next w:val="6"/>
    <w:unhideWhenUsed/>
    <w:qFormat/>
    <w:uiPriority w:val="0"/>
    <w:pPr>
      <w:spacing w:line="360" w:lineRule="auto"/>
      <w:ind w:firstLine="200" w:firstLineChars="200"/>
    </w:pPr>
    <w:rPr>
      <w:rFonts w:ascii="Calibri" w:hAnsi="Calibri"/>
      <w:spacing w:val="15"/>
      <w:kern w:val="0"/>
      <w:sz w:val="28"/>
      <w:szCs w:val="28"/>
    </w:rPr>
  </w:style>
  <w:style w:type="paragraph" w:styleId="6">
    <w:name w:val="Body Text First Indent 2"/>
    <w:basedOn w:val="7"/>
    <w:next w:val="1"/>
    <w:unhideWhenUsed/>
    <w:qFormat/>
    <w:uiPriority w:val="99"/>
    <w:pPr>
      <w:spacing w:after="120"/>
      <w:ind w:left="420" w:leftChars="200" w:firstLine="420" w:firstLineChars="200"/>
    </w:pPr>
    <w:rPr>
      <w:sz w:val="21"/>
      <w:szCs w:val="24"/>
    </w:rPr>
  </w:style>
  <w:style w:type="paragraph" w:styleId="7">
    <w:name w:val="Body Text Indent"/>
    <w:basedOn w:val="1"/>
    <w:next w:val="1"/>
    <w:link w:val="31"/>
    <w:semiHidden/>
    <w:qFormat/>
    <w:uiPriority w:val="0"/>
    <w:pPr>
      <w:spacing w:after="120"/>
      <w:ind w:left="420" w:leftChars="200"/>
    </w:pPr>
  </w:style>
  <w:style w:type="paragraph" w:styleId="8">
    <w:name w:val="caption"/>
    <w:basedOn w:val="1"/>
    <w:next w:val="1"/>
    <w:qFormat/>
    <w:locked/>
    <w:uiPriority w:val="0"/>
    <w:pPr>
      <w:jc w:val="center"/>
    </w:pPr>
    <w:rPr>
      <w:rFonts w:ascii="Times New Roman" w:hAnsi="Times New Roman" w:eastAsia="宋体"/>
      <w:b/>
      <w:sz w:val="24"/>
    </w:rPr>
  </w:style>
  <w:style w:type="paragraph" w:styleId="9">
    <w:name w:val="annotation text"/>
    <w:basedOn w:val="1"/>
    <w:link w:val="29"/>
    <w:semiHidden/>
    <w:qFormat/>
    <w:uiPriority w:val="0"/>
    <w:pPr>
      <w:jc w:val="left"/>
    </w:pPr>
    <w:rPr>
      <w:kern w:val="0"/>
      <w:sz w:val="20"/>
    </w:rPr>
  </w:style>
  <w:style w:type="paragraph" w:styleId="10">
    <w:name w:val="Body Text"/>
    <w:basedOn w:val="1"/>
    <w:link w:val="30"/>
    <w:qFormat/>
    <w:uiPriority w:val="0"/>
    <w:pPr>
      <w:widowControl/>
      <w:snapToGrid w:val="0"/>
      <w:spacing w:before="60" w:after="160" w:line="259" w:lineRule="auto"/>
      <w:ind w:right="113"/>
    </w:pPr>
    <w:rPr>
      <w:kern w:val="0"/>
      <w:sz w:val="18"/>
      <w:szCs w:val="18"/>
    </w:rPr>
  </w:style>
  <w:style w:type="paragraph" w:styleId="11">
    <w:name w:val="Plain Text"/>
    <w:basedOn w:val="1"/>
    <w:qFormat/>
    <w:uiPriority w:val="0"/>
    <w:rPr>
      <w:rFonts w:ascii="宋体" w:hAnsi="Courier New"/>
    </w:rPr>
  </w:style>
  <w:style w:type="paragraph" w:styleId="12">
    <w:name w:val="Date"/>
    <w:basedOn w:val="1"/>
    <w:next w:val="1"/>
    <w:link w:val="32"/>
    <w:qFormat/>
    <w:uiPriority w:val="0"/>
    <w:pPr>
      <w:ind w:left="100" w:leftChars="2500"/>
    </w:pPr>
    <w:rPr>
      <w:kern w:val="0"/>
      <w:sz w:val="20"/>
    </w:rPr>
  </w:style>
  <w:style w:type="paragraph" w:styleId="13">
    <w:name w:val="Body Text Indent 2"/>
    <w:basedOn w:val="1"/>
    <w:next w:val="6"/>
    <w:unhideWhenUsed/>
    <w:qFormat/>
    <w:uiPriority w:val="99"/>
    <w:pPr>
      <w:spacing w:after="120" w:line="480" w:lineRule="auto"/>
      <w:ind w:left="420" w:leftChars="200"/>
    </w:pPr>
    <w:rPr>
      <w:rFonts w:ascii="Calibri" w:hAnsi="Calibri" w:cs="黑体"/>
    </w:rPr>
  </w:style>
  <w:style w:type="paragraph" w:styleId="14">
    <w:name w:val="Balloon Text"/>
    <w:basedOn w:val="1"/>
    <w:link w:val="33"/>
    <w:semiHidden/>
    <w:qFormat/>
    <w:uiPriority w:val="0"/>
    <w:rPr>
      <w:sz w:val="18"/>
      <w:szCs w:val="18"/>
    </w:rPr>
  </w:style>
  <w:style w:type="paragraph" w:styleId="15">
    <w:name w:val="footer"/>
    <w:basedOn w:val="1"/>
    <w:link w:val="34"/>
    <w:qFormat/>
    <w:uiPriority w:val="0"/>
    <w:pPr>
      <w:tabs>
        <w:tab w:val="center" w:pos="4153"/>
        <w:tab w:val="right" w:pos="8306"/>
      </w:tabs>
      <w:snapToGrid w:val="0"/>
      <w:jc w:val="left"/>
    </w:pPr>
    <w:rPr>
      <w:sz w:val="18"/>
      <w:szCs w:val="18"/>
    </w:rPr>
  </w:style>
  <w:style w:type="paragraph" w:styleId="16">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7">
    <w:name w:val="Body Text Indent 3"/>
    <w:basedOn w:val="1"/>
    <w:qFormat/>
    <w:uiPriority w:val="0"/>
    <w:pPr>
      <w:spacing w:line="520" w:lineRule="exact"/>
      <w:ind w:firstLine="475"/>
    </w:pPr>
    <w:rPr>
      <w:rFonts w:ascii="宋体" w:hAnsi="宋体"/>
    </w:rPr>
  </w:style>
  <w:style w:type="paragraph" w:styleId="18">
    <w:name w:val="table of figures"/>
    <w:basedOn w:val="1"/>
    <w:next w:val="1"/>
    <w:unhideWhenUsed/>
    <w:qFormat/>
    <w:uiPriority w:val="99"/>
    <w:pPr>
      <w:spacing w:before="100" w:beforeAutospacing="1" w:after="100" w:afterAutospacing="1"/>
      <w:ind w:left="200" w:leftChars="200" w:hanging="200" w:hangingChars="200"/>
    </w:pPr>
    <w:rPr>
      <w:szCs w:val="21"/>
    </w:rPr>
  </w:style>
  <w:style w:type="paragraph" w:styleId="19">
    <w:name w:val="Body Text 2"/>
    <w:basedOn w:val="1"/>
    <w:next w:val="1"/>
    <w:qFormat/>
    <w:uiPriority w:val="99"/>
    <w:pPr>
      <w:spacing w:after="120" w:line="480" w:lineRule="auto"/>
    </w:pPr>
  </w:style>
  <w:style w:type="paragraph" w:styleId="20">
    <w:name w:val="Normal (Web)"/>
    <w:basedOn w:val="1"/>
    <w:link w:val="36"/>
    <w:qFormat/>
    <w:uiPriority w:val="0"/>
    <w:pPr>
      <w:widowControl/>
      <w:spacing w:before="100" w:beforeAutospacing="1" w:after="100" w:afterAutospacing="1"/>
      <w:jc w:val="left"/>
    </w:pPr>
    <w:rPr>
      <w:rFonts w:ascii="宋体" w:hAnsi="宋体"/>
      <w:kern w:val="0"/>
      <w:sz w:val="24"/>
    </w:rPr>
  </w:style>
  <w:style w:type="paragraph" w:styleId="21">
    <w:name w:val="annotation subject"/>
    <w:basedOn w:val="9"/>
    <w:next w:val="9"/>
    <w:link w:val="37"/>
    <w:semiHidden/>
    <w:qFormat/>
    <w:uiPriority w:val="0"/>
    <w:rPr>
      <w:b/>
      <w:bCs/>
    </w:rPr>
  </w:style>
  <w:style w:type="paragraph" w:styleId="22">
    <w:name w:val="Body Text First Indent"/>
    <w:basedOn w:val="10"/>
    <w:unhideWhenUsed/>
    <w:qFormat/>
    <w:uiPriority w:val="99"/>
    <w:pPr>
      <w:spacing w:after="120"/>
      <w:ind w:firstLine="420" w:firstLineChars="100"/>
    </w:pPr>
    <w:rPr>
      <w:rFonts w:ascii="Calibri" w:hAnsi="Calibri" w:eastAsia="宋体"/>
      <w:sz w:val="22"/>
      <w:szCs w:val="22"/>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rPr>
  </w:style>
  <w:style w:type="character" w:styleId="27">
    <w:name w:val="page number"/>
    <w:basedOn w:val="25"/>
    <w:qFormat/>
    <w:uiPriority w:val="0"/>
  </w:style>
  <w:style w:type="character" w:styleId="28">
    <w:name w:val="annotation reference"/>
    <w:basedOn w:val="25"/>
    <w:semiHidden/>
    <w:qFormat/>
    <w:uiPriority w:val="0"/>
    <w:rPr>
      <w:sz w:val="21"/>
    </w:rPr>
  </w:style>
  <w:style w:type="character" w:customStyle="1" w:styleId="29">
    <w:name w:val="Comment Text Char"/>
    <w:link w:val="9"/>
    <w:qFormat/>
    <w:locked/>
    <w:uiPriority w:val="0"/>
    <w:rPr>
      <w:rFonts w:ascii="Times New Roman" w:hAnsi="Times New Roman" w:eastAsia="宋体"/>
      <w:sz w:val="24"/>
    </w:rPr>
  </w:style>
  <w:style w:type="character" w:customStyle="1" w:styleId="30">
    <w:name w:val="Body Text Char"/>
    <w:link w:val="10"/>
    <w:qFormat/>
    <w:locked/>
    <w:uiPriority w:val="0"/>
    <w:rPr>
      <w:sz w:val="18"/>
    </w:rPr>
  </w:style>
  <w:style w:type="character" w:customStyle="1" w:styleId="31">
    <w:name w:val="Body Text Indent Char"/>
    <w:basedOn w:val="25"/>
    <w:link w:val="7"/>
    <w:semiHidden/>
    <w:qFormat/>
    <w:locked/>
    <w:uiPriority w:val="0"/>
    <w:rPr>
      <w:rFonts w:ascii="Times New Roman" w:hAnsi="Times New Roman" w:eastAsia="宋体" w:cs="Times New Roman"/>
      <w:sz w:val="24"/>
      <w:szCs w:val="24"/>
    </w:rPr>
  </w:style>
  <w:style w:type="character" w:customStyle="1" w:styleId="32">
    <w:name w:val="Date Char"/>
    <w:link w:val="12"/>
    <w:qFormat/>
    <w:locked/>
    <w:uiPriority w:val="0"/>
    <w:rPr>
      <w:rFonts w:ascii="Times New Roman" w:hAnsi="Times New Roman" w:eastAsia="宋体"/>
      <w:sz w:val="24"/>
    </w:rPr>
  </w:style>
  <w:style w:type="character" w:customStyle="1" w:styleId="33">
    <w:name w:val="Balloon Text Char"/>
    <w:basedOn w:val="25"/>
    <w:link w:val="14"/>
    <w:semiHidden/>
    <w:qFormat/>
    <w:locked/>
    <w:uiPriority w:val="0"/>
    <w:rPr>
      <w:rFonts w:ascii="Times New Roman" w:hAnsi="Times New Roman" w:eastAsia="宋体" w:cs="Times New Roman"/>
      <w:sz w:val="18"/>
      <w:szCs w:val="18"/>
    </w:rPr>
  </w:style>
  <w:style w:type="character" w:customStyle="1" w:styleId="34">
    <w:name w:val="Footer Char"/>
    <w:basedOn w:val="25"/>
    <w:link w:val="15"/>
    <w:qFormat/>
    <w:locked/>
    <w:uiPriority w:val="0"/>
    <w:rPr>
      <w:rFonts w:cs="Times New Roman"/>
      <w:sz w:val="18"/>
      <w:szCs w:val="18"/>
    </w:rPr>
  </w:style>
  <w:style w:type="character" w:customStyle="1" w:styleId="35">
    <w:name w:val="Header Char"/>
    <w:basedOn w:val="25"/>
    <w:link w:val="16"/>
    <w:qFormat/>
    <w:locked/>
    <w:uiPriority w:val="0"/>
    <w:rPr>
      <w:rFonts w:cs="Times New Roman"/>
      <w:sz w:val="18"/>
      <w:szCs w:val="18"/>
    </w:rPr>
  </w:style>
  <w:style w:type="character" w:customStyle="1" w:styleId="36">
    <w:name w:val="Normal (Web) Char"/>
    <w:link w:val="20"/>
    <w:qFormat/>
    <w:locked/>
    <w:uiPriority w:val="0"/>
    <w:rPr>
      <w:rFonts w:ascii="宋体" w:hAnsi="宋体" w:eastAsia="宋体"/>
      <w:sz w:val="24"/>
    </w:rPr>
  </w:style>
  <w:style w:type="character" w:customStyle="1" w:styleId="37">
    <w:name w:val="Comment Subject Char"/>
    <w:basedOn w:val="29"/>
    <w:link w:val="21"/>
    <w:semiHidden/>
    <w:qFormat/>
    <w:locked/>
    <w:uiPriority w:val="0"/>
    <w:rPr>
      <w:rFonts w:cs="Times New Roman"/>
      <w:b/>
      <w:bCs/>
      <w:kern w:val="2"/>
      <w:szCs w:val="24"/>
    </w:rPr>
  </w:style>
  <w:style w:type="character" w:customStyle="1" w:styleId="38">
    <w:name w:val="日期 字符"/>
    <w:basedOn w:val="25"/>
    <w:semiHidden/>
    <w:qFormat/>
    <w:uiPriority w:val="0"/>
    <w:rPr>
      <w:rFonts w:ascii="Times New Roman" w:hAnsi="Times New Roman" w:eastAsia="宋体" w:cs="Times New Roman"/>
      <w:sz w:val="24"/>
      <w:szCs w:val="24"/>
    </w:rPr>
  </w:style>
  <w:style w:type="character" w:customStyle="1" w:styleId="39">
    <w:name w:val="正文文本 字符1"/>
    <w:basedOn w:val="25"/>
    <w:semiHidden/>
    <w:qFormat/>
    <w:uiPriority w:val="0"/>
    <w:rPr>
      <w:rFonts w:ascii="Times New Roman" w:hAnsi="Times New Roman" w:eastAsia="宋体" w:cs="Times New Roman"/>
      <w:sz w:val="24"/>
      <w:szCs w:val="24"/>
    </w:rPr>
  </w:style>
  <w:style w:type="paragraph" w:customStyle="1" w:styleId="4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1">
    <w:name w:val="表格 Char"/>
    <w:link w:val="42"/>
    <w:qFormat/>
    <w:locked/>
    <w:uiPriority w:val="0"/>
    <w:rPr>
      <w:rFonts w:ascii="宋体"/>
      <w:sz w:val="21"/>
    </w:rPr>
  </w:style>
  <w:style w:type="paragraph" w:customStyle="1" w:styleId="42">
    <w:name w:val="表格"/>
    <w:basedOn w:val="1"/>
    <w:next w:val="1"/>
    <w:link w:val="41"/>
    <w:qFormat/>
    <w:uiPriority w:val="0"/>
    <w:pPr>
      <w:adjustRightInd w:val="0"/>
      <w:snapToGrid w:val="0"/>
      <w:spacing w:beforeLines="10" w:afterLines="10" w:line="259" w:lineRule="auto"/>
      <w:jc w:val="center"/>
    </w:pPr>
    <w:rPr>
      <w:rFonts w:ascii="宋体"/>
      <w:kern w:val="0"/>
      <w:sz w:val="20"/>
      <w:szCs w:val="21"/>
    </w:rPr>
  </w:style>
  <w:style w:type="character" w:customStyle="1" w:styleId="43">
    <w:name w:val="批注文字 字符1"/>
    <w:basedOn w:val="25"/>
    <w:semiHidden/>
    <w:qFormat/>
    <w:uiPriority w:val="0"/>
    <w:rPr>
      <w:rFonts w:ascii="Times New Roman" w:hAnsi="Times New Roman" w:eastAsia="宋体" w:cs="Times New Roman"/>
      <w:sz w:val="24"/>
      <w:szCs w:val="24"/>
    </w:rPr>
  </w:style>
  <w:style w:type="character" w:customStyle="1" w:styleId="44">
    <w:name w:val="普通(网站) Char"/>
    <w:qFormat/>
    <w:locked/>
    <w:uiPriority w:val="0"/>
    <w:rPr>
      <w:rFonts w:ascii="宋体" w:hAnsi="宋体" w:eastAsia="宋体"/>
      <w:sz w:val="24"/>
    </w:rPr>
  </w:style>
  <w:style w:type="paragraph" w:customStyle="1" w:styleId="45">
    <w:name w:val="Table Text"/>
    <w:basedOn w:val="1"/>
    <w:semiHidden/>
    <w:qFormat/>
    <w:uiPriority w:val="0"/>
    <w:rPr>
      <w:rFonts w:ascii="仿宋" w:hAnsi="仿宋" w:eastAsia="仿宋" w:cs="仿宋"/>
      <w:sz w:val="24"/>
      <w:szCs w:val="24"/>
      <w:lang w:val="en-US" w:eastAsia="en-US" w:bidi="ar-SA"/>
    </w:rPr>
  </w:style>
  <w:style w:type="table" w:customStyle="1" w:styleId="46">
    <w:name w:val="Table Normal"/>
    <w:unhideWhenUsed/>
    <w:qFormat/>
    <w:uiPriority w:val="0"/>
    <w:tblPr>
      <w:tblCellMar>
        <w:top w:w="0" w:type="dxa"/>
        <w:left w:w="0" w:type="dxa"/>
        <w:bottom w:w="0" w:type="dxa"/>
        <w:right w:w="0" w:type="dxa"/>
      </w:tblCellMar>
    </w:tblPr>
  </w:style>
  <w:style w:type="paragraph" w:customStyle="1" w:styleId="47">
    <w:name w:val="报告表正文"/>
    <w:basedOn w:val="1"/>
    <w:qFormat/>
    <w:uiPriority w:val="0"/>
    <w:pPr>
      <w:adjustRightInd w:val="0"/>
      <w:snapToGrid w:val="0"/>
      <w:spacing w:line="360" w:lineRule="auto"/>
      <w:ind w:firstLine="720" w:firstLineChars="200"/>
      <w:jc w:val="left"/>
    </w:pPr>
    <w:rPr>
      <w:rFonts w:ascii="Times New Roman" w:hAnsi="Times New Roman" w:eastAsia="宋体" w:cs="Times New Roman"/>
      <w:color w:val="000000"/>
      <w:sz w:val="24"/>
    </w:rPr>
  </w:style>
  <w:style w:type="paragraph" w:customStyle="1" w:styleId="48">
    <w:name w:val="报告表表格正文"/>
    <w:basedOn w:val="1"/>
    <w:next w:val="47"/>
    <w:qFormat/>
    <w:uiPriority w:val="0"/>
    <w:pPr>
      <w:adjustRightInd w:val="0"/>
      <w:snapToGrid w:val="0"/>
      <w:spacing w:line="240" w:lineRule="auto"/>
      <w:ind w:firstLine="0" w:firstLineChars="0"/>
      <w:jc w:val="center"/>
    </w:pPr>
    <w:rPr>
      <w:rFonts w:ascii="Times New Roman" w:hAnsi="Times New Roman" w:eastAsia="宋体" w:cs="Times New Roman"/>
      <w:color w:val="000000"/>
      <w:szCs w:val="21"/>
    </w:rPr>
  </w:style>
  <w:style w:type="paragraph" w:customStyle="1" w:styleId="49">
    <w:name w:val="标题4"/>
    <w:basedOn w:val="1"/>
    <w:qFormat/>
    <w:uiPriority w:val="0"/>
    <w:pPr>
      <w:autoSpaceDE w:val="0"/>
      <w:autoSpaceDN w:val="0"/>
      <w:adjustRightInd w:val="0"/>
      <w:spacing w:line="360" w:lineRule="auto"/>
      <w:jc w:val="left"/>
      <w:textAlignment w:val="baseline"/>
    </w:pPr>
    <w:rPr>
      <w:b/>
      <w:snapToGrid w:val="0"/>
      <w:kern w:val="0"/>
      <w:szCs w:val="20"/>
    </w:rPr>
  </w:style>
  <w:style w:type="character" w:customStyle="1" w:styleId="50">
    <w:name w:val="font41"/>
    <w:basedOn w:val="25"/>
    <w:qFormat/>
    <w:uiPriority w:val="0"/>
    <w:rPr>
      <w:rFonts w:ascii="Arial" w:hAnsi="Arial" w:cs="Arial"/>
      <w:b/>
      <w:bCs/>
      <w:color w:val="000000"/>
      <w:sz w:val="20"/>
      <w:szCs w:val="20"/>
      <w:u w:val="none"/>
    </w:rPr>
  </w:style>
  <w:style w:type="character" w:customStyle="1" w:styleId="51">
    <w:name w:val="font11"/>
    <w:basedOn w:val="25"/>
    <w:qFormat/>
    <w:uiPriority w:val="0"/>
    <w:rPr>
      <w:rFonts w:hint="eastAsia" w:ascii="微软雅黑" w:hAnsi="微软雅黑" w:eastAsia="微软雅黑" w:cs="微软雅黑"/>
      <w:b/>
      <w:bCs/>
      <w:color w:val="000000"/>
      <w:sz w:val="20"/>
      <w:szCs w:val="20"/>
      <w:u w:val="none"/>
    </w:rPr>
  </w:style>
  <w:style w:type="character" w:customStyle="1" w:styleId="52">
    <w:name w:val="font51"/>
    <w:basedOn w:val="25"/>
    <w:qFormat/>
    <w:uiPriority w:val="0"/>
    <w:rPr>
      <w:rFonts w:hint="default" w:ascii="Times New Roman" w:hAnsi="Times New Roman" w:cs="Times New Roman"/>
      <w:b/>
      <w:bCs/>
      <w:color w:val="000000"/>
      <w:sz w:val="13"/>
      <w:szCs w:val="13"/>
      <w:u w:val="none"/>
    </w:rPr>
  </w:style>
  <w:style w:type="character" w:customStyle="1" w:styleId="53">
    <w:name w:val="font21"/>
    <w:basedOn w:val="25"/>
    <w:qFormat/>
    <w:uiPriority w:val="0"/>
    <w:rPr>
      <w:rFonts w:hint="eastAsia" w:ascii="仿宋" w:hAnsi="仿宋" w:eastAsia="仿宋" w:cs="仿宋"/>
      <w:color w:val="000000"/>
      <w:sz w:val="20"/>
      <w:szCs w:val="20"/>
      <w:u w:val="none"/>
    </w:rPr>
  </w:style>
  <w:style w:type="character" w:customStyle="1" w:styleId="54">
    <w:name w:val="font31"/>
    <w:basedOn w:val="25"/>
    <w:qFormat/>
    <w:uiPriority w:val="0"/>
    <w:rPr>
      <w:rFonts w:hint="eastAsia" w:ascii="仿宋" w:hAnsi="仿宋" w:eastAsia="仿宋" w:cs="仿宋"/>
      <w:color w:val="000000"/>
      <w:sz w:val="20"/>
      <w:szCs w:val="20"/>
      <w:u w:val="none"/>
    </w:rPr>
  </w:style>
  <w:style w:type="character" w:customStyle="1" w:styleId="55">
    <w:name w:val="font61"/>
    <w:basedOn w:val="25"/>
    <w:qFormat/>
    <w:uiPriority w:val="0"/>
    <w:rPr>
      <w:rFonts w:hint="default" w:ascii="Times New Roman" w:hAnsi="Times New Roman" w:cs="Times New Roman"/>
      <w:b/>
      <w:bCs/>
      <w:color w:val="000000"/>
      <w:sz w:val="13"/>
      <w:szCs w:val="13"/>
      <w:u w:val="none"/>
    </w:rPr>
  </w:style>
  <w:style w:type="paragraph" w:customStyle="1" w:styleId="56">
    <w:name w:val="5-正文"/>
    <w:basedOn w:val="1"/>
    <w:qFormat/>
    <w:uiPriority w:val="0"/>
    <w:pPr>
      <w:snapToGrid/>
    </w:pPr>
    <w:rPr>
      <w:rFonts w:ascii="宋体" w:hAnsi="宋体"/>
    </w:rPr>
  </w:style>
  <w:style w:type="paragraph" w:customStyle="1" w:styleId="57">
    <w:name w:val="表格内容"/>
    <w:basedOn w:val="1"/>
    <w:qFormat/>
    <w:uiPriority w:val="0"/>
    <w:pPr>
      <w:suppressLineNumbers/>
      <w:suppressAutoHyphens/>
      <w:snapToGrid/>
      <w:spacing w:line="240" w:lineRule="auto"/>
      <w:ind w:firstLine="0" w:firstLineChars="0"/>
      <w:jc w:val="center"/>
    </w:pPr>
    <w:rPr>
      <w:rFonts w:eastAsia="楷体_GB2312"/>
      <w:kern w:val="1"/>
      <w:sz w:val="18"/>
      <w:szCs w:val="18"/>
      <w:lang w:eastAsia="ar-SA"/>
    </w:rPr>
  </w:style>
  <w:style w:type="paragraph" w:customStyle="1" w:styleId="58">
    <w:name w:val="2-正文"/>
    <w:basedOn w:val="1"/>
    <w:qFormat/>
    <w:uiPriority w:val="0"/>
    <w:pPr>
      <w:ind w:firstLine="480"/>
    </w:pPr>
    <w:rPr>
      <w:rFonts w:ascii="宋体" w:hAnsi="宋体"/>
      <w:szCs w:val="20"/>
    </w:rPr>
  </w:style>
  <w:style w:type="paragraph" w:customStyle="1" w:styleId="59">
    <w:name w:val="Table Paragraph"/>
    <w:basedOn w:val="1"/>
    <w:qFormat/>
    <w:uiPriority w:val="1"/>
    <w:pPr>
      <w:autoSpaceDE w:val="0"/>
      <w:autoSpaceDN w:val="0"/>
      <w:spacing w:line="240" w:lineRule="auto"/>
      <w:jc w:val="left"/>
    </w:pPr>
    <w:rPr>
      <w:rFonts w:ascii="宋体" w:hAnsi="宋体" w:cs="宋体"/>
      <w:kern w:val="0"/>
      <w:sz w:val="22"/>
      <w:szCs w:val="22"/>
      <w:lang w:val="zh-CN" w:bidi="zh-CN"/>
    </w:rPr>
  </w:style>
  <w:style w:type="paragraph" w:customStyle="1" w:styleId="60">
    <w:name w:val="Default"/>
    <w:basedOn w:val="61"/>
    <w:next w:val="1"/>
    <w:qFormat/>
    <w:uiPriority w:val="0"/>
    <w:pPr>
      <w:widowControl w:val="0"/>
      <w:autoSpaceDE w:val="0"/>
      <w:autoSpaceDN w:val="0"/>
      <w:adjustRightInd w:val="0"/>
    </w:pPr>
    <w:rPr>
      <w:rFonts w:ascii="Arial" w:hAnsi="Arial" w:cs="Arial"/>
      <w:color w:val="000000"/>
      <w:sz w:val="24"/>
      <w:szCs w:val="24"/>
      <w:lang w:val="en-US" w:eastAsia="zh-CN" w:bidi="ar-SA"/>
    </w:rPr>
  </w:style>
  <w:style w:type="paragraph" w:customStyle="1" w:styleId="61">
    <w:name w:val="纯文本1"/>
    <w:basedOn w:val="1"/>
    <w:qFormat/>
    <w:uiPriority w:val="0"/>
    <w:pPr>
      <w:adjustRightInd w:val="0"/>
    </w:pPr>
    <w:rPr>
      <w:rFonts w:ascii="宋体"/>
      <w:kern w:val="0"/>
      <w:szCs w:val="20"/>
    </w:rPr>
  </w:style>
  <w:style w:type="paragraph" w:customStyle="1" w:styleId="62">
    <w:name w:val="样式 正文缩进正文缩进2正文缩进 Char Char正文缩进 Char Char Char Char正文缩进 Char ..."/>
    <w:basedOn w:val="5"/>
    <w:next w:val="1"/>
    <w:autoRedefine/>
    <w:qFormat/>
    <w:uiPriority w:val="0"/>
    <w:pPr>
      <w:ind w:firstLine="200" w:firstLineChars="0"/>
    </w:pPr>
    <w:rPr>
      <w:rFonts w:asci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9.jpe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oleObject" Target="embeddings/oleObject3.bin"/><Relationship Id="rId14" Type="http://schemas.openxmlformats.org/officeDocument/2006/relationships/image" Target="media/image6.wmf"/><Relationship Id="rId13" Type="http://schemas.openxmlformats.org/officeDocument/2006/relationships/oleObject" Target="embeddings/oleObject2.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"/>
    </extobj>
    <extobj name="F360BE8B-6686-4F3D-AEAF-501FE73E4058-2">
      <extobjdata type="F360BE8B-6686-4F3D-AEAF-501FE73E4058" data="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"/>
    </extobj>
    <extobj name="F360BE8B-6686-4F3D-AEAF-501FE73E4058-3">
      <extobjdata type="F360BE8B-6686-4F3D-AEAF-501FE73E4058" data="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108</Pages>
  <Words>17797</Words>
  <Characters>18132</Characters>
  <Lines>9</Lines>
  <Paragraphs>2</Paragraphs>
  <TotalTime>8</TotalTime>
  <ScaleCrop>false</ScaleCrop>
  <LinksUpToDate>false</LinksUpToDate>
  <CharactersWithSpaces>18204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张童童</cp:lastModifiedBy>
  <cp:lastPrinted>2020-12-24T01:50:00Z</cp:lastPrinted>
  <dcterms:modified xsi:type="dcterms:W3CDTF">2026-06-12T09:26:31Z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325E076F2B11441C914DA29B7A572740_13</vt:lpwstr>
  </property>
  <property fmtid="{D5CDD505-2E9C-101B-9397-08002B2CF9AE}" pid="4" name="KSOTemplateDocerSaveRecord">
    <vt:lpwstr>eyJoZGlkIjoiMjcyZWE4YjBiMjdhYjMwMjBiMGE0MjQ0ZjE0MWM5ZWIiLCJ1c2VySWQiOiIxNjEwNzgxNjU5In0=</vt:lpwstr>
  </property>
</Properties>
</file>