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C1F" w:rsidRDefault="004D2E0D">
      <w:pPr>
        <w:keepNext/>
        <w:keepLines/>
        <w:widowControl/>
        <w:spacing w:before="100" w:beforeAutospacing="1" w:after="100" w:afterAutospacing="1" w:line="1000" w:lineRule="exact"/>
        <w:jc w:val="center"/>
        <w:textAlignment w:val="baseline"/>
        <w:outlineLvl w:val="0"/>
        <w:rPr>
          <w:b/>
          <w:bCs/>
          <w:color w:val="000000"/>
          <w:spacing w:val="-10"/>
          <w:kern w:val="44"/>
          <w:sz w:val="44"/>
          <w:szCs w:val="44"/>
          <w:u w:color="000000"/>
        </w:rPr>
      </w:pPr>
      <w:bookmarkStart w:id="0" w:name="_Toc71619012"/>
      <w:bookmarkStart w:id="1" w:name="_Toc70589698"/>
      <w:bookmarkStart w:id="2" w:name="_Toc152603142"/>
      <w:bookmarkStart w:id="3" w:name="_Toc151733818"/>
      <w:bookmarkStart w:id="4" w:name="_Toc71621560"/>
      <w:bookmarkStart w:id="5" w:name="_Toc153130700"/>
      <w:bookmarkStart w:id="6" w:name="_Toc147823553"/>
      <w:bookmarkStart w:id="7" w:name="_Toc10593"/>
      <w:bookmarkStart w:id="8" w:name="_Toc511226399"/>
      <w:bookmarkStart w:id="9" w:name="_Toc9765"/>
      <w:bookmarkStart w:id="10" w:name="_Toc18805"/>
      <w:bookmarkStart w:id="11" w:name="_Toc503260835"/>
      <w:bookmarkStart w:id="12" w:name="_Toc511226291"/>
      <w:bookmarkStart w:id="13" w:name="_Toc496001908"/>
      <w:bookmarkStart w:id="14" w:name="_Toc528160880"/>
      <w:r>
        <w:rPr>
          <w:rFonts w:hint="eastAsia"/>
          <w:b/>
          <w:bCs/>
          <w:color w:val="000000"/>
          <w:spacing w:val="-10"/>
          <w:kern w:val="44"/>
          <w:sz w:val="44"/>
          <w:szCs w:val="44"/>
          <w:u w:color="000000"/>
        </w:rPr>
        <w:t>甘肃省临泽县</w:t>
      </w:r>
      <w:bookmarkStart w:id="15" w:name="_Hlk143503668"/>
      <w:bookmarkStart w:id="16" w:name="_Hlk143524741"/>
      <w:r>
        <w:rPr>
          <w:rFonts w:hint="eastAsia"/>
          <w:b/>
          <w:bCs/>
          <w:color w:val="000000"/>
          <w:spacing w:val="-10"/>
          <w:kern w:val="44"/>
          <w:sz w:val="44"/>
          <w:szCs w:val="44"/>
          <w:u w:color="000000"/>
        </w:rPr>
        <w:t>板桥</w:t>
      </w:r>
      <w:proofErr w:type="gramStart"/>
      <w:r>
        <w:rPr>
          <w:rFonts w:hint="eastAsia"/>
          <w:b/>
          <w:bCs/>
          <w:color w:val="000000"/>
          <w:spacing w:val="-10"/>
          <w:kern w:val="44"/>
          <w:sz w:val="44"/>
          <w:szCs w:val="44"/>
          <w:u w:color="000000"/>
        </w:rPr>
        <w:t>镇壕洼村</w:t>
      </w:r>
      <w:proofErr w:type="gramEnd"/>
      <w:r>
        <w:rPr>
          <w:rFonts w:hint="eastAsia"/>
          <w:b/>
          <w:bCs/>
          <w:color w:val="000000"/>
          <w:spacing w:val="-10"/>
          <w:kern w:val="44"/>
          <w:sz w:val="44"/>
          <w:szCs w:val="44"/>
          <w:u w:color="000000"/>
        </w:rPr>
        <w:t>正北山西侧砖瓦用粘土矿</w:t>
      </w:r>
      <w:bookmarkEnd w:id="0"/>
      <w:bookmarkEnd w:id="1"/>
      <w:bookmarkEnd w:id="2"/>
      <w:bookmarkEnd w:id="3"/>
      <w:bookmarkEnd w:id="4"/>
      <w:bookmarkEnd w:id="5"/>
      <w:bookmarkEnd w:id="6"/>
      <w:bookmarkEnd w:id="15"/>
    </w:p>
    <w:p w:rsidR="009C5C1F" w:rsidRDefault="004D2E0D">
      <w:pPr>
        <w:keepNext/>
        <w:keepLines/>
        <w:widowControl/>
        <w:spacing w:before="100" w:beforeAutospacing="1" w:after="100" w:afterAutospacing="1" w:line="1000" w:lineRule="exact"/>
        <w:jc w:val="center"/>
        <w:textAlignment w:val="baseline"/>
        <w:outlineLvl w:val="0"/>
        <w:rPr>
          <w:b/>
          <w:bCs/>
          <w:color w:val="000000"/>
          <w:spacing w:val="-10"/>
          <w:kern w:val="44"/>
          <w:sz w:val="44"/>
          <w:szCs w:val="44"/>
          <w:u w:color="000000"/>
        </w:rPr>
      </w:pPr>
      <w:bookmarkStart w:id="17" w:name="_Toc70589699"/>
      <w:bookmarkStart w:id="18" w:name="_Toc151733819"/>
      <w:bookmarkStart w:id="19" w:name="_Toc71619013"/>
      <w:bookmarkStart w:id="20" w:name="_Toc71621561"/>
      <w:bookmarkStart w:id="21" w:name="_Toc147823554"/>
      <w:bookmarkStart w:id="22" w:name="_Toc152603143"/>
      <w:bookmarkStart w:id="23" w:name="_Toc153130701"/>
      <w:bookmarkEnd w:id="16"/>
      <w:r>
        <w:rPr>
          <w:rFonts w:hint="eastAsia"/>
          <w:b/>
          <w:bCs/>
          <w:color w:val="000000"/>
          <w:spacing w:val="-10"/>
          <w:kern w:val="44"/>
          <w:sz w:val="44"/>
          <w:szCs w:val="44"/>
          <w:u w:color="000000"/>
        </w:rPr>
        <w:t>矿产资源开发与恢复治理方案</w:t>
      </w:r>
      <w:bookmarkEnd w:id="17"/>
      <w:bookmarkEnd w:id="18"/>
      <w:bookmarkEnd w:id="19"/>
      <w:bookmarkEnd w:id="20"/>
      <w:bookmarkEnd w:id="21"/>
      <w:bookmarkEnd w:id="22"/>
      <w:bookmarkEnd w:id="23"/>
    </w:p>
    <w:p w:rsidR="009C5C1F" w:rsidRDefault="009C5C1F">
      <w:pPr>
        <w:widowControl/>
        <w:spacing w:line="600" w:lineRule="exact"/>
        <w:jc w:val="center"/>
        <w:textAlignment w:val="baseline"/>
        <w:rPr>
          <w:b/>
          <w:color w:val="000000"/>
          <w:kern w:val="0"/>
          <w:sz w:val="32"/>
          <w:szCs w:val="32"/>
          <w:u w:color="000000"/>
        </w:rPr>
      </w:pPr>
    </w:p>
    <w:p w:rsidR="009C5C1F" w:rsidRDefault="009C5C1F">
      <w:pPr>
        <w:widowControl/>
        <w:spacing w:line="351" w:lineRule="atLeast"/>
        <w:ind w:firstLine="419"/>
        <w:textAlignment w:val="baseline"/>
        <w:rPr>
          <w:color w:val="000000"/>
          <w:kern w:val="0"/>
          <w:sz w:val="44"/>
          <w:szCs w:val="20"/>
          <w:u w:color="000000"/>
        </w:rPr>
      </w:pPr>
    </w:p>
    <w:p w:rsidR="009C5C1F" w:rsidRDefault="009C5C1F">
      <w:pPr>
        <w:widowControl/>
        <w:spacing w:line="351" w:lineRule="atLeast"/>
        <w:ind w:firstLine="419"/>
        <w:textAlignment w:val="baseline"/>
        <w:rPr>
          <w:color w:val="000000"/>
          <w:kern w:val="0"/>
          <w:sz w:val="44"/>
          <w:szCs w:val="20"/>
          <w:u w:color="000000"/>
        </w:rPr>
      </w:pPr>
    </w:p>
    <w:p w:rsidR="009C5C1F" w:rsidRDefault="009C5C1F">
      <w:pPr>
        <w:widowControl/>
        <w:spacing w:line="351" w:lineRule="atLeast"/>
        <w:ind w:firstLine="419"/>
        <w:textAlignment w:val="baseline"/>
        <w:rPr>
          <w:color w:val="000000"/>
          <w:kern w:val="0"/>
          <w:sz w:val="44"/>
          <w:szCs w:val="20"/>
          <w:u w:color="000000"/>
        </w:rPr>
      </w:pPr>
    </w:p>
    <w:p w:rsidR="009C5C1F" w:rsidRDefault="009C5C1F">
      <w:pPr>
        <w:widowControl/>
        <w:spacing w:line="351" w:lineRule="atLeast"/>
        <w:ind w:firstLine="419"/>
        <w:textAlignment w:val="baseline"/>
        <w:rPr>
          <w:color w:val="000000"/>
          <w:kern w:val="0"/>
          <w:sz w:val="44"/>
          <w:szCs w:val="20"/>
          <w:u w:color="000000"/>
        </w:rPr>
      </w:pPr>
    </w:p>
    <w:p w:rsidR="009C5C1F" w:rsidRDefault="009C5C1F">
      <w:pPr>
        <w:widowControl/>
        <w:spacing w:line="351" w:lineRule="atLeast"/>
        <w:ind w:firstLine="419"/>
        <w:textAlignment w:val="baseline"/>
        <w:rPr>
          <w:color w:val="000000"/>
          <w:kern w:val="0"/>
          <w:sz w:val="44"/>
          <w:szCs w:val="20"/>
          <w:u w:color="000000"/>
        </w:rPr>
      </w:pPr>
    </w:p>
    <w:p w:rsidR="009C5C1F" w:rsidRDefault="009C5C1F">
      <w:pPr>
        <w:widowControl/>
        <w:spacing w:line="351" w:lineRule="atLeast"/>
        <w:ind w:firstLine="419"/>
        <w:textAlignment w:val="baseline"/>
        <w:rPr>
          <w:color w:val="000000"/>
          <w:kern w:val="0"/>
          <w:sz w:val="44"/>
          <w:szCs w:val="20"/>
          <w:u w:color="000000"/>
        </w:rPr>
      </w:pPr>
    </w:p>
    <w:p w:rsidR="009C5C1F" w:rsidRDefault="009C5C1F">
      <w:pPr>
        <w:widowControl/>
        <w:spacing w:line="351" w:lineRule="atLeast"/>
        <w:ind w:firstLine="419"/>
        <w:textAlignment w:val="baseline"/>
        <w:rPr>
          <w:color w:val="000000"/>
          <w:kern w:val="0"/>
          <w:sz w:val="44"/>
          <w:szCs w:val="20"/>
          <w:u w:color="000000"/>
        </w:rPr>
      </w:pPr>
    </w:p>
    <w:p w:rsidR="009C5C1F" w:rsidRDefault="009C5C1F">
      <w:pPr>
        <w:widowControl/>
        <w:spacing w:line="351" w:lineRule="atLeast"/>
        <w:ind w:firstLine="419"/>
        <w:textAlignment w:val="baseline"/>
        <w:rPr>
          <w:color w:val="000000"/>
          <w:kern w:val="0"/>
          <w:sz w:val="44"/>
          <w:szCs w:val="20"/>
          <w:u w:color="000000"/>
        </w:rPr>
      </w:pPr>
    </w:p>
    <w:p w:rsidR="009C5C1F" w:rsidRDefault="009C5C1F">
      <w:pPr>
        <w:widowControl/>
        <w:spacing w:line="351" w:lineRule="atLeast"/>
        <w:ind w:firstLine="419"/>
        <w:textAlignment w:val="baseline"/>
        <w:rPr>
          <w:color w:val="000000"/>
          <w:kern w:val="0"/>
          <w:sz w:val="44"/>
          <w:szCs w:val="20"/>
          <w:u w:color="000000"/>
        </w:rPr>
      </w:pPr>
    </w:p>
    <w:p w:rsidR="009C5C1F" w:rsidRDefault="009C5C1F">
      <w:pPr>
        <w:widowControl/>
        <w:spacing w:line="351" w:lineRule="atLeast"/>
        <w:ind w:firstLine="419"/>
        <w:textAlignment w:val="baseline"/>
        <w:rPr>
          <w:color w:val="000000"/>
          <w:kern w:val="0"/>
          <w:sz w:val="44"/>
          <w:szCs w:val="20"/>
          <w:u w:color="000000"/>
        </w:rPr>
      </w:pPr>
    </w:p>
    <w:p w:rsidR="009C5C1F" w:rsidRDefault="004D2E0D">
      <w:pPr>
        <w:widowControl/>
        <w:spacing w:line="800" w:lineRule="exact"/>
        <w:jc w:val="center"/>
        <w:textAlignment w:val="baseline"/>
        <w:rPr>
          <w:b/>
          <w:color w:val="000000"/>
          <w:spacing w:val="80"/>
          <w:kern w:val="0"/>
          <w:sz w:val="30"/>
          <w:szCs w:val="30"/>
          <w:u w:color="000000"/>
        </w:rPr>
      </w:pPr>
      <w:r>
        <w:rPr>
          <w:rFonts w:hAnsi="宋体" w:hint="eastAsia"/>
          <w:b/>
          <w:color w:val="000000"/>
          <w:spacing w:val="80"/>
          <w:kern w:val="0"/>
          <w:sz w:val="30"/>
          <w:szCs w:val="30"/>
          <w:u w:color="000000"/>
        </w:rPr>
        <w:t>临泽县建新城市建设开发有限</w:t>
      </w:r>
      <w:r>
        <w:rPr>
          <w:rFonts w:hAnsi="宋体"/>
          <w:b/>
          <w:color w:val="000000"/>
          <w:spacing w:val="80"/>
          <w:kern w:val="0"/>
          <w:sz w:val="30"/>
          <w:szCs w:val="30"/>
          <w:u w:color="000000"/>
        </w:rPr>
        <w:t>责任公司</w:t>
      </w:r>
    </w:p>
    <w:p w:rsidR="009C5C1F" w:rsidRDefault="004D2E0D">
      <w:pPr>
        <w:widowControl/>
        <w:spacing w:line="800" w:lineRule="exact"/>
        <w:jc w:val="center"/>
        <w:textAlignment w:val="baseline"/>
        <w:rPr>
          <w:rFonts w:eastAsia="黑体"/>
          <w:b/>
          <w:color w:val="000000"/>
          <w:kern w:val="0"/>
          <w:szCs w:val="20"/>
          <w:u w:color="000000"/>
        </w:rPr>
        <w:sectPr w:rsidR="009C5C1F">
          <w:headerReference w:type="even" r:id="rId9"/>
          <w:headerReference w:type="default" r:id="rId10"/>
          <w:footerReference w:type="default" r:id="rId11"/>
          <w:pgSz w:w="11906" w:h="16838"/>
          <w:pgMar w:top="1440" w:right="1797" w:bottom="1440" w:left="1797" w:header="709" w:footer="709" w:gutter="0"/>
          <w:cols w:space="720"/>
          <w:docGrid w:type="lines" w:linePitch="360"/>
        </w:sectPr>
      </w:pPr>
      <w:r>
        <w:rPr>
          <w:b/>
          <w:color w:val="000000"/>
          <w:kern w:val="0"/>
          <w:sz w:val="30"/>
          <w:szCs w:val="30"/>
          <w:u w:color="000000"/>
        </w:rPr>
        <w:t>二</w:t>
      </w:r>
      <w:r>
        <w:rPr>
          <w:b/>
          <w:color w:val="000000"/>
          <w:kern w:val="0"/>
          <w:sz w:val="30"/>
          <w:szCs w:val="30"/>
          <w:u w:color="000000"/>
        </w:rPr>
        <w:t>O</w:t>
      </w:r>
      <w:r>
        <w:rPr>
          <w:b/>
          <w:color w:val="000000"/>
          <w:kern w:val="0"/>
          <w:sz w:val="30"/>
          <w:szCs w:val="30"/>
          <w:u w:color="000000"/>
        </w:rPr>
        <w:t>二</w:t>
      </w:r>
      <w:r>
        <w:rPr>
          <w:rFonts w:hint="eastAsia"/>
          <w:b/>
          <w:color w:val="000000"/>
          <w:kern w:val="0"/>
          <w:sz w:val="30"/>
          <w:szCs w:val="30"/>
          <w:u w:color="000000"/>
        </w:rPr>
        <w:t>三</w:t>
      </w:r>
      <w:r>
        <w:rPr>
          <w:b/>
          <w:color w:val="000000"/>
          <w:kern w:val="0"/>
          <w:sz w:val="30"/>
          <w:szCs w:val="30"/>
          <w:u w:color="000000"/>
        </w:rPr>
        <w:t>年</w:t>
      </w:r>
      <w:r>
        <w:rPr>
          <w:rFonts w:hint="eastAsia"/>
          <w:b/>
          <w:color w:val="000000"/>
          <w:kern w:val="0"/>
          <w:sz w:val="30"/>
          <w:szCs w:val="30"/>
          <w:u w:color="000000"/>
        </w:rPr>
        <w:t>八</w:t>
      </w:r>
      <w:r>
        <w:rPr>
          <w:b/>
          <w:color w:val="000000"/>
          <w:kern w:val="0"/>
          <w:sz w:val="30"/>
          <w:szCs w:val="30"/>
          <w:u w:color="000000"/>
        </w:rPr>
        <w:t>月</w:t>
      </w:r>
      <w:r>
        <w:rPr>
          <w:rFonts w:eastAsia="黑体"/>
          <w:b/>
          <w:color w:val="000000"/>
          <w:kern w:val="0"/>
          <w:szCs w:val="20"/>
          <w:u w:color="000000"/>
        </w:rPr>
        <w:br w:type="page"/>
      </w:r>
    </w:p>
    <w:p w:rsidR="009C5C1F" w:rsidRDefault="004D2E0D">
      <w:pPr>
        <w:widowControl/>
        <w:jc w:val="left"/>
        <w:rPr>
          <w:rFonts w:eastAsia="黑体"/>
          <w:b/>
          <w:color w:val="000000"/>
          <w:kern w:val="0"/>
          <w:szCs w:val="20"/>
          <w:u w:color="000000"/>
        </w:rPr>
      </w:pPr>
      <w:r>
        <w:rPr>
          <w:rFonts w:eastAsia="黑体"/>
          <w:b/>
          <w:color w:val="000000"/>
          <w:kern w:val="0"/>
          <w:szCs w:val="20"/>
          <w:u w:color="000000"/>
        </w:rPr>
        <w:lastRenderedPageBreak/>
        <w:br w:type="page"/>
      </w:r>
    </w:p>
    <w:p w:rsidR="009C5C1F" w:rsidRDefault="004D2E0D">
      <w:pPr>
        <w:keepNext/>
        <w:keepLines/>
        <w:widowControl/>
        <w:spacing w:before="100" w:beforeAutospacing="1" w:after="100" w:afterAutospacing="1" w:line="1000" w:lineRule="exact"/>
        <w:jc w:val="center"/>
        <w:textAlignment w:val="baseline"/>
        <w:outlineLvl w:val="0"/>
        <w:rPr>
          <w:b/>
          <w:bCs/>
          <w:color w:val="000000"/>
          <w:spacing w:val="-10"/>
          <w:kern w:val="44"/>
          <w:sz w:val="44"/>
          <w:szCs w:val="44"/>
          <w:u w:color="000000"/>
        </w:rPr>
      </w:pPr>
      <w:bookmarkStart w:id="24" w:name="_Toc147823555"/>
      <w:bookmarkStart w:id="25" w:name="_Toc153130702"/>
      <w:bookmarkStart w:id="26" w:name="_Toc151733820"/>
      <w:bookmarkStart w:id="27" w:name="_Toc152603144"/>
      <w:r>
        <w:rPr>
          <w:rFonts w:hint="eastAsia"/>
          <w:b/>
          <w:bCs/>
          <w:color w:val="000000"/>
          <w:spacing w:val="-10"/>
          <w:kern w:val="44"/>
          <w:sz w:val="44"/>
          <w:szCs w:val="44"/>
          <w:u w:color="000000"/>
        </w:rPr>
        <w:lastRenderedPageBreak/>
        <w:t>甘肃省临泽县板桥</w:t>
      </w:r>
      <w:proofErr w:type="gramStart"/>
      <w:r>
        <w:rPr>
          <w:rFonts w:hint="eastAsia"/>
          <w:b/>
          <w:bCs/>
          <w:color w:val="000000"/>
          <w:spacing w:val="-10"/>
          <w:kern w:val="44"/>
          <w:sz w:val="44"/>
          <w:szCs w:val="44"/>
          <w:u w:color="000000"/>
        </w:rPr>
        <w:t>镇壕洼村</w:t>
      </w:r>
      <w:proofErr w:type="gramEnd"/>
      <w:r>
        <w:rPr>
          <w:rFonts w:hint="eastAsia"/>
          <w:b/>
          <w:bCs/>
          <w:color w:val="000000"/>
          <w:spacing w:val="-10"/>
          <w:kern w:val="44"/>
          <w:sz w:val="44"/>
          <w:szCs w:val="44"/>
          <w:u w:color="000000"/>
        </w:rPr>
        <w:t>正北山西侧砖瓦用粘土矿</w:t>
      </w:r>
      <w:bookmarkEnd w:id="24"/>
      <w:bookmarkEnd w:id="25"/>
      <w:bookmarkEnd w:id="26"/>
      <w:bookmarkEnd w:id="27"/>
    </w:p>
    <w:p w:rsidR="009C5C1F" w:rsidRDefault="009C5C1F">
      <w:pPr>
        <w:widowControl/>
        <w:spacing w:line="660" w:lineRule="exact"/>
        <w:jc w:val="center"/>
        <w:textAlignment w:val="baseline"/>
        <w:rPr>
          <w:b/>
          <w:bCs/>
          <w:color w:val="000000"/>
          <w:spacing w:val="-10"/>
          <w:kern w:val="44"/>
          <w:sz w:val="44"/>
          <w:szCs w:val="44"/>
          <w:u w:color="000000"/>
        </w:rPr>
      </w:pPr>
    </w:p>
    <w:p w:rsidR="009C5C1F" w:rsidRDefault="004D2E0D">
      <w:pPr>
        <w:widowControl/>
        <w:spacing w:line="660" w:lineRule="exact"/>
        <w:jc w:val="center"/>
        <w:textAlignment w:val="baseline"/>
        <w:rPr>
          <w:b/>
          <w:color w:val="000000"/>
          <w:spacing w:val="24"/>
          <w:kern w:val="0"/>
          <w:sz w:val="36"/>
          <w:szCs w:val="36"/>
          <w:u w:color="000000"/>
        </w:rPr>
      </w:pPr>
      <w:r>
        <w:rPr>
          <w:rFonts w:hint="eastAsia"/>
          <w:b/>
          <w:bCs/>
          <w:color w:val="000000"/>
          <w:spacing w:val="24"/>
          <w:kern w:val="0"/>
          <w:sz w:val="36"/>
          <w:szCs w:val="36"/>
          <w:u w:color="000000"/>
        </w:rPr>
        <w:t>矿产资源开发与恢复治理方案</w:t>
      </w:r>
    </w:p>
    <w:p w:rsidR="009C5C1F" w:rsidRDefault="009C5C1F">
      <w:pPr>
        <w:snapToGrid w:val="0"/>
        <w:spacing w:line="660" w:lineRule="exact"/>
        <w:ind w:firstLineChars="200" w:firstLine="560"/>
        <w:textAlignment w:val="baseline"/>
        <w:rPr>
          <w:color w:val="000000"/>
          <w:kern w:val="0"/>
          <w:sz w:val="28"/>
          <w:szCs w:val="28"/>
          <w:u w:color="000000"/>
        </w:rPr>
      </w:pPr>
    </w:p>
    <w:p w:rsidR="009C5C1F" w:rsidRDefault="009C5C1F">
      <w:pPr>
        <w:snapToGrid w:val="0"/>
        <w:spacing w:line="660" w:lineRule="exact"/>
        <w:ind w:firstLineChars="200" w:firstLine="560"/>
        <w:textAlignment w:val="baseline"/>
        <w:rPr>
          <w:color w:val="000000"/>
          <w:kern w:val="0"/>
          <w:sz w:val="28"/>
          <w:szCs w:val="28"/>
          <w:u w:color="000000"/>
        </w:rPr>
      </w:pPr>
    </w:p>
    <w:p w:rsidR="009C5C1F" w:rsidRDefault="004D2E0D">
      <w:pPr>
        <w:widowControl/>
        <w:spacing w:line="660" w:lineRule="exact"/>
        <w:ind w:firstLineChars="265" w:firstLine="848"/>
        <w:textAlignment w:val="baseline"/>
        <w:rPr>
          <w:sz w:val="32"/>
          <w:szCs w:val="32"/>
        </w:rPr>
      </w:pPr>
      <w:r>
        <w:rPr>
          <w:rFonts w:hint="eastAsia"/>
          <w:sz w:val="32"/>
          <w:szCs w:val="32"/>
        </w:rPr>
        <w:t>申报</w:t>
      </w:r>
      <w:r>
        <w:rPr>
          <w:sz w:val="32"/>
          <w:szCs w:val="32"/>
        </w:rPr>
        <w:t>单位：</w:t>
      </w:r>
      <w:r>
        <w:rPr>
          <w:rFonts w:hint="eastAsia"/>
          <w:sz w:val="32"/>
          <w:szCs w:val="32"/>
        </w:rPr>
        <w:t>临泽县建新城市建设开发有限责任公司</w:t>
      </w:r>
    </w:p>
    <w:p w:rsidR="009C5C1F" w:rsidRDefault="004D2E0D">
      <w:pPr>
        <w:spacing w:line="800" w:lineRule="exact"/>
        <w:ind w:firstLineChars="265" w:firstLine="848"/>
        <w:rPr>
          <w:color w:val="1F497D" w:themeColor="text2"/>
          <w:sz w:val="32"/>
          <w:szCs w:val="32"/>
        </w:rPr>
      </w:pPr>
      <w:r>
        <w:rPr>
          <w:sz w:val="32"/>
          <w:szCs w:val="32"/>
        </w:rPr>
        <w:t>负</w:t>
      </w:r>
      <w:r>
        <w:rPr>
          <w:sz w:val="32"/>
          <w:szCs w:val="32"/>
        </w:rPr>
        <w:t xml:space="preserve"> </w:t>
      </w:r>
      <w:r>
        <w:rPr>
          <w:sz w:val="32"/>
          <w:szCs w:val="32"/>
        </w:rPr>
        <w:t>责</w:t>
      </w:r>
      <w:r>
        <w:rPr>
          <w:sz w:val="32"/>
          <w:szCs w:val="32"/>
        </w:rPr>
        <w:t xml:space="preserve"> </w:t>
      </w:r>
      <w:r>
        <w:rPr>
          <w:sz w:val="32"/>
          <w:szCs w:val="32"/>
        </w:rPr>
        <w:t>人：</w:t>
      </w:r>
    </w:p>
    <w:p w:rsidR="009C5C1F" w:rsidRDefault="009C5C1F">
      <w:pPr>
        <w:spacing w:line="800" w:lineRule="exact"/>
        <w:ind w:firstLineChars="265" w:firstLine="848"/>
        <w:rPr>
          <w:sz w:val="32"/>
          <w:szCs w:val="32"/>
        </w:rPr>
      </w:pPr>
    </w:p>
    <w:p w:rsidR="009C5C1F" w:rsidRDefault="004D2E0D">
      <w:pPr>
        <w:spacing w:line="900" w:lineRule="exact"/>
        <w:ind w:firstLineChars="265" w:firstLine="848"/>
        <w:rPr>
          <w:sz w:val="32"/>
          <w:szCs w:val="32"/>
        </w:rPr>
      </w:pPr>
      <w:r>
        <w:rPr>
          <w:sz w:val="32"/>
          <w:szCs w:val="32"/>
        </w:rPr>
        <w:t>编制单位：</w:t>
      </w:r>
      <w:r>
        <w:rPr>
          <w:rFonts w:hint="eastAsia"/>
          <w:sz w:val="32"/>
          <w:szCs w:val="32"/>
        </w:rPr>
        <w:t>甘肃煤田地质局一四五队</w:t>
      </w:r>
    </w:p>
    <w:p w:rsidR="009C5C1F" w:rsidRDefault="004D2E0D">
      <w:pPr>
        <w:spacing w:line="900" w:lineRule="exact"/>
        <w:ind w:firstLineChars="265" w:firstLine="848"/>
        <w:rPr>
          <w:sz w:val="32"/>
          <w:szCs w:val="32"/>
        </w:rPr>
      </w:pPr>
      <w:r>
        <w:rPr>
          <w:sz w:val="32"/>
          <w:szCs w:val="32"/>
        </w:rPr>
        <w:t>法定代表人：</w:t>
      </w:r>
      <w:r>
        <w:rPr>
          <w:color w:val="1F497D" w:themeColor="text2"/>
          <w:sz w:val="32"/>
          <w:szCs w:val="32"/>
        </w:rPr>
        <w:t>贠建林</w:t>
      </w:r>
      <w:r>
        <w:rPr>
          <w:sz w:val="32"/>
          <w:szCs w:val="32"/>
        </w:rPr>
        <w:t xml:space="preserve"> </w:t>
      </w:r>
    </w:p>
    <w:p w:rsidR="009C5C1F" w:rsidRDefault="004D2E0D">
      <w:pPr>
        <w:spacing w:line="900" w:lineRule="exact"/>
        <w:ind w:firstLineChars="265" w:firstLine="848"/>
        <w:rPr>
          <w:color w:val="1F497D" w:themeColor="text2"/>
          <w:sz w:val="32"/>
          <w:szCs w:val="32"/>
        </w:rPr>
      </w:pPr>
      <w:r>
        <w:rPr>
          <w:sz w:val="32"/>
          <w:szCs w:val="32"/>
        </w:rPr>
        <w:t>总工程师：</w:t>
      </w:r>
      <w:r>
        <w:rPr>
          <w:rFonts w:hint="eastAsia"/>
          <w:color w:val="1F497D" w:themeColor="text2"/>
          <w:sz w:val="32"/>
          <w:szCs w:val="32"/>
        </w:rPr>
        <w:t>魏孔磐</w:t>
      </w:r>
      <w:r>
        <w:rPr>
          <w:color w:val="1F497D" w:themeColor="text2"/>
          <w:sz w:val="32"/>
          <w:szCs w:val="32"/>
        </w:rPr>
        <w:t xml:space="preserve"> </w:t>
      </w:r>
    </w:p>
    <w:p w:rsidR="009C5C1F" w:rsidRDefault="004D2E0D">
      <w:pPr>
        <w:spacing w:line="900" w:lineRule="exact"/>
        <w:ind w:firstLineChars="265" w:firstLine="848"/>
        <w:rPr>
          <w:sz w:val="32"/>
          <w:szCs w:val="32"/>
        </w:rPr>
      </w:pPr>
      <w:r>
        <w:rPr>
          <w:sz w:val="32"/>
          <w:szCs w:val="32"/>
        </w:rPr>
        <w:t>审</w:t>
      </w:r>
      <w:r>
        <w:rPr>
          <w:sz w:val="32"/>
          <w:szCs w:val="32"/>
        </w:rPr>
        <w:t xml:space="preserve">    </w:t>
      </w:r>
      <w:r>
        <w:rPr>
          <w:sz w:val="32"/>
          <w:szCs w:val="32"/>
        </w:rPr>
        <w:t>核：</w:t>
      </w:r>
      <w:r>
        <w:rPr>
          <w:rFonts w:hint="eastAsia"/>
          <w:color w:val="1F497D" w:themeColor="text2"/>
          <w:sz w:val="32"/>
          <w:szCs w:val="32"/>
        </w:rPr>
        <w:t>侯海兵</w:t>
      </w:r>
    </w:p>
    <w:p w:rsidR="009C5C1F" w:rsidRDefault="004D2E0D">
      <w:pPr>
        <w:spacing w:line="900" w:lineRule="exact"/>
        <w:ind w:firstLineChars="265" w:firstLine="848"/>
        <w:rPr>
          <w:sz w:val="32"/>
          <w:szCs w:val="32"/>
        </w:rPr>
      </w:pPr>
      <w:r>
        <w:rPr>
          <w:sz w:val="32"/>
          <w:szCs w:val="32"/>
        </w:rPr>
        <w:t>编制人员：</w:t>
      </w:r>
      <w:r>
        <w:rPr>
          <w:rFonts w:hint="eastAsia"/>
          <w:color w:val="1F497D" w:themeColor="text2"/>
          <w:sz w:val="32"/>
          <w:szCs w:val="32"/>
        </w:rPr>
        <w:t>张毓滋、田晓红、</w:t>
      </w:r>
      <w:proofErr w:type="gramStart"/>
      <w:r>
        <w:rPr>
          <w:rFonts w:hint="eastAsia"/>
          <w:color w:val="1F497D" w:themeColor="text2"/>
          <w:sz w:val="32"/>
          <w:szCs w:val="32"/>
        </w:rPr>
        <w:t>孙佳成</w:t>
      </w:r>
      <w:proofErr w:type="gramEnd"/>
    </w:p>
    <w:p w:rsidR="009C5C1F" w:rsidRDefault="004D2E0D">
      <w:pPr>
        <w:spacing w:line="900" w:lineRule="exact"/>
        <w:ind w:firstLineChars="265" w:firstLine="848"/>
        <w:rPr>
          <w:sz w:val="32"/>
          <w:szCs w:val="32"/>
        </w:rPr>
      </w:pPr>
      <w:r>
        <w:rPr>
          <w:sz w:val="32"/>
          <w:szCs w:val="32"/>
        </w:rPr>
        <w:t>编制时间：二</w:t>
      </w:r>
      <w:r>
        <w:rPr>
          <w:sz w:val="32"/>
          <w:szCs w:val="32"/>
        </w:rPr>
        <w:t>O</w:t>
      </w:r>
      <w:r>
        <w:rPr>
          <w:sz w:val="32"/>
          <w:szCs w:val="32"/>
        </w:rPr>
        <w:t>二</w:t>
      </w:r>
      <w:r>
        <w:rPr>
          <w:rFonts w:hint="eastAsia"/>
          <w:sz w:val="32"/>
          <w:szCs w:val="32"/>
        </w:rPr>
        <w:t>三</w:t>
      </w:r>
      <w:r>
        <w:rPr>
          <w:sz w:val="32"/>
          <w:szCs w:val="32"/>
        </w:rPr>
        <w:t>年</w:t>
      </w:r>
      <w:r>
        <w:rPr>
          <w:rFonts w:hint="eastAsia"/>
          <w:sz w:val="32"/>
          <w:szCs w:val="32"/>
        </w:rPr>
        <w:t>八</w:t>
      </w:r>
      <w:r>
        <w:rPr>
          <w:sz w:val="32"/>
          <w:szCs w:val="32"/>
        </w:rPr>
        <w:t>月</w:t>
      </w:r>
    </w:p>
    <w:p w:rsidR="009C5C1F" w:rsidRDefault="009C5C1F">
      <w:pPr>
        <w:pStyle w:val="a0"/>
        <w:ind w:firstLine="210"/>
        <w:sectPr w:rsidR="009C5C1F">
          <w:pgSz w:w="11906" w:h="16838"/>
          <w:pgMar w:top="1440" w:right="1797" w:bottom="1440" w:left="1797" w:header="709" w:footer="709" w:gutter="0"/>
          <w:cols w:space="720"/>
          <w:docGrid w:type="lines" w:linePitch="360"/>
        </w:sectPr>
      </w:pPr>
    </w:p>
    <w:p w:rsidR="009C5C1F" w:rsidRDefault="009C5C1F" w:rsidP="00B618FC">
      <w:pPr>
        <w:pStyle w:val="a0"/>
        <w:ind w:firstLineChars="0" w:firstLine="0"/>
        <w:sectPr w:rsidR="009C5C1F">
          <w:pgSz w:w="11906" w:h="16838"/>
          <w:pgMar w:top="1440" w:right="1797" w:bottom="1440" w:left="1797" w:header="709" w:footer="709" w:gutter="0"/>
          <w:cols w:space="720"/>
          <w:docGrid w:type="lines" w:linePitch="360"/>
        </w:sectPr>
      </w:pPr>
    </w:p>
    <w:p w:rsidR="009C5C1F" w:rsidRDefault="004D2E0D">
      <w:pPr>
        <w:suppressAutoHyphens/>
        <w:topLinePunct/>
        <w:adjustRightInd w:val="0"/>
        <w:snapToGrid w:val="0"/>
        <w:spacing w:line="500" w:lineRule="exact"/>
        <w:jc w:val="center"/>
        <w:outlineLvl w:val="0"/>
        <w:rPr>
          <w:rFonts w:ascii="宋体" w:hAnsi="宋体"/>
          <w:b/>
          <w:sz w:val="32"/>
          <w:szCs w:val="32"/>
        </w:rPr>
      </w:pPr>
      <w:bookmarkStart w:id="28" w:name="_Toc71621562"/>
      <w:bookmarkStart w:id="29" w:name="_Toc70589700"/>
      <w:bookmarkStart w:id="30" w:name="_Toc71619014"/>
      <w:bookmarkStart w:id="31" w:name="_Toc147823556"/>
      <w:bookmarkStart w:id="32" w:name="_Toc151733821"/>
      <w:bookmarkStart w:id="33" w:name="_Toc152603145"/>
      <w:bookmarkStart w:id="34" w:name="_Toc153130703"/>
      <w:r>
        <w:rPr>
          <w:rFonts w:ascii="宋体" w:hAnsi="宋体"/>
          <w:b/>
          <w:sz w:val="32"/>
          <w:szCs w:val="32"/>
        </w:rPr>
        <w:lastRenderedPageBreak/>
        <w:t xml:space="preserve">目   </w:t>
      </w:r>
      <w:r>
        <w:rPr>
          <w:rFonts w:ascii="宋体" w:hAnsi="宋体" w:hint="eastAsia"/>
          <w:b/>
          <w:sz w:val="32"/>
          <w:szCs w:val="32"/>
        </w:rPr>
        <w:t xml:space="preserve">   </w:t>
      </w:r>
      <w:r>
        <w:rPr>
          <w:rFonts w:ascii="宋体" w:hAnsi="宋体"/>
          <w:b/>
          <w:sz w:val="32"/>
          <w:szCs w:val="32"/>
        </w:rPr>
        <w:t>录</w:t>
      </w:r>
      <w:bookmarkEnd w:id="7"/>
      <w:bookmarkEnd w:id="8"/>
      <w:bookmarkEnd w:id="9"/>
      <w:bookmarkEnd w:id="10"/>
      <w:bookmarkEnd w:id="11"/>
      <w:bookmarkEnd w:id="12"/>
      <w:bookmarkEnd w:id="13"/>
      <w:bookmarkEnd w:id="14"/>
      <w:bookmarkEnd w:id="28"/>
      <w:bookmarkEnd w:id="29"/>
      <w:bookmarkEnd w:id="30"/>
      <w:bookmarkEnd w:id="31"/>
      <w:bookmarkEnd w:id="32"/>
      <w:bookmarkEnd w:id="33"/>
      <w:bookmarkEnd w:id="34"/>
    </w:p>
    <w:p w:rsidR="009C5C1F" w:rsidRDefault="004D2E0D">
      <w:pPr>
        <w:pStyle w:val="10"/>
        <w:rPr>
          <w:rFonts w:asciiTheme="minorHAnsi" w:eastAsiaTheme="minorEastAsia" w:hAnsiTheme="minorHAnsi" w:cstheme="minorBidi"/>
          <w:b w:val="0"/>
          <w:sz w:val="21"/>
          <w:szCs w:val="22"/>
          <w14:ligatures w14:val="standardContextual"/>
        </w:rPr>
      </w:pPr>
      <w:r>
        <w:rPr>
          <w:rFonts w:ascii="宋体" w:eastAsia="宋体" w:hAnsi="宋体" w:cs="宋体" w:hint="eastAsia"/>
          <w:b w:val="0"/>
          <w:bCs/>
          <w:color w:val="FF0000"/>
          <w:sz w:val="24"/>
        </w:rPr>
        <w:fldChar w:fldCharType="begin"/>
      </w:r>
      <w:r>
        <w:rPr>
          <w:rFonts w:ascii="宋体" w:eastAsia="宋体" w:hAnsi="宋体" w:cs="宋体" w:hint="eastAsia"/>
          <w:b w:val="0"/>
          <w:bCs/>
          <w:color w:val="FF0000"/>
          <w:sz w:val="24"/>
        </w:rPr>
        <w:instrText xml:space="preserve"> TOC \o "1-2" \h \z \u </w:instrText>
      </w:r>
      <w:r>
        <w:rPr>
          <w:rFonts w:ascii="宋体" w:eastAsia="宋体" w:hAnsi="宋体" w:cs="宋体" w:hint="eastAsia"/>
          <w:b w:val="0"/>
          <w:bCs/>
          <w:color w:val="FF0000"/>
          <w:sz w:val="24"/>
        </w:rPr>
        <w:fldChar w:fldCharType="separate"/>
      </w:r>
    </w:p>
    <w:p w:rsidR="009C5C1F" w:rsidRDefault="009C5C1F">
      <w:pPr>
        <w:pStyle w:val="10"/>
        <w:rPr>
          <w:rFonts w:asciiTheme="minorHAnsi" w:eastAsiaTheme="minorEastAsia" w:hAnsiTheme="minorHAnsi" w:cstheme="minorBidi"/>
          <w:b w:val="0"/>
          <w:sz w:val="21"/>
          <w:szCs w:val="22"/>
          <w14:ligatures w14:val="standardContextual"/>
        </w:rPr>
      </w:pPr>
    </w:p>
    <w:p w:rsidR="009C5C1F" w:rsidRDefault="00ED062B">
      <w:pPr>
        <w:pStyle w:val="10"/>
        <w:rPr>
          <w:rFonts w:asciiTheme="minorHAnsi" w:eastAsiaTheme="minorEastAsia" w:hAnsiTheme="minorHAnsi" w:cstheme="minorBidi"/>
          <w:b w:val="0"/>
          <w:sz w:val="21"/>
          <w:szCs w:val="22"/>
          <w14:ligatures w14:val="standardContextual"/>
        </w:rPr>
      </w:pPr>
      <w:hyperlink w:anchor="_Toc153130704" w:history="1">
        <w:r w:rsidR="004D2E0D">
          <w:rPr>
            <w:rStyle w:val="af7"/>
          </w:rPr>
          <w:t>第一部分 矿产资源开发利用方案</w:t>
        </w:r>
        <w:r w:rsidR="004D2E0D">
          <w:tab/>
        </w:r>
        <w:r w:rsidR="004D2E0D">
          <w:fldChar w:fldCharType="begin"/>
        </w:r>
        <w:r w:rsidR="004D2E0D">
          <w:instrText xml:space="preserve"> PAGEREF _Toc153130704 \h </w:instrText>
        </w:r>
        <w:r w:rsidR="004D2E0D">
          <w:fldChar w:fldCharType="separate"/>
        </w:r>
        <w:r w:rsidR="004D2E0D">
          <w:t>1</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05" w:history="1">
        <w:r w:rsidR="004D2E0D">
          <w:rPr>
            <w:rStyle w:val="af7"/>
          </w:rPr>
          <w:t>1  概 述</w:t>
        </w:r>
        <w:r w:rsidR="004D2E0D">
          <w:tab/>
        </w:r>
        <w:r w:rsidR="004D2E0D">
          <w:fldChar w:fldCharType="begin"/>
        </w:r>
        <w:r w:rsidR="004D2E0D">
          <w:instrText xml:space="preserve"> PAGEREF _Toc153130705 \h </w:instrText>
        </w:r>
        <w:r w:rsidR="004D2E0D">
          <w:fldChar w:fldCharType="separate"/>
        </w:r>
        <w:r w:rsidR="004D2E0D">
          <w:t>1</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06" w:history="1">
        <w:r w:rsidR="004D2E0D">
          <w:rPr>
            <w:rStyle w:val="af7"/>
            <w:rFonts w:ascii="宋体" w:hAnsi="宋体" w:cs="宋体"/>
          </w:rPr>
          <w:t>1.1 项目名称、隶属关系、矿区位置及企业性质</w:t>
        </w:r>
        <w:r w:rsidR="004D2E0D">
          <w:tab/>
        </w:r>
        <w:r w:rsidR="004D2E0D">
          <w:fldChar w:fldCharType="begin"/>
        </w:r>
        <w:r w:rsidR="004D2E0D">
          <w:instrText xml:space="preserve"> PAGEREF _Toc153130706 \h </w:instrText>
        </w:r>
        <w:r w:rsidR="004D2E0D">
          <w:fldChar w:fldCharType="separate"/>
        </w:r>
        <w:r w:rsidR="004D2E0D">
          <w:t>1</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07" w:history="1">
        <w:r w:rsidR="004D2E0D">
          <w:rPr>
            <w:rStyle w:val="af7"/>
            <w:rFonts w:ascii="宋体" w:hAnsi="宋体" w:cs="宋体"/>
          </w:rPr>
          <w:t>1.2 编制目的、依据和原则</w:t>
        </w:r>
        <w:r w:rsidR="004D2E0D">
          <w:tab/>
        </w:r>
        <w:r w:rsidR="004D2E0D">
          <w:fldChar w:fldCharType="begin"/>
        </w:r>
        <w:r w:rsidR="004D2E0D">
          <w:instrText xml:space="preserve"> PAGEREF _Toc153130707 \h </w:instrText>
        </w:r>
        <w:r w:rsidR="004D2E0D">
          <w:fldChar w:fldCharType="separate"/>
        </w:r>
        <w:r w:rsidR="004D2E0D">
          <w:t>3</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08" w:history="1">
        <w:r w:rsidR="004D2E0D">
          <w:rPr>
            <w:rStyle w:val="af7"/>
            <w:rFonts w:ascii="宋体" w:hAnsi="宋体" w:cs="宋体"/>
          </w:rPr>
          <w:t>1.3 自然地理及经济概况</w:t>
        </w:r>
        <w:r w:rsidR="004D2E0D">
          <w:tab/>
        </w:r>
        <w:r w:rsidR="004D2E0D">
          <w:fldChar w:fldCharType="begin"/>
        </w:r>
        <w:r w:rsidR="004D2E0D">
          <w:instrText xml:space="preserve"> PAGEREF _Toc153130708 \h </w:instrText>
        </w:r>
        <w:r w:rsidR="004D2E0D">
          <w:fldChar w:fldCharType="separate"/>
        </w:r>
        <w:r w:rsidR="004D2E0D">
          <w:t>4</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09" w:history="1">
        <w:r w:rsidR="004D2E0D">
          <w:rPr>
            <w:rStyle w:val="af7"/>
            <w:rFonts w:ascii="宋体" w:hAnsi="宋体" w:cs="宋体"/>
          </w:rPr>
          <w:t>1.4 项目建设外部条件及开发现状</w:t>
        </w:r>
        <w:r w:rsidR="004D2E0D">
          <w:tab/>
        </w:r>
        <w:r w:rsidR="004D2E0D">
          <w:fldChar w:fldCharType="begin"/>
        </w:r>
        <w:r w:rsidR="004D2E0D">
          <w:instrText xml:space="preserve"> PAGEREF _Toc153130709 \h </w:instrText>
        </w:r>
        <w:r w:rsidR="004D2E0D">
          <w:fldChar w:fldCharType="separate"/>
        </w:r>
        <w:r w:rsidR="004D2E0D">
          <w:t>5</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10" w:history="1">
        <w:r w:rsidR="004D2E0D">
          <w:rPr>
            <w:rStyle w:val="af7"/>
            <w:rFonts w:ascii="宋体" w:hAnsi="宋体" w:cs="宋体"/>
          </w:rPr>
          <w:t xml:space="preserve">2  </w:t>
        </w:r>
        <w:r w:rsidR="004D2E0D">
          <w:rPr>
            <w:rStyle w:val="af7"/>
            <w:rFonts w:ascii="宋体" w:hAnsi="宋体" w:cs="宋体"/>
          </w:rPr>
          <w:t>矿产品需求现状和预测</w:t>
        </w:r>
        <w:r w:rsidR="004D2E0D">
          <w:tab/>
        </w:r>
        <w:r w:rsidR="004D2E0D">
          <w:fldChar w:fldCharType="begin"/>
        </w:r>
        <w:r w:rsidR="004D2E0D">
          <w:instrText xml:space="preserve"> PAGEREF _Toc153130710 \h </w:instrText>
        </w:r>
        <w:r w:rsidR="004D2E0D">
          <w:fldChar w:fldCharType="separate"/>
        </w:r>
        <w:r w:rsidR="004D2E0D">
          <w:t>7</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11" w:history="1">
        <w:r w:rsidR="004D2E0D">
          <w:rPr>
            <w:rStyle w:val="af7"/>
            <w:rFonts w:ascii="宋体" w:hAnsi="宋体" w:cs="宋体"/>
          </w:rPr>
          <w:t>2.1 矿产品需求现状</w:t>
        </w:r>
        <w:r w:rsidR="004D2E0D">
          <w:tab/>
        </w:r>
        <w:r w:rsidR="004D2E0D">
          <w:fldChar w:fldCharType="begin"/>
        </w:r>
        <w:r w:rsidR="004D2E0D">
          <w:instrText xml:space="preserve"> PAGEREF _Toc153130711 \h </w:instrText>
        </w:r>
        <w:r w:rsidR="004D2E0D">
          <w:fldChar w:fldCharType="separate"/>
        </w:r>
        <w:r w:rsidR="004D2E0D">
          <w:t>7</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12" w:history="1">
        <w:r w:rsidR="004D2E0D">
          <w:rPr>
            <w:rStyle w:val="af7"/>
            <w:rFonts w:ascii="宋体" w:hAnsi="宋体" w:cs="宋体"/>
          </w:rPr>
          <w:t>2.2 产品价格分析</w:t>
        </w:r>
        <w:r w:rsidR="004D2E0D">
          <w:tab/>
        </w:r>
        <w:r w:rsidR="004D2E0D">
          <w:fldChar w:fldCharType="begin"/>
        </w:r>
        <w:r w:rsidR="004D2E0D">
          <w:instrText xml:space="preserve"> PAGEREF _Toc153130712 \h </w:instrText>
        </w:r>
        <w:r w:rsidR="004D2E0D">
          <w:fldChar w:fldCharType="separate"/>
        </w:r>
        <w:r w:rsidR="004D2E0D">
          <w:t>7</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13" w:history="1">
        <w:r w:rsidR="004D2E0D">
          <w:rPr>
            <w:rStyle w:val="af7"/>
            <w:rFonts w:ascii="宋体" w:hAnsi="宋体" w:cs="宋体"/>
          </w:rPr>
          <w:t xml:space="preserve">3  </w:t>
        </w:r>
        <w:r w:rsidR="004D2E0D">
          <w:rPr>
            <w:rStyle w:val="af7"/>
            <w:rFonts w:ascii="宋体" w:hAnsi="宋体" w:cs="宋体"/>
          </w:rPr>
          <w:t>矿产资源概况</w:t>
        </w:r>
        <w:r w:rsidR="004D2E0D">
          <w:tab/>
        </w:r>
        <w:r w:rsidR="004D2E0D">
          <w:fldChar w:fldCharType="begin"/>
        </w:r>
        <w:r w:rsidR="004D2E0D">
          <w:instrText xml:space="preserve"> PAGEREF _Toc153130713 \h </w:instrText>
        </w:r>
        <w:r w:rsidR="004D2E0D">
          <w:fldChar w:fldCharType="separate"/>
        </w:r>
        <w:r w:rsidR="004D2E0D">
          <w:t>8</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14" w:history="1">
        <w:r w:rsidR="004D2E0D">
          <w:rPr>
            <w:rStyle w:val="af7"/>
            <w:rFonts w:ascii="宋体" w:hAnsi="宋体" w:cs="宋体"/>
          </w:rPr>
          <w:t>3.1矿区总体概况</w:t>
        </w:r>
        <w:r w:rsidR="004D2E0D">
          <w:tab/>
        </w:r>
        <w:r w:rsidR="004D2E0D">
          <w:fldChar w:fldCharType="begin"/>
        </w:r>
        <w:r w:rsidR="004D2E0D">
          <w:instrText xml:space="preserve"> PAGEREF _Toc153130714 \h </w:instrText>
        </w:r>
        <w:r w:rsidR="004D2E0D">
          <w:fldChar w:fldCharType="separate"/>
        </w:r>
        <w:r w:rsidR="004D2E0D">
          <w:t>8</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15" w:history="1">
        <w:r w:rsidR="004D2E0D">
          <w:rPr>
            <w:rStyle w:val="af7"/>
            <w:rFonts w:ascii="宋体" w:hAnsi="宋体" w:cs="宋体"/>
          </w:rPr>
          <w:t>3.2矿山地质概况</w:t>
        </w:r>
        <w:r w:rsidR="004D2E0D">
          <w:tab/>
        </w:r>
        <w:r w:rsidR="004D2E0D">
          <w:fldChar w:fldCharType="begin"/>
        </w:r>
        <w:r w:rsidR="004D2E0D">
          <w:instrText xml:space="preserve"> PAGEREF _Toc153130715 \h </w:instrText>
        </w:r>
        <w:r w:rsidR="004D2E0D">
          <w:fldChar w:fldCharType="separate"/>
        </w:r>
        <w:r w:rsidR="004D2E0D">
          <w:t>8</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16" w:history="1">
        <w:r w:rsidR="004D2E0D">
          <w:rPr>
            <w:rStyle w:val="af7"/>
            <w:rFonts w:ascii="宋体" w:hAnsi="宋体" w:cs="宋体"/>
          </w:rPr>
          <w:t>3.3开采技术条件</w:t>
        </w:r>
        <w:r w:rsidR="004D2E0D">
          <w:tab/>
        </w:r>
        <w:r w:rsidR="004D2E0D">
          <w:fldChar w:fldCharType="begin"/>
        </w:r>
        <w:r w:rsidR="004D2E0D">
          <w:instrText xml:space="preserve"> PAGEREF _Toc153130716 \h </w:instrText>
        </w:r>
        <w:r w:rsidR="004D2E0D">
          <w:fldChar w:fldCharType="separate"/>
        </w:r>
        <w:r w:rsidR="004D2E0D">
          <w:t>12</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17" w:history="1">
        <w:r w:rsidR="004D2E0D">
          <w:rPr>
            <w:rStyle w:val="af7"/>
            <w:rFonts w:ascii="宋体" w:hAnsi="宋体" w:cs="宋体"/>
          </w:rPr>
          <w:t>3.4矿山资源储量概述</w:t>
        </w:r>
        <w:r w:rsidR="004D2E0D">
          <w:tab/>
        </w:r>
        <w:r w:rsidR="004D2E0D">
          <w:fldChar w:fldCharType="begin"/>
        </w:r>
        <w:r w:rsidR="004D2E0D">
          <w:instrText xml:space="preserve"> PAGEREF _Toc153130717 \h </w:instrText>
        </w:r>
        <w:r w:rsidR="004D2E0D">
          <w:fldChar w:fldCharType="separate"/>
        </w:r>
        <w:r w:rsidR="004D2E0D">
          <w:t>13</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18" w:history="1">
        <w:r w:rsidR="004D2E0D">
          <w:rPr>
            <w:rStyle w:val="af7"/>
            <w:rFonts w:ascii="宋体" w:hAnsi="宋体" w:cs="宋体"/>
          </w:rPr>
          <w:t>3.5对地质勘探报告的评述</w:t>
        </w:r>
        <w:r w:rsidR="004D2E0D">
          <w:tab/>
        </w:r>
        <w:r w:rsidR="004D2E0D">
          <w:fldChar w:fldCharType="begin"/>
        </w:r>
        <w:r w:rsidR="004D2E0D">
          <w:instrText xml:space="preserve"> PAGEREF _Toc153130718 \h </w:instrText>
        </w:r>
        <w:r w:rsidR="004D2E0D">
          <w:fldChar w:fldCharType="separate"/>
        </w:r>
        <w:r w:rsidR="004D2E0D">
          <w:t>14</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19" w:history="1">
        <w:r w:rsidR="004D2E0D">
          <w:rPr>
            <w:rStyle w:val="af7"/>
            <w:rFonts w:ascii="宋体" w:hAnsi="宋体" w:cs="宋体"/>
          </w:rPr>
          <w:t xml:space="preserve">4  </w:t>
        </w:r>
        <w:r w:rsidR="004D2E0D">
          <w:rPr>
            <w:rStyle w:val="af7"/>
            <w:rFonts w:ascii="宋体" w:hAnsi="宋体" w:cs="宋体"/>
          </w:rPr>
          <w:t>主要建设方案确定</w:t>
        </w:r>
        <w:r w:rsidR="004D2E0D">
          <w:tab/>
        </w:r>
        <w:r w:rsidR="004D2E0D">
          <w:fldChar w:fldCharType="begin"/>
        </w:r>
        <w:r w:rsidR="004D2E0D">
          <w:instrText xml:space="preserve"> PAGEREF _Toc153130719 \h </w:instrText>
        </w:r>
        <w:r w:rsidR="004D2E0D">
          <w:fldChar w:fldCharType="separate"/>
        </w:r>
        <w:r w:rsidR="004D2E0D">
          <w:t>15</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20" w:history="1">
        <w:r w:rsidR="004D2E0D">
          <w:rPr>
            <w:rStyle w:val="af7"/>
            <w:rFonts w:ascii="宋体" w:hAnsi="宋体" w:cs="宋体"/>
          </w:rPr>
          <w:t>4.1 开采方案矿区总体概况</w:t>
        </w:r>
        <w:r w:rsidR="004D2E0D">
          <w:tab/>
        </w:r>
        <w:r w:rsidR="004D2E0D">
          <w:fldChar w:fldCharType="begin"/>
        </w:r>
        <w:r w:rsidR="004D2E0D">
          <w:instrText xml:space="preserve"> PAGEREF _Toc153130720 \h </w:instrText>
        </w:r>
        <w:r w:rsidR="004D2E0D">
          <w:fldChar w:fldCharType="separate"/>
        </w:r>
        <w:r w:rsidR="004D2E0D">
          <w:t>15</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21" w:history="1">
        <w:r w:rsidR="004D2E0D">
          <w:rPr>
            <w:rStyle w:val="af7"/>
            <w:rFonts w:ascii="宋体" w:hAnsi="宋体" w:cs="宋体"/>
          </w:rPr>
          <w:t>4.2 矿山防治水方案</w:t>
        </w:r>
        <w:r w:rsidR="004D2E0D">
          <w:tab/>
        </w:r>
        <w:r w:rsidR="004D2E0D">
          <w:fldChar w:fldCharType="begin"/>
        </w:r>
        <w:r w:rsidR="004D2E0D">
          <w:instrText xml:space="preserve"> PAGEREF _Toc153130721 \h </w:instrText>
        </w:r>
        <w:r w:rsidR="004D2E0D">
          <w:fldChar w:fldCharType="separate"/>
        </w:r>
        <w:r w:rsidR="004D2E0D">
          <w:t>20</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22" w:history="1">
        <w:r w:rsidR="004D2E0D">
          <w:rPr>
            <w:rStyle w:val="af7"/>
          </w:rPr>
          <w:t>5  矿床开采</w:t>
        </w:r>
        <w:r w:rsidR="004D2E0D">
          <w:tab/>
        </w:r>
        <w:r w:rsidR="004D2E0D">
          <w:fldChar w:fldCharType="begin"/>
        </w:r>
        <w:r w:rsidR="004D2E0D">
          <w:instrText xml:space="preserve"> PAGEREF _Toc153130722 \h </w:instrText>
        </w:r>
        <w:r w:rsidR="004D2E0D">
          <w:fldChar w:fldCharType="separate"/>
        </w:r>
        <w:r w:rsidR="004D2E0D">
          <w:t>22</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23" w:history="1">
        <w:r w:rsidR="004D2E0D">
          <w:rPr>
            <w:rStyle w:val="af7"/>
            <w:rFonts w:ascii="宋体" w:hAnsi="宋体" w:cs="宋体"/>
          </w:rPr>
          <w:t>5.1 采场边坡及台阶</w:t>
        </w:r>
        <w:r w:rsidR="004D2E0D">
          <w:tab/>
        </w:r>
        <w:r w:rsidR="004D2E0D">
          <w:fldChar w:fldCharType="begin"/>
        </w:r>
        <w:r w:rsidR="004D2E0D">
          <w:instrText xml:space="preserve"> PAGEREF _Toc153130723 \h </w:instrText>
        </w:r>
        <w:r w:rsidR="004D2E0D">
          <w:fldChar w:fldCharType="separate"/>
        </w:r>
        <w:r w:rsidR="004D2E0D">
          <w:t>22</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24" w:history="1">
        <w:r w:rsidR="004D2E0D">
          <w:rPr>
            <w:rStyle w:val="af7"/>
            <w:rFonts w:ascii="宋体" w:hAnsi="宋体" w:cs="宋体"/>
          </w:rPr>
          <w:t>5.2 矿山工作制度</w:t>
        </w:r>
        <w:r w:rsidR="004D2E0D">
          <w:tab/>
        </w:r>
        <w:r w:rsidR="004D2E0D">
          <w:fldChar w:fldCharType="begin"/>
        </w:r>
        <w:r w:rsidR="004D2E0D">
          <w:instrText xml:space="preserve"> PAGEREF _Toc153130724 \h </w:instrText>
        </w:r>
        <w:r w:rsidR="004D2E0D">
          <w:fldChar w:fldCharType="separate"/>
        </w:r>
        <w:r w:rsidR="004D2E0D">
          <w:t>22</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25" w:history="1">
        <w:r w:rsidR="004D2E0D">
          <w:rPr>
            <w:rStyle w:val="af7"/>
            <w:rFonts w:ascii="宋体" w:hAnsi="宋体" w:cs="宋体"/>
          </w:rPr>
          <w:t>5.3 矿山服务年限</w:t>
        </w:r>
        <w:r w:rsidR="004D2E0D">
          <w:tab/>
        </w:r>
        <w:r w:rsidR="004D2E0D">
          <w:fldChar w:fldCharType="begin"/>
        </w:r>
        <w:r w:rsidR="004D2E0D">
          <w:instrText xml:space="preserve"> PAGEREF _Toc153130725 \h </w:instrText>
        </w:r>
        <w:r w:rsidR="004D2E0D">
          <w:fldChar w:fldCharType="separate"/>
        </w:r>
        <w:r w:rsidR="004D2E0D">
          <w:t>22</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26" w:history="1">
        <w:r w:rsidR="004D2E0D">
          <w:rPr>
            <w:rStyle w:val="af7"/>
            <w:rFonts w:ascii="宋体" w:hAnsi="宋体" w:cs="宋体"/>
          </w:rPr>
          <w:t>5.4剥采比与剥离量</w:t>
        </w:r>
        <w:r w:rsidR="004D2E0D">
          <w:tab/>
        </w:r>
        <w:r w:rsidR="004D2E0D">
          <w:fldChar w:fldCharType="begin"/>
        </w:r>
        <w:r w:rsidR="004D2E0D">
          <w:instrText xml:space="preserve"> PAGEREF _Toc153130726 \h </w:instrText>
        </w:r>
        <w:r w:rsidR="004D2E0D">
          <w:fldChar w:fldCharType="separate"/>
        </w:r>
        <w:r w:rsidR="004D2E0D">
          <w:t>22</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27" w:history="1">
        <w:r w:rsidR="004D2E0D">
          <w:rPr>
            <w:rStyle w:val="af7"/>
          </w:rPr>
          <w:t>6  总图运输</w:t>
        </w:r>
        <w:r w:rsidR="004D2E0D">
          <w:tab/>
        </w:r>
        <w:r w:rsidR="004D2E0D">
          <w:fldChar w:fldCharType="begin"/>
        </w:r>
        <w:r w:rsidR="004D2E0D">
          <w:instrText xml:space="preserve"> PAGEREF _Toc153130727 \h </w:instrText>
        </w:r>
        <w:r w:rsidR="004D2E0D">
          <w:fldChar w:fldCharType="separate"/>
        </w:r>
        <w:r w:rsidR="004D2E0D">
          <w:t>24</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28" w:history="1">
        <w:r w:rsidR="004D2E0D">
          <w:rPr>
            <w:rStyle w:val="af7"/>
            <w:rFonts w:ascii="宋体" w:hAnsi="宋体" w:cs="宋体"/>
          </w:rPr>
          <w:t>6.1总平面布置范围</w:t>
        </w:r>
        <w:r w:rsidR="004D2E0D">
          <w:tab/>
        </w:r>
        <w:r w:rsidR="004D2E0D">
          <w:fldChar w:fldCharType="begin"/>
        </w:r>
        <w:r w:rsidR="004D2E0D">
          <w:instrText xml:space="preserve"> PAGEREF _Toc153130728 \h </w:instrText>
        </w:r>
        <w:r w:rsidR="004D2E0D">
          <w:fldChar w:fldCharType="separate"/>
        </w:r>
        <w:r w:rsidR="004D2E0D">
          <w:t>24</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29" w:history="1">
        <w:r w:rsidR="004D2E0D">
          <w:rPr>
            <w:rStyle w:val="af7"/>
            <w:rFonts w:ascii="宋体" w:hAnsi="宋体" w:cs="宋体"/>
            <w:b/>
            <w:bCs/>
          </w:rPr>
          <w:t>6.2</w:t>
        </w:r>
        <w:r w:rsidR="004D2E0D">
          <w:rPr>
            <w:rStyle w:val="af7"/>
            <w:rFonts w:ascii="宋体" w:hAnsi="宋体" w:cs="宋体" w:hint="eastAsia"/>
            <w:b/>
            <w:bCs/>
          </w:rPr>
          <w:t>堆料</w:t>
        </w:r>
        <w:r w:rsidR="004D2E0D">
          <w:rPr>
            <w:rStyle w:val="af7"/>
            <w:rFonts w:ascii="宋体" w:hAnsi="宋体" w:cs="宋体"/>
            <w:b/>
            <w:bCs/>
          </w:rPr>
          <w:t>场</w:t>
        </w:r>
        <w:r w:rsidR="004D2E0D">
          <w:tab/>
        </w:r>
        <w:r w:rsidR="004D2E0D">
          <w:fldChar w:fldCharType="begin"/>
        </w:r>
        <w:r w:rsidR="004D2E0D">
          <w:instrText xml:space="preserve"> PAGEREF _Toc153130729 \h </w:instrText>
        </w:r>
        <w:r w:rsidR="004D2E0D">
          <w:fldChar w:fldCharType="separate"/>
        </w:r>
        <w:r w:rsidR="004D2E0D">
          <w:t>24</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30" w:history="1">
        <w:r w:rsidR="004D2E0D">
          <w:rPr>
            <w:rStyle w:val="af7"/>
          </w:rPr>
          <w:t>7   矿区道路</w:t>
        </w:r>
        <w:r w:rsidR="004D2E0D">
          <w:tab/>
        </w:r>
        <w:r w:rsidR="004D2E0D">
          <w:fldChar w:fldCharType="begin"/>
        </w:r>
        <w:r w:rsidR="004D2E0D">
          <w:instrText xml:space="preserve"> PAGEREF _Toc153130730 \h </w:instrText>
        </w:r>
        <w:r w:rsidR="004D2E0D">
          <w:fldChar w:fldCharType="separate"/>
        </w:r>
        <w:r w:rsidR="004D2E0D">
          <w:t>25</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31" w:history="1">
        <w:r w:rsidR="004D2E0D">
          <w:rPr>
            <w:rStyle w:val="af7"/>
            <w:rFonts w:ascii="宋体" w:hAnsi="宋体" w:cs="宋体"/>
          </w:rPr>
          <w:t>7.1 布线方式及道路标准</w:t>
        </w:r>
        <w:r w:rsidR="004D2E0D">
          <w:tab/>
        </w:r>
        <w:r w:rsidR="004D2E0D">
          <w:fldChar w:fldCharType="begin"/>
        </w:r>
        <w:r w:rsidR="004D2E0D">
          <w:instrText xml:space="preserve"> PAGEREF _Toc153130731 \h </w:instrText>
        </w:r>
        <w:r w:rsidR="004D2E0D">
          <w:fldChar w:fldCharType="separate"/>
        </w:r>
        <w:r w:rsidR="004D2E0D">
          <w:t>25</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32" w:history="1">
        <w:r w:rsidR="004D2E0D">
          <w:rPr>
            <w:rStyle w:val="af7"/>
            <w:rFonts w:ascii="宋体" w:hAnsi="宋体" w:cs="宋体"/>
          </w:rPr>
          <w:t>7.2 道路工程量</w:t>
        </w:r>
        <w:r w:rsidR="004D2E0D">
          <w:tab/>
        </w:r>
        <w:r w:rsidR="004D2E0D">
          <w:fldChar w:fldCharType="begin"/>
        </w:r>
        <w:r w:rsidR="004D2E0D">
          <w:instrText xml:space="preserve"> PAGEREF _Toc153130732 \h </w:instrText>
        </w:r>
        <w:r w:rsidR="004D2E0D">
          <w:fldChar w:fldCharType="separate"/>
        </w:r>
        <w:r w:rsidR="004D2E0D">
          <w:t>25</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33" w:history="1">
        <w:r w:rsidR="004D2E0D">
          <w:rPr>
            <w:rStyle w:val="af7"/>
          </w:rPr>
          <w:t>8  供配电及供水</w:t>
        </w:r>
        <w:r w:rsidR="004D2E0D">
          <w:tab/>
        </w:r>
        <w:r w:rsidR="004D2E0D">
          <w:fldChar w:fldCharType="begin"/>
        </w:r>
        <w:r w:rsidR="004D2E0D">
          <w:instrText xml:space="preserve"> PAGEREF _Toc153130733 \h </w:instrText>
        </w:r>
        <w:r w:rsidR="004D2E0D">
          <w:fldChar w:fldCharType="separate"/>
        </w:r>
        <w:r w:rsidR="004D2E0D">
          <w:t>26</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34" w:history="1">
        <w:r w:rsidR="004D2E0D">
          <w:rPr>
            <w:rStyle w:val="af7"/>
            <w:rFonts w:ascii="宋体" w:hAnsi="宋体" w:cs="宋体"/>
          </w:rPr>
          <w:t>8.1供水</w:t>
        </w:r>
        <w:r w:rsidR="004D2E0D">
          <w:tab/>
        </w:r>
        <w:r w:rsidR="004D2E0D">
          <w:fldChar w:fldCharType="begin"/>
        </w:r>
        <w:r w:rsidR="004D2E0D">
          <w:instrText xml:space="preserve"> PAGEREF _Toc153130734 \h </w:instrText>
        </w:r>
        <w:r w:rsidR="004D2E0D">
          <w:fldChar w:fldCharType="separate"/>
        </w:r>
        <w:r w:rsidR="004D2E0D">
          <w:t>26</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35" w:history="1">
        <w:r w:rsidR="004D2E0D">
          <w:rPr>
            <w:rStyle w:val="af7"/>
            <w:rFonts w:ascii="宋体" w:hAnsi="宋体" w:cs="宋体"/>
          </w:rPr>
          <w:t>8.2 供电</w:t>
        </w:r>
        <w:r w:rsidR="004D2E0D">
          <w:tab/>
        </w:r>
        <w:r w:rsidR="004D2E0D">
          <w:fldChar w:fldCharType="begin"/>
        </w:r>
        <w:r w:rsidR="004D2E0D">
          <w:instrText xml:space="preserve"> PAGEREF _Toc153130735 \h </w:instrText>
        </w:r>
        <w:r w:rsidR="004D2E0D">
          <w:fldChar w:fldCharType="separate"/>
        </w:r>
        <w:r w:rsidR="004D2E0D">
          <w:t>26</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36" w:history="1">
        <w:r w:rsidR="004D2E0D">
          <w:rPr>
            <w:rStyle w:val="af7"/>
          </w:rPr>
          <w:t>9   环境保护</w:t>
        </w:r>
        <w:r w:rsidR="004D2E0D">
          <w:tab/>
        </w:r>
        <w:r w:rsidR="004D2E0D">
          <w:fldChar w:fldCharType="begin"/>
        </w:r>
        <w:r w:rsidR="004D2E0D">
          <w:instrText xml:space="preserve"> PAGEREF _Toc153130736 \h </w:instrText>
        </w:r>
        <w:r w:rsidR="004D2E0D">
          <w:fldChar w:fldCharType="separate"/>
        </w:r>
        <w:r w:rsidR="004D2E0D">
          <w:t>27</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37" w:history="1">
        <w:r w:rsidR="004D2E0D">
          <w:rPr>
            <w:rStyle w:val="af7"/>
            <w:rFonts w:ascii="宋体" w:hAnsi="宋体" w:cs="宋体"/>
          </w:rPr>
          <w:t>9.1 环保标准</w:t>
        </w:r>
        <w:r w:rsidR="004D2E0D">
          <w:tab/>
        </w:r>
        <w:r w:rsidR="004D2E0D">
          <w:fldChar w:fldCharType="begin"/>
        </w:r>
        <w:r w:rsidR="004D2E0D">
          <w:instrText xml:space="preserve"> PAGEREF _Toc153130737 \h </w:instrText>
        </w:r>
        <w:r w:rsidR="004D2E0D">
          <w:fldChar w:fldCharType="separate"/>
        </w:r>
        <w:r w:rsidR="004D2E0D">
          <w:t>27</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38" w:history="1">
        <w:r w:rsidR="004D2E0D">
          <w:rPr>
            <w:rStyle w:val="af7"/>
            <w:rFonts w:ascii="宋体" w:hAnsi="宋体" w:cs="宋体"/>
          </w:rPr>
          <w:t>9.2 环保法规</w:t>
        </w:r>
        <w:r w:rsidR="004D2E0D">
          <w:tab/>
        </w:r>
        <w:r w:rsidR="004D2E0D">
          <w:fldChar w:fldCharType="begin"/>
        </w:r>
        <w:r w:rsidR="004D2E0D">
          <w:instrText xml:space="preserve"> PAGEREF _Toc153130738 \h </w:instrText>
        </w:r>
        <w:r w:rsidR="004D2E0D">
          <w:fldChar w:fldCharType="separate"/>
        </w:r>
        <w:r w:rsidR="004D2E0D">
          <w:t>27</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39" w:history="1">
        <w:r w:rsidR="004D2E0D">
          <w:rPr>
            <w:rStyle w:val="af7"/>
            <w:rFonts w:ascii="宋体" w:hAnsi="宋体" w:cs="宋体"/>
          </w:rPr>
          <w:t>9.3 矿山主要污染物及治理措施</w:t>
        </w:r>
        <w:r w:rsidR="004D2E0D">
          <w:tab/>
        </w:r>
        <w:r w:rsidR="004D2E0D">
          <w:fldChar w:fldCharType="begin"/>
        </w:r>
        <w:r w:rsidR="004D2E0D">
          <w:instrText xml:space="preserve"> PAGEREF _Toc153130739 \h </w:instrText>
        </w:r>
        <w:r w:rsidR="004D2E0D">
          <w:fldChar w:fldCharType="separate"/>
        </w:r>
        <w:r w:rsidR="004D2E0D">
          <w:t>27</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40" w:history="1">
        <w:r w:rsidR="004D2E0D">
          <w:rPr>
            <w:rStyle w:val="af7"/>
            <w:rFonts w:ascii="宋体" w:hAnsi="宋体" w:cs="宋体"/>
          </w:rPr>
          <w:t>9.4 水土保持与恢复环境技术措施</w:t>
        </w:r>
        <w:r w:rsidR="004D2E0D">
          <w:tab/>
        </w:r>
        <w:r w:rsidR="004D2E0D">
          <w:fldChar w:fldCharType="begin"/>
        </w:r>
        <w:r w:rsidR="004D2E0D">
          <w:instrText xml:space="preserve"> PAGEREF _Toc153130740 \h </w:instrText>
        </w:r>
        <w:r w:rsidR="004D2E0D">
          <w:fldChar w:fldCharType="separate"/>
        </w:r>
        <w:r w:rsidR="004D2E0D">
          <w:t>29</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41" w:history="1">
        <w:r w:rsidR="004D2E0D">
          <w:rPr>
            <w:rStyle w:val="af7"/>
            <w:rFonts w:ascii="宋体" w:hAnsi="宋体" w:cs="宋体"/>
          </w:rPr>
          <w:t>9.5 环境管理</w:t>
        </w:r>
        <w:r w:rsidR="004D2E0D">
          <w:tab/>
        </w:r>
        <w:r w:rsidR="004D2E0D">
          <w:fldChar w:fldCharType="begin"/>
        </w:r>
        <w:r w:rsidR="004D2E0D">
          <w:instrText xml:space="preserve"> PAGEREF _Toc153130741 \h </w:instrText>
        </w:r>
        <w:r w:rsidR="004D2E0D">
          <w:fldChar w:fldCharType="separate"/>
        </w:r>
        <w:r w:rsidR="004D2E0D">
          <w:t>30</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42" w:history="1">
        <w:r w:rsidR="004D2E0D">
          <w:rPr>
            <w:rStyle w:val="af7"/>
            <w:spacing w:val="-4"/>
          </w:rPr>
          <w:t xml:space="preserve">9.6 </w:t>
        </w:r>
        <w:r w:rsidR="004D2E0D">
          <w:rPr>
            <w:rStyle w:val="af7"/>
            <w:spacing w:val="-4"/>
          </w:rPr>
          <w:t>估算环保投资</w:t>
        </w:r>
        <w:r w:rsidR="004D2E0D">
          <w:tab/>
        </w:r>
        <w:r w:rsidR="004D2E0D">
          <w:fldChar w:fldCharType="begin"/>
        </w:r>
        <w:r w:rsidR="004D2E0D">
          <w:instrText xml:space="preserve"> PAGEREF _Toc153130742 \h </w:instrText>
        </w:r>
        <w:r w:rsidR="004D2E0D">
          <w:fldChar w:fldCharType="separate"/>
        </w:r>
        <w:r w:rsidR="004D2E0D">
          <w:t>31</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43" w:history="1">
        <w:r w:rsidR="004D2E0D">
          <w:rPr>
            <w:rStyle w:val="af7"/>
            <w:rFonts w:ascii="宋体" w:hAnsi="宋体" w:cs="宋体"/>
          </w:rPr>
          <w:t>9.7 绿色矿山建设</w:t>
        </w:r>
        <w:r w:rsidR="004D2E0D">
          <w:tab/>
        </w:r>
        <w:r w:rsidR="004D2E0D">
          <w:fldChar w:fldCharType="begin"/>
        </w:r>
        <w:r w:rsidR="004D2E0D">
          <w:instrText xml:space="preserve"> PAGEREF _Toc153130743 \h </w:instrText>
        </w:r>
        <w:r w:rsidR="004D2E0D">
          <w:fldChar w:fldCharType="separate"/>
        </w:r>
        <w:r w:rsidR="004D2E0D">
          <w:t>31</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44" w:history="1">
        <w:r w:rsidR="004D2E0D">
          <w:rPr>
            <w:rStyle w:val="af7"/>
            <w:rFonts w:ascii="宋体" w:hAnsi="宋体" w:cs="宋体"/>
          </w:rPr>
          <w:t>9.8 环境影响评述</w:t>
        </w:r>
        <w:r w:rsidR="004D2E0D">
          <w:tab/>
        </w:r>
        <w:r w:rsidR="004D2E0D">
          <w:fldChar w:fldCharType="begin"/>
        </w:r>
        <w:r w:rsidR="004D2E0D">
          <w:instrText xml:space="preserve"> PAGEREF _Toc153130744 \h </w:instrText>
        </w:r>
        <w:r w:rsidR="004D2E0D">
          <w:fldChar w:fldCharType="separate"/>
        </w:r>
        <w:r w:rsidR="004D2E0D">
          <w:t>33</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45" w:history="1">
        <w:r w:rsidR="004D2E0D">
          <w:rPr>
            <w:rStyle w:val="af7"/>
          </w:rPr>
          <w:t>10  投资估算及技术经济评价</w:t>
        </w:r>
        <w:r w:rsidR="004D2E0D">
          <w:tab/>
        </w:r>
        <w:r w:rsidR="004D2E0D">
          <w:fldChar w:fldCharType="begin"/>
        </w:r>
        <w:r w:rsidR="004D2E0D">
          <w:instrText xml:space="preserve"> PAGEREF _Toc153130745 \h </w:instrText>
        </w:r>
        <w:r w:rsidR="004D2E0D">
          <w:fldChar w:fldCharType="separate"/>
        </w:r>
        <w:r w:rsidR="004D2E0D">
          <w:t>34</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46" w:history="1">
        <w:r w:rsidR="004D2E0D">
          <w:rPr>
            <w:rStyle w:val="af7"/>
            <w:rFonts w:ascii="宋体" w:hAnsi="宋体" w:cs="宋体"/>
          </w:rPr>
          <w:t>10.1生产规模及产品销售</w:t>
        </w:r>
        <w:r w:rsidR="004D2E0D">
          <w:tab/>
        </w:r>
        <w:r w:rsidR="004D2E0D">
          <w:fldChar w:fldCharType="begin"/>
        </w:r>
        <w:r w:rsidR="004D2E0D">
          <w:instrText xml:space="preserve"> PAGEREF _Toc153130746 \h </w:instrText>
        </w:r>
        <w:r w:rsidR="004D2E0D">
          <w:fldChar w:fldCharType="separate"/>
        </w:r>
        <w:r w:rsidR="004D2E0D">
          <w:t>34</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47" w:history="1">
        <w:r w:rsidR="004D2E0D">
          <w:rPr>
            <w:rStyle w:val="af7"/>
            <w:rFonts w:ascii="宋体" w:hAnsi="宋体" w:cs="宋体"/>
          </w:rPr>
          <w:t>10.2 劳动组织及定员</w:t>
        </w:r>
        <w:r w:rsidR="004D2E0D">
          <w:tab/>
        </w:r>
        <w:r w:rsidR="004D2E0D">
          <w:fldChar w:fldCharType="begin"/>
        </w:r>
        <w:r w:rsidR="004D2E0D">
          <w:instrText xml:space="preserve"> PAGEREF _Toc153130747 \h </w:instrText>
        </w:r>
        <w:r w:rsidR="004D2E0D">
          <w:fldChar w:fldCharType="separate"/>
        </w:r>
        <w:r w:rsidR="004D2E0D">
          <w:t>34</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48" w:history="1">
        <w:r w:rsidR="004D2E0D">
          <w:rPr>
            <w:rStyle w:val="af7"/>
            <w:rFonts w:ascii="宋体" w:hAnsi="宋体" w:cs="宋体"/>
          </w:rPr>
          <w:t>10.3 建设资金及资金来源</w:t>
        </w:r>
        <w:r w:rsidR="004D2E0D">
          <w:tab/>
        </w:r>
        <w:r w:rsidR="004D2E0D">
          <w:fldChar w:fldCharType="begin"/>
        </w:r>
        <w:r w:rsidR="004D2E0D">
          <w:instrText xml:space="preserve"> PAGEREF _Toc153130748 \h </w:instrText>
        </w:r>
        <w:r w:rsidR="004D2E0D">
          <w:fldChar w:fldCharType="separate"/>
        </w:r>
        <w:r w:rsidR="004D2E0D">
          <w:t>35</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49" w:history="1">
        <w:r w:rsidR="004D2E0D">
          <w:rPr>
            <w:rStyle w:val="af7"/>
            <w:rFonts w:ascii="宋体" w:hAnsi="宋体" w:cs="宋体"/>
          </w:rPr>
          <w:t>10.4 财务分析</w:t>
        </w:r>
        <w:r w:rsidR="004D2E0D">
          <w:tab/>
        </w:r>
        <w:r w:rsidR="004D2E0D">
          <w:fldChar w:fldCharType="begin"/>
        </w:r>
        <w:r w:rsidR="004D2E0D">
          <w:instrText xml:space="preserve"> PAGEREF _Toc153130749 \h </w:instrText>
        </w:r>
        <w:r w:rsidR="004D2E0D">
          <w:fldChar w:fldCharType="separate"/>
        </w:r>
        <w:r w:rsidR="004D2E0D">
          <w:t>36</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50" w:history="1">
        <w:r w:rsidR="004D2E0D">
          <w:rPr>
            <w:rStyle w:val="af7"/>
          </w:rPr>
          <w:t>11  矿山安全设施及措施要求</w:t>
        </w:r>
        <w:r w:rsidR="004D2E0D">
          <w:tab/>
        </w:r>
        <w:r w:rsidR="004D2E0D">
          <w:fldChar w:fldCharType="begin"/>
        </w:r>
        <w:r w:rsidR="004D2E0D">
          <w:instrText xml:space="preserve"> PAGEREF _Toc153130750 \h </w:instrText>
        </w:r>
        <w:r w:rsidR="004D2E0D">
          <w:fldChar w:fldCharType="separate"/>
        </w:r>
        <w:r w:rsidR="004D2E0D">
          <w:t>38</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51" w:history="1">
        <w:r w:rsidR="004D2E0D">
          <w:rPr>
            <w:rStyle w:val="af7"/>
            <w:rFonts w:ascii="宋体" w:hAnsi="宋体" w:cs="宋体"/>
          </w:rPr>
          <w:t>11.1 设计依据</w:t>
        </w:r>
        <w:r w:rsidR="004D2E0D">
          <w:tab/>
        </w:r>
        <w:r w:rsidR="004D2E0D">
          <w:fldChar w:fldCharType="begin"/>
        </w:r>
        <w:r w:rsidR="004D2E0D">
          <w:instrText xml:space="preserve"> PAGEREF _Toc153130751 \h </w:instrText>
        </w:r>
        <w:r w:rsidR="004D2E0D">
          <w:fldChar w:fldCharType="separate"/>
        </w:r>
        <w:r w:rsidR="004D2E0D">
          <w:t>38</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52" w:history="1">
        <w:r w:rsidR="004D2E0D">
          <w:rPr>
            <w:rStyle w:val="af7"/>
            <w:rFonts w:ascii="宋体" w:hAnsi="宋体" w:cs="宋体"/>
          </w:rPr>
          <w:t>11.2矿山主要危险、有害因素</w:t>
        </w:r>
        <w:r w:rsidR="004D2E0D">
          <w:tab/>
        </w:r>
        <w:r w:rsidR="004D2E0D">
          <w:fldChar w:fldCharType="begin"/>
        </w:r>
        <w:r w:rsidR="004D2E0D">
          <w:instrText xml:space="preserve"> PAGEREF _Toc153130752 \h </w:instrText>
        </w:r>
        <w:r w:rsidR="004D2E0D">
          <w:fldChar w:fldCharType="separate"/>
        </w:r>
        <w:r w:rsidR="004D2E0D">
          <w:t>38</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53" w:history="1">
        <w:r w:rsidR="004D2E0D">
          <w:rPr>
            <w:rStyle w:val="af7"/>
            <w:rFonts w:ascii="宋体" w:hAnsi="宋体" w:cs="宋体"/>
          </w:rPr>
          <w:t>11.3矿床开采安全防范措施</w:t>
        </w:r>
        <w:r w:rsidR="004D2E0D">
          <w:tab/>
        </w:r>
        <w:r w:rsidR="004D2E0D">
          <w:fldChar w:fldCharType="begin"/>
        </w:r>
        <w:r w:rsidR="004D2E0D">
          <w:instrText xml:space="preserve"> PAGEREF _Toc153130753 \h </w:instrText>
        </w:r>
        <w:r w:rsidR="004D2E0D">
          <w:fldChar w:fldCharType="separate"/>
        </w:r>
        <w:r w:rsidR="004D2E0D">
          <w:t>39</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54" w:history="1">
        <w:r w:rsidR="004D2E0D">
          <w:rPr>
            <w:rStyle w:val="af7"/>
            <w:rFonts w:ascii="宋体" w:hAnsi="宋体" w:cs="宋体"/>
          </w:rPr>
          <w:t>11.4安全管理</w:t>
        </w:r>
        <w:r w:rsidR="004D2E0D">
          <w:tab/>
        </w:r>
        <w:r w:rsidR="004D2E0D">
          <w:fldChar w:fldCharType="begin"/>
        </w:r>
        <w:r w:rsidR="004D2E0D">
          <w:instrText xml:space="preserve"> PAGEREF _Toc153130754 \h </w:instrText>
        </w:r>
        <w:r w:rsidR="004D2E0D">
          <w:fldChar w:fldCharType="separate"/>
        </w:r>
        <w:r w:rsidR="004D2E0D">
          <w:t>43</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55" w:history="1">
        <w:r w:rsidR="004D2E0D">
          <w:rPr>
            <w:rStyle w:val="af7"/>
            <w:rFonts w:ascii="宋体" w:hAnsi="宋体" w:cs="宋体"/>
          </w:rPr>
          <w:t>11.5安全可靠性及安全预期效果</w:t>
        </w:r>
        <w:r w:rsidR="004D2E0D">
          <w:tab/>
        </w:r>
        <w:r w:rsidR="004D2E0D">
          <w:fldChar w:fldCharType="begin"/>
        </w:r>
        <w:r w:rsidR="004D2E0D">
          <w:instrText xml:space="preserve"> PAGEREF _Toc153130755 \h </w:instrText>
        </w:r>
        <w:r w:rsidR="004D2E0D">
          <w:fldChar w:fldCharType="separate"/>
        </w:r>
        <w:r w:rsidR="004D2E0D">
          <w:t>45</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56" w:history="1">
        <w:r w:rsidR="004D2E0D">
          <w:rPr>
            <w:rStyle w:val="af7"/>
          </w:rPr>
          <w:t>12   开发利用方案简要结论</w:t>
        </w:r>
        <w:r w:rsidR="004D2E0D">
          <w:tab/>
        </w:r>
        <w:r w:rsidR="004D2E0D">
          <w:fldChar w:fldCharType="begin"/>
        </w:r>
        <w:r w:rsidR="004D2E0D">
          <w:instrText xml:space="preserve"> PAGEREF _Toc153130756 \h </w:instrText>
        </w:r>
        <w:r w:rsidR="004D2E0D">
          <w:fldChar w:fldCharType="separate"/>
        </w:r>
        <w:r w:rsidR="004D2E0D">
          <w:t>47</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57" w:history="1">
        <w:r w:rsidR="004D2E0D">
          <w:rPr>
            <w:rStyle w:val="af7"/>
            <w:rFonts w:ascii="宋体" w:hAnsi="宋体" w:cs="宋体"/>
          </w:rPr>
          <w:t>12.1 工程概况</w:t>
        </w:r>
        <w:r w:rsidR="004D2E0D">
          <w:tab/>
        </w:r>
        <w:r w:rsidR="004D2E0D">
          <w:fldChar w:fldCharType="begin"/>
        </w:r>
        <w:r w:rsidR="004D2E0D">
          <w:instrText xml:space="preserve"> PAGEREF _Toc153130757 \h </w:instrText>
        </w:r>
        <w:r w:rsidR="004D2E0D">
          <w:fldChar w:fldCharType="separate"/>
        </w:r>
        <w:r w:rsidR="004D2E0D">
          <w:t>47</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58" w:history="1">
        <w:r w:rsidR="004D2E0D">
          <w:rPr>
            <w:rStyle w:val="af7"/>
            <w:rFonts w:ascii="宋体" w:hAnsi="宋体" w:cs="宋体"/>
          </w:rPr>
          <w:t>12.2 主要技术指标表</w:t>
        </w:r>
        <w:r w:rsidR="004D2E0D">
          <w:tab/>
        </w:r>
        <w:r w:rsidR="004D2E0D">
          <w:fldChar w:fldCharType="begin"/>
        </w:r>
        <w:r w:rsidR="004D2E0D">
          <w:instrText xml:space="preserve"> PAGEREF _Toc153130758 \h </w:instrText>
        </w:r>
        <w:r w:rsidR="004D2E0D">
          <w:fldChar w:fldCharType="separate"/>
        </w:r>
        <w:r w:rsidR="004D2E0D">
          <w:t>47</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59" w:history="1">
        <w:r w:rsidR="004D2E0D">
          <w:rPr>
            <w:rStyle w:val="af7"/>
            <w:rFonts w:ascii="宋体" w:hAnsi="宋体" w:cs="宋体"/>
          </w:rPr>
          <w:t>12.3 工程项目综合评价</w:t>
        </w:r>
        <w:r w:rsidR="004D2E0D">
          <w:tab/>
        </w:r>
        <w:r w:rsidR="004D2E0D">
          <w:fldChar w:fldCharType="begin"/>
        </w:r>
        <w:r w:rsidR="004D2E0D">
          <w:instrText xml:space="preserve"> PAGEREF _Toc153130759 \h </w:instrText>
        </w:r>
        <w:r w:rsidR="004D2E0D">
          <w:fldChar w:fldCharType="separate"/>
        </w:r>
        <w:r w:rsidR="004D2E0D">
          <w:t>48</w:t>
        </w:r>
        <w:r w:rsidR="004D2E0D">
          <w:fldChar w:fldCharType="end"/>
        </w:r>
      </w:hyperlink>
    </w:p>
    <w:p w:rsidR="009C5C1F" w:rsidRDefault="00ED062B">
      <w:pPr>
        <w:pStyle w:val="21"/>
        <w:tabs>
          <w:tab w:val="right" w:leader="dot" w:pos="8302"/>
        </w:tabs>
        <w:rPr>
          <w:rFonts w:asciiTheme="minorHAnsi" w:eastAsiaTheme="minorEastAsia" w:hAnsiTheme="minorHAnsi" w:cstheme="minorBidi"/>
          <w:sz w:val="21"/>
          <w:szCs w:val="22"/>
          <w14:ligatures w14:val="standardContextual"/>
        </w:rPr>
      </w:pPr>
      <w:hyperlink w:anchor="_Toc153130760" w:history="1">
        <w:r w:rsidR="004D2E0D">
          <w:rPr>
            <w:rStyle w:val="af7"/>
            <w:rFonts w:ascii="宋体" w:hAnsi="宋体" w:cs="宋体"/>
          </w:rPr>
          <w:t>12.4 存在的问题及建议</w:t>
        </w:r>
        <w:r w:rsidR="004D2E0D">
          <w:tab/>
        </w:r>
        <w:r w:rsidR="004D2E0D">
          <w:fldChar w:fldCharType="begin"/>
        </w:r>
        <w:r w:rsidR="004D2E0D">
          <w:instrText xml:space="preserve"> PAGEREF _Toc153130760 \h </w:instrText>
        </w:r>
        <w:r w:rsidR="004D2E0D">
          <w:fldChar w:fldCharType="separate"/>
        </w:r>
        <w:r w:rsidR="004D2E0D">
          <w:t>48</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61" w:history="1">
        <w:r w:rsidR="004D2E0D">
          <w:rPr>
            <w:rStyle w:val="af7"/>
          </w:rPr>
          <w:t>第二部分 矿山地质环境保护与土地复垦方案</w:t>
        </w:r>
        <w:r w:rsidR="004D2E0D">
          <w:tab/>
        </w:r>
        <w:r w:rsidR="004D2E0D">
          <w:fldChar w:fldCharType="begin"/>
        </w:r>
        <w:r w:rsidR="004D2E0D">
          <w:instrText xml:space="preserve"> PAGEREF _Toc153130761 \h </w:instrText>
        </w:r>
        <w:r w:rsidR="004D2E0D">
          <w:fldChar w:fldCharType="separate"/>
        </w:r>
        <w:r w:rsidR="004D2E0D">
          <w:t>50</w:t>
        </w:r>
        <w:r w:rsidR="004D2E0D">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62" w:history="1">
        <w:r w:rsidR="004D2E0D">
          <w:rPr>
            <w:rStyle w:val="af7"/>
            <w:rFonts w:hAnsi="宋体"/>
            <w:bCs/>
            <w:kern w:val="44"/>
          </w:rPr>
          <w:t>前</w:t>
        </w:r>
        <w:r w:rsidR="004D2E0D">
          <w:rPr>
            <w:rStyle w:val="af7"/>
            <w:bCs/>
            <w:kern w:val="44"/>
          </w:rPr>
          <w:t xml:space="preserve"> </w:t>
        </w:r>
        <w:r w:rsidR="004D2E0D">
          <w:rPr>
            <w:rStyle w:val="af7"/>
            <w:rFonts w:hAnsi="宋体"/>
            <w:bCs/>
            <w:kern w:val="44"/>
          </w:rPr>
          <w:t>言</w:t>
        </w:r>
        <w:r w:rsidR="004D2E0D">
          <w:tab/>
        </w:r>
        <w:r w:rsidR="004D2E0D">
          <w:fldChar w:fldCharType="begin"/>
        </w:r>
        <w:r w:rsidR="004D2E0D">
          <w:instrText xml:space="preserve"> PAGEREF _Toc153130762 \h </w:instrText>
        </w:r>
        <w:r w:rsidR="004D2E0D">
          <w:fldChar w:fldCharType="separate"/>
        </w:r>
        <w:r w:rsidR="004D2E0D">
          <w:t>50</w:t>
        </w:r>
        <w:r w:rsidR="004D2E0D">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63" w:history="1">
        <w:r w:rsidR="004D2E0D">
          <w:rPr>
            <w:rStyle w:val="af7"/>
            <w:rFonts w:ascii="宋体" w:hAnsi="宋体"/>
          </w:rPr>
          <w:t>一、 任务的由来</w:t>
        </w:r>
        <w:r w:rsidR="004D2E0D">
          <w:rPr>
            <w:rFonts w:ascii="宋体" w:hAnsi="宋体"/>
          </w:rPr>
          <w:tab/>
        </w:r>
        <w:r w:rsidR="004D2E0D">
          <w:rPr>
            <w:rFonts w:ascii="宋体" w:hAnsi="宋体"/>
          </w:rPr>
          <w:fldChar w:fldCharType="begin"/>
        </w:r>
        <w:r w:rsidR="004D2E0D">
          <w:rPr>
            <w:rFonts w:ascii="宋体" w:hAnsi="宋体"/>
          </w:rPr>
          <w:instrText xml:space="preserve"> PAGEREF _Toc153130763 \h </w:instrText>
        </w:r>
        <w:r w:rsidR="004D2E0D">
          <w:rPr>
            <w:rFonts w:ascii="宋体" w:hAnsi="宋体"/>
          </w:rPr>
        </w:r>
        <w:r w:rsidR="004D2E0D">
          <w:rPr>
            <w:rFonts w:ascii="宋体" w:hAnsi="宋体"/>
          </w:rPr>
          <w:fldChar w:fldCharType="separate"/>
        </w:r>
        <w:r w:rsidR="004D2E0D">
          <w:rPr>
            <w:rFonts w:ascii="宋体" w:hAnsi="宋体"/>
          </w:rPr>
          <w:t>50</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64" w:history="1">
        <w:r w:rsidR="004D2E0D">
          <w:rPr>
            <w:rStyle w:val="af7"/>
            <w:rFonts w:ascii="宋体" w:hAnsi="宋体"/>
          </w:rPr>
          <w:t>二、 编制目的</w:t>
        </w:r>
        <w:r w:rsidR="004D2E0D">
          <w:rPr>
            <w:rFonts w:ascii="宋体" w:hAnsi="宋体"/>
          </w:rPr>
          <w:tab/>
        </w:r>
        <w:r w:rsidR="004D2E0D">
          <w:rPr>
            <w:rFonts w:ascii="宋体" w:hAnsi="宋体"/>
          </w:rPr>
          <w:fldChar w:fldCharType="begin"/>
        </w:r>
        <w:r w:rsidR="004D2E0D">
          <w:rPr>
            <w:rFonts w:ascii="宋体" w:hAnsi="宋体"/>
          </w:rPr>
          <w:instrText xml:space="preserve"> PAGEREF _Toc153130764 \h </w:instrText>
        </w:r>
        <w:r w:rsidR="004D2E0D">
          <w:rPr>
            <w:rFonts w:ascii="宋体" w:hAnsi="宋体"/>
          </w:rPr>
        </w:r>
        <w:r w:rsidR="004D2E0D">
          <w:rPr>
            <w:rFonts w:ascii="宋体" w:hAnsi="宋体"/>
          </w:rPr>
          <w:fldChar w:fldCharType="separate"/>
        </w:r>
        <w:r w:rsidR="004D2E0D">
          <w:rPr>
            <w:rFonts w:ascii="宋体" w:hAnsi="宋体"/>
          </w:rPr>
          <w:t>50</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65" w:history="1">
        <w:r w:rsidR="004D2E0D">
          <w:rPr>
            <w:rStyle w:val="af7"/>
            <w:rFonts w:ascii="宋体" w:hAnsi="宋体"/>
          </w:rPr>
          <w:t>三、 编制依据</w:t>
        </w:r>
        <w:r w:rsidR="004D2E0D">
          <w:rPr>
            <w:rFonts w:ascii="宋体" w:hAnsi="宋体"/>
          </w:rPr>
          <w:tab/>
        </w:r>
        <w:r w:rsidR="004D2E0D">
          <w:rPr>
            <w:rFonts w:ascii="宋体" w:hAnsi="宋体"/>
          </w:rPr>
          <w:fldChar w:fldCharType="begin"/>
        </w:r>
        <w:r w:rsidR="004D2E0D">
          <w:rPr>
            <w:rFonts w:ascii="宋体" w:hAnsi="宋体"/>
          </w:rPr>
          <w:instrText xml:space="preserve"> PAGEREF _Toc153130765 \h </w:instrText>
        </w:r>
        <w:r w:rsidR="004D2E0D">
          <w:rPr>
            <w:rFonts w:ascii="宋体" w:hAnsi="宋体"/>
          </w:rPr>
        </w:r>
        <w:r w:rsidR="004D2E0D">
          <w:rPr>
            <w:rFonts w:ascii="宋体" w:hAnsi="宋体"/>
          </w:rPr>
          <w:fldChar w:fldCharType="separate"/>
        </w:r>
        <w:r w:rsidR="004D2E0D">
          <w:rPr>
            <w:rFonts w:ascii="宋体" w:hAnsi="宋体"/>
          </w:rPr>
          <w:t>51</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66" w:history="1">
        <w:r w:rsidR="004D2E0D">
          <w:rPr>
            <w:rStyle w:val="af7"/>
            <w:rFonts w:ascii="宋体" w:hAnsi="宋体"/>
          </w:rPr>
          <w:t>四、方案适用年限</w:t>
        </w:r>
        <w:r w:rsidR="004D2E0D">
          <w:rPr>
            <w:rFonts w:ascii="宋体" w:hAnsi="宋体"/>
          </w:rPr>
          <w:tab/>
        </w:r>
        <w:r w:rsidR="004D2E0D">
          <w:rPr>
            <w:rFonts w:ascii="宋体" w:hAnsi="宋体"/>
          </w:rPr>
          <w:fldChar w:fldCharType="begin"/>
        </w:r>
        <w:r w:rsidR="004D2E0D">
          <w:rPr>
            <w:rFonts w:ascii="宋体" w:hAnsi="宋体"/>
          </w:rPr>
          <w:instrText xml:space="preserve"> PAGEREF _Toc153130766 \h </w:instrText>
        </w:r>
        <w:r w:rsidR="004D2E0D">
          <w:rPr>
            <w:rFonts w:ascii="宋体" w:hAnsi="宋体"/>
          </w:rPr>
        </w:r>
        <w:r w:rsidR="004D2E0D">
          <w:rPr>
            <w:rFonts w:ascii="宋体" w:hAnsi="宋体"/>
          </w:rPr>
          <w:fldChar w:fldCharType="separate"/>
        </w:r>
        <w:r w:rsidR="004D2E0D">
          <w:rPr>
            <w:rFonts w:ascii="宋体" w:hAnsi="宋体"/>
          </w:rPr>
          <w:t>53</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67" w:history="1">
        <w:r w:rsidR="004D2E0D">
          <w:rPr>
            <w:rStyle w:val="af7"/>
            <w:rFonts w:ascii="宋体" w:hAnsi="宋体"/>
          </w:rPr>
          <w:t>五、编制工作概况</w:t>
        </w:r>
        <w:r w:rsidR="004D2E0D">
          <w:rPr>
            <w:rFonts w:ascii="宋体" w:hAnsi="宋体"/>
          </w:rPr>
          <w:tab/>
        </w:r>
        <w:r w:rsidR="004D2E0D">
          <w:rPr>
            <w:rFonts w:ascii="宋体" w:hAnsi="宋体"/>
          </w:rPr>
          <w:fldChar w:fldCharType="begin"/>
        </w:r>
        <w:r w:rsidR="004D2E0D">
          <w:rPr>
            <w:rFonts w:ascii="宋体" w:hAnsi="宋体"/>
          </w:rPr>
          <w:instrText xml:space="preserve"> PAGEREF _Toc153130767 \h </w:instrText>
        </w:r>
        <w:r w:rsidR="004D2E0D">
          <w:rPr>
            <w:rFonts w:ascii="宋体" w:hAnsi="宋体"/>
          </w:rPr>
        </w:r>
        <w:r w:rsidR="004D2E0D">
          <w:rPr>
            <w:rFonts w:ascii="宋体" w:hAnsi="宋体"/>
          </w:rPr>
          <w:fldChar w:fldCharType="separate"/>
        </w:r>
        <w:r w:rsidR="004D2E0D">
          <w:rPr>
            <w:rFonts w:ascii="宋体" w:hAnsi="宋体"/>
          </w:rPr>
          <w:t>53</w:t>
        </w:r>
        <w:r w:rsidR="004D2E0D">
          <w:rPr>
            <w:rFonts w:ascii="宋体" w:hAnsi="宋体"/>
          </w:rPr>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68" w:history="1">
        <w:r w:rsidR="004D2E0D">
          <w:rPr>
            <w:rStyle w:val="af7"/>
            <w:rFonts w:hAnsi="宋体"/>
            <w:bCs/>
            <w:kern w:val="44"/>
          </w:rPr>
          <w:t xml:space="preserve">第一章  </w:t>
        </w:r>
        <w:r w:rsidR="004D2E0D">
          <w:rPr>
            <w:rStyle w:val="af7"/>
            <w:bCs/>
            <w:kern w:val="44"/>
          </w:rPr>
          <w:t xml:space="preserve"> </w:t>
        </w:r>
        <w:r w:rsidR="004D2E0D">
          <w:rPr>
            <w:rStyle w:val="af7"/>
            <w:rFonts w:hAnsi="宋体"/>
            <w:bCs/>
            <w:kern w:val="44"/>
          </w:rPr>
          <w:t>矿山基本情况</w:t>
        </w:r>
        <w:r w:rsidR="004D2E0D">
          <w:tab/>
        </w:r>
        <w:r w:rsidR="004D2E0D">
          <w:fldChar w:fldCharType="begin"/>
        </w:r>
        <w:r w:rsidR="004D2E0D">
          <w:instrText xml:space="preserve"> PAGEREF _Toc153130768 \h </w:instrText>
        </w:r>
        <w:r w:rsidR="004D2E0D">
          <w:fldChar w:fldCharType="separate"/>
        </w:r>
        <w:r w:rsidR="004D2E0D">
          <w:t>56</w:t>
        </w:r>
        <w:r w:rsidR="004D2E0D">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69" w:history="1">
        <w:r w:rsidR="004D2E0D">
          <w:rPr>
            <w:rStyle w:val="af7"/>
            <w:rFonts w:ascii="宋体" w:hAnsi="宋体"/>
          </w:rPr>
          <w:t>一、矿山简介</w:t>
        </w:r>
        <w:r w:rsidR="004D2E0D">
          <w:rPr>
            <w:rFonts w:ascii="宋体" w:hAnsi="宋体"/>
          </w:rPr>
          <w:tab/>
        </w:r>
        <w:r w:rsidR="004D2E0D">
          <w:rPr>
            <w:rFonts w:ascii="宋体" w:hAnsi="宋体"/>
          </w:rPr>
          <w:fldChar w:fldCharType="begin"/>
        </w:r>
        <w:r w:rsidR="004D2E0D">
          <w:rPr>
            <w:rFonts w:ascii="宋体" w:hAnsi="宋体"/>
          </w:rPr>
          <w:instrText xml:space="preserve"> PAGEREF _Toc153130769 \h </w:instrText>
        </w:r>
        <w:r w:rsidR="004D2E0D">
          <w:rPr>
            <w:rFonts w:ascii="宋体" w:hAnsi="宋体"/>
          </w:rPr>
        </w:r>
        <w:r w:rsidR="004D2E0D">
          <w:rPr>
            <w:rFonts w:ascii="宋体" w:hAnsi="宋体"/>
          </w:rPr>
          <w:fldChar w:fldCharType="separate"/>
        </w:r>
        <w:r w:rsidR="004D2E0D">
          <w:rPr>
            <w:rFonts w:ascii="宋体" w:hAnsi="宋体"/>
          </w:rPr>
          <w:t>56</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70" w:history="1">
        <w:r w:rsidR="004D2E0D">
          <w:rPr>
            <w:rStyle w:val="af7"/>
            <w:rFonts w:ascii="宋体" w:hAnsi="宋体"/>
          </w:rPr>
          <w:t>二、矿区范围及拐点坐标</w:t>
        </w:r>
        <w:r w:rsidR="004D2E0D">
          <w:rPr>
            <w:rFonts w:ascii="宋体" w:hAnsi="宋体"/>
          </w:rPr>
          <w:tab/>
        </w:r>
        <w:r w:rsidR="004D2E0D">
          <w:rPr>
            <w:rFonts w:ascii="宋体" w:hAnsi="宋体"/>
          </w:rPr>
          <w:fldChar w:fldCharType="begin"/>
        </w:r>
        <w:r w:rsidR="004D2E0D">
          <w:rPr>
            <w:rFonts w:ascii="宋体" w:hAnsi="宋体"/>
          </w:rPr>
          <w:instrText xml:space="preserve"> PAGEREF _Toc153130770 \h </w:instrText>
        </w:r>
        <w:r w:rsidR="004D2E0D">
          <w:rPr>
            <w:rFonts w:ascii="宋体" w:hAnsi="宋体"/>
          </w:rPr>
        </w:r>
        <w:r w:rsidR="004D2E0D">
          <w:rPr>
            <w:rFonts w:ascii="宋体" w:hAnsi="宋体"/>
          </w:rPr>
          <w:fldChar w:fldCharType="separate"/>
        </w:r>
        <w:r w:rsidR="004D2E0D">
          <w:rPr>
            <w:rFonts w:ascii="宋体" w:hAnsi="宋体"/>
          </w:rPr>
          <w:t>57</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71" w:history="1">
        <w:r w:rsidR="004D2E0D">
          <w:rPr>
            <w:rStyle w:val="af7"/>
            <w:rFonts w:ascii="宋体" w:hAnsi="宋体"/>
          </w:rPr>
          <w:t>三、矿山开发利用方案概述</w:t>
        </w:r>
        <w:r w:rsidR="004D2E0D">
          <w:rPr>
            <w:rFonts w:ascii="宋体" w:hAnsi="宋体"/>
          </w:rPr>
          <w:tab/>
        </w:r>
        <w:r w:rsidR="004D2E0D">
          <w:rPr>
            <w:rFonts w:ascii="宋体" w:hAnsi="宋体"/>
          </w:rPr>
          <w:fldChar w:fldCharType="begin"/>
        </w:r>
        <w:r w:rsidR="004D2E0D">
          <w:rPr>
            <w:rFonts w:ascii="宋体" w:hAnsi="宋体"/>
          </w:rPr>
          <w:instrText xml:space="preserve"> PAGEREF _Toc153130771 \h </w:instrText>
        </w:r>
        <w:r w:rsidR="004D2E0D">
          <w:rPr>
            <w:rFonts w:ascii="宋体" w:hAnsi="宋体"/>
          </w:rPr>
        </w:r>
        <w:r w:rsidR="004D2E0D">
          <w:rPr>
            <w:rFonts w:ascii="宋体" w:hAnsi="宋体"/>
          </w:rPr>
          <w:fldChar w:fldCharType="separate"/>
        </w:r>
        <w:r w:rsidR="004D2E0D">
          <w:rPr>
            <w:rFonts w:ascii="宋体" w:hAnsi="宋体"/>
          </w:rPr>
          <w:t>57</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72" w:history="1">
        <w:r w:rsidR="004D2E0D">
          <w:rPr>
            <w:rStyle w:val="af7"/>
            <w:rFonts w:ascii="宋体" w:hAnsi="宋体"/>
          </w:rPr>
          <w:t>四、矿山开采历史及现状</w:t>
        </w:r>
        <w:r w:rsidR="004D2E0D">
          <w:rPr>
            <w:rFonts w:ascii="宋体" w:hAnsi="宋体"/>
          </w:rPr>
          <w:tab/>
        </w:r>
        <w:r w:rsidR="004D2E0D">
          <w:rPr>
            <w:rFonts w:ascii="宋体" w:hAnsi="宋体"/>
          </w:rPr>
          <w:fldChar w:fldCharType="begin"/>
        </w:r>
        <w:r w:rsidR="004D2E0D">
          <w:rPr>
            <w:rFonts w:ascii="宋体" w:hAnsi="宋体"/>
          </w:rPr>
          <w:instrText xml:space="preserve"> PAGEREF _Toc153130772 \h </w:instrText>
        </w:r>
        <w:r w:rsidR="004D2E0D">
          <w:rPr>
            <w:rFonts w:ascii="宋体" w:hAnsi="宋体"/>
          </w:rPr>
        </w:r>
        <w:r w:rsidR="004D2E0D">
          <w:rPr>
            <w:rFonts w:ascii="宋体" w:hAnsi="宋体"/>
          </w:rPr>
          <w:fldChar w:fldCharType="separate"/>
        </w:r>
        <w:r w:rsidR="004D2E0D">
          <w:rPr>
            <w:rFonts w:ascii="宋体" w:hAnsi="宋体"/>
          </w:rPr>
          <w:t>60</w:t>
        </w:r>
        <w:r w:rsidR="004D2E0D">
          <w:rPr>
            <w:rFonts w:ascii="宋体" w:hAnsi="宋体"/>
          </w:rPr>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73" w:history="1">
        <w:r w:rsidR="004D2E0D">
          <w:rPr>
            <w:rStyle w:val="af7"/>
            <w:bCs/>
            <w:kern w:val="44"/>
          </w:rPr>
          <w:t>第二章   矿区基础信息</w:t>
        </w:r>
        <w:r w:rsidR="004D2E0D">
          <w:tab/>
        </w:r>
        <w:r w:rsidR="004D2E0D">
          <w:fldChar w:fldCharType="begin"/>
        </w:r>
        <w:r w:rsidR="004D2E0D">
          <w:instrText xml:space="preserve"> PAGEREF _Toc153130773 \h </w:instrText>
        </w:r>
        <w:r w:rsidR="004D2E0D">
          <w:fldChar w:fldCharType="separate"/>
        </w:r>
        <w:r w:rsidR="004D2E0D">
          <w:t>62</w:t>
        </w:r>
        <w:r w:rsidR="004D2E0D">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74" w:history="1">
        <w:r w:rsidR="004D2E0D">
          <w:rPr>
            <w:rStyle w:val="af7"/>
            <w:rFonts w:ascii="宋体" w:hAnsi="宋体"/>
          </w:rPr>
          <w:t>一、矿区自然地理</w:t>
        </w:r>
        <w:r w:rsidR="004D2E0D">
          <w:rPr>
            <w:rFonts w:ascii="宋体" w:hAnsi="宋体"/>
          </w:rPr>
          <w:tab/>
        </w:r>
        <w:r w:rsidR="004D2E0D">
          <w:rPr>
            <w:rFonts w:ascii="宋体" w:hAnsi="宋体"/>
          </w:rPr>
          <w:fldChar w:fldCharType="begin"/>
        </w:r>
        <w:r w:rsidR="004D2E0D">
          <w:rPr>
            <w:rFonts w:ascii="宋体" w:hAnsi="宋体"/>
          </w:rPr>
          <w:instrText xml:space="preserve"> PAGEREF _Toc153130774 \h </w:instrText>
        </w:r>
        <w:r w:rsidR="004D2E0D">
          <w:rPr>
            <w:rFonts w:ascii="宋体" w:hAnsi="宋体"/>
          </w:rPr>
        </w:r>
        <w:r w:rsidR="004D2E0D">
          <w:rPr>
            <w:rFonts w:ascii="宋体" w:hAnsi="宋体"/>
          </w:rPr>
          <w:fldChar w:fldCharType="separate"/>
        </w:r>
        <w:r w:rsidR="004D2E0D">
          <w:rPr>
            <w:rFonts w:ascii="宋体" w:hAnsi="宋体"/>
          </w:rPr>
          <w:t>62</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75" w:history="1">
        <w:r w:rsidR="004D2E0D">
          <w:rPr>
            <w:rStyle w:val="af7"/>
            <w:rFonts w:ascii="宋体" w:hAnsi="宋体"/>
          </w:rPr>
          <w:t>二、矿区地质环境背景</w:t>
        </w:r>
        <w:r w:rsidR="004D2E0D">
          <w:rPr>
            <w:rFonts w:ascii="宋体" w:hAnsi="宋体"/>
          </w:rPr>
          <w:tab/>
        </w:r>
        <w:r w:rsidR="004D2E0D">
          <w:rPr>
            <w:rFonts w:ascii="宋体" w:hAnsi="宋体"/>
          </w:rPr>
          <w:fldChar w:fldCharType="begin"/>
        </w:r>
        <w:r w:rsidR="004D2E0D">
          <w:rPr>
            <w:rFonts w:ascii="宋体" w:hAnsi="宋体"/>
          </w:rPr>
          <w:instrText xml:space="preserve"> PAGEREF _Toc153130775 \h </w:instrText>
        </w:r>
        <w:r w:rsidR="004D2E0D">
          <w:rPr>
            <w:rFonts w:ascii="宋体" w:hAnsi="宋体"/>
          </w:rPr>
        </w:r>
        <w:r w:rsidR="004D2E0D">
          <w:rPr>
            <w:rFonts w:ascii="宋体" w:hAnsi="宋体"/>
          </w:rPr>
          <w:fldChar w:fldCharType="separate"/>
        </w:r>
        <w:r w:rsidR="004D2E0D">
          <w:rPr>
            <w:rFonts w:ascii="宋体" w:hAnsi="宋体"/>
          </w:rPr>
          <w:t>63</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76" w:history="1">
        <w:r w:rsidR="004D2E0D">
          <w:rPr>
            <w:rStyle w:val="af7"/>
            <w:rFonts w:ascii="宋体" w:hAnsi="宋体"/>
          </w:rPr>
          <w:t>三、矿区社会经济概况</w:t>
        </w:r>
        <w:r w:rsidR="004D2E0D">
          <w:rPr>
            <w:rFonts w:ascii="宋体" w:hAnsi="宋体"/>
          </w:rPr>
          <w:tab/>
        </w:r>
        <w:r w:rsidR="004D2E0D">
          <w:rPr>
            <w:rFonts w:ascii="宋体" w:hAnsi="宋体"/>
          </w:rPr>
          <w:fldChar w:fldCharType="begin"/>
        </w:r>
        <w:r w:rsidR="004D2E0D">
          <w:rPr>
            <w:rFonts w:ascii="宋体" w:hAnsi="宋体"/>
          </w:rPr>
          <w:instrText xml:space="preserve"> PAGEREF _Toc153130776 \h </w:instrText>
        </w:r>
        <w:r w:rsidR="004D2E0D">
          <w:rPr>
            <w:rFonts w:ascii="宋体" w:hAnsi="宋体"/>
          </w:rPr>
        </w:r>
        <w:r w:rsidR="004D2E0D">
          <w:rPr>
            <w:rFonts w:ascii="宋体" w:hAnsi="宋体"/>
          </w:rPr>
          <w:fldChar w:fldCharType="separate"/>
        </w:r>
        <w:r w:rsidR="004D2E0D">
          <w:rPr>
            <w:rFonts w:ascii="宋体" w:hAnsi="宋体"/>
          </w:rPr>
          <w:t>64</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77" w:history="1">
        <w:r w:rsidR="004D2E0D">
          <w:rPr>
            <w:rStyle w:val="af7"/>
            <w:rFonts w:ascii="宋体" w:hAnsi="宋体"/>
          </w:rPr>
          <w:t>四、矿区土地利用现状</w:t>
        </w:r>
        <w:r w:rsidR="004D2E0D">
          <w:rPr>
            <w:rFonts w:ascii="宋体" w:hAnsi="宋体"/>
          </w:rPr>
          <w:tab/>
        </w:r>
        <w:r w:rsidR="004D2E0D">
          <w:rPr>
            <w:rFonts w:ascii="宋体" w:hAnsi="宋体"/>
          </w:rPr>
          <w:fldChar w:fldCharType="begin"/>
        </w:r>
        <w:r w:rsidR="004D2E0D">
          <w:rPr>
            <w:rFonts w:ascii="宋体" w:hAnsi="宋体"/>
          </w:rPr>
          <w:instrText xml:space="preserve"> PAGEREF _Toc153130777 \h </w:instrText>
        </w:r>
        <w:r w:rsidR="004D2E0D">
          <w:rPr>
            <w:rFonts w:ascii="宋体" w:hAnsi="宋体"/>
          </w:rPr>
        </w:r>
        <w:r w:rsidR="004D2E0D">
          <w:rPr>
            <w:rFonts w:ascii="宋体" w:hAnsi="宋体"/>
          </w:rPr>
          <w:fldChar w:fldCharType="separate"/>
        </w:r>
        <w:r w:rsidR="004D2E0D">
          <w:rPr>
            <w:rFonts w:ascii="宋体" w:hAnsi="宋体"/>
          </w:rPr>
          <w:t>65</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78" w:history="1">
        <w:r w:rsidR="004D2E0D">
          <w:rPr>
            <w:rStyle w:val="af7"/>
            <w:rFonts w:ascii="宋体" w:hAnsi="宋体"/>
          </w:rPr>
          <w:t>五、矿山及周边其他人类重大工程活动</w:t>
        </w:r>
        <w:r w:rsidR="004D2E0D">
          <w:rPr>
            <w:rFonts w:ascii="宋体" w:hAnsi="宋体"/>
          </w:rPr>
          <w:tab/>
        </w:r>
        <w:r w:rsidR="004D2E0D">
          <w:rPr>
            <w:rFonts w:ascii="宋体" w:hAnsi="宋体"/>
          </w:rPr>
          <w:fldChar w:fldCharType="begin"/>
        </w:r>
        <w:r w:rsidR="004D2E0D">
          <w:rPr>
            <w:rFonts w:ascii="宋体" w:hAnsi="宋体"/>
          </w:rPr>
          <w:instrText xml:space="preserve"> PAGEREF _Toc153130778 \h </w:instrText>
        </w:r>
        <w:r w:rsidR="004D2E0D">
          <w:rPr>
            <w:rFonts w:ascii="宋体" w:hAnsi="宋体"/>
          </w:rPr>
        </w:r>
        <w:r w:rsidR="004D2E0D">
          <w:rPr>
            <w:rFonts w:ascii="宋体" w:hAnsi="宋体"/>
          </w:rPr>
          <w:fldChar w:fldCharType="separate"/>
        </w:r>
        <w:r w:rsidR="004D2E0D">
          <w:rPr>
            <w:rFonts w:ascii="宋体" w:hAnsi="宋体"/>
          </w:rPr>
          <w:t>65</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79" w:history="1">
        <w:r w:rsidR="004D2E0D">
          <w:rPr>
            <w:rStyle w:val="af7"/>
            <w:rFonts w:ascii="宋体" w:hAnsi="宋体"/>
          </w:rPr>
          <w:t>六、矿山及周边矿山地质环境治理与土地复垦案例分析</w:t>
        </w:r>
        <w:r w:rsidR="004D2E0D">
          <w:rPr>
            <w:rFonts w:ascii="宋体" w:hAnsi="宋体"/>
          </w:rPr>
          <w:tab/>
        </w:r>
        <w:r w:rsidR="004D2E0D">
          <w:rPr>
            <w:rFonts w:ascii="宋体" w:hAnsi="宋体"/>
          </w:rPr>
          <w:fldChar w:fldCharType="begin"/>
        </w:r>
        <w:r w:rsidR="004D2E0D">
          <w:rPr>
            <w:rFonts w:ascii="宋体" w:hAnsi="宋体"/>
          </w:rPr>
          <w:instrText xml:space="preserve"> PAGEREF _Toc153130779 \h </w:instrText>
        </w:r>
        <w:r w:rsidR="004D2E0D">
          <w:rPr>
            <w:rFonts w:ascii="宋体" w:hAnsi="宋体"/>
          </w:rPr>
        </w:r>
        <w:r w:rsidR="004D2E0D">
          <w:rPr>
            <w:rFonts w:ascii="宋体" w:hAnsi="宋体"/>
          </w:rPr>
          <w:fldChar w:fldCharType="separate"/>
        </w:r>
        <w:r w:rsidR="004D2E0D">
          <w:rPr>
            <w:rFonts w:ascii="宋体" w:hAnsi="宋体"/>
          </w:rPr>
          <w:t>66</w:t>
        </w:r>
        <w:r w:rsidR="004D2E0D">
          <w:rPr>
            <w:rFonts w:ascii="宋体" w:hAnsi="宋体"/>
          </w:rPr>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80" w:history="1">
        <w:r w:rsidR="004D2E0D">
          <w:rPr>
            <w:rStyle w:val="af7"/>
            <w:bCs/>
            <w:kern w:val="44"/>
          </w:rPr>
          <w:t>第三章   矿山地质环境影响评估和土地损毁评估</w:t>
        </w:r>
        <w:r w:rsidR="004D2E0D">
          <w:tab/>
        </w:r>
        <w:r w:rsidR="004D2E0D">
          <w:fldChar w:fldCharType="begin"/>
        </w:r>
        <w:r w:rsidR="004D2E0D">
          <w:instrText xml:space="preserve"> PAGEREF _Toc153130780 \h </w:instrText>
        </w:r>
        <w:r w:rsidR="004D2E0D">
          <w:fldChar w:fldCharType="separate"/>
        </w:r>
        <w:r w:rsidR="004D2E0D">
          <w:t>68</w:t>
        </w:r>
        <w:r w:rsidR="004D2E0D">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81" w:history="1">
        <w:r w:rsidR="004D2E0D">
          <w:rPr>
            <w:rStyle w:val="af7"/>
            <w:rFonts w:ascii="宋体" w:hAnsi="宋体"/>
          </w:rPr>
          <w:t>一、矿山地质环境与土地资源调查概述</w:t>
        </w:r>
        <w:r w:rsidR="004D2E0D">
          <w:rPr>
            <w:rFonts w:ascii="宋体" w:hAnsi="宋体"/>
          </w:rPr>
          <w:tab/>
        </w:r>
        <w:r w:rsidR="004D2E0D">
          <w:rPr>
            <w:rFonts w:ascii="宋体" w:hAnsi="宋体"/>
          </w:rPr>
          <w:fldChar w:fldCharType="begin"/>
        </w:r>
        <w:r w:rsidR="004D2E0D">
          <w:rPr>
            <w:rFonts w:ascii="宋体" w:hAnsi="宋体"/>
          </w:rPr>
          <w:instrText xml:space="preserve"> PAGEREF _Toc153130781 \h </w:instrText>
        </w:r>
        <w:r w:rsidR="004D2E0D">
          <w:rPr>
            <w:rFonts w:ascii="宋体" w:hAnsi="宋体"/>
          </w:rPr>
        </w:r>
        <w:r w:rsidR="004D2E0D">
          <w:rPr>
            <w:rFonts w:ascii="宋体" w:hAnsi="宋体"/>
          </w:rPr>
          <w:fldChar w:fldCharType="separate"/>
        </w:r>
        <w:r w:rsidR="004D2E0D">
          <w:rPr>
            <w:rFonts w:ascii="宋体" w:hAnsi="宋体"/>
          </w:rPr>
          <w:t>68</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82" w:history="1">
        <w:r w:rsidR="004D2E0D">
          <w:rPr>
            <w:rStyle w:val="af7"/>
            <w:rFonts w:ascii="宋体" w:hAnsi="宋体"/>
          </w:rPr>
          <w:t>二、矿山地质环境影响评估</w:t>
        </w:r>
        <w:r w:rsidR="004D2E0D">
          <w:rPr>
            <w:rFonts w:ascii="宋体" w:hAnsi="宋体"/>
          </w:rPr>
          <w:tab/>
        </w:r>
        <w:r w:rsidR="004D2E0D">
          <w:rPr>
            <w:rFonts w:ascii="宋体" w:hAnsi="宋体"/>
          </w:rPr>
          <w:fldChar w:fldCharType="begin"/>
        </w:r>
        <w:r w:rsidR="004D2E0D">
          <w:rPr>
            <w:rFonts w:ascii="宋体" w:hAnsi="宋体"/>
          </w:rPr>
          <w:instrText xml:space="preserve"> PAGEREF _Toc153130782 \h </w:instrText>
        </w:r>
        <w:r w:rsidR="004D2E0D">
          <w:rPr>
            <w:rFonts w:ascii="宋体" w:hAnsi="宋体"/>
          </w:rPr>
        </w:r>
        <w:r w:rsidR="004D2E0D">
          <w:rPr>
            <w:rFonts w:ascii="宋体" w:hAnsi="宋体"/>
          </w:rPr>
          <w:fldChar w:fldCharType="separate"/>
        </w:r>
        <w:r w:rsidR="004D2E0D">
          <w:rPr>
            <w:rFonts w:ascii="宋体" w:hAnsi="宋体"/>
          </w:rPr>
          <w:t>68</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83" w:history="1">
        <w:r w:rsidR="004D2E0D">
          <w:rPr>
            <w:rStyle w:val="af7"/>
            <w:rFonts w:ascii="宋体" w:hAnsi="宋体"/>
          </w:rPr>
          <w:t>三、矿山土地损毁预测与评估</w:t>
        </w:r>
        <w:r w:rsidR="004D2E0D">
          <w:rPr>
            <w:rFonts w:ascii="宋体" w:hAnsi="宋体"/>
          </w:rPr>
          <w:tab/>
        </w:r>
        <w:r w:rsidR="004D2E0D">
          <w:rPr>
            <w:rFonts w:ascii="宋体" w:hAnsi="宋体"/>
          </w:rPr>
          <w:fldChar w:fldCharType="begin"/>
        </w:r>
        <w:r w:rsidR="004D2E0D">
          <w:rPr>
            <w:rFonts w:ascii="宋体" w:hAnsi="宋体"/>
          </w:rPr>
          <w:instrText xml:space="preserve"> PAGEREF _Toc153130783 \h </w:instrText>
        </w:r>
        <w:r w:rsidR="004D2E0D">
          <w:rPr>
            <w:rFonts w:ascii="宋体" w:hAnsi="宋体"/>
          </w:rPr>
        </w:r>
        <w:r w:rsidR="004D2E0D">
          <w:rPr>
            <w:rFonts w:ascii="宋体" w:hAnsi="宋体"/>
          </w:rPr>
          <w:fldChar w:fldCharType="separate"/>
        </w:r>
        <w:r w:rsidR="004D2E0D">
          <w:rPr>
            <w:rFonts w:ascii="宋体" w:hAnsi="宋体"/>
          </w:rPr>
          <w:t>76</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84" w:history="1">
        <w:r w:rsidR="004D2E0D">
          <w:rPr>
            <w:rStyle w:val="af7"/>
            <w:rFonts w:ascii="宋体" w:hAnsi="宋体"/>
          </w:rPr>
          <w:t>四、矿山地质环境治理分区与土地复垦范围</w:t>
        </w:r>
        <w:r w:rsidR="004D2E0D">
          <w:rPr>
            <w:rFonts w:ascii="宋体" w:hAnsi="宋体"/>
          </w:rPr>
          <w:tab/>
        </w:r>
        <w:r w:rsidR="004D2E0D">
          <w:rPr>
            <w:rFonts w:ascii="宋体" w:hAnsi="宋体"/>
          </w:rPr>
          <w:fldChar w:fldCharType="begin"/>
        </w:r>
        <w:r w:rsidR="004D2E0D">
          <w:rPr>
            <w:rFonts w:ascii="宋体" w:hAnsi="宋体"/>
          </w:rPr>
          <w:instrText xml:space="preserve"> PAGEREF _Toc153130784 \h </w:instrText>
        </w:r>
        <w:r w:rsidR="004D2E0D">
          <w:rPr>
            <w:rFonts w:ascii="宋体" w:hAnsi="宋体"/>
          </w:rPr>
        </w:r>
        <w:r w:rsidR="004D2E0D">
          <w:rPr>
            <w:rFonts w:ascii="宋体" w:hAnsi="宋体"/>
          </w:rPr>
          <w:fldChar w:fldCharType="separate"/>
        </w:r>
        <w:r w:rsidR="004D2E0D">
          <w:rPr>
            <w:rFonts w:ascii="宋体" w:hAnsi="宋体"/>
          </w:rPr>
          <w:t>78</w:t>
        </w:r>
        <w:r w:rsidR="004D2E0D">
          <w:rPr>
            <w:rFonts w:ascii="宋体" w:hAnsi="宋体"/>
          </w:rPr>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85" w:history="1">
        <w:r w:rsidR="004D2E0D">
          <w:rPr>
            <w:rStyle w:val="af7"/>
            <w:bCs/>
            <w:kern w:val="44"/>
          </w:rPr>
          <w:t>第四章   矿山地质环境治理与土地复垦可行性分析</w:t>
        </w:r>
        <w:r w:rsidR="004D2E0D">
          <w:tab/>
        </w:r>
        <w:r w:rsidR="004D2E0D">
          <w:fldChar w:fldCharType="begin"/>
        </w:r>
        <w:r w:rsidR="004D2E0D">
          <w:instrText xml:space="preserve"> PAGEREF _Toc153130785 \h </w:instrText>
        </w:r>
        <w:r w:rsidR="004D2E0D">
          <w:fldChar w:fldCharType="separate"/>
        </w:r>
        <w:r w:rsidR="004D2E0D">
          <w:t>82</w:t>
        </w:r>
        <w:r w:rsidR="004D2E0D">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86" w:history="1">
        <w:r w:rsidR="004D2E0D">
          <w:rPr>
            <w:rStyle w:val="af7"/>
            <w:rFonts w:ascii="宋体" w:hAnsi="宋体"/>
          </w:rPr>
          <w:t>一、矿山地质环境治理可行性分析</w:t>
        </w:r>
        <w:r w:rsidR="004D2E0D">
          <w:rPr>
            <w:rFonts w:ascii="宋体" w:hAnsi="宋体"/>
          </w:rPr>
          <w:tab/>
        </w:r>
        <w:r w:rsidR="004D2E0D">
          <w:rPr>
            <w:rFonts w:ascii="宋体" w:hAnsi="宋体"/>
          </w:rPr>
          <w:fldChar w:fldCharType="begin"/>
        </w:r>
        <w:r w:rsidR="004D2E0D">
          <w:rPr>
            <w:rFonts w:ascii="宋体" w:hAnsi="宋体"/>
          </w:rPr>
          <w:instrText xml:space="preserve"> PAGEREF _Toc153130786 \h </w:instrText>
        </w:r>
        <w:r w:rsidR="004D2E0D">
          <w:rPr>
            <w:rFonts w:ascii="宋体" w:hAnsi="宋体"/>
          </w:rPr>
        </w:r>
        <w:r w:rsidR="004D2E0D">
          <w:rPr>
            <w:rFonts w:ascii="宋体" w:hAnsi="宋体"/>
          </w:rPr>
          <w:fldChar w:fldCharType="separate"/>
        </w:r>
        <w:r w:rsidR="004D2E0D">
          <w:rPr>
            <w:rFonts w:ascii="宋体" w:hAnsi="宋体"/>
          </w:rPr>
          <w:t>82</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87" w:history="1">
        <w:r w:rsidR="004D2E0D">
          <w:rPr>
            <w:rStyle w:val="af7"/>
            <w:rFonts w:ascii="宋体" w:hAnsi="宋体"/>
          </w:rPr>
          <w:t>二、矿区土地复垦可行性分析</w:t>
        </w:r>
        <w:r w:rsidR="004D2E0D">
          <w:rPr>
            <w:rFonts w:ascii="宋体" w:hAnsi="宋体"/>
          </w:rPr>
          <w:tab/>
        </w:r>
        <w:r w:rsidR="004D2E0D">
          <w:rPr>
            <w:rFonts w:ascii="宋体" w:hAnsi="宋体"/>
          </w:rPr>
          <w:fldChar w:fldCharType="begin"/>
        </w:r>
        <w:r w:rsidR="004D2E0D">
          <w:rPr>
            <w:rFonts w:ascii="宋体" w:hAnsi="宋体"/>
          </w:rPr>
          <w:instrText xml:space="preserve"> PAGEREF _Toc153130787 \h </w:instrText>
        </w:r>
        <w:r w:rsidR="004D2E0D">
          <w:rPr>
            <w:rFonts w:ascii="宋体" w:hAnsi="宋体"/>
          </w:rPr>
        </w:r>
        <w:r w:rsidR="004D2E0D">
          <w:rPr>
            <w:rFonts w:ascii="宋体" w:hAnsi="宋体"/>
          </w:rPr>
          <w:fldChar w:fldCharType="separate"/>
        </w:r>
        <w:r w:rsidR="004D2E0D">
          <w:rPr>
            <w:rFonts w:ascii="宋体" w:hAnsi="宋体"/>
          </w:rPr>
          <w:t>83</w:t>
        </w:r>
        <w:r w:rsidR="004D2E0D">
          <w:rPr>
            <w:rFonts w:ascii="宋体" w:hAnsi="宋体"/>
          </w:rPr>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88" w:history="1">
        <w:r w:rsidR="004D2E0D">
          <w:rPr>
            <w:rStyle w:val="af7"/>
            <w:bCs/>
            <w:kern w:val="44"/>
          </w:rPr>
          <w:t>第五章   矿山地质环境治理与土地复垦工程</w:t>
        </w:r>
        <w:r w:rsidR="004D2E0D">
          <w:tab/>
        </w:r>
        <w:r w:rsidR="004D2E0D">
          <w:fldChar w:fldCharType="begin"/>
        </w:r>
        <w:r w:rsidR="004D2E0D">
          <w:instrText xml:space="preserve"> PAGEREF _Toc153130788 \h </w:instrText>
        </w:r>
        <w:r w:rsidR="004D2E0D">
          <w:fldChar w:fldCharType="separate"/>
        </w:r>
        <w:r w:rsidR="004D2E0D">
          <w:t>87</w:t>
        </w:r>
        <w:r w:rsidR="004D2E0D">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89" w:history="1">
        <w:r w:rsidR="004D2E0D">
          <w:rPr>
            <w:rStyle w:val="af7"/>
            <w:rFonts w:ascii="宋体" w:hAnsi="宋体"/>
          </w:rPr>
          <w:t>一、矿山地质环境保护与土地复垦预防工程</w:t>
        </w:r>
        <w:r w:rsidR="004D2E0D">
          <w:rPr>
            <w:rFonts w:ascii="宋体" w:hAnsi="宋体"/>
          </w:rPr>
          <w:tab/>
        </w:r>
        <w:r w:rsidR="004D2E0D">
          <w:rPr>
            <w:rFonts w:ascii="宋体" w:hAnsi="宋体"/>
          </w:rPr>
          <w:fldChar w:fldCharType="begin"/>
        </w:r>
        <w:r w:rsidR="004D2E0D">
          <w:rPr>
            <w:rFonts w:ascii="宋体" w:hAnsi="宋体"/>
          </w:rPr>
          <w:instrText xml:space="preserve"> PAGEREF _Toc153130789 \h </w:instrText>
        </w:r>
        <w:r w:rsidR="004D2E0D">
          <w:rPr>
            <w:rFonts w:ascii="宋体" w:hAnsi="宋体"/>
          </w:rPr>
        </w:r>
        <w:r w:rsidR="004D2E0D">
          <w:rPr>
            <w:rFonts w:ascii="宋体" w:hAnsi="宋体"/>
          </w:rPr>
          <w:fldChar w:fldCharType="separate"/>
        </w:r>
        <w:r w:rsidR="004D2E0D">
          <w:rPr>
            <w:rFonts w:ascii="宋体" w:hAnsi="宋体"/>
          </w:rPr>
          <w:t>87</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90" w:history="1">
        <w:r w:rsidR="004D2E0D">
          <w:rPr>
            <w:rStyle w:val="af7"/>
            <w:rFonts w:ascii="宋体" w:hAnsi="宋体"/>
          </w:rPr>
          <w:t>二、矿山地质灾害治理</w:t>
        </w:r>
        <w:r w:rsidR="004D2E0D">
          <w:rPr>
            <w:rFonts w:ascii="宋体" w:hAnsi="宋体"/>
          </w:rPr>
          <w:tab/>
        </w:r>
        <w:r w:rsidR="004D2E0D">
          <w:rPr>
            <w:rFonts w:ascii="宋体" w:hAnsi="宋体"/>
          </w:rPr>
          <w:fldChar w:fldCharType="begin"/>
        </w:r>
        <w:r w:rsidR="004D2E0D">
          <w:rPr>
            <w:rFonts w:ascii="宋体" w:hAnsi="宋体"/>
          </w:rPr>
          <w:instrText xml:space="preserve"> PAGEREF _Toc153130790 \h </w:instrText>
        </w:r>
        <w:r w:rsidR="004D2E0D">
          <w:rPr>
            <w:rFonts w:ascii="宋体" w:hAnsi="宋体"/>
          </w:rPr>
        </w:r>
        <w:r w:rsidR="004D2E0D">
          <w:rPr>
            <w:rFonts w:ascii="宋体" w:hAnsi="宋体"/>
          </w:rPr>
          <w:fldChar w:fldCharType="separate"/>
        </w:r>
        <w:r w:rsidR="004D2E0D">
          <w:rPr>
            <w:rFonts w:ascii="宋体" w:hAnsi="宋体"/>
          </w:rPr>
          <w:t>90</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91" w:history="1">
        <w:r w:rsidR="004D2E0D">
          <w:rPr>
            <w:rStyle w:val="af7"/>
            <w:rFonts w:ascii="宋体" w:hAnsi="宋体"/>
          </w:rPr>
          <w:t>三、矿区土地复垦</w:t>
        </w:r>
        <w:r w:rsidR="004D2E0D">
          <w:rPr>
            <w:rFonts w:ascii="宋体" w:hAnsi="宋体"/>
          </w:rPr>
          <w:tab/>
        </w:r>
        <w:r w:rsidR="004D2E0D">
          <w:rPr>
            <w:rFonts w:ascii="宋体" w:hAnsi="宋体"/>
          </w:rPr>
          <w:fldChar w:fldCharType="begin"/>
        </w:r>
        <w:r w:rsidR="004D2E0D">
          <w:rPr>
            <w:rFonts w:ascii="宋体" w:hAnsi="宋体"/>
          </w:rPr>
          <w:instrText xml:space="preserve"> PAGEREF _Toc153130791 \h </w:instrText>
        </w:r>
        <w:r w:rsidR="004D2E0D">
          <w:rPr>
            <w:rFonts w:ascii="宋体" w:hAnsi="宋体"/>
          </w:rPr>
        </w:r>
        <w:r w:rsidR="004D2E0D">
          <w:rPr>
            <w:rFonts w:ascii="宋体" w:hAnsi="宋体"/>
          </w:rPr>
          <w:fldChar w:fldCharType="separate"/>
        </w:r>
        <w:r w:rsidR="004D2E0D">
          <w:rPr>
            <w:rFonts w:ascii="宋体" w:hAnsi="宋体"/>
          </w:rPr>
          <w:t>91</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92" w:history="1">
        <w:r w:rsidR="004D2E0D">
          <w:rPr>
            <w:rStyle w:val="af7"/>
            <w:rFonts w:ascii="宋体" w:hAnsi="宋体"/>
          </w:rPr>
          <w:t>四、含水层破坏修复</w:t>
        </w:r>
        <w:r w:rsidR="004D2E0D">
          <w:rPr>
            <w:rFonts w:ascii="宋体" w:hAnsi="宋体"/>
          </w:rPr>
          <w:tab/>
        </w:r>
        <w:r w:rsidR="004D2E0D">
          <w:rPr>
            <w:rFonts w:ascii="宋体" w:hAnsi="宋体"/>
          </w:rPr>
          <w:fldChar w:fldCharType="begin"/>
        </w:r>
        <w:r w:rsidR="004D2E0D">
          <w:rPr>
            <w:rFonts w:ascii="宋体" w:hAnsi="宋体"/>
          </w:rPr>
          <w:instrText xml:space="preserve"> PAGEREF _Toc153130792 \h </w:instrText>
        </w:r>
        <w:r w:rsidR="004D2E0D">
          <w:rPr>
            <w:rFonts w:ascii="宋体" w:hAnsi="宋体"/>
          </w:rPr>
        </w:r>
        <w:r w:rsidR="004D2E0D">
          <w:rPr>
            <w:rFonts w:ascii="宋体" w:hAnsi="宋体"/>
          </w:rPr>
          <w:fldChar w:fldCharType="separate"/>
        </w:r>
        <w:r w:rsidR="004D2E0D">
          <w:rPr>
            <w:rFonts w:ascii="宋体" w:hAnsi="宋体"/>
          </w:rPr>
          <w:t>94</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93" w:history="1">
        <w:r w:rsidR="004D2E0D">
          <w:rPr>
            <w:rStyle w:val="af7"/>
            <w:rFonts w:ascii="宋体" w:hAnsi="宋体"/>
          </w:rPr>
          <w:t>五、水土环境污染修复</w:t>
        </w:r>
        <w:r w:rsidR="004D2E0D">
          <w:rPr>
            <w:rFonts w:ascii="宋体" w:hAnsi="宋体"/>
          </w:rPr>
          <w:tab/>
        </w:r>
        <w:r w:rsidR="004D2E0D">
          <w:rPr>
            <w:rFonts w:ascii="宋体" w:hAnsi="宋体"/>
          </w:rPr>
          <w:fldChar w:fldCharType="begin"/>
        </w:r>
        <w:r w:rsidR="004D2E0D">
          <w:rPr>
            <w:rFonts w:ascii="宋体" w:hAnsi="宋体"/>
          </w:rPr>
          <w:instrText xml:space="preserve"> PAGEREF _Toc153130793 \h </w:instrText>
        </w:r>
        <w:r w:rsidR="004D2E0D">
          <w:rPr>
            <w:rFonts w:ascii="宋体" w:hAnsi="宋体"/>
          </w:rPr>
        </w:r>
        <w:r w:rsidR="004D2E0D">
          <w:rPr>
            <w:rFonts w:ascii="宋体" w:hAnsi="宋体"/>
          </w:rPr>
          <w:fldChar w:fldCharType="separate"/>
        </w:r>
        <w:r w:rsidR="004D2E0D">
          <w:rPr>
            <w:rFonts w:ascii="宋体" w:hAnsi="宋体"/>
          </w:rPr>
          <w:t>94</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94" w:history="1">
        <w:r w:rsidR="004D2E0D">
          <w:rPr>
            <w:rStyle w:val="af7"/>
            <w:rFonts w:ascii="宋体" w:hAnsi="宋体"/>
          </w:rPr>
          <w:t>六、矿山地质环境监测</w:t>
        </w:r>
        <w:r w:rsidR="004D2E0D">
          <w:rPr>
            <w:rFonts w:ascii="宋体" w:hAnsi="宋体"/>
          </w:rPr>
          <w:tab/>
        </w:r>
        <w:r w:rsidR="004D2E0D">
          <w:rPr>
            <w:rFonts w:ascii="宋体" w:hAnsi="宋体"/>
          </w:rPr>
          <w:fldChar w:fldCharType="begin"/>
        </w:r>
        <w:r w:rsidR="004D2E0D">
          <w:rPr>
            <w:rFonts w:ascii="宋体" w:hAnsi="宋体"/>
          </w:rPr>
          <w:instrText xml:space="preserve"> PAGEREF _Toc153130794 \h </w:instrText>
        </w:r>
        <w:r w:rsidR="004D2E0D">
          <w:rPr>
            <w:rFonts w:ascii="宋体" w:hAnsi="宋体"/>
          </w:rPr>
        </w:r>
        <w:r w:rsidR="004D2E0D">
          <w:rPr>
            <w:rFonts w:ascii="宋体" w:hAnsi="宋体"/>
          </w:rPr>
          <w:fldChar w:fldCharType="separate"/>
        </w:r>
        <w:r w:rsidR="004D2E0D">
          <w:rPr>
            <w:rFonts w:ascii="宋体" w:hAnsi="宋体"/>
          </w:rPr>
          <w:t>94</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95" w:history="1">
        <w:r w:rsidR="004D2E0D">
          <w:rPr>
            <w:rStyle w:val="af7"/>
            <w:rFonts w:ascii="宋体" w:hAnsi="宋体"/>
          </w:rPr>
          <w:t>七、矿区土地复垦监测和管护</w:t>
        </w:r>
        <w:r w:rsidR="004D2E0D">
          <w:rPr>
            <w:rFonts w:ascii="宋体" w:hAnsi="宋体"/>
          </w:rPr>
          <w:tab/>
        </w:r>
        <w:r w:rsidR="004D2E0D">
          <w:rPr>
            <w:rFonts w:ascii="宋体" w:hAnsi="宋体"/>
          </w:rPr>
          <w:fldChar w:fldCharType="begin"/>
        </w:r>
        <w:r w:rsidR="004D2E0D">
          <w:rPr>
            <w:rFonts w:ascii="宋体" w:hAnsi="宋体"/>
          </w:rPr>
          <w:instrText xml:space="preserve"> PAGEREF _Toc153130795 \h </w:instrText>
        </w:r>
        <w:r w:rsidR="004D2E0D">
          <w:rPr>
            <w:rFonts w:ascii="宋体" w:hAnsi="宋体"/>
          </w:rPr>
        </w:r>
        <w:r w:rsidR="004D2E0D">
          <w:rPr>
            <w:rFonts w:ascii="宋体" w:hAnsi="宋体"/>
          </w:rPr>
          <w:fldChar w:fldCharType="separate"/>
        </w:r>
        <w:r w:rsidR="004D2E0D">
          <w:rPr>
            <w:rFonts w:ascii="宋体" w:hAnsi="宋体"/>
          </w:rPr>
          <w:t>95</w:t>
        </w:r>
        <w:r w:rsidR="004D2E0D">
          <w:rPr>
            <w:rFonts w:ascii="宋体" w:hAnsi="宋体"/>
          </w:rPr>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796" w:history="1">
        <w:r w:rsidR="004D2E0D">
          <w:rPr>
            <w:rStyle w:val="af7"/>
            <w:bCs/>
            <w:kern w:val="44"/>
          </w:rPr>
          <w:t>第六章   矿山地质环境治理与土地复垦工作部署</w:t>
        </w:r>
        <w:r w:rsidR="004D2E0D">
          <w:tab/>
        </w:r>
        <w:r w:rsidR="004D2E0D">
          <w:fldChar w:fldCharType="begin"/>
        </w:r>
        <w:r w:rsidR="004D2E0D">
          <w:instrText xml:space="preserve"> PAGEREF _Toc153130796 \h </w:instrText>
        </w:r>
        <w:r w:rsidR="004D2E0D">
          <w:fldChar w:fldCharType="separate"/>
        </w:r>
        <w:r w:rsidR="004D2E0D">
          <w:t>99</w:t>
        </w:r>
        <w:r w:rsidR="004D2E0D">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97" w:history="1">
        <w:r w:rsidR="004D2E0D">
          <w:rPr>
            <w:rStyle w:val="af7"/>
            <w:rFonts w:ascii="宋体" w:hAnsi="宋体"/>
          </w:rPr>
          <w:t>一、总体工作部署</w:t>
        </w:r>
        <w:r w:rsidR="004D2E0D">
          <w:rPr>
            <w:rFonts w:ascii="宋体" w:hAnsi="宋体"/>
          </w:rPr>
          <w:tab/>
        </w:r>
        <w:r w:rsidR="004D2E0D">
          <w:rPr>
            <w:rFonts w:ascii="宋体" w:hAnsi="宋体"/>
          </w:rPr>
          <w:fldChar w:fldCharType="begin"/>
        </w:r>
        <w:r w:rsidR="004D2E0D">
          <w:rPr>
            <w:rFonts w:ascii="宋体" w:hAnsi="宋体"/>
          </w:rPr>
          <w:instrText xml:space="preserve"> PAGEREF _Toc153130797 \h </w:instrText>
        </w:r>
        <w:r w:rsidR="004D2E0D">
          <w:rPr>
            <w:rFonts w:ascii="宋体" w:hAnsi="宋体"/>
          </w:rPr>
        </w:r>
        <w:r w:rsidR="004D2E0D">
          <w:rPr>
            <w:rFonts w:ascii="宋体" w:hAnsi="宋体"/>
          </w:rPr>
          <w:fldChar w:fldCharType="separate"/>
        </w:r>
        <w:r w:rsidR="004D2E0D">
          <w:rPr>
            <w:rFonts w:ascii="宋体" w:hAnsi="宋体"/>
          </w:rPr>
          <w:t>99</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98" w:history="1">
        <w:r w:rsidR="004D2E0D">
          <w:rPr>
            <w:rStyle w:val="af7"/>
            <w:rFonts w:ascii="宋体" w:hAnsi="宋体"/>
          </w:rPr>
          <w:t>二、阶段实施计划</w:t>
        </w:r>
        <w:r w:rsidR="004D2E0D">
          <w:rPr>
            <w:rFonts w:ascii="宋体" w:hAnsi="宋体"/>
          </w:rPr>
          <w:tab/>
        </w:r>
        <w:r w:rsidR="004D2E0D">
          <w:rPr>
            <w:rFonts w:ascii="宋体" w:hAnsi="宋体"/>
          </w:rPr>
          <w:fldChar w:fldCharType="begin"/>
        </w:r>
        <w:r w:rsidR="004D2E0D">
          <w:rPr>
            <w:rFonts w:ascii="宋体" w:hAnsi="宋体"/>
          </w:rPr>
          <w:instrText xml:space="preserve"> PAGEREF _Toc153130798 \h </w:instrText>
        </w:r>
        <w:r w:rsidR="004D2E0D">
          <w:rPr>
            <w:rFonts w:ascii="宋体" w:hAnsi="宋体"/>
          </w:rPr>
        </w:r>
        <w:r w:rsidR="004D2E0D">
          <w:rPr>
            <w:rFonts w:ascii="宋体" w:hAnsi="宋体"/>
          </w:rPr>
          <w:fldChar w:fldCharType="separate"/>
        </w:r>
        <w:r w:rsidR="004D2E0D">
          <w:rPr>
            <w:rFonts w:ascii="宋体" w:hAnsi="宋体"/>
          </w:rPr>
          <w:t>99</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799" w:history="1">
        <w:r w:rsidR="004D2E0D">
          <w:rPr>
            <w:rStyle w:val="af7"/>
            <w:rFonts w:ascii="宋体" w:hAnsi="宋体"/>
          </w:rPr>
          <w:t>三、近期年度工作安排</w:t>
        </w:r>
        <w:r w:rsidR="004D2E0D">
          <w:rPr>
            <w:rFonts w:ascii="宋体" w:hAnsi="宋体"/>
          </w:rPr>
          <w:tab/>
        </w:r>
        <w:r w:rsidR="004D2E0D">
          <w:rPr>
            <w:rFonts w:ascii="宋体" w:hAnsi="宋体"/>
          </w:rPr>
          <w:fldChar w:fldCharType="begin"/>
        </w:r>
        <w:r w:rsidR="004D2E0D">
          <w:rPr>
            <w:rFonts w:ascii="宋体" w:hAnsi="宋体"/>
          </w:rPr>
          <w:instrText xml:space="preserve"> PAGEREF _Toc153130799 \h </w:instrText>
        </w:r>
        <w:r w:rsidR="004D2E0D">
          <w:rPr>
            <w:rFonts w:ascii="宋体" w:hAnsi="宋体"/>
          </w:rPr>
        </w:r>
        <w:r w:rsidR="004D2E0D">
          <w:rPr>
            <w:rFonts w:ascii="宋体" w:hAnsi="宋体"/>
          </w:rPr>
          <w:fldChar w:fldCharType="separate"/>
        </w:r>
        <w:r w:rsidR="004D2E0D">
          <w:rPr>
            <w:rFonts w:ascii="宋体" w:hAnsi="宋体"/>
          </w:rPr>
          <w:t>99</w:t>
        </w:r>
        <w:r w:rsidR="004D2E0D">
          <w:rPr>
            <w:rFonts w:ascii="宋体" w:hAnsi="宋体"/>
          </w:rPr>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800" w:history="1">
        <w:r w:rsidR="004D2E0D">
          <w:rPr>
            <w:rStyle w:val="af7"/>
            <w:bCs/>
            <w:kern w:val="44"/>
          </w:rPr>
          <w:t>第七章   经费估算与进度安排</w:t>
        </w:r>
        <w:r w:rsidR="004D2E0D">
          <w:tab/>
        </w:r>
        <w:r w:rsidR="004D2E0D">
          <w:fldChar w:fldCharType="begin"/>
        </w:r>
        <w:r w:rsidR="004D2E0D">
          <w:instrText xml:space="preserve"> PAGEREF _Toc153130800 \h </w:instrText>
        </w:r>
        <w:r w:rsidR="004D2E0D">
          <w:fldChar w:fldCharType="separate"/>
        </w:r>
        <w:r w:rsidR="004D2E0D">
          <w:t>101</w:t>
        </w:r>
        <w:r w:rsidR="004D2E0D">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801" w:history="1">
        <w:r w:rsidR="004D2E0D">
          <w:rPr>
            <w:rStyle w:val="af7"/>
            <w:rFonts w:ascii="宋体" w:hAnsi="宋体"/>
          </w:rPr>
          <w:t>一、经费估算依据</w:t>
        </w:r>
        <w:r w:rsidR="004D2E0D">
          <w:rPr>
            <w:rFonts w:ascii="宋体" w:hAnsi="宋体"/>
          </w:rPr>
          <w:tab/>
        </w:r>
        <w:r w:rsidR="004D2E0D">
          <w:rPr>
            <w:rFonts w:ascii="宋体" w:hAnsi="宋体"/>
          </w:rPr>
          <w:fldChar w:fldCharType="begin"/>
        </w:r>
        <w:r w:rsidR="004D2E0D">
          <w:rPr>
            <w:rFonts w:ascii="宋体" w:hAnsi="宋体"/>
          </w:rPr>
          <w:instrText xml:space="preserve"> PAGEREF _Toc153130801 \h </w:instrText>
        </w:r>
        <w:r w:rsidR="004D2E0D">
          <w:rPr>
            <w:rFonts w:ascii="宋体" w:hAnsi="宋体"/>
          </w:rPr>
        </w:r>
        <w:r w:rsidR="004D2E0D">
          <w:rPr>
            <w:rFonts w:ascii="宋体" w:hAnsi="宋体"/>
          </w:rPr>
          <w:fldChar w:fldCharType="separate"/>
        </w:r>
        <w:r w:rsidR="004D2E0D">
          <w:rPr>
            <w:rFonts w:ascii="宋体" w:hAnsi="宋体"/>
          </w:rPr>
          <w:t>101</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802" w:history="1">
        <w:r w:rsidR="004D2E0D">
          <w:rPr>
            <w:rStyle w:val="af7"/>
            <w:rFonts w:ascii="宋体" w:hAnsi="宋体"/>
          </w:rPr>
          <w:t>二、矿山地质环境治理工程经费估算</w:t>
        </w:r>
        <w:r w:rsidR="004D2E0D">
          <w:rPr>
            <w:rFonts w:ascii="宋体" w:hAnsi="宋体"/>
          </w:rPr>
          <w:tab/>
        </w:r>
        <w:r w:rsidR="004D2E0D">
          <w:rPr>
            <w:rFonts w:ascii="宋体" w:hAnsi="宋体"/>
          </w:rPr>
          <w:fldChar w:fldCharType="begin"/>
        </w:r>
        <w:r w:rsidR="004D2E0D">
          <w:rPr>
            <w:rFonts w:ascii="宋体" w:hAnsi="宋体"/>
          </w:rPr>
          <w:instrText xml:space="preserve"> PAGEREF _Toc153130802 \h </w:instrText>
        </w:r>
        <w:r w:rsidR="004D2E0D">
          <w:rPr>
            <w:rFonts w:ascii="宋体" w:hAnsi="宋体"/>
          </w:rPr>
        </w:r>
        <w:r w:rsidR="004D2E0D">
          <w:rPr>
            <w:rFonts w:ascii="宋体" w:hAnsi="宋体"/>
          </w:rPr>
          <w:fldChar w:fldCharType="separate"/>
        </w:r>
        <w:r w:rsidR="004D2E0D">
          <w:rPr>
            <w:rFonts w:ascii="宋体" w:hAnsi="宋体"/>
          </w:rPr>
          <w:t>102</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803" w:history="1">
        <w:r w:rsidR="004D2E0D">
          <w:rPr>
            <w:rStyle w:val="af7"/>
            <w:rFonts w:ascii="宋体" w:hAnsi="宋体"/>
          </w:rPr>
          <w:t>三、土地复垦工程经费估算</w:t>
        </w:r>
        <w:r w:rsidR="004D2E0D">
          <w:rPr>
            <w:rFonts w:ascii="宋体" w:hAnsi="宋体"/>
          </w:rPr>
          <w:tab/>
        </w:r>
        <w:r w:rsidR="004D2E0D">
          <w:rPr>
            <w:rFonts w:ascii="宋体" w:hAnsi="宋体"/>
          </w:rPr>
          <w:fldChar w:fldCharType="begin"/>
        </w:r>
        <w:r w:rsidR="004D2E0D">
          <w:rPr>
            <w:rFonts w:ascii="宋体" w:hAnsi="宋体"/>
          </w:rPr>
          <w:instrText xml:space="preserve"> PAGEREF _Toc153130803 \h </w:instrText>
        </w:r>
        <w:r w:rsidR="004D2E0D">
          <w:rPr>
            <w:rFonts w:ascii="宋体" w:hAnsi="宋体"/>
          </w:rPr>
        </w:r>
        <w:r w:rsidR="004D2E0D">
          <w:rPr>
            <w:rFonts w:ascii="宋体" w:hAnsi="宋体"/>
          </w:rPr>
          <w:fldChar w:fldCharType="separate"/>
        </w:r>
        <w:r w:rsidR="004D2E0D">
          <w:rPr>
            <w:rFonts w:ascii="宋体" w:hAnsi="宋体"/>
          </w:rPr>
          <w:t>105</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804" w:history="1">
        <w:r w:rsidR="004D2E0D">
          <w:rPr>
            <w:rStyle w:val="af7"/>
            <w:rFonts w:ascii="宋体" w:hAnsi="宋体"/>
          </w:rPr>
          <w:t>四、总费用汇总与年度安排</w:t>
        </w:r>
        <w:r w:rsidR="004D2E0D">
          <w:rPr>
            <w:rFonts w:ascii="宋体" w:hAnsi="宋体"/>
          </w:rPr>
          <w:tab/>
        </w:r>
        <w:r w:rsidR="004D2E0D">
          <w:rPr>
            <w:rFonts w:ascii="宋体" w:hAnsi="宋体"/>
          </w:rPr>
          <w:fldChar w:fldCharType="begin"/>
        </w:r>
        <w:r w:rsidR="004D2E0D">
          <w:rPr>
            <w:rFonts w:ascii="宋体" w:hAnsi="宋体"/>
          </w:rPr>
          <w:instrText xml:space="preserve"> PAGEREF _Toc153130804 \h </w:instrText>
        </w:r>
        <w:r w:rsidR="004D2E0D">
          <w:rPr>
            <w:rFonts w:ascii="宋体" w:hAnsi="宋体"/>
          </w:rPr>
        </w:r>
        <w:r w:rsidR="004D2E0D">
          <w:rPr>
            <w:rFonts w:ascii="宋体" w:hAnsi="宋体"/>
          </w:rPr>
          <w:fldChar w:fldCharType="separate"/>
        </w:r>
        <w:r w:rsidR="004D2E0D">
          <w:rPr>
            <w:rFonts w:ascii="宋体" w:hAnsi="宋体"/>
          </w:rPr>
          <w:t>111</w:t>
        </w:r>
        <w:r w:rsidR="004D2E0D">
          <w:rPr>
            <w:rFonts w:ascii="宋体" w:hAnsi="宋体"/>
          </w:rPr>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805" w:history="1">
        <w:r w:rsidR="004D2E0D">
          <w:rPr>
            <w:rStyle w:val="af7"/>
            <w:bCs/>
            <w:kern w:val="44"/>
          </w:rPr>
          <w:t>第八章   保障措施与效益分析</w:t>
        </w:r>
        <w:r w:rsidR="004D2E0D">
          <w:tab/>
        </w:r>
        <w:r w:rsidR="004D2E0D">
          <w:fldChar w:fldCharType="begin"/>
        </w:r>
        <w:r w:rsidR="004D2E0D">
          <w:instrText xml:space="preserve"> PAGEREF _Toc153130805 \h </w:instrText>
        </w:r>
        <w:r w:rsidR="004D2E0D">
          <w:fldChar w:fldCharType="separate"/>
        </w:r>
        <w:r w:rsidR="004D2E0D">
          <w:t>113</w:t>
        </w:r>
        <w:r w:rsidR="004D2E0D">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806" w:history="1">
        <w:r w:rsidR="004D2E0D">
          <w:rPr>
            <w:rStyle w:val="af7"/>
            <w:rFonts w:ascii="宋体" w:hAnsi="宋体"/>
          </w:rPr>
          <w:t>一、保障措施</w:t>
        </w:r>
        <w:r w:rsidR="004D2E0D">
          <w:rPr>
            <w:rFonts w:ascii="宋体" w:hAnsi="宋体"/>
          </w:rPr>
          <w:tab/>
        </w:r>
        <w:r w:rsidR="004D2E0D">
          <w:rPr>
            <w:rFonts w:ascii="宋体" w:hAnsi="宋体"/>
          </w:rPr>
          <w:fldChar w:fldCharType="begin"/>
        </w:r>
        <w:r w:rsidR="004D2E0D">
          <w:rPr>
            <w:rFonts w:ascii="宋体" w:hAnsi="宋体"/>
          </w:rPr>
          <w:instrText xml:space="preserve"> PAGEREF _Toc153130806 \h </w:instrText>
        </w:r>
        <w:r w:rsidR="004D2E0D">
          <w:rPr>
            <w:rFonts w:ascii="宋体" w:hAnsi="宋体"/>
          </w:rPr>
        </w:r>
        <w:r w:rsidR="004D2E0D">
          <w:rPr>
            <w:rFonts w:ascii="宋体" w:hAnsi="宋体"/>
          </w:rPr>
          <w:fldChar w:fldCharType="separate"/>
        </w:r>
        <w:r w:rsidR="004D2E0D">
          <w:rPr>
            <w:rFonts w:ascii="宋体" w:hAnsi="宋体"/>
          </w:rPr>
          <w:t>113</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807" w:history="1">
        <w:r w:rsidR="004D2E0D">
          <w:rPr>
            <w:rStyle w:val="af7"/>
            <w:rFonts w:ascii="宋体" w:hAnsi="宋体"/>
          </w:rPr>
          <w:t>二、效益分析</w:t>
        </w:r>
        <w:r w:rsidR="004D2E0D">
          <w:rPr>
            <w:rFonts w:ascii="宋体" w:hAnsi="宋体"/>
          </w:rPr>
          <w:tab/>
        </w:r>
        <w:r w:rsidR="004D2E0D">
          <w:rPr>
            <w:rFonts w:ascii="宋体" w:hAnsi="宋体"/>
          </w:rPr>
          <w:fldChar w:fldCharType="begin"/>
        </w:r>
        <w:r w:rsidR="004D2E0D">
          <w:rPr>
            <w:rFonts w:ascii="宋体" w:hAnsi="宋体"/>
          </w:rPr>
          <w:instrText xml:space="preserve"> PAGEREF _Toc153130807 \h </w:instrText>
        </w:r>
        <w:r w:rsidR="004D2E0D">
          <w:rPr>
            <w:rFonts w:ascii="宋体" w:hAnsi="宋体"/>
          </w:rPr>
        </w:r>
        <w:r w:rsidR="004D2E0D">
          <w:rPr>
            <w:rFonts w:ascii="宋体" w:hAnsi="宋体"/>
          </w:rPr>
          <w:fldChar w:fldCharType="separate"/>
        </w:r>
        <w:r w:rsidR="004D2E0D">
          <w:rPr>
            <w:rFonts w:ascii="宋体" w:hAnsi="宋体"/>
          </w:rPr>
          <w:t>114</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808" w:history="1">
        <w:r w:rsidR="004D2E0D">
          <w:rPr>
            <w:rStyle w:val="af7"/>
            <w:rFonts w:ascii="宋体" w:hAnsi="宋体"/>
          </w:rPr>
          <w:t>三、公众参与</w:t>
        </w:r>
        <w:r w:rsidR="004D2E0D">
          <w:rPr>
            <w:rFonts w:ascii="宋体" w:hAnsi="宋体"/>
          </w:rPr>
          <w:tab/>
        </w:r>
        <w:r w:rsidR="004D2E0D">
          <w:rPr>
            <w:rFonts w:ascii="宋体" w:hAnsi="宋体"/>
          </w:rPr>
          <w:fldChar w:fldCharType="begin"/>
        </w:r>
        <w:r w:rsidR="004D2E0D">
          <w:rPr>
            <w:rFonts w:ascii="宋体" w:hAnsi="宋体"/>
          </w:rPr>
          <w:instrText xml:space="preserve"> PAGEREF _Toc153130808 \h </w:instrText>
        </w:r>
        <w:r w:rsidR="004D2E0D">
          <w:rPr>
            <w:rFonts w:ascii="宋体" w:hAnsi="宋体"/>
          </w:rPr>
        </w:r>
        <w:r w:rsidR="004D2E0D">
          <w:rPr>
            <w:rFonts w:ascii="宋体" w:hAnsi="宋体"/>
          </w:rPr>
          <w:fldChar w:fldCharType="separate"/>
        </w:r>
        <w:r w:rsidR="004D2E0D">
          <w:rPr>
            <w:rFonts w:ascii="宋体" w:hAnsi="宋体"/>
          </w:rPr>
          <w:t>115</w:t>
        </w:r>
        <w:r w:rsidR="004D2E0D">
          <w:rPr>
            <w:rFonts w:ascii="宋体" w:hAnsi="宋体"/>
          </w:rPr>
          <w:fldChar w:fldCharType="end"/>
        </w:r>
      </w:hyperlink>
    </w:p>
    <w:p w:rsidR="009C5C1F" w:rsidRDefault="00ED062B">
      <w:pPr>
        <w:pStyle w:val="10"/>
        <w:rPr>
          <w:rFonts w:asciiTheme="minorHAnsi" w:eastAsiaTheme="minorEastAsia" w:hAnsiTheme="minorHAnsi" w:cstheme="minorBidi"/>
          <w:b w:val="0"/>
          <w:sz w:val="21"/>
          <w:szCs w:val="22"/>
          <w14:ligatures w14:val="standardContextual"/>
        </w:rPr>
      </w:pPr>
      <w:hyperlink w:anchor="_Toc153130809" w:history="1">
        <w:r w:rsidR="004D2E0D">
          <w:rPr>
            <w:rStyle w:val="af7"/>
            <w:bCs/>
            <w:kern w:val="44"/>
          </w:rPr>
          <w:t>第九章   结论与建议</w:t>
        </w:r>
        <w:r w:rsidR="004D2E0D">
          <w:tab/>
        </w:r>
        <w:r w:rsidR="004D2E0D">
          <w:fldChar w:fldCharType="begin"/>
        </w:r>
        <w:r w:rsidR="004D2E0D">
          <w:instrText xml:space="preserve"> PAGEREF _Toc153130809 \h </w:instrText>
        </w:r>
        <w:r w:rsidR="004D2E0D">
          <w:fldChar w:fldCharType="separate"/>
        </w:r>
        <w:r w:rsidR="004D2E0D">
          <w:t>116</w:t>
        </w:r>
        <w:r w:rsidR="004D2E0D">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810" w:history="1">
        <w:r w:rsidR="004D2E0D">
          <w:rPr>
            <w:rStyle w:val="af7"/>
            <w:rFonts w:ascii="宋体" w:hAnsi="宋体"/>
          </w:rPr>
          <w:t>一、结论</w:t>
        </w:r>
        <w:r w:rsidR="004D2E0D">
          <w:rPr>
            <w:rFonts w:ascii="宋体" w:hAnsi="宋体"/>
          </w:rPr>
          <w:tab/>
        </w:r>
        <w:r w:rsidR="004D2E0D">
          <w:rPr>
            <w:rFonts w:ascii="宋体" w:hAnsi="宋体"/>
          </w:rPr>
          <w:fldChar w:fldCharType="begin"/>
        </w:r>
        <w:r w:rsidR="004D2E0D">
          <w:rPr>
            <w:rFonts w:ascii="宋体" w:hAnsi="宋体"/>
          </w:rPr>
          <w:instrText xml:space="preserve"> PAGEREF _Toc153130810 \h </w:instrText>
        </w:r>
        <w:r w:rsidR="004D2E0D">
          <w:rPr>
            <w:rFonts w:ascii="宋体" w:hAnsi="宋体"/>
          </w:rPr>
        </w:r>
        <w:r w:rsidR="004D2E0D">
          <w:rPr>
            <w:rFonts w:ascii="宋体" w:hAnsi="宋体"/>
          </w:rPr>
          <w:fldChar w:fldCharType="separate"/>
        </w:r>
        <w:r w:rsidR="004D2E0D">
          <w:rPr>
            <w:rFonts w:ascii="宋体" w:hAnsi="宋体"/>
          </w:rPr>
          <w:t>116</w:t>
        </w:r>
        <w:r w:rsidR="004D2E0D">
          <w:rPr>
            <w:rFonts w:ascii="宋体" w:hAnsi="宋体"/>
          </w:rPr>
          <w:fldChar w:fldCharType="end"/>
        </w:r>
      </w:hyperlink>
    </w:p>
    <w:p w:rsidR="009C5C1F" w:rsidRDefault="00ED062B">
      <w:pPr>
        <w:pStyle w:val="21"/>
        <w:tabs>
          <w:tab w:val="right" w:leader="dot" w:pos="8302"/>
        </w:tabs>
        <w:rPr>
          <w:rFonts w:ascii="宋体" w:hAnsi="宋体" w:cstheme="minorBidi"/>
          <w:sz w:val="21"/>
          <w:szCs w:val="22"/>
          <w14:ligatures w14:val="standardContextual"/>
        </w:rPr>
      </w:pPr>
      <w:hyperlink w:anchor="_Toc153130811" w:history="1">
        <w:r w:rsidR="004D2E0D">
          <w:rPr>
            <w:rStyle w:val="af7"/>
            <w:rFonts w:ascii="宋体" w:hAnsi="宋体"/>
          </w:rPr>
          <w:t>二、建议</w:t>
        </w:r>
        <w:r w:rsidR="004D2E0D">
          <w:rPr>
            <w:rFonts w:ascii="宋体" w:hAnsi="宋体"/>
          </w:rPr>
          <w:tab/>
        </w:r>
        <w:r w:rsidR="004D2E0D">
          <w:rPr>
            <w:rFonts w:ascii="宋体" w:hAnsi="宋体"/>
          </w:rPr>
          <w:fldChar w:fldCharType="begin"/>
        </w:r>
        <w:r w:rsidR="004D2E0D">
          <w:rPr>
            <w:rFonts w:ascii="宋体" w:hAnsi="宋体"/>
          </w:rPr>
          <w:instrText xml:space="preserve"> PAGEREF _Toc153130811 \h </w:instrText>
        </w:r>
        <w:r w:rsidR="004D2E0D">
          <w:rPr>
            <w:rFonts w:ascii="宋体" w:hAnsi="宋体"/>
          </w:rPr>
        </w:r>
        <w:r w:rsidR="004D2E0D">
          <w:rPr>
            <w:rFonts w:ascii="宋体" w:hAnsi="宋体"/>
          </w:rPr>
          <w:fldChar w:fldCharType="separate"/>
        </w:r>
        <w:r w:rsidR="004D2E0D">
          <w:rPr>
            <w:rFonts w:ascii="宋体" w:hAnsi="宋体"/>
          </w:rPr>
          <w:t>117</w:t>
        </w:r>
        <w:r w:rsidR="004D2E0D">
          <w:rPr>
            <w:rFonts w:ascii="宋体" w:hAnsi="宋体"/>
          </w:rPr>
          <w:fldChar w:fldCharType="end"/>
        </w:r>
      </w:hyperlink>
    </w:p>
    <w:p w:rsidR="009C5C1F" w:rsidRDefault="004D2E0D" w:rsidP="009135C6">
      <w:pPr>
        <w:suppressAutoHyphens/>
        <w:topLinePunct/>
        <w:adjustRightInd w:val="0"/>
        <w:snapToGrid w:val="0"/>
        <w:spacing w:line="360" w:lineRule="auto"/>
        <w:ind w:firstLineChars="94" w:firstLine="226"/>
        <w:jc w:val="left"/>
        <w:rPr>
          <w:rFonts w:ascii="宋体" w:hAnsi="宋体" w:cs="宋体"/>
          <w:bCs/>
          <w:color w:val="FF0000"/>
          <w:sz w:val="24"/>
        </w:rPr>
      </w:pPr>
      <w:r>
        <w:rPr>
          <w:rFonts w:ascii="宋体" w:hAnsi="宋体" w:cs="宋体" w:hint="eastAsia"/>
          <w:bCs/>
          <w:color w:val="FF0000"/>
          <w:sz w:val="24"/>
        </w:rPr>
        <w:fldChar w:fldCharType="end"/>
      </w:r>
    </w:p>
    <w:p w:rsidR="009C5C1F" w:rsidRDefault="009C5C1F" w:rsidP="009135C6">
      <w:pPr>
        <w:suppressAutoHyphens/>
        <w:topLinePunct/>
        <w:adjustRightInd w:val="0"/>
        <w:snapToGrid w:val="0"/>
        <w:spacing w:line="500" w:lineRule="exact"/>
        <w:ind w:firstLineChars="94" w:firstLine="226"/>
        <w:jc w:val="left"/>
        <w:rPr>
          <w:rFonts w:ascii="宋体" w:hAnsi="宋体" w:cs="宋体"/>
          <w:bCs/>
          <w:color w:val="FF0000"/>
          <w:sz w:val="24"/>
        </w:rPr>
      </w:pPr>
    </w:p>
    <w:p w:rsidR="009C5C1F" w:rsidRDefault="009C5C1F" w:rsidP="009135C6">
      <w:pPr>
        <w:suppressAutoHyphens/>
        <w:topLinePunct/>
        <w:adjustRightInd w:val="0"/>
        <w:snapToGrid w:val="0"/>
        <w:spacing w:line="500" w:lineRule="exact"/>
        <w:ind w:firstLineChars="94" w:firstLine="226"/>
        <w:jc w:val="left"/>
        <w:rPr>
          <w:rFonts w:ascii="宋体" w:hAnsi="宋体" w:cs="宋体"/>
          <w:bCs/>
          <w:color w:val="FF0000"/>
          <w:sz w:val="24"/>
        </w:rPr>
      </w:pPr>
    </w:p>
    <w:p w:rsidR="009C5C1F" w:rsidRDefault="009C5C1F" w:rsidP="009135C6">
      <w:pPr>
        <w:suppressAutoHyphens/>
        <w:topLinePunct/>
        <w:adjustRightInd w:val="0"/>
        <w:snapToGrid w:val="0"/>
        <w:spacing w:line="500" w:lineRule="exact"/>
        <w:ind w:firstLineChars="94" w:firstLine="226"/>
        <w:jc w:val="left"/>
        <w:rPr>
          <w:rFonts w:ascii="宋体" w:hAnsi="宋体" w:cs="宋体"/>
          <w:bCs/>
          <w:color w:val="FF0000"/>
          <w:sz w:val="24"/>
        </w:rPr>
        <w:sectPr w:rsidR="009C5C1F">
          <w:pgSz w:w="11906" w:h="16838"/>
          <w:pgMar w:top="1440" w:right="1797" w:bottom="1440" w:left="1797" w:header="709" w:footer="709" w:gutter="0"/>
          <w:cols w:space="720"/>
          <w:docGrid w:type="lines" w:linePitch="360"/>
        </w:sectPr>
      </w:pPr>
    </w:p>
    <w:p w:rsidR="009C5C1F" w:rsidRDefault="009C5C1F" w:rsidP="009135C6">
      <w:pPr>
        <w:suppressAutoHyphens/>
        <w:topLinePunct/>
        <w:adjustRightInd w:val="0"/>
        <w:snapToGrid w:val="0"/>
        <w:spacing w:line="500" w:lineRule="exact"/>
        <w:ind w:firstLineChars="94" w:firstLine="226"/>
        <w:jc w:val="left"/>
        <w:rPr>
          <w:rFonts w:ascii="宋体" w:hAnsi="宋体" w:cs="宋体"/>
          <w:bCs/>
          <w:color w:val="FF0000"/>
          <w:sz w:val="24"/>
        </w:rPr>
        <w:sectPr w:rsidR="009C5C1F">
          <w:pgSz w:w="11906" w:h="16838"/>
          <w:pgMar w:top="1440" w:right="1797" w:bottom="1440" w:left="1797" w:header="709" w:footer="709" w:gutter="0"/>
          <w:cols w:space="720"/>
          <w:docGrid w:type="lines" w:linePitch="360"/>
        </w:sectPr>
      </w:pPr>
    </w:p>
    <w:p w:rsidR="009C5C1F" w:rsidRDefault="004D2E0D">
      <w:pPr>
        <w:suppressAutoHyphens/>
        <w:wordWrap w:val="0"/>
        <w:topLinePunct/>
        <w:spacing w:line="500" w:lineRule="exact"/>
        <w:jc w:val="left"/>
        <w:rPr>
          <w:rFonts w:ascii="宋体" w:hAnsi="宋体"/>
          <w:b/>
          <w:sz w:val="24"/>
        </w:rPr>
      </w:pPr>
      <w:r>
        <w:rPr>
          <w:rFonts w:ascii="宋体" w:hAnsi="宋体"/>
          <w:b/>
          <w:sz w:val="24"/>
        </w:rPr>
        <w:lastRenderedPageBreak/>
        <w:t>附件：</w:t>
      </w:r>
    </w:p>
    <w:p w:rsidR="009C5C1F" w:rsidRDefault="004D2E0D">
      <w:pPr>
        <w:suppressAutoHyphens/>
        <w:wordWrap w:val="0"/>
        <w:topLinePunct/>
        <w:spacing w:line="500" w:lineRule="exact"/>
        <w:ind w:left="360" w:hangingChars="150" w:hanging="360"/>
        <w:jc w:val="left"/>
        <w:rPr>
          <w:rFonts w:ascii="宋体" w:hAnsi="宋体"/>
          <w:sz w:val="24"/>
        </w:rPr>
      </w:pPr>
      <w:r>
        <w:rPr>
          <w:rFonts w:ascii="宋体" w:hAnsi="宋体" w:hint="eastAsia"/>
          <w:sz w:val="24"/>
        </w:rPr>
        <w:t>1、委托书</w:t>
      </w:r>
    </w:p>
    <w:p w:rsidR="009C5C1F" w:rsidRDefault="004D2E0D">
      <w:pPr>
        <w:suppressAutoHyphens/>
        <w:wordWrap w:val="0"/>
        <w:topLinePunct/>
        <w:spacing w:line="500" w:lineRule="exact"/>
        <w:ind w:left="360" w:hangingChars="150" w:hanging="360"/>
        <w:jc w:val="left"/>
        <w:rPr>
          <w:rFonts w:ascii="宋体" w:hAnsi="宋体"/>
          <w:sz w:val="24"/>
        </w:rPr>
      </w:pPr>
      <w:r>
        <w:rPr>
          <w:rFonts w:ascii="宋体" w:hAnsi="宋体" w:hint="eastAsia"/>
          <w:sz w:val="24"/>
        </w:rPr>
        <w:t>2、承诺书</w:t>
      </w:r>
    </w:p>
    <w:p w:rsidR="009C5C1F" w:rsidRDefault="004D2E0D">
      <w:pPr>
        <w:suppressAutoHyphens/>
        <w:wordWrap w:val="0"/>
        <w:topLinePunct/>
        <w:spacing w:line="500" w:lineRule="exact"/>
        <w:jc w:val="left"/>
        <w:rPr>
          <w:rFonts w:ascii="宋体" w:hAnsi="宋体"/>
          <w:sz w:val="24"/>
        </w:rPr>
      </w:pPr>
      <w:r>
        <w:rPr>
          <w:rFonts w:ascii="宋体" w:hAnsi="宋体" w:hint="eastAsia"/>
          <w:sz w:val="24"/>
        </w:rPr>
        <w:t>3、承诺书（矿山企业）</w:t>
      </w:r>
    </w:p>
    <w:p w:rsidR="009C5C1F" w:rsidRDefault="004D2E0D">
      <w:pPr>
        <w:suppressAutoHyphens/>
        <w:wordWrap w:val="0"/>
        <w:topLinePunct/>
        <w:spacing w:line="500" w:lineRule="exact"/>
        <w:ind w:left="360" w:hangingChars="150" w:hanging="360"/>
        <w:jc w:val="left"/>
        <w:rPr>
          <w:rFonts w:ascii="宋体" w:hAnsi="宋体"/>
          <w:sz w:val="24"/>
        </w:rPr>
      </w:pPr>
      <w:r>
        <w:rPr>
          <w:rFonts w:ascii="宋体" w:hAnsi="宋体" w:hint="eastAsia"/>
          <w:sz w:val="24"/>
        </w:rPr>
        <w:t>4、审查申请书</w:t>
      </w:r>
    </w:p>
    <w:p w:rsidR="009C5C1F" w:rsidRDefault="004D2E0D">
      <w:pPr>
        <w:suppressAutoHyphens/>
        <w:wordWrap w:val="0"/>
        <w:topLinePunct/>
        <w:spacing w:line="500" w:lineRule="exact"/>
        <w:jc w:val="left"/>
        <w:rPr>
          <w:rFonts w:ascii="宋体" w:hAnsi="宋体"/>
          <w:sz w:val="24"/>
        </w:rPr>
      </w:pPr>
      <w:r>
        <w:rPr>
          <w:rFonts w:ascii="宋体" w:hAnsi="宋体" w:hint="eastAsia"/>
          <w:sz w:val="24"/>
        </w:rPr>
        <w:t>5、方案信息表</w:t>
      </w:r>
    </w:p>
    <w:p w:rsidR="009C5C1F" w:rsidRDefault="004D2E0D">
      <w:pPr>
        <w:suppressAutoHyphens/>
        <w:wordWrap w:val="0"/>
        <w:topLinePunct/>
        <w:spacing w:line="500" w:lineRule="exact"/>
        <w:ind w:left="360" w:hangingChars="150" w:hanging="360"/>
        <w:jc w:val="left"/>
        <w:rPr>
          <w:rFonts w:ascii="宋体" w:hAnsi="宋体"/>
          <w:sz w:val="24"/>
        </w:rPr>
      </w:pPr>
      <w:r>
        <w:rPr>
          <w:rFonts w:ascii="宋体" w:hAnsi="宋体" w:hint="eastAsia"/>
          <w:sz w:val="24"/>
        </w:rPr>
        <w:t>6、权属证明</w:t>
      </w:r>
    </w:p>
    <w:p w:rsidR="009C5C1F" w:rsidRDefault="004D2E0D">
      <w:pPr>
        <w:suppressAutoHyphens/>
        <w:wordWrap w:val="0"/>
        <w:topLinePunct/>
        <w:spacing w:line="500" w:lineRule="exact"/>
        <w:jc w:val="left"/>
        <w:rPr>
          <w:rFonts w:ascii="宋体" w:hAnsi="宋体"/>
          <w:sz w:val="24"/>
        </w:rPr>
      </w:pPr>
      <w:r>
        <w:rPr>
          <w:rFonts w:ascii="宋体" w:hAnsi="宋体" w:hint="eastAsia"/>
          <w:sz w:val="24"/>
        </w:rPr>
        <w:t>7、关于《甘肃省临泽县板桥镇壕洼村正北山西侧砖瓦用粘土矿普查报告》（202</w:t>
      </w:r>
      <w:r>
        <w:rPr>
          <w:rFonts w:ascii="宋体" w:hAnsi="宋体"/>
          <w:sz w:val="24"/>
        </w:rPr>
        <w:t>2</w:t>
      </w:r>
      <w:r>
        <w:rPr>
          <w:rFonts w:ascii="宋体" w:hAnsi="宋体" w:hint="eastAsia"/>
          <w:sz w:val="24"/>
        </w:rPr>
        <w:t>年</w:t>
      </w:r>
      <w:r>
        <w:rPr>
          <w:rFonts w:ascii="宋体" w:hAnsi="宋体"/>
          <w:sz w:val="24"/>
        </w:rPr>
        <w:t>1</w:t>
      </w:r>
      <w:r>
        <w:rPr>
          <w:rFonts w:ascii="宋体" w:hAnsi="宋体" w:hint="eastAsia"/>
          <w:sz w:val="24"/>
        </w:rPr>
        <w:t>月）评审意见书</w:t>
      </w:r>
    </w:p>
    <w:p w:rsidR="009C5C1F" w:rsidRDefault="004D2E0D">
      <w:pPr>
        <w:suppressAutoHyphens/>
        <w:wordWrap w:val="0"/>
        <w:topLinePunct/>
        <w:spacing w:line="500" w:lineRule="exact"/>
        <w:ind w:left="360" w:hangingChars="150" w:hanging="360"/>
        <w:jc w:val="left"/>
        <w:rPr>
          <w:rFonts w:ascii="宋体" w:hAnsi="宋体"/>
          <w:sz w:val="24"/>
        </w:rPr>
      </w:pPr>
      <w:r>
        <w:rPr>
          <w:rFonts w:ascii="宋体" w:hAnsi="宋体" w:hint="eastAsia"/>
          <w:sz w:val="24"/>
        </w:rPr>
        <w:t>8、</w:t>
      </w:r>
      <w:r>
        <w:rPr>
          <w:rFonts w:ascii="宋体" w:hAnsi="宋体"/>
          <w:sz w:val="24"/>
        </w:rPr>
        <w:t>企业</w:t>
      </w:r>
      <w:r>
        <w:rPr>
          <w:rFonts w:ascii="宋体" w:hAnsi="宋体" w:hint="eastAsia"/>
          <w:sz w:val="24"/>
        </w:rPr>
        <w:t>营业执照复印件</w:t>
      </w:r>
    </w:p>
    <w:p w:rsidR="009C5C1F" w:rsidRDefault="009C5C1F">
      <w:pPr>
        <w:suppressAutoHyphens/>
        <w:wordWrap w:val="0"/>
        <w:topLinePunct/>
        <w:spacing w:line="500" w:lineRule="exact"/>
        <w:ind w:left="360" w:hangingChars="150" w:hanging="360"/>
        <w:jc w:val="left"/>
        <w:rPr>
          <w:rFonts w:ascii="宋体" w:hAnsi="宋体"/>
          <w:sz w:val="24"/>
        </w:rPr>
      </w:pPr>
    </w:p>
    <w:p w:rsidR="009C5C1F" w:rsidRDefault="004D2E0D">
      <w:pPr>
        <w:suppressAutoHyphens/>
        <w:topLinePunct/>
        <w:spacing w:line="500" w:lineRule="exact"/>
        <w:jc w:val="left"/>
        <w:rPr>
          <w:rFonts w:ascii="宋体" w:hAnsi="宋体"/>
          <w:b/>
          <w:sz w:val="24"/>
        </w:rPr>
      </w:pPr>
      <w:r>
        <w:rPr>
          <w:rFonts w:ascii="宋体" w:hAnsi="宋体"/>
          <w:b/>
          <w:sz w:val="24"/>
        </w:rPr>
        <w:t>附图：</w:t>
      </w:r>
    </w:p>
    <w:p w:rsidR="009C5C1F" w:rsidRDefault="004D2E0D">
      <w:pPr>
        <w:suppressAutoHyphens/>
        <w:topLinePunct/>
        <w:spacing w:line="500" w:lineRule="exact"/>
        <w:ind w:firstLineChars="196" w:firstLine="472"/>
        <w:jc w:val="left"/>
        <w:rPr>
          <w:rFonts w:ascii="宋体" w:hAnsi="宋体"/>
          <w:b/>
          <w:sz w:val="24"/>
        </w:rPr>
      </w:pPr>
      <w:r>
        <w:rPr>
          <w:rFonts w:ascii="宋体" w:hAnsi="宋体" w:hint="eastAsia"/>
          <w:b/>
          <w:sz w:val="24"/>
        </w:rPr>
        <w:t>矿产资源开发利用方案附图</w:t>
      </w:r>
    </w:p>
    <w:p w:rsidR="009C5C1F" w:rsidRDefault="004D2E0D">
      <w:pPr>
        <w:suppressAutoHyphens/>
        <w:wordWrap w:val="0"/>
        <w:topLinePunct/>
        <w:spacing w:line="500" w:lineRule="exact"/>
        <w:jc w:val="left"/>
        <w:rPr>
          <w:rFonts w:ascii="宋体" w:hAnsi="宋体"/>
          <w:sz w:val="24"/>
        </w:rPr>
      </w:pPr>
      <w:r>
        <w:rPr>
          <w:rFonts w:ascii="宋体" w:hAnsi="宋体" w:hint="eastAsia"/>
          <w:sz w:val="24"/>
        </w:rPr>
        <w:t>1、地形地质图（1:</w:t>
      </w:r>
      <w:r>
        <w:rPr>
          <w:rFonts w:ascii="宋体" w:hAnsi="宋体"/>
          <w:sz w:val="24"/>
        </w:rPr>
        <w:t>200</w:t>
      </w:r>
      <w:r>
        <w:rPr>
          <w:rFonts w:ascii="宋体" w:hAnsi="宋体" w:hint="eastAsia"/>
          <w:sz w:val="24"/>
        </w:rPr>
        <w:t xml:space="preserve">0） </w:t>
      </w:r>
    </w:p>
    <w:p w:rsidR="009C5C1F" w:rsidRDefault="004D2E0D">
      <w:pPr>
        <w:suppressAutoHyphens/>
        <w:wordWrap w:val="0"/>
        <w:topLinePunct/>
        <w:spacing w:line="500" w:lineRule="exact"/>
        <w:jc w:val="left"/>
        <w:rPr>
          <w:rFonts w:ascii="宋体" w:hAnsi="宋体"/>
          <w:sz w:val="24"/>
        </w:rPr>
      </w:pPr>
      <w:r>
        <w:rPr>
          <w:rFonts w:ascii="宋体" w:hAnsi="宋体" w:hint="eastAsia"/>
          <w:sz w:val="24"/>
        </w:rPr>
        <w:t>2、开采平面布置图（1:</w:t>
      </w:r>
      <w:r>
        <w:rPr>
          <w:rFonts w:ascii="宋体" w:hAnsi="宋体"/>
          <w:sz w:val="24"/>
        </w:rPr>
        <w:t>2</w:t>
      </w:r>
      <w:r>
        <w:rPr>
          <w:rFonts w:ascii="宋体" w:hAnsi="宋体" w:hint="eastAsia"/>
          <w:sz w:val="24"/>
        </w:rPr>
        <w:t xml:space="preserve">000） </w:t>
      </w:r>
    </w:p>
    <w:p w:rsidR="009C5C1F" w:rsidRDefault="004D2E0D">
      <w:pPr>
        <w:suppressAutoHyphens/>
        <w:wordWrap w:val="0"/>
        <w:topLinePunct/>
        <w:spacing w:line="500" w:lineRule="exact"/>
        <w:jc w:val="left"/>
        <w:rPr>
          <w:rFonts w:ascii="宋体" w:hAnsi="宋体"/>
          <w:sz w:val="24"/>
        </w:rPr>
      </w:pPr>
      <w:r>
        <w:rPr>
          <w:rFonts w:ascii="宋体" w:hAnsi="宋体" w:hint="eastAsia"/>
          <w:sz w:val="24"/>
        </w:rPr>
        <w:t>3、开采剖面图（1:500）</w:t>
      </w:r>
    </w:p>
    <w:p w:rsidR="009C5C1F" w:rsidRDefault="004D2E0D">
      <w:pPr>
        <w:suppressAutoHyphens/>
        <w:wordWrap w:val="0"/>
        <w:topLinePunct/>
        <w:spacing w:line="500" w:lineRule="exact"/>
        <w:jc w:val="left"/>
        <w:rPr>
          <w:rFonts w:ascii="宋体" w:hAnsi="宋体"/>
          <w:sz w:val="24"/>
        </w:rPr>
      </w:pPr>
      <w:r>
        <w:rPr>
          <w:rFonts w:ascii="宋体" w:hAnsi="宋体" w:hint="eastAsia"/>
          <w:sz w:val="24"/>
        </w:rPr>
        <w:t>4、采场终了平面图 （1:</w:t>
      </w:r>
      <w:r>
        <w:rPr>
          <w:rFonts w:ascii="宋体" w:hAnsi="宋体"/>
          <w:sz w:val="24"/>
        </w:rPr>
        <w:t>2</w:t>
      </w:r>
      <w:r>
        <w:rPr>
          <w:rFonts w:ascii="宋体" w:hAnsi="宋体" w:hint="eastAsia"/>
          <w:sz w:val="24"/>
        </w:rPr>
        <w:t xml:space="preserve">000） </w:t>
      </w:r>
    </w:p>
    <w:p w:rsidR="009C5C1F" w:rsidRDefault="004D2E0D">
      <w:pPr>
        <w:suppressAutoHyphens/>
        <w:wordWrap w:val="0"/>
        <w:topLinePunct/>
        <w:spacing w:line="500" w:lineRule="exact"/>
        <w:jc w:val="left"/>
        <w:rPr>
          <w:rFonts w:ascii="宋体" w:hAnsi="宋体"/>
          <w:sz w:val="24"/>
        </w:rPr>
      </w:pPr>
      <w:r>
        <w:rPr>
          <w:rFonts w:ascii="宋体" w:hAnsi="宋体" w:hint="eastAsia"/>
          <w:sz w:val="24"/>
        </w:rPr>
        <w:t>5、露天开采采矿方法示意图（1:500）</w:t>
      </w:r>
    </w:p>
    <w:p w:rsidR="009C5C1F" w:rsidRDefault="004D2E0D">
      <w:pPr>
        <w:suppressAutoHyphens/>
        <w:topLinePunct/>
        <w:spacing w:line="500" w:lineRule="exact"/>
        <w:ind w:firstLineChars="196" w:firstLine="472"/>
        <w:jc w:val="left"/>
        <w:rPr>
          <w:rFonts w:ascii="宋体" w:hAnsi="宋体"/>
          <w:b/>
          <w:sz w:val="24"/>
        </w:rPr>
      </w:pPr>
      <w:r>
        <w:rPr>
          <w:rFonts w:ascii="宋体" w:hAnsi="宋体"/>
          <w:b/>
          <w:sz w:val="24"/>
        </w:rPr>
        <w:t>矿山地质环境保护与复垦方案附图</w:t>
      </w:r>
    </w:p>
    <w:p w:rsidR="009C5C1F" w:rsidRDefault="004D2E0D">
      <w:pPr>
        <w:suppressAutoHyphens/>
        <w:wordWrap w:val="0"/>
        <w:topLinePunct/>
        <w:spacing w:line="500" w:lineRule="exact"/>
        <w:jc w:val="left"/>
        <w:rPr>
          <w:sz w:val="24"/>
        </w:rPr>
      </w:pPr>
      <w:r>
        <w:rPr>
          <w:rFonts w:hint="eastAsia"/>
          <w:sz w:val="24"/>
        </w:rPr>
        <w:t>6</w:t>
      </w:r>
      <w:r>
        <w:rPr>
          <w:rFonts w:hint="eastAsia"/>
          <w:sz w:val="24"/>
        </w:rPr>
        <w:t>、地质环境问题现状图（</w:t>
      </w:r>
      <w:r>
        <w:rPr>
          <w:sz w:val="24"/>
        </w:rPr>
        <w:t>1:2000</w:t>
      </w:r>
      <w:r>
        <w:rPr>
          <w:rFonts w:hint="eastAsia"/>
          <w:sz w:val="24"/>
        </w:rPr>
        <w:t>）</w:t>
      </w:r>
    </w:p>
    <w:p w:rsidR="009C5C1F" w:rsidRDefault="004D2E0D">
      <w:pPr>
        <w:suppressAutoHyphens/>
        <w:wordWrap w:val="0"/>
        <w:topLinePunct/>
        <w:spacing w:line="500" w:lineRule="exact"/>
        <w:jc w:val="left"/>
        <w:rPr>
          <w:sz w:val="24"/>
        </w:rPr>
      </w:pPr>
      <w:r>
        <w:rPr>
          <w:rFonts w:hint="eastAsia"/>
          <w:sz w:val="24"/>
        </w:rPr>
        <w:t>7</w:t>
      </w:r>
      <w:r>
        <w:rPr>
          <w:rFonts w:hint="eastAsia"/>
          <w:sz w:val="24"/>
        </w:rPr>
        <w:t>、土地利用现状图（</w:t>
      </w:r>
      <w:r>
        <w:rPr>
          <w:sz w:val="24"/>
        </w:rPr>
        <w:t>1:2000</w:t>
      </w:r>
      <w:r>
        <w:rPr>
          <w:rFonts w:hint="eastAsia"/>
          <w:sz w:val="24"/>
        </w:rPr>
        <w:t>）</w:t>
      </w:r>
    </w:p>
    <w:p w:rsidR="009C5C1F" w:rsidRDefault="004D2E0D">
      <w:pPr>
        <w:suppressAutoHyphens/>
        <w:wordWrap w:val="0"/>
        <w:topLinePunct/>
        <w:spacing w:line="500" w:lineRule="exact"/>
        <w:jc w:val="left"/>
        <w:rPr>
          <w:sz w:val="24"/>
        </w:rPr>
      </w:pPr>
      <w:r>
        <w:rPr>
          <w:rFonts w:hint="eastAsia"/>
          <w:sz w:val="24"/>
        </w:rPr>
        <w:t>8</w:t>
      </w:r>
      <w:r>
        <w:rPr>
          <w:rFonts w:hint="eastAsia"/>
          <w:sz w:val="24"/>
        </w:rPr>
        <w:t>、地质环境问题预测图（</w:t>
      </w:r>
      <w:r>
        <w:rPr>
          <w:sz w:val="24"/>
        </w:rPr>
        <w:t>1:2000</w:t>
      </w:r>
      <w:r>
        <w:rPr>
          <w:rFonts w:hint="eastAsia"/>
          <w:sz w:val="24"/>
        </w:rPr>
        <w:t>）</w:t>
      </w:r>
    </w:p>
    <w:p w:rsidR="009C5C1F" w:rsidRDefault="004D2E0D">
      <w:pPr>
        <w:suppressAutoHyphens/>
        <w:wordWrap w:val="0"/>
        <w:topLinePunct/>
        <w:spacing w:line="500" w:lineRule="exact"/>
        <w:jc w:val="left"/>
        <w:rPr>
          <w:sz w:val="24"/>
        </w:rPr>
      </w:pPr>
      <w:r>
        <w:rPr>
          <w:rFonts w:hint="eastAsia"/>
          <w:sz w:val="24"/>
        </w:rPr>
        <w:t>9</w:t>
      </w:r>
      <w:r>
        <w:rPr>
          <w:rFonts w:hint="eastAsia"/>
          <w:sz w:val="24"/>
        </w:rPr>
        <w:t>、土地损毁预测图（</w:t>
      </w:r>
      <w:r>
        <w:rPr>
          <w:sz w:val="24"/>
        </w:rPr>
        <w:t>1:2000</w:t>
      </w:r>
      <w:r>
        <w:rPr>
          <w:rFonts w:hint="eastAsia"/>
          <w:sz w:val="24"/>
        </w:rPr>
        <w:t>）</w:t>
      </w:r>
    </w:p>
    <w:p w:rsidR="009C5C1F" w:rsidRDefault="004D2E0D">
      <w:pPr>
        <w:suppressAutoHyphens/>
        <w:wordWrap w:val="0"/>
        <w:topLinePunct/>
        <w:spacing w:line="500" w:lineRule="exact"/>
        <w:jc w:val="left"/>
        <w:rPr>
          <w:sz w:val="24"/>
        </w:rPr>
      </w:pPr>
      <w:r>
        <w:rPr>
          <w:rFonts w:hint="eastAsia"/>
          <w:sz w:val="24"/>
        </w:rPr>
        <w:t>10</w:t>
      </w:r>
      <w:r>
        <w:rPr>
          <w:rFonts w:hint="eastAsia"/>
          <w:sz w:val="24"/>
        </w:rPr>
        <w:t>、土地复垦规划图（</w:t>
      </w:r>
      <w:r>
        <w:rPr>
          <w:sz w:val="24"/>
        </w:rPr>
        <w:t>1:2000</w:t>
      </w:r>
      <w:r>
        <w:rPr>
          <w:rFonts w:hint="eastAsia"/>
          <w:sz w:val="24"/>
        </w:rPr>
        <w:t>）</w:t>
      </w:r>
    </w:p>
    <w:p w:rsidR="009C5C1F" w:rsidRDefault="004D2E0D">
      <w:pPr>
        <w:suppressAutoHyphens/>
        <w:wordWrap w:val="0"/>
        <w:topLinePunct/>
        <w:spacing w:line="500" w:lineRule="exact"/>
        <w:jc w:val="left"/>
        <w:rPr>
          <w:sz w:val="24"/>
        </w:rPr>
        <w:sectPr w:rsidR="009C5C1F">
          <w:footerReference w:type="default" r:id="rId12"/>
          <w:pgSz w:w="11906" w:h="16838"/>
          <w:pgMar w:top="1440" w:right="1797" w:bottom="1440" w:left="1797" w:header="709" w:footer="709" w:gutter="0"/>
          <w:cols w:space="720"/>
          <w:docGrid w:type="lines" w:linePitch="360"/>
        </w:sectPr>
      </w:pPr>
      <w:r>
        <w:rPr>
          <w:rFonts w:hint="eastAsia"/>
          <w:sz w:val="24"/>
        </w:rPr>
        <w:t>11</w:t>
      </w:r>
      <w:r>
        <w:rPr>
          <w:rFonts w:hint="eastAsia"/>
          <w:sz w:val="24"/>
        </w:rPr>
        <w:t>、地质环境治理工程部署图（</w:t>
      </w:r>
      <w:r>
        <w:rPr>
          <w:sz w:val="24"/>
        </w:rPr>
        <w:t>1:2000</w:t>
      </w:r>
      <w:r>
        <w:rPr>
          <w:rFonts w:hint="eastAsia"/>
          <w:sz w:val="24"/>
        </w:rPr>
        <w:t>）</w:t>
      </w:r>
    </w:p>
    <w:p w:rsidR="009C5C1F" w:rsidRDefault="009C5C1F">
      <w:pPr>
        <w:suppressAutoHyphens/>
        <w:wordWrap w:val="0"/>
        <w:topLinePunct/>
        <w:spacing w:line="500" w:lineRule="exact"/>
        <w:jc w:val="left"/>
      </w:pPr>
    </w:p>
    <w:p w:rsidR="009C5C1F" w:rsidRDefault="009C5C1F">
      <w:pPr>
        <w:pStyle w:val="a0"/>
        <w:ind w:firstLine="240"/>
        <w:rPr>
          <w:sz w:val="24"/>
        </w:rPr>
      </w:pPr>
    </w:p>
    <w:p w:rsidR="009C5C1F" w:rsidRDefault="009C5C1F">
      <w:pPr>
        <w:suppressAutoHyphens/>
        <w:wordWrap w:val="0"/>
        <w:topLinePunct/>
        <w:spacing w:line="500" w:lineRule="exact"/>
        <w:ind w:left="360" w:hangingChars="150" w:hanging="360"/>
        <w:jc w:val="left"/>
        <w:rPr>
          <w:rFonts w:ascii="宋体" w:hAnsi="宋体"/>
          <w:sz w:val="24"/>
        </w:rPr>
        <w:sectPr w:rsidR="009C5C1F">
          <w:pgSz w:w="11906" w:h="16838"/>
          <w:pgMar w:top="1440" w:right="1797" w:bottom="1440" w:left="1797" w:header="709" w:footer="709" w:gutter="0"/>
          <w:cols w:space="720"/>
          <w:docGrid w:type="lines" w:linePitch="360"/>
        </w:sectPr>
      </w:pPr>
    </w:p>
    <w:p w:rsidR="009C5C1F" w:rsidRDefault="004D2E0D">
      <w:pPr>
        <w:pStyle w:val="1"/>
        <w:spacing w:beforeLines="50" w:before="180" w:after="0" w:line="360" w:lineRule="auto"/>
      </w:pPr>
      <w:bookmarkStart w:id="35" w:name="_Toc70589703"/>
      <w:bookmarkStart w:id="36" w:name="_Toc153130704"/>
      <w:bookmarkStart w:id="37" w:name="_Toc212970723"/>
      <w:bookmarkStart w:id="38" w:name="_Toc214406967"/>
      <w:bookmarkStart w:id="39" w:name="_Toc502783397"/>
      <w:bookmarkStart w:id="40" w:name="_Toc211070047"/>
      <w:bookmarkStart w:id="41" w:name="_Toc511226401"/>
      <w:r>
        <w:rPr>
          <w:rFonts w:hint="eastAsia"/>
        </w:rPr>
        <w:lastRenderedPageBreak/>
        <w:t>第一部分</w:t>
      </w:r>
      <w:r>
        <w:rPr>
          <w:rFonts w:hint="eastAsia"/>
        </w:rPr>
        <w:t xml:space="preserve"> </w:t>
      </w:r>
      <w:r>
        <w:rPr>
          <w:rFonts w:hint="eastAsia"/>
        </w:rPr>
        <w:t>矿产资源开发利用方案</w:t>
      </w:r>
      <w:bookmarkEnd w:id="35"/>
      <w:bookmarkEnd w:id="36"/>
    </w:p>
    <w:p w:rsidR="009C5C1F" w:rsidRDefault="004D2E0D">
      <w:pPr>
        <w:pStyle w:val="1"/>
        <w:spacing w:beforeLines="100" w:before="360" w:after="0" w:line="500" w:lineRule="exact"/>
        <w:rPr>
          <w:sz w:val="24"/>
          <w:szCs w:val="24"/>
        </w:rPr>
      </w:pPr>
      <w:bookmarkStart w:id="42" w:name="_Toc70589704"/>
      <w:bookmarkStart w:id="43" w:name="_Toc153130705"/>
      <w:r>
        <w:rPr>
          <w:rFonts w:hint="eastAsia"/>
          <w:sz w:val="24"/>
          <w:szCs w:val="24"/>
        </w:rPr>
        <w:t xml:space="preserve">1  </w:t>
      </w:r>
      <w:r>
        <w:rPr>
          <w:rFonts w:hint="eastAsia"/>
          <w:sz w:val="24"/>
          <w:szCs w:val="24"/>
        </w:rPr>
        <w:t>概</w:t>
      </w:r>
      <w:r>
        <w:rPr>
          <w:rFonts w:hint="eastAsia"/>
          <w:sz w:val="24"/>
          <w:szCs w:val="24"/>
        </w:rPr>
        <w:t xml:space="preserve"> </w:t>
      </w:r>
      <w:r>
        <w:rPr>
          <w:rFonts w:hint="eastAsia"/>
          <w:sz w:val="24"/>
          <w:szCs w:val="24"/>
        </w:rPr>
        <w:t>述</w:t>
      </w:r>
      <w:bookmarkEnd w:id="37"/>
      <w:bookmarkEnd w:id="38"/>
      <w:bookmarkEnd w:id="39"/>
      <w:bookmarkEnd w:id="40"/>
      <w:bookmarkEnd w:id="41"/>
      <w:bookmarkEnd w:id="42"/>
      <w:bookmarkEnd w:id="43"/>
    </w:p>
    <w:p w:rsidR="009C5C1F" w:rsidRDefault="004D2E0D">
      <w:pPr>
        <w:pStyle w:val="2"/>
        <w:spacing w:beforeLines="100" w:before="360" w:line="500" w:lineRule="exact"/>
        <w:ind w:firstLine="482"/>
        <w:rPr>
          <w:rFonts w:ascii="宋体" w:eastAsia="宋体" w:hAnsi="宋体" w:cs="宋体"/>
          <w:sz w:val="24"/>
          <w:szCs w:val="24"/>
        </w:rPr>
      </w:pPr>
      <w:bookmarkStart w:id="44" w:name="_Toc502783398"/>
      <w:bookmarkStart w:id="45" w:name="_Toc214406968"/>
      <w:bookmarkStart w:id="46" w:name="_Toc209342527"/>
      <w:bookmarkStart w:id="47" w:name="_Toc70589705"/>
      <w:bookmarkStart w:id="48" w:name="_Toc153130706"/>
      <w:bookmarkStart w:id="49" w:name="_Toc511226402"/>
      <w:bookmarkStart w:id="50" w:name="_Toc211070048"/>
      <w:r>
        <w:rPr>
          <w:rFonts w:ascii="宋体" w:eastAsia="宋体" w:hAnsi="宋体" w:cs="宋体" w:hint="eastAsia"/>
          <w:sz w:val="24"/>
          <w:szCs w:val="24"/>
        </w:rPr>
        <w:t>1.1 项目名称、隶属关系、矿区位置</w:t>
      </w:r>
      <w:bookmarkEnd w:id="44"/>
      <w:bookmarkEnd w:id="45"/>
      <w:bookmarkEnd w:id="46"/>
      <w:r>
        <w:rPr>
          <w:rFonts w:ascii="宋体" w:eastAsia="宋体" w:hAnsi="宋体" w:cs="宋体" w:hint="eastAsia"/>
          <w:sz w:val="24"/>
          <w:szCs w:val="24"/>
        </w:rPr>
        <w:t>及企业性质</w:t>
      </w:r>
      <w:bookmarkEnd w:id="47"/>
      <w:bookmarkEnd w:id="48"/>
      <w:bookmarkEnd w:id="49"/>
    </w:p>
    <w:p w:rsidR="009C5C1F" w:rsidRDefault="004D2E0D">
      <w:pPr>
        <w:pStyle w:val="3"/>
        <w:spacing w:beforeLines="100" w:before="360" w:after="0" w:line="500" w:lineRule="exact"/>
        <w:ind w:firstLineChars="200" w:firstLine="482"/>
        <w:rPr>
          <w:rFonts w:ascii="宋体" w:hAnsi="宋体" w:cs="宋体"/>
        </w:rPr>
      </w:pPr>
      <w:bookmarkStart w:id="51" w:name="_Toc214406969"/>
      <w:bookmarkStart w:id="52" w:name="_Toc395519092"/>
      <w:bookmarkStart w:id="53" w:name="_Toc502783399"/>
      <w:bookmarkStart w:id="54" w:name="_Toc70589706"/>
      <w:r>
        <w:rPr>
          <w:rFonts w:ascii="宋体" w:hAnsi="宋体" w:cs="宋体" w:hint="eastAsia"/>
        </w:rPr>
        <w:t>1.1.1 项目名称</w:t>
      </w:r>
      <w:bookmarkEnd w:id="51"/>
      <w:r>
        <w:rPr>
          <w:rFonts w:ascii="宋体" w:hAnsi="宋体" w:cs="宋体" w:hint="eastAsia"/>
        </w:rPr>
        <w:t>及隶属关系</w:t>
      </w:r>
      <w:bookmarkEnd w:id="52"/>
      <w:bookmarkEnd w:id="53"/>
      <w:bookmarkEnd w:id="54"/>
    </w:p>
    <w:bookmarkEnd w:id="50"/>
    <w:p w:rsidR="009C5C1F" w:rsidRDefault="004D2E0D">
      <w:pPr>
        <w:spacing w:line="500" w:lineRule="exact"/>
        <w:ind w:firstLineChars="200" w:firstLine="480"/>
        <w:rPr>
          <w:sz w:val="24"/>
        </w:rPr>
      </w:pPr>
      <w:r>
        <w:rPr>
          <w:rFonts w:hint="eastAsia"/>
          <w:sz w:val="24"/>
        </w:rPr>
        <w:t>项目名称：甘肃省临泽县板桥</w:t>
      </w:r>
      <w:proofErr w:type="gramStart"/>
      <w:r>
        <w:rPr>
          <w:rFonts w:hint="eastAsia"/>
          <w:sz w:val="24"/>
        </w:rPr>
        <w:t>镇壕洼村</w:t>
      </w:r>
      <w:proofErr w:type="gramEnd"/>
      <w:r>
        <w:rPr>
          <w:rFonts w:hint="eastAsia"/>
          <w:sz w:val="24"/>
        </w:rPr>
        <w:t>正北山西侧砖瓦用粘土矿矿产资源开发利用方案；</w:t>
      </w:r>
    </w:p>
    <w:p w:rsidR="009C5C1F" w:rsidRDefault="004D2E0D">
      <w:pPr>
        <w:spacing w:line="500" w:lineRule="exact"/>
        <w:ind w:firstLineChars="200" w:firstLine="480"/>
        <w:rPr>
          <w:sz w:val="24"/>
        </w:rPr>
      </w:pPr>
      <w:r>
        <w:rPr>
          <w:rFonts w:hint="eastAsia"/>
          <w:sz w:val="24"/>
        </w:rPr>
        <w:t>行政隶属关系：临泽县板桥镇</w:t>
      </w:r>
      <w:r>
        <w:rPr>
          <w:sz w:val="24"/>
        </w:rPr>
        <w:t>管辖</w:t>
      </w:r>
      <w:r>
        <w:rPr>
          <w:rFonts w:hint="eastAsia"/>
          <w:sz w:val="24"/>
        </w:rPr>
        <w:t>。</w:t>
      </w:r>
    </w:p>
    <w:p w:rsidR="009C5C1F" w:rsidRDefault="004D2E0D">
      <w:pPr>
        <w:pStyle w:val="111"/>
        <w:adjustRightInd w:val="0"/>
        <w:snapToGrid w:val="0"/>
        <w:spacing w:beforeLines="100" w:before="360" w:line="500" w:lineRule="exact"/>
        <w:ind w:firstLine="482"/>
        <w:rPr>
          <w:rFonts w:ascii="宋体" w:eastAsia="宋体" w:hAnsi="宋体" w:cs="宋体"/>
          <w:bCs/>
          <w:color w:val="auto"/>
        </w:rPr>
      </w:pPr>
      <w:bookmarkStart w:id="55" w:name="_Toc212978005"/>
      <w:bookmarkStart w:id="56" w:name="_Toc213683033"/>
      <w:bookmarkStart w:id="57" w:name="_Toc214406970"/>
      <w:bookmarkStart w:id="58" w:name="_Toc395519093"/>
      <w:bookmarkStart w:id="59" w:name="_Toc502783400"/>
      <w:bookmarkStart w:id="60" w:name="_Toc211070050"/>
      <w:bookmarkStart w:id="61" w:name="_Toc70589707"/>
      <w:r>
        <w:rPr>
          <w:rFonts w:ascii="宋体" w:eastAsia="宋体" w:hAnsi="宋体" w:cs="宋体" w:hint="eastAsia"/>
          <w:bCs/>
          <w:color w:val="auto"/>
          <w:szCs w:val="32"/>
        </w:rPr>
        <w:t>1.1.2 矿区位置、交通</w:t>
      </w:r>
      <w:bookmarkEnd w:id="55"/>
      <w:bookmarkEnd w:id="56"/>
      <w:bookmarkEnd w:id="57"/>
      <w:bookmarkEnd w:id="58"/>
      <w:bookmarkEnd w:id="59"/>
      <w:bookmarkEnd w:id="60"/>
      <w:bookmarkEnd w:id="61"/>
      <w:r>
        <w:rPr>
          <w:rFonts w:ascii="宋体" w:eastAsia="宋体" w:hAnsi="宋体" w:cs="宋体" w:hint="eastAsia"/>
          <w:bCs/>
          <w:color w:val="auto"/>
          <w:szCs w:val="32"/>
        </w:rPr>
        <w:t xml:space="preserve">  </w:t>
      </w:r>
      <w:r>
        <w:rPr>
          <w:rStyle w:val="3Char"/>
          <w:rFonts w:ascii="宋体" w:hAnsi="宋体" w:cs="宋体" w:hint="eastAsia"/>
          <w:color w:val="auto"/>
        </w:rPr>
        <w:t xml:space="preserve">     </w:t>
      </w:r>
      <w:r>
        <w:rPr>
          <w:rFonts w:ascii="宋体" w:eastAsia="宋体" w:hAnsi="宋体" w:cs="宋体" w:hint="eastAsia"/>
          <w:color w:val="auto"/>
        </w:rPr>
        <w:t xml:space="preserve">          </w:t>
      </w:r>
    </w:p>
    <w:p w:rsidR="009C5C1F" w:rsidRDefault="004D2E0D">
      <w:pPr>
        <w:spacing w:line="500" w:lineRule="exact"/>
        <w:ind w:firstLineChars="200" w:firstLine="480"/>
        <w:rPr>
          <w:sz w:val="24"/>
        </w:rPr>
      </w:pPr>
      <w:r>
        <w:rPr>
          <w:rFonts w:hint="eastAsia"/>
          <w:sz w:val="24"/>
        </w:rPr>
        <w:t>1</w:t>
      </w:r>
      <w:r>
        <w:rPr>
          <w:rFonts w:hint="eastAsia"/>
          <w:sz w:val="24"/>
        </w:rPr>
        <w:t>、矿区位置及范围</w:t>
      </w:r>
    </w:p>
    <w:p w:rsidR="009C5C1F" w:rsidRDefault="004D2E0D">
      <w:pPr>
        <w:spacing w:line="500" w:lineRule="exact"/>
        <w:ind w:firstLineChars="200" w:firstLine="480"/>
        <w:rPr>
          <w:sz w:val="24"/>
        </w:rPr>
      </w:pPr>
      <w:r>
        <w:rPr>
          <w:rFonts w:hint="eastAsia"/>
          <w:sz w:val="24"/>
        </w:rPr>
        <w:t>甘肃省临泽县板桥</w:t>
      </w:r>
      <w:proofErr w:type="gramStart"/>
      <w:r>
        <w:rPr>
          <w:rFonts w:hint="eastAsia"/>
          <w:sz w:val="24"/>
        </w:rPr>
        <w:t>镇壕洼村</w:t>
      </w:r>
      <w:proofErr w:type="gramEnd"/>
      <w:r>
        <w:rPr>
          <w:rFonts w:hint="eastAsia"/>
          <w:sz w:val="24"/>
        </w:rPr>
        <w:t>正北山西侧砖瓦用粘土矿区位于临泽县政府</w:t>
      </w:r>
      <w:r>
        <w:rPr>
          <w:sz w:val="24"/>
        </w:rPr>
        <w:t>13</w:t>
      </w:r>
      <w:r>
        <w:rPr>
          <w:rFonts w:hint="eastAsia"/>
          <w:sz w:val="24"/>
        </w:rPr>
        <w:t>°方向，直线距离约</w:t>
      </w:r>
      <w:r>
        <w:rPr>
          <w:sz w:val="24"/>
        </w:rPr>
        <w:t>25</w:t>
      </w:r>
      <w:r>
        <w:rPr>
          <w:rFonts w:hint="eastAsia"/>
          <w:sz w:val="24"/>
        </w:rPr>
        <w:t>km</w:t>
      </w:r>
      <w:r>
        <w:rPr>
          <w:rFonts w:hint="eastAsia"/>
          <w:sz w:val="24"/>
        </w:rPr>
        <w:t>；行政区划隶属临泽县板桥</w:t>
      </w:r>
      <w:proofErr w:type="gramStart"/>
      <w:r>
        <w:rPr>
          <w:rFonts w:hint="eastAsia"/>
          <w:sz w:val="24"/>
        </w:rPr>
        <w:t>镇壕洼村</w:t>
      </w:r>
      <w:proofErr w:type="gramEnd"/>
      <w:r>
        <w:rPr>
          <w:rFonts w:hint="eastAsia"/>
          <w:sz w:val="24"/>
        </w:rPr>
        <w:t>管辖。</w:t>
      </w:r>
    </w:p>
    <w:p w:rsidR="009C5C1F" w:rsidRDefault="004D2E0D">
      <w:pPr>
        <w:spacing w:line="500" w:lineRule="exact"/>
        <w:ind w:firstLineChars="200" w:firstLine="480"/>
        <w:rPr>
          <w:sz w:val="24"/>
        </w:rPr>
      </w:pPr>
      <w:r>
        <w:rPr>
          <w:rFonts w:hint="eastAsia"/>
          <w:sz w:val="24"/>
        </w:rPr>
        <w:t>矿区地理位置（</w:t>
      </w:r>
      <w:r>
        <w:rPr>
          <w:rFonts w:hint="eastAsia"/>
          <w:sz w:val="24"/>
        </w:rPr>
        <w:t>2000</w:t>
      </w:r>
      <w:r>
        <w:rPr>
          <w:rFonts w:hint="eastAsia"/>
          <w:sz w:val="24"/>
        </w:rPr>
        <w:t>国家大地坐标）：东经</w:t>
      </w:r>
      <w:r>
        <w:rPr>
          <w:rFonts w:hint="eastAsia"/>
          <w:sz w:val="24"/>
        </w:rPr>
        <w:t>100</w:t>
      </w:r>
      <w:r>
        <w:rPr>
          <w:rFonts w:hint="eastAsia"/>
          <w:sz w:val="24"/>
        </w:rPr>
        <w:t>°</w:t>
      </w:r>
      <w:r>
        <w:rPr>
          <w:sz w:val="24"/>
        </w:rPr>
        <w:t>13</w:t>
      </w:r>
      <w:r>
        <w:rPr>
          <w:rFonts w:hint="eastAsia"/>
          <w:sz w:val="24"/>
        </w:rPr>
        <w:t>′</w:t>
      </w:r>
      <w:r>
        <w:rPr>
          <w:rFonts w:hint="eastAsia"/>
          <w:sz w:val="24"/>
        </w:rPr>
        <w:t>54.45</w:t>
      </w:r>
      <w:r>
        <w:rPr>
          <w:rFonts w:hint="eastAsia"/>
          <w:sz w:val="24"/>
        </w:rPr>
        <w:t>″</w:t>
      </w:r>
      <w:r>
        <w:rPr>
          <w:sz w:val="24"/>
        </w:rPr>
        <w:t>～</w:t>
      </w:r>
      <w:r>
        <w:rPr>
          <w:rFonts w:hint="eastAsia"/>
          <w:sz w:val="24"/>
        </w:rPr>
        <w:t>100</w:t>
      </w:r>
      <w:r>
        <w:rPr>
          <w:rFonts w:hint="eastAsia"/>
          <w:sz w:val="24"/>
        </w:rPr>
        <w:t>°</w:t>
      </w:r>
      <w:r>
        <w:rPr>
          <w:rFonts w:hint="eastAsia"/>
          <w:sz w:val="24"/>
        </w:rPr>
        <w:t>1</w:t>
      </w:r>
      <w:r>
        <w:rPr>
          <w:sz w:val="24"/>
        </w:rPr>
        <w:t>3</w:t>
      </w:r>
      <w:r>
        <w:rPr>
          <w:rFonts w:hint="eastAsia"/>
          <w:sz w:val="24"/>
        </w:rPr>
        <w:t>′</w:t>
      </w:r>
      <w:r>
        <w:rPr>
          <w:rFonts w:hint="eastAsia"/>
          <w:sz w:val="24"/>
        </w:rPr>
        <w:t>08.91</w:t>
      </w:r>
      <w:r>
        <w:rPr>
          <w:rFonts w:hint="eastAsia"/>
          <w:sz w:val="24"/>
        </w:rPr>
        <w:t>″，北纬</w:t>
      </w:r>
      <w:bookmarkStart w:id="62" w:name="_Toc12355_WPSOffice_Level3"/>
      <w:r>
        <w:rPr>
          <w:rFonts w:hint="eastAsia"/>
          <w:sz w:val="24"/>
        </w:rPr>
        <w:t>39</w:t>
      </w:r>
      <w:r>
        <w:rPr>
          <w:rFonts w:hint="eastAsia"/>
          <w:sz w:val="24"/>
        </w:rPr>
        <w:t>°</w:t>
      </w:r>
      <w:r>
        <w:rPr>
          <w:rFonts w:hint="eastAsia"/>
          <w:sz w:val="24"/>
        </w:rPr>
        <w:t>13</w:t>
      </w:r>
      <w:r>
        <w:rPr>
          <w:rFonts w:hint="eastAsia"/>
          <w:sz w:val="24"/>
        </w:rPr>
        <w:t>′</w:t>
      </w:r>
      <w:r>
        <w:rPr>
          <w:rFonts w:hint="eastAsia"/>
          <w:sz w:val="24"/>
        </w:rPr>
        <w:t>13.00</w:t>
      </w:r>
      <w:r>
        <w:rPr>
          <w:rFonts w:hint="eastAsia"/>
          <w:sz w:val="24"/>
        </w:rPr>
        <w:t>″</w:t>
      </w:r>
      <w:r>
        <w:rPr>
          <w:sz w:val="24"/>
        </w:rPr>
        <w:t>～</w:t>
      </w:r>
      <w:r>
        <w:rPr>
          <w:rFonts w:hint="eastAsia"/>
          <w:sz w:val="24"/>
        </w:rPr>
        <w:t>39</w:t>
      </w:r>
      <w:r>
        <w:rPr>
          <w:rFonts w:hint="eastAsia"/>
          <w:sz w:val="24"/>
        </w:rPr>
        <w:t>°</w:t>
      </w:r>
      <w:r>
        <w:rPr>
          <w:rFonts w:hint="eastAsia"/>
          <w:sz w:val="24"/>
        </w:rPr>
        <w:t>13</w:t>
      </w:r>
      <w:r>
        <w:rPr>
          <w:rFonts w:hint="eastAsia"/>
          <w:sz w:val="24"/>
        </w:rPr>
        <w:t>′</w:t>
      </w:r>
      <w:r>
        <w:rPr>
          <w:rFonts w:hint="eastAsia"/>
          <w:sz w:val="24"/>
        </w:rPr>
        <w:t>26.62</w:t>
      </w:r>
      <w:r>
        <w:rPr>
          <w:rFonts w:hint="eastAsia"/>
          <w:sz w:val="24"/>
        </w:rPr>
        <w:t>″。</w:t>
      </w:r>
      <w:bookmarkEnd w:id="62"/>
    </w:p>
    <w:p w:rsidR="009C5C1F" w:rsidRDefault="004D2E0D">
      <w:pPr>
        <w:spacing w:line="500" w:lineRule="exact"/>
        <w:ind w:firstLineChars="200" w:firstLine="480"/>
        <w:rPr>
          <w:sz w:val="24"/>
        </w:rPr>
      </w:pPr>
      <w:r>
        <w:rPr>
          <w:rFonts w:hint="eastAsia"/>
          <w:sz w:val="24"/>
        </w:rPr>
        <w:t>2</w:t>
      </w:r>
      <w:r>
        <w:rPr>
          <w:rFonts w:hint="eastAsia"/>
          <w:sz w:val="24"/>
        </w:rPr>
        <w:t>、交通</w:t>
      </w:r>
    </w:p>
    <w:p w:rsidR="009C5C1F" w:rsidRDefault="004D2E0D">
      <w:pPr>
        <w:spacing w:line="500" w:lineRule="exact"/>
        <w:ind w:firstLineChars="200" w:firstLine="480"/>
        <w:rPr>
          <w:sz w:val="24"/>
        </w:rPr>
      </w:pPr>
      <w:r>
        <w:rPr>
          <w:rFonts w:hint="eastAsia"/>
          <w:sz w:val="24"/>
        </w:rPr>
        <w:t>该矿区距</w:t>
      </w:r>
      <w:r>
        <w:rPr>
          <w:rFonts w:ascii="宋体" w:hAnsi="宋体" w:hint="eastAsia"/>
          <w:color w:val="000000"/>
          <w:sz w:val="24"/>
        </w:rPr>
        <w:t>板桥镇古城七组正北2公里，距214县道7公里，北邻316省道</w:t>
      </w:r>
      <w:r>
        <w:rPr>
          <w:rFonts w:ascii="宋体" w:hAnsi="宋体"/>
          <w:color w:val="000000"/>
          <w:sz w:val="24"/>
        </w:rPr>
        <w:t>，交通</w:t>
      </w:r>
      <w:r>
        <w:rPr>
          <w:rFonts w:ascii="宋体" w:hAnsi="宋体" w:hint="eastAsia"/>
          <w:color w:val="000000"/>
          <w:sz w:val="24"/>
        </w:rPr>
        <w:t>极为</w:t>
      </w:r>
      <w:r>
        <w:rPr>
          <w:rFonts w:ascii="宋体" w:hAnsi="宋体"/>
          <w:color w:val="000000"/>
          <w:sz w:val="24"/>
        </w:rPr>
        <w:t>便利</w:t>
      </w:r>
      <w:r>
        <w:rPr>
          <w:rFonts w:hint="eastAsia"/>
          <w:sz w:val="24"/>
        </w:rPr>
        <w:t>（见交通位置图</w:t>
      </w:r>
      <w:r>
        <w:rPr>
          <w:rFonts w:hint="eastAsia"/>
          <w:sz w:val="24"/>
        </w:rPr>
        <w:t>1</w:t>
      </w:r>
      <w:r>
        <w:rPr>
          <w:rFonts w:hint="eastAsia"/>
          <w:sz w:val="24"/>
        </w:rPr>
        <w:t>）</w:t>
      </w:r>
    </w:p>
    <w:p w:rsidR="009C5C1F" w:rsidRDefault="009C5C1F">
      <w:pPr>
        <w:pStyle w:val="03"/>
        <w:adjustRightInd w:val="0"/>
        <w:snapToGrid w:val="0"/>
        <w:spacing w:line="500" w:lineRule="exact"/>
        <w:ind w:firstLine="480"/>
        <w:jc w:val="both"/>
        <w:rPr>
          <w:rFonts w:cs="宋体"/>
          <w:color w:val="FF0000"/>
          <w:sz w:val="24"/>
          <w:szCs w:val="24"/>
        </w:rPr>
      </w:pPr>
    </w:p>
    <w:p w:rsidR="009C5C1F" w:rsidRDefault="009C5C1F">
      <w:pPr>
        <w:pStyle w:val="03"/>
        <w:adjustRightInd w:val="0"/>
        <w:snapToGrid w:val="0"/>
        <w:spacing w:line="500" w:lineRule="exact"/>
        <w:ind w:firstLine="480"/>
        <w:jc w:val="both"/>
        <w:rPr>
          <w:rFonts w:cs="宋体"/>
          <w:color w:val="FF0000"/>
          <w:sz w:val="24"/>
          <w:szCs w:val="24"/>
        </w:rPr>
      </w:pPr>
    </w:p>
    <w:p w:rsidR="009C5C1F" w:rsidRDefault="009C5C1F">
      <w:pPr>
        <w:pStyle w:val="03"/>
        <w:adjustRightInd w:val="0"/>
        <w:snapToGrid w:val="0"/>
        <w:spacing w:line="500" w:lineRule="exact"/>
        <w:ind w:firstLine="480"/>
        <w:jc w:val="both"/>
        <w:rPr>
          <w:rFonts w:cs="宋体"/>
          <w:color w:val="FF0000"/>
          <w:sz w:val="24"/>
          <w:szCs w:val="24"/>
        </w:rPr>
      </w:pPr>
    </w:p>
    <w:p w:rsidR="009C5C1F" w:rsidRDefault="009C5C1F">
      <w:pPr>
        <w:pStyle w:val="03"/>
        <w:adjustRightInd w:val="0"/>
        <w:snapToGrid w:val="0"/>
        <w:spacing w:line="500" w:lineRule="exact"/>
        <w:ind w:firstLine="480"/>
        <w:jc w:val="both"/>
        <w:rPr>
          <w:rFonts w:cs="宋体"/>
          <w:color w:val="FF0000"/>
          <w:sz w:val="24"/>
          <w:szCs w:val="24"/>
        </w:rPr>
      </w:pPr>
    </w:p>
    <w:p w:rsidR="009C5C1F" w:rsidRDefault="009C5C1F">
      <w:pPr>
        <w:pStyle w:val="03"/>
        <w:adjustRightInd w:val="0"/>
        <w:snapToGrid w:val="0"/>
        <w:spacing w:line="500" w:lineRule="exact"/>
        <w:ind w:firstLine="480"/>
        <w:jc w:val="both"/>
        <w:rPr>
          <w:rFonts w:cs="宋体"/>
          <w:color w:val="FF0000"/>
          <w:sz w:val="24"/>
          <w:szCs w:val="24"/>
        </w:rPr>
      </w:pPr>
    </w:p>
    <w:p w:rsidR="009C5C1F" w:rsidRDefault="009C5C1F">
      <w:pPr>
        <w:pStyle w:val="03"/>
        <w:adjustRightInd w:val="0"/>
        <w:snapToGrid w:val="0"/>
        <w:spacing w:line="500" w:lineRule="exact"/>
        <w:ind w:firstLine="480"/>
        <w:jc w:val="both"/>
        <w:rPr>
          <w:rFonts w:cs="宋体"/>
          <w:color w:val="FF0000"/>
          <w:sz w:val="24"/>
          <w:szCs w:val="24"/>
        </w:rPr>
      </w:pPr>
    </w:p>
    <w:p w:rsidR="009C5C1F" w:rsidRDefault="009C5C1F">
      <w:pPr>
        <w:pStyle w:val="03"/>
        <w:adjustRightInd w:val="0"/>
        <w:snapToGrid w:val="0"/>
        <w:spacing w:line="500" w:lineRule="exact"/>
        <w:ind w:firstLine="480"/>
        <w:jc w:val="both"/>
        <w:rPr>
          <w:rFonts w:cs="宋体"/>
          <w:color w:val="FF0000"/>
          <w:sz w:val="24"/>
          <w:szCs w:val="24"/>
        </w:rPr>
      </w:pPr>
    </w:p>
    <w:p w:rsidR="009C5C1F" w:rsidRDefault="009C5C1F">
      <w:pPr>
        <w:pStyle w:val="03"/>
        <w:adjustRightInd w:val="0"/>
        <w:snapToGrid w:val="0"/>
        <w:spacing w:line="500" w:lineRule="exact"/>
        <w:ind w:firstLine="480"/>
        <w:jc w:val="both"/>
        <w:rPr>
          <w:rFonts w:cs="宋体"/>
          <w:color w:val="FF0000"/>
          <w:sz w:val="24"/>
          <w:szCs w:val="24"/>
        </w:rPr>
      </w:pPr>
    </w:p>
    <w:p w:rsidR="009C5C1F" w:rsidRDefault="004D2E0D">
      <w:pPr>
        <w:pStyle w:val="03"/>
        <w:adjustRightInd w:val="0"/>
        <w:snapToGrid w:val="0"/>
        <w:spacing w:line="500" w:lineRule="exact"/>
        <w:ind w:firstLine="480"/>
        <w:jc w:val="both"/>
        <w:rPr>
          <w:rFonts w:cs="宋体"/>
          <w:color w:val="FF0000"/>
          <w:sz w:val="24"/>
          <w:szCs w:val="24"/>
        </w:rPr>
      </w:pPr>
      <w:r>
        <w:rPr>
          <w:rFonts w:cs="宋体"/>
          <w:noProof/>
          <w:color w:val="FF0000"/>
          <w:sz w:val="24"/>
          <w:szCs w:val="24"/>
        </w:rPr>
        <w:lastRenderedPageBreak/>
        <w:drawing>
          <wp:anchor distT="0" distB="0" distL="114300" distR="114300" simplePos="0" relativeHeight="251667456" behindDoc="0" locked="0" layoutInCell="1" allowOverlap="1">
            <wp:simplePos x="0" y="0"/>
            <wp:positionH relativeFrom="column">
              <wp:posOffset>22225</wp:posOffset>
            </wp:positionH>
            <wp:positionV relativeFrom="paragraph">
              <wp:posOffset>441325</wp:posOffset>
            </wp:positionV>
            <wp:extent cx="5278120" cy="5568950"/>
            <wp:effectExtent l="0" t="0" r="0" b="0"/>
            <wp:wrapTopAndBottom/>
            <wp:docPr id="20449320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32003"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8120" cy="5568950"/>
                    </a:xfrm>
                    <a:prstGeom prst="rect">
                      <a:avLst/>
                    </a:prstGeom>
                    <a:noFill/>
                    <a:ln>
                      <a:noFill/>
                    </a:ln>
                  </pic:spPr>
                </pic:pic>
              </a:graphicData>
            </a:graphic>
          </wp:anchor>
        </w:drawing>
      </w:r>
      <w:r>
        <w:rPr>
          <w:bCs w:val="0"/>
          <w:noProof/>
          <w:color w:val="FF0000"/>
        </w:rPr>
        <mc:AlternateContent>
          <mc:Choice Requires="wps">
            <w:drawing>
              <wp:anchor distT="0" distB="0" distL="114300" distR="114300" simplePos="0" relativeHeight="251662336" behindDoc="0" locked="0" layoutInCell="1" allowOverlap="1">
                <wp:simplePos x="0" y="0"/>
                <wp:positionH relativeFrom="column">
                  <wp:posOffset>20955</wp:posOffset>
                </wp:positionH>
                <wp:positionV relativeFrom="paragraph">
                  <wp:posOffset>74930</wp:posOffset>
                </wp:positionV>
                <wp:extent cx="800100" cy="304800"/>
                <wp:effectExtent l="0" t="0" r="0" b="0"/>
                <wp:wrapNone/>
                <wp:docPr id="25796065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04800"/>
                        </a:xfrm>
                        <a:prstGeom prst="rect">
                          <a:avLst/>
                        </a:prstGeom>
                        <a:solidFill>
                          <a:srgbClr val="FFFFFF"/>
                        </a:solidFill>
                        <a:ln>
                          <a:noFill/>
                        </a:ln>
                      </wps:spPr>
                      <wps:txbx>
                        <w:txbxContent>
                          <w:p w:rsidR="009C5C1F" w:rsidRDefault="004D2E0D">
                            <w:pPr>
                              <w:rPr>
                                <w:sz w:val="15"/>
                              </w:rPr>
                            </w:pPr>
                            <w:r>
                              <w:rPr>
                                <w:sz w:val="15"/>
                              </w:rPr>
                              <w:t>项目区位置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24" o:spid="_x0000_s1026" o:spt="202" type="#_x0000_t202" style="position:absolute;left:0pt;margin-left:1.65pt;margin-top:5.9pt;height:24pt;width:63pt;z-index:251662336;mso-width-relative:page;mso-height-relative:page;" fillcolor="#FFFFFF" filled="t" stroked="f" coordsize="21600,21600" o:gfxdata="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KBU81QAA&#10;AAcBAAAPAAAAAAAAAAEAIAAAACIAAABkcnMvZG93bnJldi54bWxQSwECFAAUAAAACACHTuJAtK4L&#10;FSECAABGBAAADgAAAAAAAAABACAAAAAkAQAAZHJzL2Uyb0RvYy54bWxQSwUGAAAAAAYABgBZAQAA&#10;twUAAAAA&#10;">
                <v:fill on="t" focussize="0,0"/>
                <v:stroke on="f"/>
                <v:imagedata o:title=""/>
                <o:lock v:ext="edit" aspectratio="f"/>
                <v:textbox>
                  <w:txbxContent>
                    <w:p>
                      <w:pPr>
                        <w:rPr>
                          <w:sz w:val="15"/>
                        </w:rPr>
                      </w:pPr>
                      <w:r>
                        <w:rPr>
                          <w:sz w:val="15"/>
                        </w:rPr>
                        <w:t>项目区位置</w:t>
                      </w:r>
                    </w:p>
                  </w:txbxContent>
                </v:textbox>
              </v:shape>
            </w:pict>
          </mc:Fallback>
        </mc:AlternateContent>
      </w:r>
      <w:r>
        <w:rPr>
          <w:rFonts w:ascii="仿宋" w:hAnsi="仿宋"/>
          <w:sz w:val="18"/>
          <w:szCs w:val="18"/>
        </w:rPr>
        <w:t xml:space="preserve"> </w:t>
      </w:r>
    </w:p>
    <w:p w:rsidR="009C5C1F" w:rsidRDefault="004D2E0D">
      <w:pPr>
        <w:pStyle w:val="111"/>
        <w:adjustRightInd w:val="0"/>
        <w:snapToGrid w:val="0"/>
        <w:spacing w:line="500" w:lineRule="exact"/>
        <w:ind w:firstLine="482"/>
        <w:rPr>
          <w:rFonts w:ascii="宋体" w:eastAsia="宋体" w:hAnsi="宋体" w:cs="宋体"/>
          <w:bCs/>
        </w:rPr>
      </w:pPr>
      <w:bookmarkStart w:id="63" w:name="_Toc509484204"/>
      <w:bookmarkStart w:id="64" w:name="_Toc70589708"/>
      <w:r>
        <w:rPr>
          <w:rFonts w:ascii="宋体" w:eastAsia="宋体" w:hAnsi="宋体" w:cs="宋体" w:hint="eastAsia"/>
          <w:bCs/>
          <w:color w:val="auto"/>
          <w:szCs w:val="32"/>
        </w:rPr>
        <w:t>1.1.3企业性质</w:t>
      </w:r>
      <w:bookmarkEnd w:id="63"/>
      <w:bookmarkEnd w:id="64"/>
      <w:r>
        <w:rPr>
          <w:rFonts w:ascii="宋体" w:eastAsia="宋体" w:hAnsi="宋体" w:cs="宋体" w:hint="eastAsia"/>
          <w:bCs/>
          <w:color w:val="auto"/>
          <w:szCs w:val="32"/>
        </w:rPr>
        <w:t xml:space="preserve">  </w:t>
      </w:r>
      <w:r>
        <w:rPr>
          <w:rStyle w:val="3Char"/>
          <w:rFonts w:ascii="宋体" w:hAnsi="宋体" w:cs="宋体" w:hint="eastAsia"/>
          <w:b/>
        </w:rPr>
        <w:t xml:space="preserve"> </w:t>
      </w:r>
      <w:r>
        <w:rPr>
          <w:rFonts w:ascii="宋体" w:eastAsia="宋体" w:hAnsi="宋体" w:cs="宋体" w:hint="eastAsia"/>
        </w:rPr>
        <w:t xml:space="preserve">              </w:t>
      </w:r>
    </w:p>
    <w:p w:rsidR="009C5C1F" w:rsidRDefault="004D2E0D">
      <w:pPr>
        <w:topLinePunct/>
        <w:adjustRightInd w:val="0"/>
        <w:snapToGrid w:val="0"/>
        <w:spacing w:line="500" w:lineRule="exact"/>
        <w:ind w:firstLineChars="200" w:firstLine="480"/>
        <w:rPr>
          <w:sz w:val="24"/>
        </w:rPr>
      </w:pPr>
      <w:r>
        <w:rPr>
          <w:rFonts w:hint="eastAsia"/>
          <w:sz w:val="24"/>
        </w:rPr>
        <w:t>临泽县建新城市建设开发有限责任公司委托</w:t>
      </w:r>
      <w:r>
        <w:rPr>
          <w:rFonts w:ascii="宋体" w:hAnsi="宋体" w:cs="宋体" w:hint="eastAsia"/>
          <w:sz w:val="24"/>
        </w:rPr>
        <w:t>甘肃有色金属地质</w:t>
      </w:r>
      <w:proofErr w:type="gramStart"/>
      <w:r>
        <w:rPr>
          <w:rFonts w:ascii="宋体" w:hAnsi="宋体" w:cs="宋体" w:hint="eastAsia"/>
          <w:sz w:val="24"/>
        </w:rPr>
        <w:t>勘查局张掖</w:t>
      </w:r>
      <w:proofErr w:type="gramEnd"/>
      <w:r>
        <w:rPr>
          <w:rFonts w:ascii="宋体" w:hAnsi="宋体" w:cs="宋体" w:hint="eastAsia"/>
          <w:sz w:val="24"/>
        </w:rPr>
        <w:t>矿产勘察院</w:t>
      </w:r>
      <w:r>
        <w:rPr>
          <w:sz w:val="24"/>
        </w:rPr>
        <w:t>对</w:t>
      </w:r>
      <w:r>
        <w:rPr>
          <w:rFonts w:hint="eastAsia"/>
          <w:sz w:val="24"/>
        </w:rPr>
        <w:t>临泽县板桥</w:t>
      </w:r>
      <w:proofErr w:type="gramStart"/>
      <w:r>
        <w:rPr>
          <w:rFonts w:hint="eastAsia"/>
          <w:sz w:val="24"/>
        </w:rPr>
        <w:t>镇壕洼村</w:t>
      </w:r>
      <w:proofErr w:type="gramEnd"/>
      <w:r>
        <w:rPr>
          <w:rFonts w:hint="eastAsia"/>
          <w:sz w:val="24"/>
        </w:rPr>
        <w:t>正北山南侧粘土</w:t>
      </w:r>
      <w:proofErr w:type="gramStart"/>
      <w:r>
        <w:rPr>
          <w:rFonts w:hint="eastAsia"/>
          <w:sz w:val="24"/>
        </w:rPr>
        <w:t>矿进行</w:t>
      </w:r>
      <w:proofErr w:type="gramEnd"/>
      <w:r>
        <w:rPr>
          <w:rFonts w:hint="eastAsia"/>
          <w:sz w:val="24"/>
        </w:rPr>
        <w:t>了普查</w:t>
      </w:r>
      <w:r>
        <w:rPr>
          <w:sz w:val="24"/>
        </w:rPr>
        <w:t>，</w:t>
      </w:r>
      <w:r>
        <w:rPr>
          <w:rFonts w:hint="eastAsia"/>
          <w:sz w:val="24"/>
        </w:rPr>
        <w:t>并</w:t>
      </w:r>
      <w:r>
        <w:rPr>
          <w:sz w:val="24"/>
        </w:rPr>
        <w:t>编制了《</w:t>
      </w:r>
      <w:r>
        <w:rPr>
          <w:rFonts w:hint="eastAsia"/>
          <w:sz w:val="24"/>
        </w:rPr>
        <w:t>甘肃省临泽县板桥镇壕洼村</w:t>
      </w:r>
      <w:bookmarkStart w:id="65" w:name="_Hlk153131163"/>
      <w:r>
        <w:rPr>
          <w:rFonts w:hint="eastAsia"/>
          <w:sz w:val="24"/>
        </w:rPr>
        <w:t>正北山西侧砖瓦用粘土矿</w:t>
      </w:r>
      <w:bookmarkEnd w:id="65"/>
      <w:r>
        <w:rPr>
          <w:rFonts w:hint="eastAsia"/>
          <w:sz w:val="24"/>
        </w:rPr>
        <w:t>普查报告</w:t>
      </w:r>
      <w:r>
        <w:rPr>
          <w:sz w:val="24"/>
        </w:rPr>
        <w:t>》（截至日期</w:t>
      </w:r>
      <w:r>
        <w:rPr>
          <w:rFonts w:hint="eastAsia"/>
          <w:sz w:val="24"/>
        </w:rPr>
        <w:t>202</w:t>
      </w:r>
      <w:r>
        <w:rPr>
          <w:sz w:val="24"/>
        </w:rPr>
        <w:t>2</w:t>
      </w:r>
      <w:r>
        <w:rPr>
          <w:rFonts w:hint="eastAsia"/>
          <w:sz w:val="24"/>
        </w:rPr>
        <w:t>年</w:t>
      </w:r>
      <w:r>
        <w:rPr>
          <w:sz w:val="24"/>
        </w:rPr>
        <w:t>1</w:t>
      </w:r>
      <w:r>
        <w:rPr>
          <w:rFonts w:hint="eastAsia"/>
          <w:sz w:val="24"/>
        </w:rPr>
        <w:t>月</w:t>
      </w:r>
      <w:r>
        <w:rPr>
          <w:sz w:val="24"/>
        </w:rPr>
        <w:t>）。</w:t>
      </w:r>
    </w:p>
    <w:p w:rsidR="009C5C1F" w:rsidRDefault="004D2E0D">
      <w:pPr>
        <w:topLinePunct/>
        <w:adjustRightInd w:val="0"/>
        <w:snapToGrid w:val="0"/>
        <w:spacing w:line="500" w:lineRule="exact"/>
        <w:ind w:firstLineChars="200" w:firstLine="480"/>
        <w:rPr>
          <w:sz w:val="24"/>
        </w:rPr>
      </w:pPr>
      <w:r>
        <w:rPr>
          <w:rFonts w:hint="eastAsia"/>
          <w:sz w:val="24"/>
        </w:rPr>
        <w:t>项目名称：甘肃省临泽县板桥</w:t>
      </w:r>
      <w:proofErr w:type="gramStart"/>
      <w:r>
        <w:rPr>
          <w:rFonts w:hint="eastAsia"/>
          <w:sz w:val="24"/>
        </w:rPr>
        <w:t>镇壕洼村</w:t>
      </w:r>
      <w:proofErr w:type="gramEnd"/>
      <w:r>
        <w:rPr>
          <w:rFonts w:hint="eastAsia"/>
          <w:sz w:val="24"/>
        </w:rPr>
        <w:t>正北山西侧砖瓦用粘土矿</w:t>
      </w:r>
    </w:p>
    <w:p w:rsidR="009C5C1F" w:rsidRDefault="004D2E0D">
      <w:pPr>
        <w:topLinePunct/>
        <w:adjustRightInd w:val="0"/>
        <w:snapToGrid w:val="0"/>
        <w:spacing w:line="500" w:lineRule="exact"/>
        <w:ind w:firstLineChars="200" w:firstLine="480"/>
        <w:rPr>
          <w:sz w:val="24"/>
        </w:rPr>
      </w:pPr>
      <w:r>
        <w:rPr>
          <w:rFonts w:hint="eastAsia"/>
          <w:sz w:val="24"/>
        </w:rPr>
        <w:t>企业类型：国有企业</w:t>
      </w:r>
    </w:p>
    <w:p w:rsidR="009C5C1F" w:rsidRDefault="004D2E0D">
      <w:pPr>
        <w:topLinePunct/>
        <w:adjustRightInd w:val="0"/>
        <w:snapToGrid w:val="0"/>
        <w:spacing w:line="500" w:lineRule="exact"/>
        <w:ind w:firstLineChars="200" w:firstLine="480"/>
        <w:rPr>
          <w:sz w:val="24"/>
        </w:rPr>
      </w:pPr>
      <w:r>
        <w:rPr>
          <w:rFonts w:hint="eastAsia"/>
          <w:sz w:val="24"/>
        </w:rPr>
        <w:t>法人代表：田富勤</w:t>
      </w:r>
    </w:p>
    <w:p w:rsidR="009C5C1F" w:rsidRDefault="004D2E0D">
      <w:pPr>
        <w:topLinePunct/>
        <w:adjustRightInd w:val="0"/>
        <w:snapToGrid w:val="0"/>
        <w:spacing w:line="500" w:lineRule="exact"/>
        <w:ind w:firstLineChars="200" w:firstLine="480"/>
        <w:rPr>
          <w:sz w:val="24"/>
        </w:rPr>
      </w:pPr>
      <w:r>
        <w:rPr>
          <w:rFonts w:hint="eastAsia"/>
          <w:sz w:val="24"/>
        </w:rPr>
        <w:lastRenderedPageBreak/>
        <w:t>矿业权人：临泽县建新城市建设开发有限责任公司</w:t>
      </w:r>
    </w:p>
    <w:p w:rsidR="009C5C1F" w:rsidRDefault="004D2E0D">
      <w:pPr>
        <w:topLinePunct/>
        <w:adjustRightInd w:val="0"/>
        <w:snapToGrid w:val="0"/>
        <w:spacing w:line="500" w:lineRule="exact"/>
        <w:ind w:firstLineChars="200" w:firstLine="480"/>
        <w:rPr>
          <w:sz w:val="24"/>
        </w:rPr>
      </w:pPr>
      <w:r>
        <w:rPr>
          <w:rFonts w:hint="eastAsia"/>
          <w:sz w:val="24"/>
        </w:rPr>
        <w:t>成立日期：</w:t>
      </w:r>
      <w:r>
        <w:rPr>
          <w:rFonts w:hint="eastAsia"/>
          <w:sz w:val="24"/>
        </w:rPr>
        <w:t>2</w:t>
      </w:r>
      <w:r>
        <w:rPr>
          <w:sz w:val="24"/>
        </w:rPr>
        <w:t>016.9.7</w:t>
      </w:r>
    </w:p>
    <w:p w:rsidR="009C5C1F" w:rsidRDefault="004D2E0D">
      <w:pPr>
        <w:topLinePunct/>
        <w:adjustRightInd w:val="0"/>
        <w:snapToGrid w:val="0"/>
        <w:spacing w:line="500" w:lineRule="exact"/>
        <w:ind w:firstLineChars="200" w:firstLine="480"/>
        <w:rPr>
          <w:sz w:val="24"/>
        </w:rPr>
      </w:pPr>
      <w:r>
        <w:rPr>
          <w:rFonts w:hint="eastAsia"/>
          <w:sz w:val="24"/>
        </w:rPr>
        <w:t>注册资金：</w:t>
      </w:r>
      <w:r>
        <w:rPr>
          <w:rFonts w:hint="eastAsia"/>
          <w:sz w:val="24"/>
        </w:rPr>
        <w:t>5</w:t>
      </w:r>
      <w:r>
        <w:rPr>
          <w:sz w:val="24"/>
        </w:rPr>
        <w:t>000</w:t>
      </w:r>
      <w:r>
        <w:rPr>
          <w:rFonts w:hint="eastAsia"/>
          <w:sz w:val="24"/>
        </w:rPr>
        <w:t>万元</w:t>
      </w:r>
    </w:p>
    <w:p w:rsidR="009C5C1F" w:rsidRDefault="004D2E0D">
      <w:pPr>
        <w:topLinePunct/>
        <w:adjustRightInd w:val="0"/>
        <w:snapToGrid w:val="0"/>
        <w:spacing w:line="500" w:lineRule="exact"/>
        <w:ind w:firstLineChars="200" w:firstLine="480"/>
        <w:rPr>
          <w:sz w:val="24"/>
        </w:rPr>
      </w:pPr>
      <w:r>
        <w:rPr>
          <w:rFonts w:hint="eastAsia"/>
          <w:sz w:val="24"/>
        </w:rPr>
        <w:t>企业地址：甘肃省张掖市临泽县</w:t>
      </w:r>
      <w:proofErr w:type="gramStart"/>
      <w:r>
        <w:rPr>
          <w:rFonts w:hint="eastAsia"/>
          <w:sz w:val="24"/>
        </w:rPr>
        <w:t>颐</w:t>
      </w:r>
      <w:proofErr w:type="gramEnd"/>
      <w:r>
        <w:rPr>
          <w:rFonts w:hint="eastAsia"/>
          <w:sz w:val="24"/>
        </w:rPr>
        <w:t>和小区</w:t>
      </w:r>
      <w:r>
        <w:rPr>
          <w:rFonts w:hint="eastAsia"/>
          <w:sz w:val="24"/>
        </w:rPr>
        <w:t>1</w:t>
      </w:r>
      <w:r>
        <w:rPr>
          <w:sz w:val="24"/>
        </w:rPr>
        <w:t>5</w:t>
      </w:r>
      <w:r>
        <w:rPr>
          <w:rFonts w:hint="eastAsia"/>
          <w:sz w:val="24"/>
        </w:rPr>
        <w:t>号楼</w:t>
      </w:r>
      <w:r>
        <w:rPr>
          <w:rFonts w:hint="eastAsia"/>
          <w:sz w:val="24"/>
        </w:rPr>
        <w:t xml:space="preserve"> </w:t>
      </w:r>
    </w:p>
    <w:p w:rsidR="009C5C1F" w:rsidRDefault="004D2E0D">
      <w:pPr>
        <w:topLinePunct/>
        <w:adjustRightInd w:val="0"/>
        <w:snapToGrid w:val="0"/>
        <w:spacing w:line="500" w:lineRule="exact"/>
        <w:ind w:firstLineChars="200" w:firstLine="480"/>
        <w:rPr>
          <w:sz w:val="24"/>
        </w:rPr>
      </w:pPr>
      <w:r>
        <w:rPr>
          <w:rFonts w:hint="eastAsia"/>
          <w:sz w:val="24"/>
        </w:rPr>
        <w:t>经营范围：房屋建筑和市政基础设施项目工程总承包；测绘服务；建筑劳务分包；城市建筑垃圾处置（清运</w:t>
      </w:r>
      <w:r>
        <w:rPr>
          <w:rFonts w:hint="eastAsia"/>
          <w:sz w:val="24"/>
        </w:rPr>
        <w:t>)</w:t>
      </w:r>
      <w:r>
        <w:rPr>
          <w:rFonts w:hint="eastAsia"/>
          <w:sz w:val="24"/>
        </w:rPr>
        <w:t>；建设工程施工；住宅室内装饰装修。</w:t>
      </w:r>
    </w:p>
    <w:p w:rsidR="009C5C1F" w:rsidRDefault="004D2E0D">
      <w:pPr>
        <w:pStyle w:val="2"/>
        <w:spacing w:beforeLines="100" w:before="360" w:line="500" w:lineRule="atLeast"/>
        <w:ind w:firstLine="482"/>
        <w:rPr>
          <w:rFonts w:ascii="宋体" w:eastAsia="宋体" w:hAnsi="宋体" w:cs="宋体"/>
          <w:sz w:val="24"/>
          <w:szCs w:val="24"/>
        </w:rPr>
      </w:pPr>
      <w:bookmarkStart w:id="66" w:name="_Toc153130707"/>
      <w:bookmarkStart w:id="67" w:name="_Toc502783401"/>
      <w:bookmarkStart w:id="68" w:name="_Toc70589709"/>
      <w:bookmarkStart w:id="69" w:name="_Toc511226403"/>
      <w:r>
        <w:rPr>
          <w:rFonts w:ascii="宋体" w:eastAsia="宋体" w:hAnsi="宋体" w:cs="宋体" w:hint="eastAsia"/>
          <w:sz w:val="24"/>
          <w:szCs w:val="24"/>
        </w:rPr>
        <w:t>1.</w:t>
      </w:r>
      <w:r>
        <w:rPr>
          <w:rFonts w:ascii="宋体" w:eastAsia="宋体" w:hAnsi="宋体" w:cs="宋体"/>
          <w:sz w:val="24"/>
          <w:szCs w:val="24"/>
        </w:rPr>
        <w:t>2</w:t>
      </w:r>
      <w:r>
        <w:rPr>
          <w:rFonts w:ascii="宋体" w:eastAsia="宋体" w:hAnsi="宋体" w:cs="宋体" w:hint="eastAsia"/>
          <w:sz w:val="24"/>
          <w:szCs w:val="24"/>
        </w:rPr>
        <w:t xml:space="preserve"> 编制目的、依据和原则</w:t>
      </w:r>
      <w:bookmarkEnd w:id="66"/>
    </w:p>
    <w:p w:rsidR="009C5C1F" w:rsidRDefault="004D2E0D">
      <w:pPr>
        <w:pStyle w:val="111"/>
        <w:adjustRightInd w:val="0"/>
        <w:snapToGrid w:val="0"/>
        <w:spacing w:beforeLines="100" w:before="360" w:line="500" w:lineRule="exact"/>
        <w:ind w:firstLine="482"/>
        <w:rPr>
          <w:rFonts w:ascii="宋体" w:eastAsia="宋体" w:hAnsi="宋体" w:cs="宋体"/>
          <w:color w:val="auto"/>
        </w:rPr>
      </w:pPr>
      <w:bookmarkStart w:id="70" w:name="_Toc70589716"/>
      <w:bookmarkStart w:id="71" w:name="_Toc395519105"/>
      <w:bookmarkStart w:id="72" w:name="_Toc502783408"/>
      <w:bookmarkStart w:id="73" w:name="_Toc214406979"/>
      <w:r>
        <w:rPr>
          <w:rFonts w:ascii="宋体" w:eastAsia="宋体" w:hAnsi="宋体" w:cs="宋体" w:hint="eastAsia"/>
          <w:color w:val="auto"/>
        </w:rPr>
        <w:t>1.</w:t>
      </w:r>
      <w:r>
        <w:rPr>
          <w:rFonts w:ascii="宋体" w:eastAsia="宋体" w:hAnsi="宋体" w:cs="宋体"/>
          <w:color w:val="auto"/>
        </w:rPr>
        <w:t>2</w:t>
      </w:r>
      <w:r>
        <w:rPr>
          <w:rFonts w:ascii="宋体" w:eastAsia="宋体" w:hAnsi="宋体" w:cs="宋体" w:hint="eastAsia"/>
          <w:color w:val="auto"/>
        </w:rPr>
        <w:t>.1 编制目的</w:t>
      </w:r>
      <w:bookmarkEnd w:id="70"/>
      <w:bookmarkEnd w:id="71"/>
      <w:bookmarkEnd w:id="72"/>
    </w:p>
    <w:p w:rsidR="009C5C1F" w:rsidRDefault="004D2E0D">
      <w:pPr>
        <w:autoSpaceDE w:val="0"/>
        <w:autoSpaceDN w:val="0"/>
        <w:adjustRightInd w:val="0"/>
        <w:spacing w:line="480" w:lineRule="exact"/>
        <w:ind w:firstLine="480"/>
        <w:rPr>
          <w:rFonts w:ascii="宋体" w:hAnsi="宋体" w:cs="宋体"/>
          <w:sz w:val="24"/>
        </w:rPr>
      </w:pPr>
      <w:r>
        <w:rPr>
          <w:rFonts w:ascii="宋体" w:hAnsi="宋体" w:cs="宋体" w:hint="eastAsia"/>
          <w:sz w:val="24"/>
        </w:rPr>
        <w:t>甘肃省临泽县板桥</w:t>
      </w:r>
      <w:proofErr w:type="gramStart"/>
      <w:r>
        <w:rPr>
          <w:rFonts w:ascii="宋体" w:hAnsi="宋体" w:cs="宋体" w:hint="eastAsia"/>
          <w:sz w:val="24"/>
        </w:rPr>
        <w:t>镇壕洼村</w:t>
      </w:r>
      <w:proofErr w:type="gramEnd"/>
      <w:r>
        <w:rPr>
          <w:rFonts w:hint="eastAsia"/>
          <w:sz w:val="24"/>
        </w:rPr>
        <w:t>正北山西侧砖瓦用粘土矿</w:t>
      </w:r>
      <w:r>
        <w:rPr>
          <w:rFonts w:ascii="宋体" w:hAnsi="宋体" w:cs="宋体" w:hint="eastAsia"/>
          <w:sz w:val="24"/>
        </w:rPr>
        <w:t>为新建矿山，为了合理合法开发和利用矿产资源，变资源优势为经济优势，做到经济合理地开发和利用矿产资源，根据《中华人民共和国矿产资源法》（2009年国家主席令第74号）、《矿产资源开采登记管理办法》（中华人民共和国国务院令第241号）、《探矿权采矿权转让管理办法》（2014年7月29日修正版）、《探矿权采矿权招标拍卖挂牌管理办法》（试行）（</w:t>
      </w:r>
      <w:proofErr w:type="gramStart"/>
      <w:r>
        <w:rPr>
          <w:rFonts w:ascii="宋体" w:hAnsi="宋体" w:cs="宋体" w:hint="eastAsia"/>
          <w:sz w:val="24"/>
        </w:rPr>
        <w:t>国土资发〔2003〕</w:t>
      </w:r>
      <w:proofErr w:type="gramEnd"/>
      <w:r>
        <w:rPr>
          <w:rFonts w:ascii="宋体" w:hAnsi="宋体" w:cs="宋体" w:hint="eastAsia"/>
          <w:sz w:val="24"/>
        </w:rPr>
        <w:t>197号）等有关规定的要求该矿特委托我单位编制开发利用方案，为该矿申请办理采矿许可证提供依据。</w:t>
      </w:r>
    </w:p>
    <w:p w:rsidR="009C5C1F" w:rsidRDefault="004D2E0D">
      <w:pPr>
        <w:pStyle w:val="111"/>
        <w:adjustRightInd w:val="0"/>
        <w:snapToGrid w:val="0"/>
        <w:spacing w:beforeLines="100" w:before="360" w:line="500" w:lineRule="exact"/>
        <w:ind w:firstLine="482"/>
        <w:rPr>
          <w:rFonts w:ascii="宋体" w:eastAsia="宋体" w:hAnsi="宋体" w:cs="宋体"/>
          <w:color w:val="auto"/>
        </w:rPr>
      </w:pPr>
      <w:bookmarkStart w:id="74" w:name="_Toc395519106"/>
      <w:bookmarkStart w:id="75" w:name="_Toc502783409"/>
      <w:bookmarkStart w:id="76" w:name="_Toc70589717"/>
      <w:r>
        <w:rPr>
          <w:rFonts w:ascii="宋体" w:eastAsia="宋体" w:hAnsi="宋体" w:cs="宋体" w:hint="eastAsia"/>
          <w:color w:val="auto"/>
        </w:rPr>
        <w:t>1.</w:t>
      </w:r>
      <w:r>
        <w:rPr>
          <w:rFonts w:ascii="宋体" w:eastAsia="宋体" w:hAnsi="宋体" w:cs="宋体"/>
          <w:color w:val="auto"/>
        </w:rPr>
        <w:t>2</w:t>
      </w:r>
      <w:r>
        <w:rPr>
          <w:rFonts w:ascii="宋体" w:eastAsia="宋体" w:hAnsi="宋体" w:cs="宋体" w:hint="eastAsia"/>
          <w:color w:val="auto"/>
        </w:rPr>
        <w:t>.2 编制依据</w:t>
      </w:r>
      <w:bookmarkEnd w:id="73"/>
      <w:r>
        <w:rPr>
          <w:rFonts w:ascii="宋体" w:eastAsia="宋体" w:hAnsi="宋体" w:cs="宋体" w:hint="eastAsia"/>
          <w:color w:val="auto"/>
        </w:rPr>
        <w:t>及基础资料</w:t>
      </w:r>
      <w:bookmarkEnd w:id="74"/>
      <w:bookmarkEnd w:id="75"/>
      <w:bookmarkEnd w:id="76"/>
    </w:p>
    <w:p w:rsidR="009C5C1F" w:rsidRDefault="004D2E0D">
      <w:pPr>
        <w:adjustRightInd w:val="0"/>
        <w:snapToGrid w:val="0"/>
        <w:spacing w:line="500" w:lineRule="exact"/>
        <w:ind w:firstLineChars="200" w:firstLine="480"/>
        <w:rPr>
          <w:rFonts w:ascii="宋体" w:hAnsi="宋体" w:cs="宋体"/>
          <w:sz w:val="24"/>
        </w:rPr>
      </w:pPr>
      <w:bookmarkStart w:id="77" w:name="_Toc186208356"/>
      <w:bookmarkStart w:id="78" w:name="_Toc214406980"/>
      <w:r>
        <w:rPr>
          <w:rFonts w:ascii="宋体" w:hAnsi="宋体" w:cs="宋体" w:hint="eastAsia"/>
          <w:sz w:val="24"/>
        </w:rPr>
        <w:t>1.《中华人民共和国安全生产法》(20</w:t>
      </w:r>
      <w:r>
        <w:rPr>
          <w:rFonts w:ascii="宋体" w:hAnsi="宋体" w:cs="宋体"/>
          <w:sz w:val="24"/>
        </w:rPr>
        <w:t>21</w:t>
      </w:r>
      <w:r>
        <w:rPr>
          <w:rFonts w:ascii="宋体" w:hAnsi="宋体" w:cs="宋体" w:hint="eastAsia"/>
          <w:sz w:val="24"/>
        </w:rPr>
        <w:t>年9月1日)；</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2.《中华人民共和国矿产资源法》(2009年国家主席令第74号)；</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3.《中华人民共和国矿山安全法》(2009年国家主席令第18号)；</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4.《中华人民共和国劳动合同法》(2012年国家主席令第73号)；</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5.《中华人民共和国环境保护法》（中华人民共和国主席令第9号，于</w:t>
      </w:r>
      <w:r>
        <w:rPr>
          <w:rFonts w:ascii="宋体" w:hAnsi="宋体" w:cs="宋体"/>
          <w:sz w:val="24"/>
        </w:rPr>
        <w:t>2014年4月24日修订</w:t>
      </w:r>
      <w:r>
        <w:rPr>
          <w:rFonts w:ascii="宋体" w:hAnsi="宋体" w:cs="宋体" w:hint="eastAsia"/>
          <w:sz w:val="24"/>
        </w:rPr>
        <w:t>，</w:t>
      </w:r>
      <w:r>
        <w:rPr>
          <w:rFonts w:ascii="宋体" w:hAnsi="宋体" w:cs="宋体"/>
          <w:sz w:val="24"/>
        </w:rPr>
        <w:t>自2015年1月1日起施行。</w:t>
      </w:r>
      <w:r>
        <w:rPr>
          <w:rFonts w:ascii="宋体" w:hAnsi="宋体" w:cs="宋体" w:hint="eastAsia"/>
          <w:sz w:val="24"/>
        </w:rPr>
        <w:t>）</w:t>
      </w:r>
    </w:p>
    <w:p w:rsidR="009C5C1F" w:rsidRDefault="004D2E0D">
      <w:pPr>
        <w:adjustRightInd w:val="0"/>
        <w:snapToGrid w:val="0"/>
        <w:spacing w:line="500" w:lineRule="exact"/>
        <w:ind w:firstLineChars="200" w:firstLine="480"/>
        <w:rPr>
          <w:rFonts w:ascii="宋体" w:hAnsi="宋体" w:cs="宋体"/>
          <w:sz w:val="24"/>
        </w:rPr>
      </w:pPr>
      <w:bookmarkStart w:id="79" w:name="_Toc394081913"/>
      <w:bookmarkStart w:id="80" w:name="_Toc393202120"/>
      <w:bookmarkStart w:id="81" w:name="_Toc395519107"/>
      <w:bookmarkStart w:id="82" w:name="_Toc394081182"/>
      <w:r>
        <w:rPr>
          <w:rFonts w:ascii="宋体" w:hAnsi="宋体" w:cs="宋体" w:hint="eastAsia"/>
          <w:sz w:val="24"/>
        </w:rPr>
        <w:t>6.《露天采矿技术手册》（冶金工业出版社，2011 年 1 月）；</w:t>
      </w:r>
      <w:bookmarkEnd w:id="79"/>
      <w:bookmarkEnd w:id="80"/>
      <w:bookmarkEnd w:id="81"/>
      <w:bookmarkEnd w:id="82"/>
      <w:r>
        <w:rPr>
          <w:rFonts w:ascii="宋体" w:hAnsi="宋体" w:cs="宋体" w:hint="eastAsia"/>
          <w:sz w:val="24"/>
        </w:rPr>
        <w:t xml:space="preserve"> </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7.《金属非金属矿山安全规程》（GB16423—2006）；</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sz w:val="24"/>
        </w:rPr>
        <w:t>8</w:t>
      </w:r>
      <w:r>
        <w:rPr>
          <w:rFonts w:ascii="宋体" w:hAnsi="宋体" w:cs="宋体" w:hint="eastAsia"/>
          <w:sz w:val="24"/>
        </w:rPr>
        <w:t>.《矿产资源开发利用方案编写内容要求》（</w:t>
      </w:r>
      <w:r>
        <w:rPr>
          <w:rFonts w:ascii="宋体" w:hAnsi="宋体" w:cs="宋体"/>
          <w:sz w:val="24"/>
        </w:rPr>
        <w:t>2011</w:t>
      </w:r>
      <w:r>
        <w:rPr>
          <w:rFonts w:ascii="宋体" w:hAnsi="宋体" w:cs="宋体" w:hint="eastAsia"/>
          <w:sz w:val="24"/>
        </w:rPr>
        <w:t>年4月1</w:t>
      </w:r>
      <w:r>
        <w:rPr>
          <w:rFonts w:ascii="宋体" w:hAnsi="宋体" w:cs="宋体"/>
          <w:sz w:val="24"/>
        </w:rPr>
        <w:t>2</w:t>
      </w:r>
      <w:r>
        <w:rPr>
          <w:rFonts w:ascii="宋体" w:hAnsi="宋体" w:cs="宋体" w:hint="eastAsia"/>
          <w:sz w:val="24"/>
        </w:rPr>
        <w:t>日原国土资源部</w:t>
      </w:r>
      <w:proofErr w:type="gramStart"/>
      <w:r>
        <w:rPr>
          <w:rFonts w:ascii="宋体" w:hAnsi="宋体" w:cs="宋体" w:hint="eastAsia"/>
          <w:sz w:val="24"/>
        </w:rPr>
        <w:t>国土资发【</w:t>
      </w:r>
      <w:r>
        <w:rPr>
          <w:rFonts w:ascii="宋体" w:hAnsi="宋体" w:cs="宋体"/>
          <w:sz w:val="24"/>
        </w:rPr>
        <w:t>2011</w:t>
      </w:r>
      <w:r>
        <w:rPr>
          <w:rFonts w:ascii="宋体" w:hAnsi="宋体" w:cs="宋体" w:hint="eastAsia"/>
          <w:sz w:val="24"/>
        </w:rPr>
        <w:t>】</w:t>
      </w:r>
      <w:proofErr w:type="gramEnd"/>
      <w:r>
        <w:rPr>
          <w:rFonts w:ascii="宋体" w:hAnsi="宋体" w:cs="宋体"/>
          <w:sz w:val="24"/>
        </w:rPr>
        <w:t>439</w:t>
      </w:r>
      <w:r>
        <w:rPr>
          <w:rFonts w:ascii="宋体" w:hAnsi="宋体" w:cs="宋体" w:hint="eastAsia"/>
          <w:sz w:val="24"/>
        </w:rPr>
        <w:t>号）；</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sz w:val="24"/>
        </w:rPr>
        <w:lastRenderedPageBreak/>
        <w:t>9</w:t>
      </w:r>
      <w:r>
        <w:rPr>
          <w:rFonts w:ascii="宋体" w:hAnsi="宋体" w:cs="宋体" w:hint="eastAsia"/>
          <w:sz w:val="24"/>
        </w:rPr>
        <w:t>.《甘肃省板桥镇壕洼村</w:t>
      </w:r>
      <w:r>
        <w:rPr>
          <w:rFonts w:hint="eastAsia"/>
          <w:sz w:val="24"/>
        </w:rPr>
        <w:t>正北山西侧砖瓦用粘土矿</w:t>
      </w:r>
      <w:r>
        <w:rPr>
          <w:rFonts w:ascii="宋体" w:hAnsi="宋体" w:cs="宋体" w:hint="eastAsia"/>
          <w:sz w:val="24"/>
        </w:rPr>
        <w:t>普查报告》及附图（ 甘肃有色金属地质</w:t>
      </w:r>
      <w:proofErr w:type="gramStart"/>
      <w:r>
        <w:rPr>
          <w:rFonts w:ascii="宋体" w:hAnsi="宋体" w:cs="宋体" w:hint="eastAsia"/>
          <w:sz w:val="24"/>
        </w:rPr>
        <w:t>勘查局张掖</w:t>
      </w:r>
      <w:proofErr w:type="gramEnd"/>
      <w:r>
        <w:rPr>
          <w:rFonts w:ascii="宋体" w:hAnsi="宋体" w:cs="宋体" w:hint="eastAsia"/>
          <w:sz w:val="24"/>
        </w:rPr>
        <w:t>矿产勘察院   202</w:t>
      </w:r>
      <w:r>
        <w:rPr>
          <w:rFonts w:ascii="宋体" w:hAnsi="宋体" w:cs="宋体"/>
          <w:sz w:val="24"/>
        </w:rPr>
        <w:t>2</w:t>
      </w:r>
      <w:r>
        <w:rPr>
          <w:rFonts w:ascii="宋体" w:hAnsi="宋体" w:cs="宋体" w:hint="eastAsia"/>
          <w:sz w:val="24"/>
        </w:rPr>
        <w:t>年1月）；</w:t>
      </w:r>
    </w:p>
    <w:p w:rsidR="009C5C1F" w:rsidRDefault="004D2E0D">
      <w:pPr>
        <w:autoSpaceDE w:val="0"/>
        <w:autoSpaceDN w:val="0"/>
        <w:adjustRightInd w:val="0"/>
        <w:ind w:firstLine="480"/>
        <w:jc w:val="left"/>
        <w:rPr>
          <w:rFonts w:ascii="宋体" w:cs="宋体"/>
          <w:kern w:val="0"/>
          <w:sz w:val="20"/>
          <w:szCs w:val="20"/>
        </w:rPr>
      </w:pPr>
      <w:r>
        <w:rPr>
          <w:rFonts w:ascii="宋体" w:hAnsi="宋体" w:cs="宋体" w:hint="eastAsia"/>
          <w:sz w:val="24"/>
        </w:rPr>
        <w:t>1</w:t>
      </w:r>
      <w:r>
        <w:rPr>
          <w:rFonts w:ascii="宋体" w:hAnsi="宋体" w:cs="宋体"/>
          <w:sz w:val="24"/>
        </w:rPr>
        <w:t>0</w:t>
      </w:r>
      <w:r>
        <w:rPr>
          <w:rFonts w:ascii="宋体" w:hAnsi="宋体" w:cs="宋体" w:hint="eastAsia"/>
          <w:sz w:val="24"/>
        </w:rPr>
        <w:t>.</w:t>
      </w:r>
      <w:r>
        <w:rPr>
          <w:rFonts w:ascii="宋体" w:cs="宋体" w:hint="eastAsia"/>
          <w:kern w:val="0"/>
          <w:sz w:val="24"/>
        </w:rPr>
        <w:t>《甘肃省省级绿色矿山建设要求及评定办法》甘国土资</w:t>
      </w:r>
      <w:proofErr w:type="gramStart"/>
      <w:r>
        <w:rPr>
          <w:rFonts w:ascii="宋体" w:cs="宋体" w:hint="eastAsia"/>
          <w:kern w:val="0"/>
          <w:sz w:val="24"/>
        </w:rPr>
        <w:t>规</w:t>
      </w:r>
      <w:proofErr w:type="gramEnd"/>
      <w:r>
        <w:rPr>
          <w:rFonts w:ascii="宋体" w:cs="宋体" w:hint="eastAsia"/>
          <w:kern w:val="0"/>
          <w:sz w:val="24"/>
        </w:rPr>
        <w:t>〔</w:t>
      </w:r>
      <w:r>
        <w:rPr>
          <w:rFonts w:ascii="宋体" w:cs="宋体"/>
          <w:kern w:val="0"/>
          <w:sz w:val="24"/>
        </w:rPr>
        <w:t>2018</w:t>
      </w:r>
      <w:r>
        <w:rPr>
          <w:rFonts w:ascii="宋体" w:cs="宋体" w:hint="eastAsia"/>
          <w:kern w:val="0"/>
          <w:sz w:val="24"/>
        </w:rPr>
        <w:t>〕</w:t>
      </w:r>
      <w:r>
        <w:rPr>
          <w:rFonts w:ascii="宋体" w:cs="宋体"/>
          <w:kern w:val="0"/>
          <w:sz w:val="24"/>
        </w:rPr>
        <w:t xml:space="preserve">4 </w:t>
      </w:r>
      <w:r>
        <w:rPr>
          <w:rFonts w:ascii="宋体" w:cs="宋体" w:hint="eastAsia"/>
          <w:kern w:val="0"/>
          <w:sz w:val="24"/>
        </w:rPr>
        <w:t>号</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1</w:t>
      </w:r>
      <w:r>
        <w:rPr>
          <w:rFonts w:ascii="宋体" w:hAnsi="宋体" w:cs="宋体"/>
          <w:sz w:val="24"/>
        </w:rPr>
        <w:t>1</w:t>
      </w:r>
      <w:r>
        <w:rPr>
          <w:rFonts w:ascii="宋体" w:hAnsi="宋体" w:cs="宋体" w:hint="eastAsia"/>
          <w:sz w:val="24"/>
        </w:rPr>
        <w:t>.项目委托书及项目合同书；</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1</w:t>
      </w:r>
      <w:r>
        <w:rPr>
          <w:rFonts w:ascii="宋体" w:hAnsi="宋体" w:cs="宋体"/>
          <w:sz w:val="24"/>
        </w:rPr>
        <w:t>2</w:t>
      </w:r>
      <w:r>
        <w:rPr>
          <w:rFonts w:ascii="宋体" w:hAnsi="宋体" w:cs="宋体" w:hint="eastAsia"/>
          <w:sz w:val="24"/>
        </w:rPr>
        <w:t>.矿山企业提供的其它相关资料。</w:t>
      </w:r>
    </w:p>
    <w:p w:rsidR="009C5C1F" w:rsidRDefault="004D2E0D">
      <w:pPr>
        <w:pStyle w:val="111"/>
        <w:adjustRightInd w:val="0"/>
        <w:snapToGrid w:val="0"/>
        <w:spacing w:beforeLines="100" w:before="360" w:line="500" w:lineRule="exact"/>
        <w:ind w:firstLine="482"/>
        <w:rPr>
          <w:rFonts w:ascii="宋体" w:eastAsia="宋体" w:hAnsi="宋体" w:cs="宋体"/>
          <w:color w:val="auto"/>
        </w:rPr>
      </w:pPr>
      <w:bookmarkStart w:id="83" w:name="_Toc395519109"/>
      <w:bookmarkStart w:id="84" w:name="_Toc70589718"/>
      <w:bookmarkStart w:id="85" w:name="_Toc502783410"/>
      <w:r>
        <w:rPr>
          <w:rFonts w:ascii="宋体" w:eastAsia="宋体" w:hAnsi="宋体" w:cs="宋体" w:hint="eastAsia"/>
          <w:color w:val="auto"/>
        </w:rPr>
        <w:t>1.</w:t>
      </w:r>
      <w:r>
        <w:rPr>
          <w:rFonts w:ascii="宋体" w:eastAsia="宋体" w:hAnsi="宋体" w:cs="宋体"/>
          <w:color w:val="auto"/>
        </w:rPr>
        <w:t>2</w:t>
      </w:r>
      <w:r>
        <w:rPr>
          <w:rFonts w:ascii="宋体" w:eastAsia="宋体" w:hAnsi="宋体" w:cs="宋体" w:hint="eastAsia"/>
          <w:color w:val="auto"/>
        </w:rPr>
        <w:t>.3 编制原则</w:t>
      </w:r>
      <w:bookmarkEnd w:id="77"/>
      <w:bookmarkEnd w:id="78"/>
      <w:bookmarkEnd w:id="83"/>
      <w:bookmarkEnd w:id="84"/>
      <w:bookmarkEnd w:id="85"/>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1. 方案编制严格遵循国家、甘肃省颁布的有关法规、政策和技术规程、规范。</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2. 坚决贯彻执行“</w:t>
      </w:r>
      <w:r>
        <w:rPr>
          <w:rFonts w:ascii="宋体" w:hAnsi="宋体" w:cs="宋体" w:hint="eastAsia"/>
          <w:kern w:val="0"/>
          <w:sz w:val="24"/>
        </w:rPr>
        <w:t>安全、高效、经济、充分利用资源</w:t>
      </w:r>
      <w:r>
        <w:rPr>
          <w:rFonts w:ascii="宋体" w:hAnsi="宋体" w:cs="宋体" w:hint="eastAsia"/>
          <w:sz w:val="24"/>
        </w:rPr>
        <w:t>”的原则，达到少投入、多产出的目的。</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3. 以经济效益为中心，业主利益、国家税收、社会效益最大化为目的，开发利用方案必须从我国国情、国策和地区实情出发，充分利用客观条件的优势，实事求是，从实际出发寻求综合技术效益最优的建设方案，力争做到投资省、经营成本低、经济效益好。</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4. 重视资源的综合利用，减少损失率、降低贫化率，最大限度地利用资源。</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5. 重视矿山安全生产、环境保护，加强水土保持工作，严格执行有关法规和政策。</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6. 各主要技术方案应进行方案技术经济比较，推荐最佳方案。</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7. 采矿装备水平应结合实际情况，做到适用并便于维修。</w:t>
      </w:r>
    </w:p>
    <w:p w:rsidR="009C5C1F" w:rsidRDefault="004D2E0D">
      <w:pPr>
        <w:pStyle w:val="2"/>
        <w:spacing w:beforeLines="100" w:before="360" w:line="500" w:lineRule="atLeast"/>
        <w:ind w:firstLine="482"/>
      </w:pPr>
      <w:bookmarkStart w:id="86" w:name="_Toc153130708"/>
      <w:r>
        <w:rPr>
          <w:rFonts w:ascii="宋体" w:eastAsia="宋体" w:hAnsi="宋体" w:cs="宋体" w:hint="eastAsia"/>
          <w:sz w:val="24"/>
          <w:szCs w:val="24"/>
        </w:rPr>
        <w:t>1.</w:t>
      </w:r>
      <w:r>
        <w:rPr>
          <w:rFonts w:ascii="宋体" w:eastAsia="宋体" w:hAnsi="宋体" w:cs="宋体"/>
          <w:sz w:val="24"/>
          <w:szCs w:val="24"/>
        </w:rPr>
        <w:t>3</w:t>
      </w:r>
      <w:r>
        <w:rPr>
          <w:rFonts w:ascii="宋体" w:eastAsia="宋体" w:hAnsi="宋体" w:cs="宋体" w:hint="eastAsia"/>
          <w:sz w:val="24"/>
          <w:szCs w:val="24"/>
        </w:rPr>
        <w:t xml:space="preserve"> 自然地理及经济概况</w:t>
      </w:r>
      <w:bookmarkEnd w:id="67"/>
      <w:bookmarkEnd w:id="68"/>
      <w:bookmarkEnd w:id="69"/>
      <w:bookmarkEnd w:id="86"/>
      <w:r>
        <w:rPr>
          <w:rFonts w:hint="eastAsia"/>
        </w:rPr>
        <w:t xml:space="preserve"> </w:t>
      </w:r>
    </w:p>
    <w:p w:rsidR="009C5C1F" w:rsidRDefault="004D2E0D">
      <w:pPr>
        <w:pStyle w:val="111"/>
        <w:adjustRightInd w:val="0"/>
        <w:snapToGrid w:val="0"/>
        <w:spacing w:beforeLines="100" w:before="360" w:line="500" w:lineRule="exact"/>
        <w:ind w:firstLine="482"/>
        <w:rPr>
          <w:rStyle w:val="3Char"/>
          <w:rFonts w:ascii="宋体" w:hAnsi="宋体" w:cs="宋体"/>
          <w:b/>
          <w:color w:val="auto"/>
        </w:rPr>
      </w:pPr>
      <w:bookmarkStart w:id="87" w:name="_Toc214406972"/>
      <w:bookmarkStart w:id="88" w:name="_Toc395519095"/>
      <w:bookmarkStart w:id="89" w:name="_Toc70589710"/>
      <w:bookmarkStart w:id="90" w:name="_Toc502783402"/>
      <w:r>
        <w:rPr>
          <w:rStyle w:val="3Char"/>
          <w:rFonts w:ascii="宋体" w:hAnsi="宋体" w:cs="宋体" w:hint="eastAsia"/>
          <w:b/>
          <w:color w:val="auto"/>
        </w:rPr>
        <w:t>1.</w:t>
      </w:r>
      <w:r>
        <w:rPr>
          <w:rStyle w:val="3Char"/>
          <w:rFonts w:ascii="宋体" w:hAnsi="宋体" w:cs="宋体"/>
          <w:b/>
          <w:color w:val="auto"/>
        </w:rPr>
        <w:t>3</w:t>
      </w:r>
      <w:r>
        <w:rPr>
          <w:rStyle w:val="3Char"/>
          <w:rFonts w:ascii="宋体" w:hAnsi="宋体" w:cs="宋体" w:hint="eastAsia"/>
          <w:b/>
          <w:color w:val="auto"/>
        </w:rPr>
        <w:t>.1 自然地理</w:t>
      </w:r>
      <w:bookmarkEnd w:id="87"/>
      <w:bookmarkEnd w:id="88"/>
      <w:bookmarkEnd w:id="89"/>
      <w:bookmarkEnd w:id="90"/>
    </w:p>
    <w:p w:rsidR="009C5C1F" w:rsidRDefault="004D2E0D">
      <w:pPr>
        <w:pStyle w:val="5-"/>
        <w:adjustRightInd w:val="0"/>
        <w:snapToGrid w:val="0"/>
        <w:spacing w:line="500" w:lineRule="exact"/>
        <w:rPr>
          <w:color w:val="auto"/>
        </w:rPr>
      </w:pPr>
      <w:bookmarkStart w:id="91" w:name="_Toc214406973"/>
      <w:bookmarkStart w:id="92" w:name="_Toc211070059"/>
      <w:r>
        <w:rPr>
          <w:rFonts w:hint="eastAsia"/>
          <w:color w:val="auto"/>
        </w:rPr>
        <w:t>1</w:t>
      </w:r>
      <w:r>
        <w:rPr>
          <w:color w:val="auto"/>
        </w:rPr>
        <w:t>.</w:t>
      </w:r>
      <w:r>
        <w:rPr>
          <w:rFonts w:hint="eastAsia"/>
          <w:color w:val="auto"/>
        </w:rPr>
        <w:t>地形地貌特征：矿区位于黑河流域高台</w:t>
      </w:r>
      <w:r>
        <w:rPr>
          <w:color w:val="auto"/>
        </w:rPr>
        <w:softHyphen/>
      </w:r>
      <w:r>
        <w:rPr>
          <w:rFonts w:hint="eastAsia"/>
          <w:color w:val="auto"/>
        </w:rPr>
        <w:t>临泽以北，巴丹吉林沙漠</w:t>
      </w:r>
      <w:proofErr w:type="gramStart"/>
      <w:r>
        <w:rPr>
          <w:rFonts w:hint="eastAsia"/>
          <w:color w:val="auto"/>
        </w:rPr>
        <w:t>西侧杨台</w:t>
      </w:r>
      <w:proofErr w:type="gramEnd"/>
      <w:r>
        <w:rPr>
          <w:rFonts w:hint="eastAsia"/>
          <w:color w:val="auto"/>
        </w:rPr>
        <w:t>洼滩盆地，为戈壁荒漠地貌。地势总体东高西低，地形平缓，海拔一般</w:t>
      </w:r>
      <w:r>
        <w:rPr>
          <w:rFonts w:hint="eastAsia"/>
          <w:color w:val="auto"/>
        </w:rPr>
        <w:t>1</w:t>
      </w:r>
      <w:r>
        <w:rPr>
          <w:color w:val="auto"/>
        </w:rPr>
        <w:t>353~1385</w:t>
      </w:r>
      <w:r>
        <w:rPr>
          <w:rFonts w:hint="eastAsia"/>
          <w:color w:val="auto"/>
        </w:rPr>
        <w:t>m</w:t>
      </w:r>
      <w:r>
        <w:rPr>
          <w:rFonts w:hint="eastAsia"/>
          <w:color w:val="auto"/>
        </w:rPr>
        <w:t>。</w:t>
      </w:r>
    </w:p>
    <w:p w:rsidR="009C5C1F" w:rsidRDefault="004D2E0D">
      <w:pPr>
        <w:pStyle w:val="5-"/>
        <w:adjustRightInd w:val="0"/>
        <w:snapToGrid w:val="0"/>
        <w:spacing w:line="500" w:lineRule="exact"/>
        <w:rPr>
          <w:color w:val="auto"/>
        </w:rPr>
      </w:pPr>
      <w:r>
        <w:rPr>
          <w:color w:val="auto"/>
        </w:rPr>
        <w:t>2.</w:t>
      </w:r>
      <w:r>
        <w:rPr>
          <w:rFonts w:hint="eastAsia"/>
          <w:color w:val="auto"/>
        </w:rPr>
        <w:t>气象：</w:t>
      </w:r>
      <w:r>
        <w:rPr>
          <w:rFonts w:hint="eastAsia"/>
          <w:color w:val="000000"/>
        </w:rPr>
        <w:t>矿区气候为大陆性荒漠草原气候</w:t>
      </w:r>
      <w:r>
        <w:rPr>
          <w:rFonts w:hint="eastAsia"/>
          <w:color w:val="000000"/>
        </w:rPr>
        <w:t>,</w:t>
      </w:r>
      <w:r>
        <w:rPr>
          <w:rFonts w:hint="eastAsia"/>
          <w:color w:val="000000"/>
        </w:rPr>
        <w:t>气候干燥，降雨稀少，蒸发量大，多风。气候特征是四季分明，冬季寒冷而漫长，夏季炎热而短暂，春季升温快，秋季降温较慢。历史极端最高气温</w:t>
      </w:r>
      <w:r>
        <w:rPr>
          <w:rFonts w:hint="eastAsia"/>
          <w:color w:val="000000"/>
        </w:rPr>
        <w:t>39.8</w:t>
      </w:r>
      <w:r>
        <w:rPr>
          <w:rFonts w:hint="eastAsia"/>
          <w:color w:val="000000"/>
        </w:rPr>
        <w:t>℃、最低</w:t>
      </w:r>
      <w:r>
        <w:rPr>
          <w:rFonts w:hint="eastAsia"/>
          <w:color w:val="000000"/>
        </w:rPr>
        <w:t>-28.7</w:t>
      </w:r>
      <w:r>
        <w:rPr>
          <w:rFonts w:hint="eastAsia"/>
          <w:color w:val="000000"/>
        </w:rPr>
        <w:t>℃，气温日较差大，年平均</w:t>
      </w:r>
      <w:r>
        <w:rPr>
          <w:rFonts w:hint="eastAsia"/>
          <w:color w:val="000000"/>
        </w:rPr>
        <w:lastRenderedPageBreak/>
        <w:t>日较差</w:t>
      </w:r>
      <w:r>
        <w:rPr>
          <w:rFonts w:hint="eastAsia"/>
          <w:color w:val="000000"/>
        </w:rPr>
        <w:t>14</w:t>
      </w:r>
      <w:r>
        <w:rPr>
          <w:rFonts w:hint="eastAsia"/>
          <w:color w:val="000000"/>
        </w:rPr>
        <w:t>℃，年平均气温为</w:t>
      </w:r>
      <w:r>
        <w:rPr>
          <w:rFonts w:hint="eastAsia"/>
          <w:color w:val="000000"/>
        </w:rPr>
        <w:t>7.7</w:t>
      </w:r>
      <w:r>
        <w:rPr>
          <w:rFonts w:hint="eastAsia"/>
          <w:color w:val="000000"/>
        </w:rPr>
        <w:t>℃。年均无霜期</w:t>
      </w:r>
      <w:r>
        <w:rPr>
          <w:rFonts w:hint="eastAsia"/>
          <w:color w:val="000000"/>
        </w:rPr>
        <w:t>176</w:t>
      </w:r>
      <w:r>
        <w:rPr>
          <w:rFonts w:hint="eastAsia"/>
          <w:color w:val="000000"/>
        </w:rPr>
        <w:t>天。年均降水量</w:t>
      </w:r>
      <w:r>
        <w:rPr>
          <w:rFonts w:hint="eastAsia"/>
          <w:color w:val="000000"/>
        </w:rPr>
        <w:t>118.4mm</w:t>
      </w:r>
      <w:r>
        <w:rPr>
          <w:rFonts w:hint="eastAsia"/>
          <w:color w:val="000000"/>
        </w:rPr>
        <w:t>，蒸发量</w:t>
      </w:r>
      <w:r>
        <w:rPr>
          <w:rFonts w:hint="eastAsia"/>
          <w:color w:val="000000"/>
        </w:rPr>
        <w:t>1830.4mm</w:t>
      </w:r>
      <w:r>
        <w:rPr>
          <w:rFonts w:hint="eastAsia"/>
          <w:color w:val="000000"/>
        </w:rPr>
        <w:t>。蒸发量大于降水量，平均相对湿度为</w:t>
      </w:r>
      <w:r>
        <w:rPr>
          <w:rFonts w:hint="eastAsia"/>
          <w:color w:val="000000"/>
        </w:rPr>
        <w:t>45%</w:t>
      </w:r>
      <w:r>
        <w:rPr>
          <w:rFonts w:hint="eastAsia"/>
          <w:color w:val="000000"/>
        </w:rPr>
        <w:t>。年平均日照时数为</w:t>
      </w:r>
      <w:r>
        <w:rPr>
          <w:rFonts w:hint="eastAsia"/>
          <w:color w:val="000000"/>
        </w:rPr>
        <w:t>3052.9</w:t>
      </w:r>
      <w:r>
        <w:rPr>
          <w:rFonts w:hint="eastAsia"/>
          <w:color w:val="000000"/>
        </w:rPr>
        <w:t>小时，日照百分率为</w:t>
      </w:r>
      <w:r>
        <w:rPr>
          <w:rFonts w:hint="eastAsia"/>
          <w:color w:val="000000"/>
        </w:rPr>
        <w:t>68%</w:t>
      </w:r>
      <w:r>
        <w:rPr>
          <w:rFonts w:hint="eastAsia"/>
          <w:color w:val="000000"/>
        </w:rPr>
        <w:t>，根据临泽气象站统计资料，临泽县年太阳辐射总量为</w:t>
      </w:r>
      <w:r>
        <w:rPr>
          <w:rFonts w:hint="eastAsia"/>
          <w:color w:val="000000"/>
        </w:rPr>
        <w:t>6133MJ/m2</w:t>
      </w:r>
      <w:r>
        <w:rPr>
          <w:rFonts w:hint="eastAsia"/>
          <w:color w:val="000000"/>
        </w:rPr>
        <w:t>，</w:t>
      </w:r>
      <w:r>
        <w:rPr>
          <w:rFonts w:hint="eastAsia"/>
          <w:color w:val="000000"/>
        </w:rPr>
        <w:t>6</w:t>
      </w:r>
      <w:r>
        <w:rPr>
          <w:rFonts w:hint="eastAsia"/>
          <w:color w:val="000000"/>
        </w:rPr>
        <w:t>月最多，为</w:t>
      </w:r>
      <w:r>
        <w:rPr>
          <w:rFonts w:hint="eastAsia"/>
          <w:color w:val="000000"/>
        </w:rPr>
        <w:t>713.2MJ/m2</w:t>
      </w:r>
      <w:r>
        <w:rPr>
          <w:rFonts w:hint="eastAsia"/>
          <w:color w:val="000000"/>
        </w:rPr>
        <w:t>，</w:t>
      </w:r>
      <w:r>
        <w:rPr>
          <w:rFonts w:hint="eastAsia"/>
          <w:color w:val="000000"/>
        </w:rPr>
        <w:t>12</w:t>
      </w:r>
      <w:r>
        <w:rPr>
          <w:rFonts w:hint="eastAsia"/>
          <w:color w:val="000000"/>
        </w:rPr>
        <w:t>月最小，为</w:t>
      </w:r>
      <w:r>
        <w:rPr>
          <w:rFonts w:hint="eastAsia"/>
          <w:color w:val="000000"/>
        </w:rPr>
        <w:t>303.7MJ/m2</w:t>
      </w:r>
      <w:r>
        <w:rPr>
          <w:rFonts w:hint="eastAsia"/>
          <w:color w:val="000000"/>
        </w:rPr>
        <w:t>，日照时间长，年日照时数基本稳定在</w:t>
      </w:r>
      <w:r>
        <w:rPr>
          <w:rFonts w:hint="eastAsia"/>
          <w:color w:val="000000"/>
        </w:rPr>
        <w:t>3000h</w:t>
      </w:r>
      <w:r>
        <w:rPr>
          <w:rFonts w:hint="eastAsia"/>
          <w:color w:val="000000"/>
        </w:rPr>
        <w:t>～</w:t>
      </w:r>
      <w:r>
        <w:rPr>
          <w:rFonts w:hint="eastAsia"/>
          <w:color w:val="000000"/>
        </w:rPr>
        <w:t>3200h</w:t>
      </w:r>
      <w:r>
        <w:rPr>
          <w:rFonts w:hint="eastAsia"/>
          <w:color w:val="000000"/>
        </w:rPr>
        <w:t>之间，无霜期为</w:t>
      </w:r>
      <w:r>
        <w:rPr>
          <w:rFonts w:hint="eastAsia"/>
          <w:color w:val="000000"/>
        </w:rPr>
        <w:t xml:space="preserve">176 </w:t>
      </w:r>
      <w:r>
        <w:rPr>
          <w:rFonts w:hint="eastAsia"/>
          <w:color w:val="000000"/>
        </w:rPr>
        <w:t>天，主导风向为西北风，平均风速约为</w:t>
      </w:r>
      <w:r>
        <w:rPr>
          <w:rFonts w:hint="eastAsia"/>
          <w:color w:val="000000"/>
        </w:rPr>
        <w:t>2.2m/s</w:t>
      </w:r>
      <w:r>
        <w:rPr>
          <w:rFonts w:hint="eastAsia"/>
          <w:color w:val="000000"/>
        </w:rPr>
        <w:t>，最大风速约为</w:t>
      </w:r>
      <w:r>
        <w:rPr>
          <w:rFonts w:hint="eastAsia"/>
          <w:color w:val="000000"/>
        </w:rPr>
        <w:t>27m/s</w:t>
      </w:r>
      <w:r>
        <w:rPr>
          <w:rFonts w:hint="eastAsia"/>
          <w:color w:val="000000"/>
        </w:rPr>
        <w:t>，全年最大冻土深度</w:t>
      </w:r>
      <w:r>
        <w:rPr>
          <w:rFonts w:hint="eastAsia"/>
          <w:color w:val="000000"/>
        </w:rPr>
        <w:t>123mm</w:t>
      </w:r>
      <w:r>
        <w:rPr>
          <w:rFonts w:hint="eastAsia"/>
          <w:color w:val="000000"/>
        </w:rPr>
        <w:t>。</w:t>
      </w:r>
      <w:r>
        <w:rPr>
          <w:rFonts w:hint="eastAsia"/>
          <w:color w:val="auto"/>
        </w:rPr>
        <w:t>（资料来源：中国天气网）</w:t>
      </w:r>
    </w:p>
    <w:p w:rsidR="009C5C1F" w:rsidRDefault="004D2E0D">
      <w:pPr>
        <w:pStyle w:val="5-"/>
        <w:adjustRightInd w:val="0"/>
        <w:snapToGrid w:val="0"/>
        <w:spacing w:line="500" w:lineRule="exact"/>
        <w:rPr>
          <w:rFonts w:ascii="宋体" w:hAnsi="宋体" w:cs="___WRD_EMBED_SUB_38"/>
          <w:color w:val="auto"/>
          <w:sz w:val="28"/>
          <w:szCs w:val="28"/>
        </w:rPr>
      </w:pPr>
      <w:r>
        <w:rPr>
          <w:rFonts w:hint="eastAsia"/>
          <w:color w:val="auto"/>
        </w:rPr>
        <w:t>3</w:t>
      </w:r>
      <w:r>
        <w:rPr>
          <w:color w:val="auto"/>
        </w:rPr>
        <w:t>.</w:t>
      </w:r>
      <w:r>
        <w:rPr>
          <w:rFonts w:hint="eastAsia"/>
          <w:color w:val="auto"/>
        </w:rPr>
        <w:t>水文：</w:t>
      </w:r>
      <w:r>
        <w:rPr>
          <w:rFonts w:hint="eastAsia"/>
          <w:color w:val="000000"/>
        </w:rPr>
        <w:t>区域</w:t>
      </w:r>
      <w:r>
        <w:rPr>
          <w:color w:val="000000"/>
        </w:rPr>
        <w:t>内仅见发源于祁连山的黑河以人工水利灌溉干渠从</w:t>
      </w:r>
      <w:r>
        <w:rPr>
          <w:rFonts w:hint="eastAsia"/>
          <w:color w:val="000000"/>
        </w:rPr>
        <w:t>矿</w:t>
      </w:r>
      <w:r>
        <w:rPr>
          <w:color w:val="000000"/>
        </w:rPr>
        <w:t>区</w:t>
      </w:r>
      <w:r>
        <w:rPr>
          <w:rFonts w:hint="eastAsia"/>
          <w:color w:val="000000"/>
        </w:rPr>
        <w:t>南</w:t>
      </w:r>
      <w:r>
        <w:rPr>
          <w:color w:val="000000"/>
        </w:rPr>
        <w:t>侧流过，地表无常年流水，仅在雨季山洪暴发时有暂时性流水，流量为降水量所制约。</w:t>
      </w:r>
      <w:r>
        <w:rPr>
          <w:rFonts w:hint="eastAsia"/>
          <w:color w:val="000000"/>
        </w:rPr>
        <w:t>矿</w:t>
      </w:r>
      <w:r>
        <w:rPr>
          <w:color w:val="000000"/>
        </w:rPr>
        <w:t>区周边有</w:t>
      </w:r>
      <w:proofErr w:type="gramStart"/>
      <w:r>
        <w:rPr>
          <w:color w:val="000000"/>
        </w:rPr>
        <w:t>少量井</w:t>
      </w:r>
      <w:proofErr w:type="gramEnd"/>
      <w:r>
        <w:rPr>
          <w:color w:val="000000"/>
        </w:rPr>
        <w:t>泉，但属咸水，不宜饮用。</w:t>
      </w:r>
      <w:r>
        <w:rPr>
          <w:rFonts w:hint="eastAsia"/>
          <w:color w:val="000000"/>
        </w:rPr>
        <w:t>矿</w:t>
      </w:r>
      <w:r>
        <w:rPr>
          <w:color w:val="000000"/>
        </w:rPr>
        <w:t>区内无井泉。</w:t>
      </w:r>
    </w:p>
    <w:p w:rsidR="009C5C1F" w:rsidRDefault="004D2E0D">
      <w:pPr>
        <w:pStyle w:val="5-"/>
        <w:adjustRightInd w:val="0"/>
        <w:snapToGrid w:val="0"/>
        <w:spacing w:line="500" w:lineRule="exact"/>
        <w:rPr>
          <w:rFonts w:ascii="宋体" w:hAnsi="宋体"/>
          <w:color w:val="auto"/>
        </w:rPr>
      </w:pPr>
      <w:r>
        <w:rPr>
          <w:rFonts w:ascii="宋体" w:hAnsi="宋体"/>
          <w:color w:val="auto"/>
        </w:rPr>
        <w:t>4.</w:t>
      </w:r>
      <w:r>
        <w:rPr>
          <w:rFonts w:ascii="宋体" w:hAnsi="宋体" w:hint="eastAsia"/>
          <w:color w:val="auto"/>
        </w:rPr>
        <w:t>不良地质作用和灾害：</w:t>
      </w:r>
      <w:r>
        <w:rPr>
          <w:rFonts w:ascii="宋体" w:hAnsi="宋体"/>
          <w:color w:val="auto"/>
        </w:rPr>
        <w:t>根据《建筑抗震设计规范》(GB50011-2010)，本区抗震设防烈度为</w:t>
      </w:r>
      <w:r>
        <w:rPr>
          <w:rFonts w:ascii="宋体" w:hAnsi="宋体" w:hint="eastAsia"/>
          <w:color w:val="auto"/>
        </w:rPr>
        <w:t>Ⅶ</w:t>
      </w:r>
      <w:r>
        <w:rPr>
          <w:rFonts w:ascii="宋体" w:hAnsi="宋体"/>
          <w:color w:val="auto"/>
        </w:rPr>
        <w:t>度，设计基本地震加速度值为0.1</w:t>
      </w:r>
      <w:r>
        <w:rPr>
          <w:rFonts w:ascii="宋体" w:hAnsi="宋体" w:hint="eastAsia"/>
          <w:color w:val="auto"/>
        </w:rPr>
        <w:t>5</w:t>
      </w:r>
      <w:r>
        <w:rPr>
          <w:rFonts w:ascii="宋体" w:hAnsi="宋体"/>
          <w:color w:val="auto"/>
        </w:rPr>
        <w:t>g，所属设计地震分组为第</w:t>
      </w:r>
      <w:r>
        <w:rPr>
          <w:rFonts w:ascii="宋体" w:hAnsi="宋体" w:hint="eastAsia"/>
          <w:color w:val="auto"/>
        </w:rPr>
        <w:t>一</w:t>
      </w:r>
      <w:r>
        <w:rPr>
          <w:rFonts w:ascii="宋体" w:hAnsi="宋体"/>
          <w:color w:val="auto"/>
        </w:rPr>
        <w:t>组。</w:t>
      </w:r>
    </w:p>
    <w:p w:rsidR="009C5C1F" w:rsidRDefault="004D2E0D">
      <w:pPr>
        <w:pStyle w:val="111"/>
        <w:adjustRightInd w:val="0"/>
        <w:snapToGrid w:val="0"/>
        <w:spacing w:beforeLines="100" w:before="360" w:line="500" w:lineRule="exact"/>
        <w:ind w:firstLine="482"/>
        <w:rPr>
          <w:rStyle w:val="3Char"/>
          <w:rFonts w:ascii="宋体" w:hAnsi="宋体" w:cs="宋体"/>
          <w:b/>
          <w:color w:val="auto"/>
        </w:rPr>
      </w:pPr>
      <w:bookmarkStart w:id="93" w:name="_Toc70589711"/>
      <w:bookmarkStart w:id="94" w:name="_Toc395519096"/>
      <w:bookmarkStart w:id="95" w:name="_Toc502783403"/>
      <w:r>
        <w:rPr>
          <w:rStyle w:val="3Char"/>
          <w:rFonts w:ascii="宋体" w:hAnsi="宋体" w:cs="宋体" w:hint="eastAsia"/>
          <w:b/>
          <w:color w:val="auto"/>
        </w:rPr>
        <w:t>1.</w:t>
      </w:r>
      <w:r>
        <w:rPr>
          <w:rStyle w:val="3Char"/>
          <w:rFonts w:ascii="宋体" w:hAnsi="宋体" w:cs="宋体"/>
          <w:b/>
          <w:color w:val="auto"/>
        </w:rPr>
        <w:t>3</w:t>
      </w:r>
      <w:r>
        <w:rPr>
          <w:rStyle w:val="3Char"/>
          <w:rFonts w:ascii="宋体" w:hAnsi="宋体" w:cs="宋体" w:hint="eastAsia"/>
          <w:b/>
          <w:color w:val="auto"/>
        </w:rPr>
        <w:t>.2 经济概况</w:t>
      </w:r>
      <w:bookmarkStart w:id="96" w:name="_Toc186208353"/>
      <w:bookmarkStart w:id="97" w:name="_Toc502783404"/>
      <w:bookmarkStart w:id="98" w:name="_Toc511226404"/>
      <w:bookmarkStart w:id="99" w:name="_Toc214406974"/>
      <w:bookmarkEnd w:id="91"/>
      <w:bookmarkEnd w:id="93"/>
      <w:bookmarkEnd w:id="94"/>
      <w:bookmarkEnd w:id="95"/>
    </w:p>
    <w:bookmarkStart w:id="100" w:name="_Toc70589712"/>
    <w:p w:rsidR="009C5C1F" w:rsidRDefault="004D2E0D">
      <w:pPr>
        <w:spacing w:line="360" w:lineRule="auto"/>
        <w:ind w:firstLineChars="200" w:firstLine="480"/>
        <w:rPr>
          <w:sz w:val="24"/>
        </w:rPr>
      </w:pPr>
      <w:r>
        <w:rPr>
          <w:noProof/>
          <w:sz w:val="24"/>
        </w:rPr>
        <mc:AlternateContent>
          <mc:Choice Requires="wps">
            <w:drawing>
              <wp:anchor distT="0" distB="0" distL="114300" distR="114300" simplePos="0" relativeHeight="251668480" behindDoc="0" locked="0" layoutInCell="1" allowOverlap="1">
                <wp:simplePos x="0" y="0"/>
                <wp:positionH relativeFrom="column">
                  <wp:posOffset>1127125</wp:posOffset>
                </wp:positionH>
                <wp:positionV relativeFrom="paragraph">
                  <wp:posOffset>2113915</wp:posOffset>
                </wp:positionV>
                <wp:extent cx="3175" cy="3175"/>
                <wp:effectExtent l="12700" t="18415" r="12700" b="16510"/>
                <wp:wrapNone/>
                <wp:docPr id="1399967949" name="连接符: 肘形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2516352" flipH="1">
                          <a:off x="0" y="0"/>
                          <a:ext cx="3175" cy="3175"/>
                        </a:xfrm>
                        <a:prstGeom prst="bentConnector3">
                          <a:avLst>
                            <a:gd name="adj1" fmla="val 50000"/>
                          </a:avLst>
                        </a:prstGeom>
                        <a:noFill/>
                        <a:ln w="9525" cmpd="sng">
                          <a:solidFill>
                            <a:srgbClr val="000000"/>
                          </a:solidFill>
                          <a:miter lim="800000"/>
                        </a:ln>
                      </wps:spPr>
                      <wps:bodyPr/>
                    </wps:wsp>
                  </a:graphicData>
                </a:graphic>
              </wp:anchor>
            </w:drawing>
          </mc:Choice>
          <mc:Fallback xmlns:wpsCustomData="http://www.wps.cn/officeDocument/2013/wpsCustomData" xmlns:w15="http://schemas.microsoft.com/office/word/2012/wordml">
            <w:pict>
              <v:shape id="连接符: 肘形 2" o:spid="_x0000_s1026" o:spt="34" type="#_x0000_t34" style="position:absolute;left:0pt;flip:x;margin-left:88.75pt;margin-top:166.45pt;height:0.25pt;width:0.25pt;rotation:9921766f;z-index:251668480;mso-width-relative:page;mso-height-relative:page;" filled="f" stroked="t" coordsize="21600,21600" o:gfxdata="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NvCLYAAAACwEAAA8AAAAAAAAAAQAgAAAAIgAAAGRycy9kb3ducmV2LnhtbFBLAQIU&#10;ABQAAAAIAIdO4kBAGwHTLAIAAB0EAAAOAAAAAAAAAAEAIAAAACcBAABkcnMvZTJvRG9jLnhtbFBL&#10;BQYAAAAABgAGAFkBAADFBQAAAAA=&#10;" adj="10800">
                <v:fill on="f" focussize="0,0"/>
                <v:stroke color="#000000" miterlimit="8" joinstyle="miter"/>
                <v:imagedata o:title=""/>
                <o:lock v:ext="edit" aspectratio="f"/>
              </v:shape>
            </w:pict>
          </mc:Fallback>
        </mc:AlternateContent>
      </w:r>
      <w:r>
        <w:rPr>
          <w:sz w:val="24"/>
        </w:rPr>
        <w:t>当地工业以绿色食品加工、通用航空、</w:t>
      </w:r>
      <w:proofErr w:type="gramStart"/>
      <w:r>
        <w:rPr>
          <w:sz w:val="24"/>
        </w:rPr>
        <w:t>凹凸棒石三</w:t>
      </w:r>
      <w:proofErr w:type="gramEnd"/>
      <w:r>
        <w:rPr>
          <w:sz w:val="24"/>
        </w:rPr>
        <w:t>大产业为主；农作物主要为小麦、玉米，临泽小枣为本县特产。</w:t>
      </w:r>
    </w:p>
    <w:p w:rsidR="009C5C1F" w:rsidRDefault="004D2E0D">
      <w:pPr>
        <w:spacing w:line="360" w:lineRule="auto"/>
        <w:ind w:firstLineChars="200" w:firstLine="480"/>
        <w:rPr>
          <w:sz w:val="24"/>
        </w:rPr>
      </w:pPr>
      <w:r>
        <w:rPr>
          <w:rFonts w:hint="eastAsia"/>
          <w:sz w:val="24"/>
        </w:rPr>
        <w:t>板桥镇</w:t>
      </w:r>
      <w:r>
        <w:rPr>
          <w:sz w:val="24"/>
        </w:rPr>
        <w:t>地处临泽县东南部，祁连山山麓，</w:t>
      </w:r>
      <w:proofErr w:type="gramStart"/>
      <w:r>
        <w:rPr>
          <w:sz w:val="24"/>
        </w:rPr>
        <w:t>东临甘州</w:t>
      </w:r>
      <w:proofErr w:type="gramEnd"/>
      <w:r>
        <w:rPr>
          <w:sz w:val="24"/>
        </w:rPr>
        <w:t>区甘浚镇，南依祁连山接肃南裕固族自治县。西接新华镇，北连沙河镇。</w:t>
      </w:r>
    </w:p>
    <w:p w:rsidR="009C5C1F" w:rsidRDefault="004D2E0D">
      <w:pPr>
        <w:spacing w:line="360" w:lineRule="auto"/>
        <w:ind w:firstLineChars="200" w:firstLine="480"/>
        <w:rPr>
          <w:sz w:val="24"/>
        </w:rPr>
      </w:pPr>
      <w:r>
        <w:rPr>
          <w:sz w:val="24"/>
        </w:rPr>
        <w:t>全镇</w:t>
      </w:r>
      <w:proofErr w:type="gramStart"/>
      <w:r>
        <w:rPr>
          <w:sz w:val="24"/>
        </w:rPr>
        <w:t>辖</w:t>
      </w:r>
      <w:proofErr w:type="gramEnd"/>
      <w:r>
        <w:rPr>
          <w:sz w:val="24"/>
        </w:rPr>
        <w:t>8</w:t>
      </w:r>
      <w:r>
        <w:rPr>
          <w:sz w:val="24"/>
        </w:rPr>
        <w:t>个行政村，</w:t>
      </w:r>
      <w:r>
        <w:rPr>
          <w:rFonts w:hint="eastAsia"/>
          <w:sz w:val="24"/>
        </w:rPr>
        <w:t>2021</w:t>
      </w:r>
      <w:r>
        <w:rPr>
          <w:sz w:val="24"/>
        </w:rPr>
        <w:t>年，户籍人口</w:t>
      </w:r>
      <w:r>
        <w:rPr>
          <w:sz w:val="24"/>
        </w:rPr>
        <w:t>9</w:t>
      </w:r>
      <w:r>
        <w:rPr>
          <w:rFonts w:hint="eastAsia"/>
          <w:sz w:val="24"/>
        </w:rPr>
        <w:t>836</w:t>
      </w:r>
      <w:r>
        <w:rPr>
          <w:sz w:val="24"/>
        </w:rPr>
        <w:t>人，有规模以上工业企业一个。自然条件优越，水土资源丰富，是典型的绿洲灌溉农业区，以农业为主，畜牧业次之。镇村道路四通八达，交通便利；水电、</w:t>
      </w:r>
      <w:hyperlink r:id="rId14" w:tgtFrame="https://baike.baidu.com/item/%E6%9D%BF%E6%A1%A5%E9%95%87/_blank" w:history="1">
        <w:r>
          <w:rPr>
            <w:sz w:val="24"/>
          </w:rPr>
          <w:t>矿产</w:t>
        </w:r>
      </w:hyperlink>
      <w:r>
        <w:rPr>
          <w:sz w:val="24"/>
        </w:rPr>
        <w:t>等资源丰富，主要有建筑用石灰岩矿；通讯便捷，已实现</w:t>
      </w:r>
      <w:hyperlink r:id="rId15" w:tgtFrame="https://baike.baidu.com/item/%E6%9D%BF%E6%A1%A5%E9%95%87/_blank" w:history="1">
        <w:r>
          <w:rPr>
            <w:sz w:val="24"/>
          </w:rPr>
          <w:t>有线电视</w:t>
        </w:r>
      </w:hyperlink>
      <w:r>
        <w:rPr>
          <w:sz w:val="24"/>
        </w:rPr>
        <w:t>、程控电话、调频广播村村通，中国电信宽带网络已经开通</w:t>
      </w:r>
      <w:r>
        <w:rPr>
          <w:rFonts w:hint="eastAsia"/>
          <w:sz w:val="24"/>
        </w:rPr>
        <w:t>。</w:t>
      </w:r>
      <w:r>
        <w:rPr>
          <w:sz w:val="24"/>
        </w:rPr>
        <w:t>生产及生活用品主要从临泽、张掖等地补给。</w:t>
      </w:r>
    </w:p>
    <w:p w:rsidR="009C5C1F" w:rsidRDefault="004D2E0D">
      <w:pPr>
        <w:pStyle w:val="2"/>
        <w:spacing w:beforeLines="100" w:before="360" w:line="500" w:lineRule="atLeast"/>
        <w:ind w:firstLine="482"/>
        <w:rPr>
          <w:rFonts w:ascii="宋体" w:eastAsia="宋体" w:hAnsi="宋体" w:cs="宋体"/>
          <w:sz w:val="24"/>
          <w:szCs w:val="24"/>
        </w:rPr>
      </w:pPr>
      <w:bookmarkStart w:id="101" w:name="_Toc153130709"/>
      <w:r>
        <w:rPr>
          <w:rFonts w:ascii="宋体" w:eastAsia="宋体" w:hAnsi="宋体" w:cs="宋体" w:hint="eastAsia"/>
          <w:sz w:val="24"/>
          <w:szCs w:val="24"/>
        </w:rPr>
        <w:t>1.</w:t>
      </w:r>
      <w:r>
        <w:rPr>
          <w:rFonts w:ascii="宋体" w:eastAsia="宋体" w:hAnsi="宋体" w:cs="宋体"/>
          <w:sz w:val="24"/>
          <w:szCs w:val="24"/>
        </w:rPr>
        <w:t>4</w:t>
      </w:r>
      <w:r>
        <w:rPr>
          <w:rFonts w:ascii="宋体" w:eastAsia="宋体" w:hAnsi="宋体" w:cs="宋体" w:hint="eastAsia"/>
          <w:sz w:val="24"/>
          <w:szCs w:val="24"/>
        </w:rPr>
        <w:t xml:space="preserve"> 项目建设外部条件及开发现状</w:t>
      </w:r>
      <w:bookmarkEnd w:id="96"/>
      <w:bookmarkEnd w:id="97"/>
      <w:bookmarkEnd w:id="98"/>
      <w:bookmarkEnd w:id="99"/>
      <w:bookmarkEnd w:id="100"/>
      <w:bookmarkEnd w:id="101"/>
    </w:p>
    <w:p w:rsidR="009C5C1F" w:rsidRDefault="004D2E0D">
      <w:pPr>
        <w:pStyle w:val="111"/>
        <w:adjustRightInd w:val="0"/>
        <w:snapToGrid w:val="0"/>
        <w:spacing w:beforeLines="100" w:before="360" w:line="500" w:lineRule="exact"/>
        <w:ind w:firstLine="482"/>
        <w:rPr>
          <w:rFonts w:ascii="宋体" w:eastAsia="宋体" w:hAnsi="宋体" w:cs="宋体"/>
          <w:color w:val="auto"/>
        </w:rPr>
      </w:pPr>
      <w:bookmarkStart w:id="102" w:name="_Toc214406976"/>
      <w:bookmarkStart w:id="103" w:name="_Toc502783406"/>
      <w:bookmarkStart w:id="104" w:name="_Toc395519103"/>
      <w:bookmarkStart w:id="105" w:name="_Toc70589714"/>
      <w:r>
        <w:rPr>
          <w:rFonts w:ascii="宋体" w:eastAsia="宋体" w:hAnsi="宋体" w:cs="宋体" w:hint="eastAsia"/>
          <w:color w:val="auto"/>
        </w:rPr>
        <w:t>1.</w:t>
      </w:r>
      <w:r>
        <w:rPr>
          <w:rFonts w:ascii="宋体" w:eastAsia="宋体" w:hAnsi="宋体" w:cs="宋体"/>
          <w:color w:val="auto"/>
        </w:rPr>
        <w:t>4</w:t>
      </w:r>
      <w:r>
        <w:rPr>
          <w:rFonts w:ascii="宋体" w:eastAsia="宋体" w:hAnsi="宋体" w:cs="宋体" w:hint="eastAsia"/>
          <w:color w:val="auto"/>
        </w:rPr>
        <w:t>.2</w:t>
      </w:r>
      <w:bookmarkEnd w:id="102"/>
      <w:r>
        <w:rPr>
          <w:rFonts w:ascii="宋体" w:eastAsia="宋体" w:hAnsi="宋体" w:cs="宋体" w:hint="eastAsia"/>
          <w:color w:val="auto"/>
        </w:rPr>
        <w:t xml:space="preserve"> 矿山</w:t>
      </w:r>
      <w:bookmarkEnd w:id="103"/>
      <w:bookmarkEnd w:id="104"/>
      <w:r>
        <w:rPr>
          <w:rFonts w:ascii="宋体" w:eastAsia="宋体" w:hAnsi="宋体" w:cs="宋体" w:hint="eastAsia"/>
          <w:color w:val="auto"/>
        </w:rPr>
        <w:t>现状</w:t>
      </w:r>
      <w:bookmarkEnd w:id="105"/>
      <w:r>
        <w:rPr>
          <w:rFonts w:ascii="宋体" w:eastAsia="宋体" w:hAnsi="宋体" w:cs="宋体" w:hint="eastAsia"/>
          <w:color w:val="auto"/>
        </w:rPr>
        <w:t xml:space="preserve"> </w:t>
      </w:r>
    </w:p>
    <w:p w:rsidR="009C5C1F" w:rsidRDefault="004D2E0D" w:rsidP="009135C6">
      <w:pPr>
        <w:pStyle w:val="5-"/>
        <w:adjustRightInd w:val="0"/>
        <w:snapToGrid w:val="0"/>
        <w:spacing w:line="500" w:lineRule="exact"/>
        <w:ind w:firstLineChars="182" w:firstLine="437"/>
        <w:rPr>
          <w:rFonts w:ascii="宋体" w:hAnsi="宋体" w:cs="宋体"/>
          <w:color w:val="auto"/>
          <w:lang w:val="zh-CN"/>
        </w:rPr>
      </w:pPr>
      <w:r>
        <w:rPr>
          <w:rFonts w:ascii="宋体" w:hAnsi="宋体" w:cs="宋体" w:hint="eastAsia"/>
          <w:color w:val="auto"/>
          <w:lang w:val="zh-CN"/>
        </w:rPr>
        <w:lastRenderedPageBreak/>
        <w:t>该矿为新建矿山，本次方案设计所依据的资源量是由</w:t>
      </w:r>
      <w:bookmarkStart w:id="106" w:name="_Hlk143592304"/>
      <w:r>
        <w:rPr>
          <w:rFonts w:ascii="宋体" w:hAnsi="宋体" w:cs="宋体" w:hint="eastAsia"/>
          <w:color w:val="auto"/>
        </w:rPr>
        <w:t>甘肃有色金属地质</w:t>
      </w:r>
      <w:proofErr w:type="gramStart"/>
      <w:r>
        <w:rPr>
          <w:rFonts w:ascii="宋体" w:hAnsi="宋体" w:cs="宋体" w:hint="eastAsia"/>
          <w:color w:val="auto"/>
        </w:rPr>
        <w:t>勘查局张掖</w:t>
      </w:r>
      <w:proofErr w:type="gramEnd"/>
      <w:r>
        <w:rPr>
          <w:rFonts w:ascii="宋体" w:hAnsi="宋体" w:cs="宋体" w:hint="eastAsia"/>
          <w:color w:val="auto"/>
        </w:rPr>
        <w:t>矿产勘察院</w:t>
      </w:r>
      <w:bookmarkEnd w:id="106"/>
      <w:r>
        <w:rPr>
          <w:rFonts w:ascii="宋体" w:hAnsi="宋体" w:cs="宋体" w:hint="eastAsia"/>
          <w:color w:val="auto"/>
          <w:lang w:val="zh-CN"/>
        </w:rPr>
        <w:t>提供的《</w:t>
      </w:r>
      <w:r>
        <w:rPr>
          <w:rFonts w:ascii="宋体" w:hAnsi="宋体" w:cs="宋体" w:hint="eastAsia"/>
          <w:color w:val="auto"/>
        </w:rPr>
        <w:t>甘肃省</w:t>
      </w:r>
      <w:bookmarkStart w:id="107" w:name="_Hlk143592255"/>
      <w:r>
        <w:rPr>
          <w:rFonts w:ascii="宋体" w:hAnsi="宋体" w:cs="宋体" w:hint="eastAsia"/>
          <w:color w:val="auto"/>
        </w:rPr>
        <w:t>板桥镇壕洼村</w:t>
      </w:r>
      <w:r>
        <w:rPr>
          <w:rFonts w:hint="eastAsia"/>
          <w:color w:val="auto"/>
        </w:rPr>
        <w:t>正北山西侧砖瓦用</w:t>
      </w:r>
      <w:r>
        <w:rPr>
          <w:rFonts w:ascii="宋体" w:hAnsi="宋体" w:cs="宋体" w:hint="eastAsia"/>
          <w:color w:val="auto"/>
        </w:rPr>
        <w:t>粘土矿普查报告</w:t>
      </w:r>
      <w:bookmarkEnd w:id="107"/>
      <w:r>
        <w:rPr>
          <w:rFonts w:ascii="宋体" w:hAnsi="宋体" w:cs="宋体" w:hint="eastAsia"/>
          <w:color w:val="auto"/>
          <w:lang w:val="zh-CN"/>
        </w:rPr>
        <w:t>》（</w:t>
      </w:r>
      <w:r>
        <w:rPr>
          <w:rFonts w:ascii="宋体" w:hAnsi="宋体" w:cs="宋体" w:hint="eastAsia"/>
          <w:color w:val="auto"/>
        </w:rPr>
        <w:t>202</w:t>
      </w:r>
      <w:r>
        <w:rPr>
          <w:rFonts w:ascii="宋体" w:hAnsi="宋体" w:cs="宋体"/>
          <w:color w:val="auto"/>
        </w:rPr>
        <w:t>2</w:t>
      </w:r>
      <w:r>
        <w:rPr>
          <w:rFonts w:ascii="宋体" w:hAnsi="宋体" w:cs="宋体" w:hint="eastAsia"/>
          <w:color w:val="auto"/>
        </w:rPr>
        <w:t>年1月</w:t>
      </w:r>
      <w:r>
        <w:rPr>
          <w:rFonts w:ascii="宋体" w:hAnsi="宋体" w:cs="宋体" w:hint="eastAsia"/>
          <w:color w:val="auto"/>
          <w:lang w:val="zh-CN"/>
        </w:rPr>
        <w:t>）资料可知，</w:t>
      </w:r>
      <w:r>
        <w:rPr>
          <w:rFonts w:ascii="宋体" w:hAnsi="宋体" w:cs="宋体" w:hint="eastAsia"/>
          <w:color w:val="auto"/>
        </w:rPr>
        <w:t>甘肃省板桥</w:t>
      </w:r>
      <w:proofErr w:type="gramStart"/>
      <w:r>
        <w:rPr>
          <w:rFonts w:ascii="宋体" w:hAnsi="宋体" w:cs="宋体" w:hint="eastAsia"/>
          <w:color w:val="auto"/>
        </w:rPr>
        <w:t>镇壕洼村</w:t>
      </w:r>
      <w:proofErr w:type="gramEnd"/>
      <w:r>
        <w:rPr>
          <w:rFonts w:ascii="宋体" w:hAnsi="宋体" w:cs="宋体" w:hint="eastAsia"/>
          <w:color w:val="auto"/>
        </w:rPr>
        <w:t>正北山南侧取土场粘土矿</w:t>
      </w:r>
      <w:proofErr w:type="gramStart"/>
      <w:r>
        <w:rPr>
          <w:rFonts w:ascii="宋体" w:hAnsi="宋体" w:cs="宋体" w:hint="eastAsia"/>
          <w:color w:val="auto"/>
          <w:lang w:val="zh-CN"/>
        </w:rPr>
        <w:t>矿</w:t>
      </w:r>
      <w:proofErr w:type="gramEnd"/>
      <w:r>
        <w:rPr>
          <w:rFonts w:ascii="宋体" w:hAnsi="宋体" w:cs="宋体" w:hint="eastAsia"/>
          <w:color w:val="auto"/>
          <w:lang w:val="zh-CN"/>
        </w:rPr>
        <w:t>权范围内累计资源量</w:t>
      </w:r>
      <w:r>
        <w:rPr>
          <w:rFonts w:ascii="宋体" w:hAnsi="宋体" w:cs="宋体" w:hint="eastAsia"/>
          <w:color w:val="auto"/>
        </w:rPr>
        <w:t>为1</w:t>
      </w:r>
      <w:r>
        <w:rPr>
          <w:rFonts w:ascii="宋体" w:hAnsi="宋体" w:cs="宋体"/>
          <w:color w:val="auto"/>
        </w:rPr>
        <w:t>24.1×</w:t>
      </w:r>
      <w:r>
        <w:rPr>
          <w:rFonts w:ascii="宋体" w:hAnsi="宋体" w:cs="宋体" w:hint="eastAsia"/>
          <w:color w:val="auto"/>
        </w:rPr>
        <w:t>10</w:t>
      </w:r>
      <w:bookmarkStart w:id="108" w:name="_Hlk152232355"/>
      <w:r>
        <w:rPr>
          <w:rFonts w:ascii="宋体" w:hAnsi="宋体" w:cs="宋体" w:hint="eastAsia"/>
          <w:color w:val="auto"/>
          <w:vertAlign w:val="superscript"/>
        </w:rPr>
        <w:t>4</w:t>
      </w:r>
      <w:r>
        <w:rPr>
          <w:rFonts w:ascii="宋体" w:hAnsi="宋体" w:cs="宋体" w:hint="eastAsia"/>
          <w:color w:val="auto"/>
        </w:rPr>
        <w:t>m</w:t>
      </w:r>
      <w:r>
        <w:rPr>
          <w:rFonts w:ascii="宋体" w:hAnsi="宋体" w:cs="宋体" w:hint="eastAsia"/>
          <w:color w:val="auto"/>
          <w:vertAlign w:val="superscript"/>
        </w:rPr>
        <w:t>3</w:t>
      </w:r>
      <w:bookmarkEnd w:id="108"/>
      <w:r>
        <w:rPr>
          <w:rFonts w:ascii="宋体" w:hAnsi="宋体" w:cs="宋体" w:hint="eastAsia"/>
          <w:color w:val="auto"/>
          <w:lang w:val="zh-CN"/>
        </w:rPr>
        <w:t>，已扣除采空区资源量6×1</w:t>
      </w:r>
      <w:r>
        <w:rPr>
          <w:rFonts w:ascii="宋体" w:hAnsi="宋体" w:cs="宋体"/>
          <w:color w:val="auto"/>
          <w:lang w:val="zh-CN"/>
        </w:rPr>
        <w:t>0</w:t>
      </w:r>
      <w:r>
        <w:rPr>
          <w:rFonts w:ascii="宋体" w:hAnsi="宋体" w:cs="宋体" w:hint="eastAsia"/>
          <w:color w:val="auto"/>
          <w:vertAlign w:val="superscript"/>
        </w:rPr>
        <w:t>4</w:t>
      </w:r>
      <w:r>
        <w:rPr>
          <w:rFonts w:ascii="宋体" w:hAnsi="宋体" w:cs="宋体" w:hint="eastAsia"/>
          <w:color w:val="auto"/>
        </w:rPr>
        <w:t>m</w:t>
      </w:r>
      <w:r>
        <w:rPr>
          <w:rFonts w:ascii="宋体" w:hAnsi="宋体" w:cs="宋体" w:hint="eastAsia"/>
          <w:color w:val="auto"/>
          <w:vertAlign w:val="superscript"/>
        </w:rPr>
        <w:t>3</w:t>
      </w:r>
    </w:p>
    <w:p w:rsidR="009C5C1F" w:rsidRDefault="004D2E0D" w:rsidP="009135C6">
      <w:pPr>
        <w:pStyle w:val="5-"/>
        <w:adjustRightInd w:val="0"/>
        <w:snapToGrid w:val="0"/>
        <w:spacing w:line="500" w:lineRule="exact"/>
        <w:ind w:firstLineChars="182" w:firstLine="437"/>
        <w:rPr>
          <w:rFonts w:ascii="宋体" w:hAnsi="宋体"/>
          <w:color w:val="auto"/>
          <w:lang w:val="zh-CN"/>
        </w:rPr>
      </w:pPr>
      <w:r>
        <w:rPr>
          <w:rFonts w:ascii="宋体" w:hAnsi="宋体" w:cs="宋体" w:hint="eastAsia"/>
          <w:color w:val="auto"/>
          <w:lang w:val="zh-CN"/>
        </w:rPr>
        <w:t>经市场调查并通过设计论证，本次</w:t>
      </w:r>
      <w:r>
        <w:rPr>
          <w:rFonts w:ascii="宋体" w:hAnsi="宋体" w:cs="宋体" w:hint="eastAsia"/>
          <w:color w:val="auto"/>
        </w:rPr>
        <w:t>设计</w:t>
      </w:r>
      <w:r>
        <w:rPr>
          <w:rFonts w:ascii="宋体" w:hAnsi="宋体" w:cs="宋体" w:hint="eastAsia"/>
          <w:color w:val="auto"/>
          <w:lang w:val="zh-CN"/>
        </w:rPr>
        <w:t>确定该矿开采规模定为</w:t>
      </w:r>
      <w:r>
        <w:rPr>
          <w:rFonts w:ascii="宋体" w:hAnsi="宋体" w:cs="宋体"/>
          <w:color w:val="auto"/>
        </w:rPr>
        <w:t>10</w:t>
      </w:r>
      <w:r>
        <w:rPr>
          <w:rFonts w:ascii="宋体" w:hAnsi="宋体" w:cs="宋体" w:hint="eastAsia"/>
          <w:color w:val="auto"/>
        </w:rPr>
        <w:t>×</w:t>
      </w:r>
      <w:r>
        <w:rPr>
          <w:rFonts w:ascii="宋体" w:hAnsi="宋体" w:cs="宋体"/>
          <w:color w:val="auto"/>
        </w:rPr>
        <w:t>10</w:t>
      </w:r>
      <w:r>
        <w:rPr>
          <w:rFonts w:ascii="宋体" w:hAnsi="宋体" w:cs="宋体"/>
          <w:color w:val="auto"/>
          <w:vertAlign w:val="superscript"/>
        </w:rPr>
        <w:t>4</w:t>
      </w:r>
      <w:r>
        <w:rPr>
          <w:rFonts w:ascii="宋体" w:hAnsi="宋体" w:cs="宋体" w:hint="eastAsia"/>
          <w:color w:val="auto"/>
        </w:rPr>
        <w:t>m</w:t>
      </w:r>
      <w:r>
        <w:rPr>
          <w:rFonts w:ascii="宋体" w:hAnsi="宋体" w:cs="宋体" w:hint="eastAsia"/>
          <w:color w:val="auto"/>
          <w:vertAlign w:val="superscript"/>
        </w:rPr>
        <w:t>3</w:t>
      </w:r>
      <w:r>
        <w:rPr>
          <w:rFonts w:ascii="宋体" w:hAnsi="宋体" w:cs="宋体" w:hint="eastAsia"/>
          <w:color w:val="auto"/>
        </w:rPr>
        <w:t>/a</w:t>
      </w:r>
      <w:r>
        <w:rPr>
          <w:rFonts w:ascii="宋体" w:hAnsi="宋体" w:cs="宋体" w:hint="eastAsia"/>
          <w:color w:val="auto"/>
          <w:lang w:val="zh-CN"/>
        </w:rPr>
        <w:t>，则矿山服务年限为</w:t>
      </w:r>
      <w:r>
        <w:rPr>
          <w:rFonts w:ascii="宋体" w:hAnsi="宋体" w:cs="宋体"/>
          <w:color w:val="auto"/>
        </w:rPr>
        <w:t>11</w:t>
      </w:r>
      <w:r>
        <w:rPr>
          <w:rFonts w:ascii="宋体" w:hAnsi="宋体" w:cs="宋体" w:hint="eastAsia"/>
          <w:color w:val="auto"/>
          <w:lang w:val="zh-CN"/>
        </w:rPr>
        <w:t>a（不含基建期），矿区直接用</w:t>
      </w:r>
      <w:r>
        <w:rPr>
          <w:color w:val="000000"/>
        </w:rPr>
        <w:t>挖掘机露天开采</w:t>
      </w:r>
      <w:r>
        <w:rPr>
          <w:rFonts w:ascii="仿宋_GB2312" w:eastAsia="仿宋_GB2312" w:cs="仿宋_GB2312" w:hint="eastAsia"/>
          <w:color w:val="000000"/>
          <w:kern w:val="0"/>
        </w:rPr>
        <w:t>，</w:t>
      </w:r>
      <w:r>
        <w:rPr>
          <w:rFonts w:ascii="宋体" w:hAnsi="宋体" w:hint="eastAsia"/>
          <w:color w:val="000000"/>
        </w:rPr>
        <w:t>采掘方式生产</w:t>
      </w:r>
      <w:r>
        <w:rPr>
          <w:color w:val="000000"/>
        </w:rPr>
        <w:t>，开采及加工技术性能十分简单。</w:t>
      </w:r>
      <w:r>
        <w:rPr>
          <w:rFonts w:hint="eastAsia"/>
          <w:color w:val="auto"/>
        </w:rPr>
        <w:t>（详见附图：总平面图布置图）</w:t>
      </w:r>
    </w:p>
    <w:p w:rsidR="009C5C1F" w:rsidRDefault="004D2E0D">
      <w:pPr>
        <w:pStyle w:val="111"/>
        <w:adjustRightInd w:val="0"/>
        <w:snapToGrid w:val="0"/>
        <w:spacing w:beforeLines="100" w:before="360" w:line="500" w:lineRule="exact"/>
        <w:ind w:firstLine="482"/>
        <w:rPr>
          <w:rStyle w:val="3Char"/>
          <w:rFonts w:ascii="宋体" w:hAnsi="宋体" w:cs="宋体"/>
          <w:b/>
          <w:color w:val="auto"/>
        </w:rPr>
      </w:pPr>
      <w:bookmarkStart w:id="109" w:name="_Toc502783405"/>
      <w:bookmarkStart w:id="110" w:name="_Toc214406975"/>
      <w:bookmarkStart w:id="111" w:name="_Toc395519098"/>
      <w:bookmarkStart w:id="112" w:name="_Toc70589713"/>
      <w:bookmarkStart w:id="113" w:name="_Toc70589715"/>
      <w:bookmarkStart w:id="114" w:name="_Toc502783407"/>
      <w:bookmarkStart w:id="115" w:name="_Toc214406978"/>
      <w:bookmarkStart w:id="116" w:name="_Toc511226405"/>
      <w:bookmarkStart w:id="117" w:name="_Toc186208354"/>
      <w:r>
        <w:rPr>
          <w:rStyle w:val="3Char"/>
          <w:rFonts w:ascii="宋体" w:hAnsi="宋体" w:cs="宋体" w:hint="eastAsia"/>
          <w:b/>
          <w:color w:val="auto"/>
        </w:rPr>
        <w:t>1.</w:t>
      </w:r>
      <w:r>
        <w:rPr>
          <w:rStyle w:val="3Char"/>
          <w:rFonts w:ascii="宋体" w:hAnsi="宋体" w:cs="宋体"/>
          <w:b/>
          <w:color w:val="auto"/>
        </w:rPr>
        <w:t>4</w:t>
      </w:r>
      <w:r>
        <w:rPr>
          <w:rStyle w:val="3Char"/>
          <w:rFonts w:ascii="宋体" w:hAnsi="宋体" w:cs="宋体" w:hint="eastAsia"/>
          <w:b/>
          <w:color w:val="auto"/>
        </w:rPr>
        <w:t>.1 矿山建设外部条件</w:t>
      </w:r>
      <w:bookmarkEnd w:id="109"/>
      <w:bookmarkEnd w:id="110"/>
      <w:bookmarkEnd w:id="111"/>
      <w:bookmarkEnd w:id="112"/>
    </w:p>
    <w:p w:rsidR="009C5C1F" w:rsidRDefault="004D2E0D">
      <w:pPr>
        <w:pStyle w:val="5-"/>
        <w:adjustRightInd w:val="0"/>
        <w:snapToGrid w:val="0"/>
        <w:spacing w:line="500" w:lineRule="exact"/>
        <w:ind w:firstLine="482"/>
        <w:rPr>
          <w:rFonts w:ascii="宋体" w:hAnsi="宋体" w:cs="宋体"/>
          <w:b/>
          <w:bCs/>
          <w:color w:val="auto"/>
        </w:rPr>
      </w:pPr>
      <w:bookmarkStart w:id="118" w:name="_Toc211070054"/>
      <w:bookmarkStart w:id="119" w:name="_Toc212978009"/>
      <w:r>
        <w:rPr>
          <w:rFonts w:ascii="宋体" w:hAnsi="宋体" w:cs="宋体" w:hint="eastAsia"/>
          <w:b/>
          <w:bCs/>
          <w:color w:val="auto"/>
        </w:rPr>
        <w:t>1. 交通</w:t>
      </w:r>
      <w:bookmarkEnd w:id="118"/>
      <w:bookmarkEnd w:id="119"/>
    </w:p>
    <w:p w:rsidR="009C5C1F" w:rsidRDefault="004D2E0D" w:rsidP="009135C6">
      <w:pPr>
        <w:pStyle w:val="5-"/>
        <w:adjustRightInd w:val="0"/>
        <w:snapToGrid w:val="0"/>
        <w:spacing w:line="500" w:lineRule="exact"/>
        <w:ind w:firstLineChars="182" w:firstLine="437"/>
        <w:rPr>
          <w:rFonts w:ascii="宋体" w:hAnsi="宋体"/>
        </w:rPr>
      </w:pPr>
      <w:r>
        <w:rPr>
          <w:rFonts w:ascii="宋体" w:hAnsi="宋体" w:cs="宋体" w:hint="eastAsia"/>
          <w:color w:val="auto"/>
        </w:rPr>
        <w:t>矿区内地形较为平坦，区内便道平坦易行，外有省道和临泽县城相通，直距临泽县城约2</w:t>
      </w:r>
      <w:r>
        <w:rPr>
          <w:rFonts w:ascii="宋体" w:hAnsi="宋体" w:cs="宋体"/>
          <w:color w:val="auto"/>
        </w:rPr>
        <w:t>5</w:t>
      </w:r>
      <w:r>
        <w:rPr>
          <w:rFonts w:ascii="宋体" w:hAnsi="宋体" w:cs="宋体" w:hint="eastAsia"/>
          <w:color w:val="auto"/>
        </w:rPr>
        <w:t>km，直距板桥镇古城七组正北2km；矿区距</w:t>
      </w:r>
      <w:r>
        <w:rPr>
          <w:rFonts w:ascii="宋体" w:hAnsi="宋体" w:cs="宋体"/>
          <w:color w:val="auto"/>
        </w:rPr>
        <w:t>214</w:t>
      </w:r>
      <w:r>
        <w:rPr>
          <w:rFonts w:ascii="宋体" w:hAnsi="宋体" w:cs="宋体" w:hint="eastAsia"/>
          <w:color w:val="auto"/>
        </w:rPr>
        <w:t>县道6</w:t>
      </w:r>
      <w:r>
        <w:rPr>
          <w:rFonts w:ascii="宋体" w:hAnsi="宋体" w:cs="宋体"/>
          <w:color w:val="auto"/>
        </w:rPr>
        <w:t>km</w:t>
      </w:r>
      <w:r>
        <w:rPr>
          <w:rFonts w:ascii="宋体" w:hAnsi="宋体" w:cs="宋体" w:hint="eastAsia"/>
          <w:color w:val="auto"/>
        </w:rPr>
        <w:t>，北邻3</w:t>
      </w:r>
      <w:r>
        <w:rPr>
          <w:rFonts w:ascii="宋体" w:hAnsi="宋体" w:cs="宋体"/>
          <w:color w:val="auto"/>
        </w:rPr>
        <w:t>16</w:t>
      </w:r>
      <w:r>
        <w:rPr>
          <w:rFonts w:ascii="宋体" w:hAnsi="宋体" w:cs="宋体" w:hint="eastAsia"/>
          <w:color w:val="auto"/>
        </w:rPr>
        <w:t>省道，交通较为便利。</w:t>
      </w:r>
    </w:p>
    <w:p w:rsidR="009C5C1F" w:rsidRDefault="004D2E0D">
      <w:pPr>
        <w:pStyle w:val="5-"/>
        <w:adjustRightInd w:val="0"/>
        <w:snapToGrid w:val="0"/>
        <w:spacing w:line="500" w:lineRule="exact"/>
        <w:ind w:firstLine="482"/>
        <w:rPr>
          <w:rFonts w:ascii="宋体" w:hAnsi="宋体"/>
          <w:b/>
          <w:bCs/>
          <w:color w:val="auto"/>
        </w:rPr>
      </w:pPr>
      <w:r>
        <w:rPr>
          <w:rFonts w:ascii="宋体" w:hAnsi="宋体" w:hint="eastAsia"/>
          <w:b/>
          <w:bCs/>
          <w:color w:val="auto"/>
        </w:rPr>
        <w:t>2. 通讯</w:t>
      </w:r>
    </w:p>
    <w:p w:rsidR="009C5C1F" w:rsidRDefault="004D2E0D">
      <w:pPr>
        <w:pStyle w:val="5-"/>
        <w:adjustRightInd w:val="0"/>
        <w:snapToGrid w:val="0"/>
        <w:spacing w:line="500" w:lineRule="exact"/>
        <w:rPr>
          <w:rFonts w:ascii="宋体" w:hAnsi="宋体"/>
          <w:color w:val="auto"/>
        </w:rPr>
      </w:pPr>
      <w:r>
        <w:rPr>
          <w:rFonts w:ascii="宋体" w:hAnsi="宋体" w:hint="eastAsia"/>
          <w:color w:val="auto"/>
        </w:rPr>
        <w:t>移动、电信、联通通讯网络覆盖全矿区，通讯条件良好。</w:t>
      </w:r>
    </w:p>
    <w:p w:rsidR="009C5C1F" w:rsidRDefault="004D2E0D">
      <w:pPr>
        <w:pStyle w:val="5-"/>
        <w:adjustRightInd w:val="0"/>
        <w:snapToGrid w:val="0"/>
        <w:spacing w:line="500" w:lineRule="exact"/>
        <w:ind w:firstLine="482"/>
        <w:rPr>
          <w:rFonts w:ascii="宋体" w:hAnsi="宋体"/>
          <w:b/>
          <w:bCs/>
          <w:color w:val="auto"/>
        </w:rPr>
      </w:pPr>
      <w:bookmarkStart w:id="120" w:name="_Toc212978010"/>
      <w:r>
        <w:rPr>
          <w:rFonts w:ascii="宋体" w:hAnsi="宋体" w:hint="eastAsia"/>
          <w:b/>
          <w:bCs/>
          <w:color w:val="auto"/>
        </w:rPr>
        <w:t xml:space="preserve">3. </w:t>
      </w:r>
      <w:r>
        <w:rPr>
          <w:rFonts w:ascii="宋体" w:hAnsi="宋体"/>
          <w:b/>
          <w:bCs/>
          <w:color w:val="auto"/>
        </w:rPr>
        <w:t>供水</w:t>
      </w:r>
      <w:bookmarkEnd w:id="120"/>
    </w:p>
    <w:p w:rsidR="009C5C1F" w:rsidRDefault="004D2E0D">
      <w:pPr>
        <w:autoSpaceDE w:val="0"/>
        <w:autoSpaceDN w:val="0"/>
        <w:adjustRightInd w:val="0"/>
        <w:ind w:firstLineChars="200" w:firstLine="480"/>
        <w:rPr>
          <w:rFonts w:ascii="宋体" w:cs="宋体"/>
          <w:kern w:val="0"/>
          <w:sz w:val="24"/>
        </w:rPr>
      </w:pPr>
      <w:r>
        <w:rPr>
          <w:rFonts w:ascii="宋体" w:cs="宋体" w:hint="eastAsia"/>
          <w:kern w:val="0"/>
          <w:sz w:val="24"/>
        </w:rPr>
        <w:t>经实地调查，矿区周边都由自来水公司供水，供水管已通往矿区附近，后续完全能满足矿区生活用水和生产用水的需要。生产用水主要指路面洒水。</w:t>
      </w:r>
    </w:p>
    <w:p w:rsidR="009C5C1F" w:rsidRDefault="004D2E0D">
      <w:pPr>
        <w:pStyle w:val="5-"/>
        <w:adjustRightInd w:val="0"/>
        <w:snapToGrid w:val="0"/>
        <w:spacing w:line="500" w:lineRule="exact"/>
        <w:ind w:firstLine="482"/>
        <w:rPr>
          <w:rFonts w:ascii="宋体" w:hAnsi="宋体"/>
          <w:b/>
          <w:bCs/>
          <w:color w:val="auto"/>
        </w:rPr>
      </w:pPr>
      <w:bookmarkStart w:id="121" w:name="_Toc211070056"/>
      <w:bookmarkStart w:id="122" w:name="_Toc212978011"/>
      <w:r>
        <w:rPr>
          <w:rFonts w:ascii="宋体" w:hAnsi="宋体" w:hint="eastAsia"/>
          <w:b/>
          <w:bCs/>
          <w:color w:val="auto"/>
        </w:rPr>
        <w:t>4. 供电</w:t>
      </w:r>
      <w:bookmarkEnd w:id="121"/>
      <w:bookmarkEnd w:id="122"/>
    </w:p>
    <w:p w:rsidR="009C5C1F" w:rsidRDefault="004D2E0D" w:rsidP="009135C6">
      <w:pPr>
        <w:pStyle w:val="5-"/>
        <w:adjustRightInd w:val="0"/>
        <w:snapToGrid w:val="0"/>
        <w:spacing w:line="500" w:lineRule="exact"/>
        <w:ind w:firstLineChars="182" w:firstLine="437"/>
        <w:rPr>
          <w:rFonts w:ascii="宋体" w:hAnsi="宋体" w:cs="宋体"/>
          <w:color w:val="auto"/>
        </w:rPr>
      </w:pPr>
      <w:r>
        <w:rPr>
          <w:rFonts w:ascii="宋体" w:hAnsi="宋体" w:cs="宋体" w:hint="eastAsia"/>
          <w:color w:val="auto"/>
          <w:lang w:val="zh-CN"/>
        </w:rPr>
        <w:t>矿区内已有1</w:t>
      </w:r>
      <w:r>
        <w:rPr>
          <w:rFonts w:ascii="宋体" w:hAnsi="宋体" w:cs="宋体"/>
          <w:color w:val="auto"/>
          <w:lang w:val="zh-CN"/>
        </w:rPr>
        <w:t>60KV</w:t>
      </w:r>
      <w:r>
        <w:rPr>
          <w:rFonts w:ascii="宋体" w:hAnsi="宋体" w:cs="宋体" w:hint="eastAsia"/>
          <w:color w:val="auto"/>
          <w:lang w:val="zh-CN"/>
        </w:rPr>
        <w:t>、1</w:t>
      </w:r>
      <w:r>
        <w:rPr>
          <w:rFonts w:ascii="宋体" w:hAnsi="宋体" w:cs="宋体"/>
          <w:color w:val="auto"/>
          <w:lang w:val="zh-CN"/>
        </w:rPr>
        <w:t>0KV</w:t>
      </w:r>
      <w:r>
        <w:rPr>
          <w:rFonts w:ascii="宋体" w:hAnsi="宋体" w:cs="宋体" w:hint="eastAsia"/>
          <w:color w:val="auto"/>
          <w:lang w:val="zh-CN"/>
        </w:rPr>
        <w:t>、1</w:t>
      </w:r>
      <w:r>
        <w:rPr>
          <w:rFonts w:ascii="宋体" w:hAnsi="宋体" w:cs="宋体"/>
          <w:color w:val="auto"/>
          <w:lang w:val="zh-CN"/>
        </w:rPr>
        <w:t>25KV</w:t>
      </w:r>
      <w:r>
        <w:rPr>
          <w:rFonts w:ascii="宋体" w:hAnsi="宋体" w:cs="宋体" w:hint="eastAsia"/>
          <w:color w:val="auto"/>
          <w:lang w:val="zh-CN"/>
        </w:rPr>
        <w:t>供电线路，架空接入矿区，另还备有发电机，</w:t>
      </w:r>
      <w:r>
        <w:rPr>
          <w:rFonts w:ascii="宋体" w:hAnsi="宋体" w:cs="宋体" w:hint="eastAsia"/>
          <w:color w:val="auto"/>
        </w:rPr>
        <w:t>详细的供电方案将在8.2节中介绍。</w:t>
      </w:r>
    </w:p>
    <w:p w:rsidR="009C5C1F" w:rsidRDefault="004D2E0D">
      <w:pPr>
        <w:pStyle w:val="1"/>
        <w:spacing w:beforeLines="100" w:before="360" w:after="0" w:line="500" w:lineRule="exact"/>
        <w:rPr>
          <w:color w:val="FF0000"/>
        </w:rPr>
      </w:pPr>
      <w:bookmarkStart w:id="123" w:name="_Toc214406981"/>
      <w:bookmarkEnd w:id="92"/>
      <w:bookmarkEnd w:id="113"/>
      <w:bookmarkEnd w:id="114"/>
      <w:bookmarkEnd w:id="115"/>
      <w:bookmarkEnd w:id="116"/>
      <w:bookmarkEnd w:id="117"/>
      <w:r>
        <w:rPr>
          <w:rFonts w:ascii="宋体" w:hAnsi="宋体" w:cs="宋体" w:hint="eastAsia"/>
          <w:color w:val="FF0000"/>
          <w:sz w:val="24"/>
        </w:rPr>
        <w:br w:type="page"/>
      </w:r>
      <w:bookmarkStart w:id="124" w:name="_Toc394081185"/>
      <w:bookmarkStart w:id="125" w:name="_Toc502783411"/>
      <w:bookmarkStart w:id="126" w:name="_Toc511226406"/>
      <w:bookmarkStart w:id="127" w:name="_Toc153130710"/>
      <w:bookmarkStart w:id="128" w:name="_Toc70589719"/>
      <w:r>
        <w:rPr>
          <w:rFonts w:ascii="宋体" w:hAnsi="宋体" w:cs="宋体" w:hint="eastAsia"/>
          <w:sz w:val="24"/>
          <w:szCs w:val="24"/>
        </w:rPr>
        <w:lastRenderedPageBreak/>
        <w:t>2  矿产品需求现状和预测</w:t>
      </w:r>
      <w:bookmarkEnd w:id="123"/>
      <w:bookmarkEnd w:id="124"/>
      <w:bookmarkEnd w:id="125"/>
      <w:bookmarkEnd w:id="126"/>
      <w:bookmarkEnd w:id="127"/>
      <w:bookmarkEnd w:id="128"/>
    </w:p>
    <w:p w:rsidR="009C5C1F" w:rsidRDefault="004D2E0D">
      <w:pPr>
        <w:pStyle w:val="2"/>
        <w:spacing w:beforeLines="100" w:before="360" w:line="500" w:lineRule="atLeast"/>
        <w:ind w:firstLine="482"/>
        <w:rPr>
          <w:rFonts w:ascii="宋体" w:eastAsia="宋体" w:hAnsi="宋体" w:cs="宋体"/>
          <w:sz w:val="24"/>
          <w:szCs w:val="24"/>
        </w:rPr>
      </w:pPr>
      <w:bookmarkStart w:id="129" w:name="_Toc502783412"/>
      <w:bookmarkStart w:id="130" w:name="_Toc70589720"/>
      <w:bookmarkStart w:id="131" w:name="_Toc511226407"/>
      <w:bookmarkStart w:id="132" w:name="_Toc214406982"/>
      <w:bookmarkStart w:id="133" w:name="_Toc153130711"/>
      <w:r>
        <w:rPr>
          <w:rFonts w:ascii="宋体" w:eastAsia="宋体" w:hAnsi="宋体" w:cs="宋体" w:hint="eastAsia"/>
          <w:sz w:val="24"/>
          <w:szCs w:val="24"/>
        </w:rPr>
        <w:t>2.1 矿产品需求现状</w:t>
      </w:r>
      <w:bookmarkEnd w:id="129"/>
      <w:bookmarkEnd w:id="130"/>
      <w:bookmarkEnd w:id="131"/>
      <w:bookmarkEnd w:id="132"/>
      <w:bookmarkEnd w:id="133"/>
    </w:p>
    <w:p w:rsidR="009C5C1F" w:rsidRDefault="004D2E0D">
      <w:pPr>
        <w:adjustRightInd w:val="0"/>
        <w:snapToGrid w:val="0"/>
        <w:spacing w:line="500" w:lineRule="exact"/>
        <w:ind w:firstLineChars="200" w:firstLine="480"/>
        <w:rPr>
          <w:rFonts w:ascii="宋体" w:hAnsi="宋体" w:cs="宋体"/>
          <w:sz w:val="24"/>
        </w:rPr>
      </w:pPr>
      <w:bookmarkStart w:id="134" w:name="_Toc211070063"/>
      <w:bookmarkStart w:id="135" w:name="_Toc213683042"/>
      <w:bookmarkStart w:id="136" w:name="_Toc214406983"/>
      <w:r>
        <w:rPr>
          <w:rFonts w:ascii="宋体" w:hAnsi="宋体" w:cs="宋体" w:hint="eastAsia"/>
          <w:sz w:val="24"/>
        </w:rPr>
        <w:t>在国家</w:t>
      </w:r>
      <w:r w:rsidR="0043470A">
        <w:rPr>
          <w:rFonts w:ascii="宋体" w:hAnsi="宋体" w:cs="宋体" w:hint="eastAsia"/>
          <w:sz w:val="24"/>
        </w:rPr>
        <w:t>“</w:t>
      </w:r>
      <w:r w:rsidR="0043470A">
        <w:rPr>
          <w:rFonts w:ascii="宋体" w:hAnsi="宋体" w:cs="宋体" w:hint="eastAsia"/>
          <w:sz w:val="24"/>
        </w:rPr>
        <w:t>十四五</w:t>
      </w:r>
      <w:r w:rsidR="0043470A">
        <w:rPr>
          <w:rFonts w:ascii="宋体" w:hAnsi="宋体" w:cs="宋体" w:hint="eastAsia"/>
          <w:sz w:val="24"/>
        </w:rPr>
        <w:t>”</w:t>
      </w:r>
      <w:r>
        <w:rPr>
          <w:rFonts w:ascii="宋体" w:hAnsi="宋体" w:cs="宋体" w:hint="eastAsia"/>
          <w:sz w:val="24"/>
        </w:rPr>
        <w:t>规划总政策指引下，随着城市化建设速度的加快，对粘土矿物的需求日益增加，特别是城市和周边地区需求量较大。另由于近年来，一批重点工程、公路和城镇建设项目的实施，对粘土矿物的需求量也随之加大，极大的拉动了粘土原材料的需求。</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根据国家要求，新建建筑必须严格执行节能设计标准（规范），结合城市改造，开展居住和公共建筑节能改造，进行节能型建筑材料的应用已经是大势所趋，而粘土产品以其各项优越的性能在新型建筑材料中占了主导地位。随着建筑业的发展，粘土的需求量逐年加大，无论是建设生产企业，或是材料生产企业，都需要粘土作为资源保障。</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该粘土矿主要作为砖瓦、混凝土的生产原材料。随着经济快速发展，城市都市化建设、城镇工业园区建设、城乡改造、公路建设、城市道路拓宽改造等基础设施建设发展势头强劲，城镇建设速度不断加快，对粘土需求量日益增加，矿产品市场前景广阔。矿区位于临泽县板桥镇，交通便利，地理优势较好，粘土矿丰富，主要销售地区为张掖市及周边县镇乡村等。充分利用粘土矿产资源，既可解决当地建设用粘土问题，又达到增加当地居民收入和解决就业问题。</w:t>
      </w:r>
    </w:p>
    <w:p w:rsidR="009C5C1F" w:rsidRDefault="004D2E0D">
      <w:pPr>
        <w:pStyle w:val="2"/>
        <w:spacing w:beforeLines="100" w:before="360" w:line="500" w:lineRule="atLeast"/>
        <w:ind w:firstLine="482"/>
        <w:rPr>
          <w:rFonts w:ascii="宋体" w:eastAsia="宋体" w:hAnsi="宋体" w:cs="宋体"/>
          <w:sz w:val="24"/>
          <w:szCs w:val="24"/>
        </w:rPr>
      </w:pPr>
      <w:bookmarkStart w:id="137" w:name="_Toc502783413"/>
      <w:bookmarkStart w:id="138" w:name="_Toc153130712"/>
      <w:bookmarkStart w:id="139" w:name="_Toc511226408"/>
      <w:bookmarkStart w:id="140" w:name="_Toc70589721"/>
      <w:r>
        <w:rPr>
          <w:rFonts w:ascii="宋体" w:eastAsia="宋体" w:hAnsi="宋体" w:cs="宋体" w:hint="eastAsia"/>
          <w:sz w:val="24"/>
          <w:szCs w:val="24"/>
        </w:rPr>
        <w:t>2.2 产品价格分析</w:t>
      </w:r>
      <w:bookmarkEnd w:id="134"/>
      <w:bookmarkEnd w:id="135"/>
      <w:bookmarkEnd w:id="136"/>
      <w:bookmarkEnd w:id="137"/>
      <w:bookmarkEnd w:id="138"/>
      <w:bookmarkEnd w:id="139"/>
      <w:bookmarkEnd w:id="140"/>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hint="eastAsia"/>
          <w:kern w:val="0"/>
          <w:sz w:val="24"/>
        </w:rPr>
        <w:t>粘土是一种低附加值的矿产品，其矿山开采成本很低，决定了粘土市场价格也很低，根据国内粘土市场调查</w:t>
      </w:r>
      <w:r>
        <w:rPr>
          <w:rFonts w:ascii="宋体" w:cs="宋体"/>
          <w:kern w:val="0"/>
          <w:sz w:val="24"/>
        </w:rPr>
        <w:t>,</w:t>
      </w:r>
      <w:r>
        <w:rPr>
          <w:rFonts w:ascii="宋体" w:cs="宋体" w:hint="eastAsia"/>
          <w:kern w:val="0"/>
          <w:sz w:val="24"/>
        </w:rPr>
        <w:t>普通粘土的市场平均价格一般在</w:t>
      </w:r>
      <w:r>
        <w:rPr>
          <w:rFonts w:ascii="宋体" w:cs="宋体"/>
          <w:kern w:val="0"/>
          <w:sz w:val="24"/>
        </w:rPr>
        <w:t>8</w:t>
      </w:r>
      <w:r>
        <w:rPr>
          <w:rFonts w:ascii="宋体" w:cs="宋体" w:hint="eastAsia"/>
          <w:kern w:val="0"/>
          <w:sz w:val="24"/>
        </w:rPr>
        <w:t>—</w:t>
      </w:r>
      <w:r>
        <w:rPr>
          <w:rFonts w:ascii="宋体" w:cs="宋体"/>
          <w:kern w:val="0"/>
          <w:sz w:val="24"/>
        </w:rPr>
        <w:t>12</w:t>
      </w:r>
      <w:r>
        <w:rPr>
          <w:rFonts w:ascii="宋体" w:cs="宋体" w:hint="eastAsia"/>
          <w:kern w:val="0"/>
          <w:sz w:val="24"/>
        </w:rPr>
        <w:t>元</w:t>
      </w:r>
      <w:r>
        <w:rPr>
          <w:rFonts w:ascii="宋体" w:cs="宋体"/>
          <w:kern w:val="0"/>
          <w:sz w:val="24"/>
        </w:rPr>
        <w:t>/</w:t>
      </w:r>
      <w:r>
        <w:rPr>
          <w:rFonts w:ascii="宋体" w:cs="宋体" w:hint="eastAsia"/>
          <w:kern w:val="0"/>
          <w:sz w:val="24"/>
        </w:rPr>
        <w:t>吨之间波动。经过与业主调查，该矿山的粘土市场价格在</w:t>
      </w:r>
      <w:r>
        <w:rPr>
          <w:rFonts w:ascii="宋体" w:cs="宋体"/>
          <w:kern w:val="0"/>
          <w:sz w:val="24"/>
        </w:rPr>
        <w:t>30---55</w:t>
      </w:r>
      <w:r>
        <w:rPr>
          <w:rFonts w:ascii="宋体" w:cs="宋体" w:hint="eastAsia"/>
          <w:kern w:val="0"/>
          <w:sz w:val="24"/>
        </w:rPr>
        <w:t>元</w:t>
      </w:r>
      <w:r>
        <w:rPr>
          <w:rFonts w:ascii="宋体" w:cs="宋体"/>
          <w:kern w:val="0"/>
          <w:sz w:val="24"/>
        </w:rPr>
        <w:t>/</w:t>
      </w:r>
      <w:r>
        <w:rPr>
          <w:rFonts w:ascii="宋体" w:cs="宋体" w:hint="eastAsia"/>
          <w:kern w:val="0"/>
          <w:sz w:val="24"/>
        </w:rPr>
        <w:t>吨之间波动，实际的市场平均售价（不包运费）为</w:t>
      </w:r>
      <w:r>
        <w:rPr>
          <w:rFonts w:ascii="宋体" w:cs="宋体"/>
          <w:kern w:val="0"/>
          <w:sz w:val="24"/>
        </w:rPr>
        <w:t>35</w:t>
      </w:r>
      <w:r>
        <w:rPr>
          <w:rFonts w:ascii="宋体" w:cs="宋体" w:hint="eastAsia"/>
          <w:kern w:val="0"/>
          <w:sz w:val="24"/>
        </w:rPr>
        <w:t>元</w:t>
      </w:r>
      <w:r>
        <w:rPr>
          <w:rFonts w:ascii="宋体" w:cs="宋体"/>
          <w:kern w:val="0"/>
          <w:sz w:val="24"/>
        </w:rPr>
        <w:t>/</w:t>
      </w:r>
      <w:r>
        <w:rPr>
          <w:rFonts w:ascii="宋体" w:cs="宋体" w:hint="eastAsia"/>
          <w:kern w:val="0"/>
          <w:sz w:val="24"/>
        </w:rPr>
        <w:t>吨。</w:t>
      </w:r>
    </w:p>
    <w:p w:rsidR="009C5C1F" w:rsidRDefault="004D2E0D">
      <w:pPr>
        <w:pStyle w:val="1"/>
        <w:spacing w:beforeLines="100" w:before="360" w:after="0" w:line="500" w:lineRule="exact"/>
        <w:rPr>
          <w:rStyle w:val="1Char"/>
          <w:b/>
          <w:bCs/>
          <w:sz w:val="24"/>
          <w:szCs w:val="24"/>
        </w:rPr>
      </w:pPr>
      <w:bookmarkStart w:id="141" w:name="_Toc214406984"/>
      <w:bookmarkStart w:id="142" w:name="_Toc502783414"/>
      <w:bookmarkStart w:id="143" w:name="_Toc511226409"/>
      <w:bookmarkStart w:id="144" w:name="_Toc211070064"/>
      <w:r>
        <w:rPr>
          <w:rStyle w:val="1Char"/>
          <w:rFonts w:hint="eastAsia"/>
          <w:b/>
          <w:bCs/>
          <w:sz w:val="24"/>
          <w:szCs w:val="24"/>
        </w:rPr>
        <w:br w:type="page"/>
      </w:r>
      <w:bookmarkStart w:id="145" w:name="_Toc153130713"/>
      <w:bookmarkStart w:id="146" w:name="_Toc70589722"/>
      <w:r>
        <w:rPr>
          <w:rFonts w:ascii="宋体" w:hAnsi="宋体" w:cs="宋体" w:hint="eastAsia"/>
          <w:sz w:val="24"/>
          <w:szCs w:val="24"/>
        </w:rPr>
        <w:lastRenderedPageBreak/>
        <w:t>3  矿产资源概况</w:t>
      </w:r>
      <w:bookmarkEnd w:id="141"/>
      <w:bookmarkEnd w:id="142"/>
      <w:bookmarkEnd w:id="143"/>
      <w:bookmarkEnd w:id="145"/>
      <w:bookmarkEnd w:id="146"/>
    </w:p>
    <w:p w:rsidR="009C5C1F" w:rsidRDefault="004D2E0D">
      <w:pPr>
        <w:pStyle w:val="2"/>
        <w:spacing w:beforeLines="100" w:before="360" w:line="500" w:lineRule="atLeast"/>
        <w:ind w:firstLine="482"/>
        <w:rPr>
          <w:rFonts w:ascii="宋体" w:eastAsia="宋体" w:hAnsi="宋体" w:cs="宋体"/>
          <w:sz w:val="24"/>
          <w:szCs w:val="24"/>
        </w:rPr>
      </w:pPr>
      <w:bookmarkStart w:id="147" w:name="_Toc502783415"/>
      <w:bookmarkStart w:id="148" w:name="_Toc511226410"/>
      <w:bookmarkStart w:id="149" w:name="_Toc70589723"/>
      <w:bookmarkStart w:id="150" w:name="_Toc153130714"/>
      <w:bookmarkStart w:id="151" w:name="_Toc298863305"/>
      <w:bookmarkStart w:id="152" w:name="_Toc211070065"/>
      <w:bookmarkStart w:id="153" w:name="_Toc213683048"/>
      <w:bookmarkStart w:id="154" w:name="_Toc214406989"/>
      <w:bookmarkEnd w:id="144"/>
      <w:r>
        <w:rPr>
          <w:rFonts w:ascii="宋体" w:eastAsia="宋体" w:hAnsi="宋体" w:cs="宋体" w:hint="eastAsia"/>
          <w:sz w:val="24"/>
          <w:szCs w:val="24"/>
        </w:rPr>
        <w:t>3.1矿区总体概况</w:t>
      </w:r>
      <w:bookmarkEnd w:id="147"/>
      <w:bookmarkEnd w:id="148"/>
      <w:bookmarkEnd w:id="149"/>
      <w:bookmarkEnd w:id="150"/>
      <w:bookmarkEnd w:id="151"/>
    </w:p>
    <w:p w:rsidR="009C5C1F" w:rsidRDefault="004D2E0D">
      <w:pPr>
        <w:autoSpaceDE w:val="0"/>
        <w:autoSpaceDN w:val="0"/>
        <w:adjustRightInd w:val="0"/>
        <w:spacing w:line="500" w:lineRule="exact"/>
        <w:ind w:firstLineChars="200" w:firstLine="480"/>
        <w:jc w:val="left"/>
        <w:rPr>
          <w:rFonts w:ascii="宋体" w:hAnsi="宋体" w:cs="宋体"/>
          <w:sz w:val="24"/>
        </w:rPr>
      </w:pPr>
      <w:bookmarkStart w:id="155" w:name="_Toc213683046"/>
      <w:bookmarkStart w:id="156" w:name="_Toc214406987"/>
      <w:r>
        <w:rPr>
          <w:rFonts w:ascii="宋体" w:hAnsi="宋体" w:cs="宋体" w:hint="eastAsia"/>
          <w:sz w:val="24"/>
        </w:rPr>
        <w:t>矿区位于临泽县城</w:t>
      </w:r>
      <w:r>
        <w:rPr>
          <w:rFonts w:ascii="宋体" w:hAnsi="宋体" w:cs="宋体"/>
          <w:sz w:val="24"/>
        </w:rPr>
        <w:t>13</w:t>
      </w:r>
      <w:r>
        <w:rPr>
          <w:rFonts w:ascii="宋体" w:hAnsi="宋体" w:cs="宋体" w:hint="eastAsia"/>
          <w:sz w:val="24"/>
        </w:rPr>
        <w:t>°方向，直线距离约</w:t>
      </w:r>
      <w:r>
        <w:rPr>
          <w:rFonts w:ascii="宋体" w:hAnsi="宋体" w:cs="宋体"/>
          <w:sz w:val="24"/>
        </w:rPr>
        <w:t>25</w:t>
      </w:r>
      <w:r>
        <w:rPr>
          <w:rFonts w:ascii="宋体" w:hAnsi="宋体" w:cs="宋体" w:hint="eastAsia"/>
          <w:sz w:val="24"/>
        </w:rPr>
        <w:t>km处，矿区与</w:t>
      </w:r>
      <w:r>
        <w:rPr>
          <w:rFonts w:ascii="宋体" w:hAnsi="宋体" w:cs="宋体"/>
          <w:sz w:val="24"/>
        </w:rPr>
        <w:t>214</w:t>
      </w:r>
      <w:r>
        <w:rPr>
          <w:rFonts w:ascii="宋体" w:hAnsi="宋体" w:cs="宋体" w:hint="eastAsia"/>
          <w:sz w:val="24"/>
        </w:rPr>
        <w:t>县道有6km简易便道连通，交通较为便利。由《普查报告》可知：该</w:t>
      </w:r>
      <w:r>
        <w:rPr>
          <w:rFonts w:ascii="宋体" w:hAnsi="宋体" w:cs="宋体" w:hint="eastAsia"/>
          <w:color w:val="000000"/>
          <w:sz w:val="24"/>
        </w:rPr>
        <w:t>矿矿体东西长约</w:t>
      </w:r>
      <w:r>
        <w:rPr>
          <w:rFonts w:ascii="宋体" w:hAnsi="宋体" w:cs="宋体"/>
          <w:color w:val="000000"/>
          <w:sz w:val="24"/>
        </w:rPr>
        <w:t>1241</w:t>
      </w:r>
      <w:r>
        <w:rPr>
          <w:rFonts w:ascii="宋体" w:hAnsi="宋体" w:cs="宋体" w:hint="eastAsia"/>
          <w:color w:val="000000"/>
          <w:sz w:val="24"/>
        </w:rPr>
        <w:t>m，南北宽约2</w:t>
      </w:r>
      <w:r>
        <w:rPr>
          <w:rFonts w:ascii="宋体" w:hAnsi="宋体" w:cs="宋体"/>
          <w:color w:val="000000"/>
          <w:sz w:val="24"/>
        </w:rPr>
        <w:t>70</w:t>
      </w:r>
      <w:r>
        <w:rPr>
          <w:rFonts w:ascii="宋体" w:hAnsi="宋体" w:cs="宋体" w:hint="eastAsia"/>
          <w:color w:val="000000"/>
          <w:sz w:val="24"/>
        </w:rPr>
        <w:t>m，矿体厚度约为4</w:t>
      </w:r>
      <w:r>
        <w:rPr>
          <w:rFonts w:ascii="宋体" w:hAnsi="宋体" w:cs="宋体"/>
          <w:color w:val="000000"/>
          <w:sz w:val="24"/>
        </w:rPr>
        <w:t>.8</w:t>
      </w:r>
      <w:r>
        <w:rPr>
          <w:rFonts w:ascii="宋体" w:hAnsi="宋体" w:cs="宋体" w:hint="eastAsia"/>
          <w:color w:val="000000"/>
          <w:sz w:val="24"/>
        </w:rPr>
        <w:t>m～1</w:t>
      </w:r>
      <w:r>
        <w:rPr>
          <w:rFonts w:ascii="宋体" w:hAnsi="宋体" w:cs="宋体"/>
          <w:color w:val="000000"/>
          <w:sz w:val="24"/>
        </w:rPr>
        <w:t>1</w:t>
      </w:r>
      <w:r>
        <w:rPr>
          <w:rFonts w:ascii="宋体" w:hAnsi="宋体" w:cs="宋体" w:hint="eastAsia"/>
          <w:color w:val="000000"/>
          <w:sz w:val="24"/>
        </w:rPr>
        <w:t>.5m，总体呈东高西低的趋势。矿区赋存于第四系晚更新统洪积物</w:t>
      </w:r>
      <w:proofErr w:type="gramStart"/>
      <w:r>
        <w:rPr>
          <w:rFonts w:ascii="宋体" w:hAnsi="宋体" w:cs="宋体" w:hint="eastAsia"/>
          <w:color w:val="000000"/>
          <w:sz w:val="24"/>
        </w:rPr>
        <w:t>粘土层夹砾石</w:t>
      </w:r>
      <w:proofErr w:type="gramEnd"/>
      <w:r>
        <w:rPr>
          <w:rFonts w:ascii="宋体" w:hAnsi="宋体" w:cs="宋体" w:hint="eastAsia"/>
          <w:color w:val="000000"/>
          <w:sz w:val="24"/>
        </w:rPr>
        <w:t>层，呈土黄色，具有水平层理，每层均有0.</w:t>
      </w:r>
      <w:r>
        <w:rPr>
          <w:rFonts w:ascii="宋体" w:hAnsi="宋体" w:cs="宋体"/>
          <w:color w:val="000000"/>
          <w:sz w:val="24"/>
        </w:rPr>
        <w:t>1</w:t>
      </w:r>
      <w:r>
        <w:rPr>
          <w:rFonts w:ascii="宋体" w:hAnsi="宋体" w:cs="宋体" w:hint="eastAsia"/>
          <w:color w:val="000000"/>
          <w:sz w:val="24"/>
        </w:rPr>
        <w:t>m～0.</w:t>
      </w:r>
      <w:r>
        <w:rPr>
          <w:rFonts w:ascii="宋体" w:hAnsi="宋体" w:cs="宋体"/>
          <w:color w:val="000000"/>
          <w:sz w:val="24"/>
        </w:rPr>
        <w:t>3</w:t>
      </w:r>
      <w:r>
        <w:rPr>
          <w:rFonts w:ascii="宋体" w:hAnsi="宋体" w:cs="宋体" w:hint="eastAsia"/>
          <w:color w:val="000000"/>
          <w:sz w:val="24"/>
        </w:rPr>
        <w:t>m砾石覆盖。</w:t>
      </w:r>
      <w:r>
        <w:rPr>
          <w:rFonts w:ascii="宋体" w:hAnsi="宋体" w:cs="宋体" w:hint="eastAsia"/>
          <w:sz w:val="24"/>
        </w:rPr>
        <w:t>矿区整体地势较为平缓，矿体赋存条件较好，适合露天开采。</w:t>
      </w:r>
    </w:p>
    <w:p w:rsidR="009C5C1F" w:rsidRDefault="004D2E0D">
      <w:pPr>
        <w:pStyle w:val="3"/>
        <w:spacing w:beforeLines="100" w:before="360" w:after="0" w:line="500" w:lineRule="exact"/>
        <w:ind w:firstLineChars="200" w:firstLine="482"/>
        <w:rPr>
          <w:rFonts w:ascii="宋体" w:hAnsi="宋体" w:cs="宋体"/>
        </w:rPr>
      </w:pPr>
      <w:bookmarkStart w:id="157" w:name="_Toc70589724"/>
      <w:r>
        <w:rPr>
          <w:rFonts w:ascii="宋体" w:hAnsi="宋体" w:cs="宋体" w:hint="eastAsia"/>
        </w:rPr>
        <w:t>3.1.1 矿区总体规划情况</w:t>
      </w:r>
      <w:bookmarkEnd w:id="157"/>
    </w:p>
    <w:p w:rsidR="009C5C1F" w:rsidRDefault="004D2E0D">
      <w:pPr>
        <w:pStyle w:val="a7"/>
        <w:spacing w:after="0" w:line="500" w:lineRule="exact"/>
        <w:ind w:right="228" w:firstLine="479"/>
        <w:rPr>
          <w:rFonts w:ascii="宋体" w:hAnsi="宋体" w:cs="宋体"/>
          <w:sz w:val="24"/>
        </w:rPr>
      </w:pPr>
      <w:r>
        <w:rPr>
          <w:rFonts w:ascii="宋体" w:hAnsi="宋体" w:cs="宋体" w:hint="eastAsia"/>
          <w:sz w:val="24"/>
        </w:rPr>
        <w:t xml:space="preserve">该矿为新建矿山，矿区面积为 </w:t>
      </w:r>
      <w:r>
        <w:rPr>
          <w:rFonts w:ascii="宋体" w:hAnsi="宋体" w:cs="宋体"/>
          <w:sz w:val="24"/>
        </w:rPr>
        <w:t>0.35</w:t>
      </w:r>
      <w:r>
        <w:rPr>
          <w:rFonts w:ascii="宋体" w:hAnsi="宋体" w:cs="宋体" w:hint="eastAsia"/>
          <w:sz w:val="24"/>
        </w:rPr>
        <w:t>平方公里，根据张掖市矿山开采整体规划及企业征求意见，该矿在实施开发、保护、利用相结合的战略理念基础上，凭借国道线、城乡道路等交通优势，制定了总体规划，项目计划为三期，近几年为基建期，中期为采矿期，远期为采矿后的地形地貌景观破坏进行恢复治理与土地复垦期，范围为采矿区及其周边影响区。</w:t>
      </w:r>
    </w:p>
    <w:p w:rsidR="009C5C1F" w:rsidRDefault="004D2E0D">
      <w:pPr>
        <w:pStyle w:val="3"/>
        <w:spacing w:beforeLines="100" w:before="360" w:after="0" w:line="500" w:lineRule="exact"/>
        <w:ind w:firstLineChars="200" w:firstLine="482"/>
        <w:rPr>
          <w:rFonts w:ascii="宋体" w:hAnsi="宋体" w:cs="宋体"/>
        </w:rPr>
      </w:pPr>
      <w:bookmarkStart w:id="158" w:name="_Toc502783417"/>
      <w:bookmarkStart w:id="159" w:name="_Toc70589725"/>
      <w:bookmarkStart w:id="160" w:name="_Toc298863307"/>
      <w:bookmarkStart w:id="161" w:name="_Toc395519116"/>
      <w:r>
        <w:rPr>
          <w:rFonts w:ascii="宋体" w:hAnsi="宋体" w:cs="宋体" w:hint="eastAsia"/>
        </w:rPr>
        <w:t>3.1.2矿区矿产资源概况</w:t>
      </w:r>
      <w:bookmarkEnd w:id="155"/>
      <w:bookmarkEnd w:id="156"/>
      <w:bookmarkEnd w:id="158"/>
      <w:bookmarkEnd w:id="159"/>
      <w:bookmarkEnd w:id="160"/>
      <w:bookmarkEnd w:id="161"/>
    </w:p>
    <w:p w:rsidR="009C5C1F" w:rsidRDefault="004D2E0D">
      <w:pPr>
        <w:pStyle w:val="a7"/>
        <w:spacing w:after="0" w:line="500" w:lineRule="exact"/>
        <w:ind w:firstLineChars="200" w:firstLine="480"/>
        <w:rPr>
          <w:rFonts w:ascii="宋体" w:hAnsi="宋体" w:cs="宋体"/>
          <w:sz w:val="24"/>
        </w:rPr>
      </w:pPr>
      <w:bookmarkStart w:id="162" w:name="_Toc213683047"/>
      <w:bookmarkStart w:id="163" w:name="_Toc214406988"/>
      <w:r>
        <w:rPr>
          <w:rFonts w:ascii="宋体" w:hAnsi="宋体" w:cs="宋体" w:hint="eastAsia"/>
          <w:sz w:val="24"/>
        </w:rPr>
        <w:t>本方案所依据的资源量是由甘肃有色金属地质</w:t>
      </w:r>
      <w:proofErr w:type="gramStart"/>
      <w:r>
        <w:rPr>
          <w:rFonts w:ascii="宋体" w:hAnsi="宋体" w:cs="宋体" w:hint="eastAsia"/>
          <w:sz w:val="24"/>
        </w:rPr>
        <w:t>勘查局张掖</w:t>
      </w:r>
      <w:proofErr w:type="gramEnd"/>
      <w:r>
        <w:rPr>
          <w:rFonts w:ascii="宋体" w:hAnsi="宋体" w:cs="宋体" w:hint="eastAsia"/>
          <w:sz w:val="24"/>
        </w:rPr>
        <w:t>矿产勘察院提供的《甘肃省板桥镇壕洼村</w:t>
      </w:r>
      <w:r>
        <w:rPr>
          <w:rFonts w:hint="eastAsia"/>
          <w:sz w:val="24"/>
        </w:rPr>
        <w:t>正北山西侧砖瓦用粘土矿</w:t>
      </w:r>
      <w:r>
        <w:rPr>
          <w:rFonts w:ascii="宋体" w:hAnsi="宋体" w:cs="宋体" w:hint="eastAsia"/>
          <w:sz w:val="24"/>
        </w:rPr>
        <w:t>普查报告》（202</w:t>
      </w:r>
      <w:r>
        <w:rPr>
          <w:rFonts w:ascii="宋体" w:hAnsi="宋体" w:cs="宋体"/>
          <w:sz w:val="24"/>
        </w:rPr>
        <w:t>2</w:t>
      </w:r>
      <w:r>
        <w:rPr>
          <w:rFonts w:ascii="宋体" w:hAnsi="宋体" w:cs="宋体" w:hint="eastAsia"/>
          <w:sz w:val="24"/>
        </w:rPr>
        <w:t>.</w:t>
      </w:r>
      <w:r>
        <w:rPr>
          <w:rFonts w:ascii="宋体" w:hAnsi="宋体" w:cs="宋体"/>
          <w:sz w:val="24"/>
        </w:rPr>
        <w:t>1</w:t>
      </w:r>
      <w:r>
        <w:rPr>
          <w:rFonts w:ascii="宋体" w:hAnsi="宋体" w:cs="宋体" w:hint="eastAsia"/>
          <w:sz w:val="24"/>
        </w:rPr>
        <w:t>）资料可知，</w:t>
      </w:r>
      <w:bookmarkStart w:id="164" w:name="_Toc502783418"/>
      <w:bookmarkStart w:id="165" w:name="_Toc511226411"/>
      <w:bookmarkEnd w:id="162"/>
      <w:bookmarkEnd w:id="163"/>
      <w:r>
        <w:rPr>
          <w:rFonts w:ascii="宋体" w:hAnsi="宋体" w:cs="宋体" w:hint="eastAsia"/>
          <w:sz w:val="24"/>
        </w:rPr>
        <w:t>甘肃省板桥</w:t>
      </w:r>
      <w:proofErr w:type="gramStart"/>
      <w:r>
        <w:rPr>
          <w:rFonts w:ascii="宋体" w:hAnsi="宋体" w:cs="宋体" w:hint="eastAsia"/>
          <w:sz w:val="24"/>
        </w:rPr>
        <w:t>镇壕洼村</w:t>
      </w:r>
      <w:proofErr w:type="gramEnd"/>
      <w:r>
        <w:rPr>
          <w:rFonts w:hint="eastAsia"/>
          <w:sz w:val="24"/>
        </w:rPr>
        <w:t>正北山西侧砖瓦用粘土矿</w:t>
      </w:r>
      <w:proofErr w:type="gramStart"/>
      <w:r>
        <w:rPr>
          <w:rFonts w:ascii="宋体" w:hAnsi="宋体" w:cs="宋体" w:hint="eastAsia"/>
          <w:sz w:val="24"/>
        </w:rPr>
        <w:t>矿</w:t>
      </w:r>
      <w:proofErr w:type="gramEnd"/>
      <w:r>
        <w:rPr>
          <w:rFonts w:ascii="宋体" w:hAnsi="宋体" w:cs="宋体" w:hint="eastAsia"/>
          <w:sz w:val="24"/>
        </w:rPr>
        <w:t>权范围内查明资源储量为</w:t>
      </w:r>
      <w:r>
        <w:rPr>
          <w:rFonts w:ascii="宋体" w:hAnsi="宋体" w:cs="宋体"/>
          <w:sz w:val="24"/>
        </w:rPr>
        <w:t>124</w:t>
      </w:r>
      <w:r>
        <w:rPr>
          <w:rFonts w:ascii="宋体" w:hAnsi="宋体" w:cs="宋体" w:hint="eastAsia"/>
          <w:sz w:val="24"/>
        </w:rPr>
        <w:t>.</w:t>
      </w:r>
      <w:r>
        <w:rPr>
          <w:rFonts w:ascii="宋体" w:hAnsi="宋体" w:cs="宋体"/>
          <w:sz w:val="24"/>
        </w:rPr>
        <w:t>1×</w:t>
      </w:r>
      <w:r>
        <w:rPr>
          <w:rFonts w:ascii="宋体" w:hAnsi="宋体" w:cs="宋体" w:hint="eastAsia"/>
          <w:sz w:val="24"/>
        </w:rPr>
        <w:t>10</w:t>
      </w:r>
      <w:r>
        <w:rPr>
          <w:rFonts w:ascii="宋体" w:hAnsi="宋体" w:cs="宋体" w:hint="eastAsia"/>
          <w:sz w:val="24"/>
          <w:vertAlign w:val="superscript"/>
        </w:rPr>
        <w:t>4</w:t>
      </w:r>
      <w:r>
        <w:rPr>
          <w:rFonts w:ascii="宋体" w:hAnsi="宋体" w:cs="宋体" w:hint="eastAsia"/>
          <w:sz w:val="24"/>
        </w:rPr>
        <w:t>m</w:t>
      </w:r>
      <w:r>
        <w:rPr>
          <w:rFonts w:ascii="宋体" w:hAnsi="宋体" w:cs="宋体" w:hint="eastAsia"/>
          <w:sz w:val="24"/>
          <w:vertAlign w:val="superscript"/>
        </w:rPr>
        <w:t>3</w:t>
      </w:r>
      <w:r>
        <w:rPr>
          <w:rFonts w:ascii="宋体" w:hAnsi="宋体" w:cs="宋体" w:hint="eastAsia"/>
          <w:sz w:val="24"/>
        </w:rPr>
        <w:t>。矿体厚度</w:t>
      </w:r>
      <w:r>
        <w:rPr>
          <w:rFonts w:ascii="宋体" w:hAnsi="宋体" w:cs="宋体"/>
          <w:sz w:val="24"/>
        </w:rPr>
        <w:t>4.8</w:t>
      </w:r>
      <w:r>
        <w:rPr>
          <w:rFonts w:ascii="宋体" w:hAnsi="宋体" w:cs="宋体" w:hint="eastAsia"/>
          <w:sz w:val="24"/>
        </w:rPr>
        <w:t>m～</w:t>
      </w:r>
      <w:r>
        <w:rPr>
          <w:rFonts w:ascii="宋体" w:hAnsi="宋体" w:cs="宋体"/>
          <w:sz w:val="24"/>
        </w:rPr>
        <w:t>11</w:t>
      </w:r>
      <w:r>
        <w:rPr>
          <w:rFonts w:ascii="宋体" w:hAnsi="宋体" w:cs="宋体" w:hint="eastAsia"/>
          <w:sz w:val="24"/>
        </w:rPr>
        <w:t>.5m，矿体赋存地表以下</w:t>
      </w:r>
      <w:r>
        <w:rPr>
          <w:rFonts w:ascii="宋体" w:hAnsi="宋体" w:cs="宋体"/>
          <w:sz w:val="24"/>
        </w:rPr>
        <w:t>1</w:t>
      </w:r>
      <w:r>
        <w:rPr>
          <w:rFonts w:ascii="宋体" w:hAnsi="宋体" w:cs="宋体" w:hint="eastAsia"/>
          <w:sz w:val="24"/>
        </w:rPr>
        <w:t>m范围内，开采标高范围：</w:t>
      </w:r>
      <w:r>
        <w:rPr>
          <w:rFonts w:ascii="宋体" w:hAnsi="宋体" w:cs="宋体"/>
          <w:sz w:val="24"/>
        </w:rPr>
        <w:t>1371</w:t>
      </w:r>
      <w:r>
        <w:rPr>
          <w:rFonts w:ascii="宋体" w:hAnsi="宋体" w:cs="宋体" w:hint="eastAsia"/>
          <w:sz w:val="24"/>
        </w:rPr>
        <w:t>～1</w:t>
      </w:r>
      <w:r>
        <w:rPr>
          <w:rFonts w:ascii="宋体" w:hAnsi="宋体" w:cs="宋体"/>
          <w:sz w:val="24"/>
        </w:rPr>
        <w:t>353</w:t>
      </w:r>
      <w:r>
        <w:rPr>
          <w:rFonts w:ascii="宋体" w:hAnsi="宋体" w:cs="宋体" w:hint="eastAsia"/>
          <w:sz w:val="24"/>
        </w:rPr>
        <w:t>m。</w:t>
      </w:r>
    </w:p>
    <w:p w:rsidR="009C5C1F" w:rsidRDefault="004D2E0D">
      <w:pPr>
        <w:pStyle w:val="2"/>
        <w:spacing w:beforeLines="100" w:before="360" w:line="500" w:lineRule="atLeast"/>
        <w:ind w:firstLine="482"/>
        <w:rPr>
          <w:rFonts w:ascii="宋体" w:eastAsia="宋体" w:hAnsi="宋体" w:cs="宋体"/>
          <w:sz w:val="24"/>
          <w:szCs w:val="24"/>
        </w:rPr>
      </w:pPr>
      <w:bookmarkStart w:id="166" w:name="_Toc70589726"/>
      <w:bookmarkStart w:id="167" w:name="_Toc153130715"/>
      <w:r>
        <w:rPr>
          <w:rFonts w:ascii="宋体" w:eastAsia="宋体" w:hAnsi="宋体" w:cs="宋体" w:hint="eastAsia"/>
          <w:sz w:val="24"/>
          <w:szCs w:val="24"/>
        </w:rPr>
        <w:t>3.</w:t>
      </w:r>
      <w:bookmarkEnd w:id="152"/>
      <w:r>
        <w:rPr>
          <w:rFonts w:ascii="宋体" w:eastAsia="宋体" w:hAnsi="宋体" w:cs="宋体" w:hint="eastAsia"/>
          <w:sz w:val="24"/>
          <w:szCs w:val="24"/>
        </w:rPr>
        <w:t>2矿山地质概况</w:t>
      </w:r>
      <w:bookmarkEnd w:id="153"/>
      <w:bookmarkEnd w:id="154"/>
      <w:bookmarkEnd w:id="164"/>
      <w:bookmarkEnd w:id="165"/>
      <w:bookmarkEnd w:id="166"/>
      <w:bookmarkEnd w:id="167"/>
    </w:p>
    <w:p w:rsidR="009C5C1F" w:rsidRDefault="004D2E0D">
      <w:pPr>
        <w:pStyle w:val="3"/>
        <w:spacing w:beforeLines="100" w:before="360" w:after="0" w:line="500" w:lineRule="exact"/>
        <w:ind w:firstLineChars="200" w:firstLine="482"/>
        <w:rPr>
          <w:rFonts w:ascii="宋体" w:hAnsi="宋体" w:cs="宋体"/>
        </w:rPr>
      </w:pPr>
      <w:bookmarkStart w:id="168" w:name="_Toc502783419"/>
      <w:bookmarkStart w:id="169" w:name="_Toc70589727"/>
      <w:bookmarkStart w:id="170" w:name="_Toc214406990"/>
      <w:r>
        <w:rPr>
          <w:rFonts w:ascii="宋体" w:hAnsi="宋体" w:cs="宋体" w:hint="eastAsia"/>
        </w:rPr>
        <w:t>3.2.1区域地质概况</w:t>
      </w:r>
      <w:bookmarkEnd w:id="168"/>
      <w:bookmarkEnd w:id="169"/>
    </w:p>
    <w:p w:rsidR="009C5C1F" w:rsidRDefault="004D2E0D" w:rsidP="009135C6">
      <w:pPr>
        <w:autoSpaceDE w:val="0"/>
        <w:autoSpaceDN w:val="0"/>
        <w:adjustRightInd w:val="0"/>
        <w:spacing w:line="500" w:lineRule="exact"/>
        <w:ind w:firstLineChars="257" w:firstLine="617"/>
        <w:jc w:val="left"/>
        <w:rPr>
          <w:rFonts w:ascii="宋体" w:hAnsi="宋体" w:cs="宋体"/>
          <w:color w:val="000000"/>
          <w:sz w:val="24"/>
        </w:rPr>
      </w:pPr>
      <w:r>
        <w:rPr>
          <w:rFonts w:hint="eastAsia"/>
          <w:sz w:val="24"/>
        </w:rPr>
        <w:t>区域大地构造位置属龙首山逆冲断裂带。该带白垩系之后逐渐演化为半封</w:t>
      </w:r>
      <w:r>
        <w:rPr>
          <w:rFonts w:hint="eastAsia"/>
          <w:sz w:val="24"/>
        </w:rPr>
        <w:lastRenderedPageBreak/>
        <w:t>闭的陆相盐湖断陷盆地，临泽</w:t>
      </w:r>
      <w:proofErr w:type="gramStart"/>
      <w:r>
        <w:rPr>
          <w:rFonts w:hint="eastAsia"/>
          <w:sz w:val="24"/>
        </w:rPr>
        <w:t>县杨台洼滩</w:t>
      </w:r>
      <w:proofErr w:type="gramEnd"/>
      <w:r>
        <w:rPr>
          <w:rFonts w:hint="eastAsia"/>
          <w:sz w:val="24"/>
        </w:rPr>
        <w:t>盆地为其中之一。大地构造属阿拉善—华北板块西南活动边缘的龙首山弧后逆冲断隆带的大孤山—正北山构造带。北邻潮水盆地，南以龙首山深大断裂为界与河西走廊相接</w:t>
      </w:r>
      <w:r>
        <w:rPr>
          <w:rFonts w:ascii="宋体" w:hAnsi="宋体" w:cs="宋体" w:hint="eastAsia"/>
          <w:color w:val="000000"/>
          <w:sz w:val="24"/>
        </w:rPr>
        <w:t>。</w:t>
      </w:r>
    </w:p>
    <w:p w:rsidR="009C5C1F" w:rsidRDefault="004D2E0D" w:rsidP="009135C6">
      <w:pPr>
        <w:autoSpaceDE w:val="0"/>
        <w:autoSpaceDN w:val="0"/>
        <w:adjustRightInd w:val="0"/>
        <w:spacing w:line="500" w:lineRule="exact"/>
        <w:ind w:firstLineChars="257" w:firstLine="617"/>
        <w:jc w:val="left"/>
        <w:rPr>
          <w:rFonts w:ascii="宋体" w:hAnsi="宋体" w:cs="宋体"/>
          <w:color w:val="000000"/>
          <w:sz w:val="24"/>
        </w:rPr>
      </w:pPr>
      <w:bookmarkStart w:id="171" w:name="_Toc47469529"/>
      <w:bookmarkStart w:id="172" w:name="_Toc440525444"/>
      <w:bookmarkStart w:id="173" w:name="_Toc341885739"/>
      <w:bookmarkStart w:id="174" w:name="_Toc146451605"/>
      <w:bookmarkStart w:id="175" w:name="_Toc124733932"/>
      <w:bookmarkStart w:id="176" w:name="_Toc124909200"/>
      <w:bookmarkStart w:id="177" w:name="_Toc288814094"/>
      <w:bookmarkStart w:id="178" w:name="_Toc329595078"/>
      <w:bookmarkStart w:id="179" w:name="_Toc338235468"/>
      <w:bookmarkStart w:id="180" w:name="_Toc172861819"/>
      <w:bookmarkStart w:id="181" w:name="_Toc293479188"/>
      <w:bookmarkStart w:id="182" w:name="_Toc172861820"/>
      <w:bookmarkStart w:id="183" w:name="_Toc214406992"/>
      <w:bookmarkStart w:id="184" w:name="_Toc211070076"/>
      <w:bookmarkStart w:id="185" w:name="_Toc213683049"/>
      <w:bookmarkEnd w:id="170"/>
      <w:r>
        <w:rPr>
          <w:rFonts w:ascii="宋体" w:hAnsi="宋体" w:cs="宋体" w:hint="eastAsia"/>
          <w:color w:val="000000"/>
          <w:sz w:val="24"/>
        </w:rPr>
        <w:t>2. 区域构造</w:t>
      </w:r>
      <w:bookmarkEnd w:id="171"/>
    </w:p>
    <w:p w:rsidR="009C5C1F" w:rsidRDefault="004D2E0D" w:rsidP="009135C6">
      <w:pPr>
        <w:autoSpaceDE w:val="0"/>
        <w:autoSpaceDN w:val="0"/>
        <w:adjustRightInd w:val="0"/>
        <w:spacing w:line="500" w:lineRule="exact"/>
        <w:ind w:firstLineChars="257" w:firstLine="617"/>
        <w:jc w:val="left"/>
        <w:rPr>
          <w:sz w:val="24"/>
        </w:rPr>
      </w:pPr>
      <w:r>
        <w:rPr>
          <w:rFonts w:hint="eastAsia"/>
          <w:sz w:val="24"/>
        </w:rPr>
        <w:t>区域</w:t>
      </w:r>
      <w:r>
        <w:rPr>
          <w:sz w:val="24"/>
        </w:rPr>
        <w:t>处于洪流所形成的洪积扇上，地势平坦开阔，无其它岩性露头，地表未发现新构造运动痕迹。</w:t>
      </w:r>
      <w:r>
        <w:rPr>
          <w:rFonts w:hint="eastAsia"/>
          <w:sz w:val="24"/>
        </w:rPr>
        <w:t>粘土层、</w:t>
      </w:r>
      <w:r>
        <w:rPr>
          <w:sz w:val="24"/>
        </w:rPr>
        <w:t>砾石</w:t>
      </w:r>
      <w:r>
        <w:rPr>
          <w:rFonts w:hint="eastAsia"/>
          <w:sz w:val="24"/>
        </w:rPr>
        <w:t>层</w:t>
      </w:r>
      <w:r>
        <w:rPr>
          <w:sz w:val="24"/>
        </w:rPr>
        <w:t>产状基本</w:t>
      </w:r>
      <w:r>
        <w:rPr>
          <w:rFonts w:hint="eastAsia"/>
          <w:sz w:val="24"/>
        </w:rPr>
        <w:t>呈</w:t>
      </w:r>
      <w:r>
        <w:rPr>
          <w:sz w:val="24"/>
        </w:rPr>
        <w:t>水平面状展布</w:t>
      </w:r>
      <w:r>
        <w:rPr>
          <w:rFonts w:hint="eastAsia"/>
          <w:sz w:val="24"/>
        </w:rPr>
        <w:t>。</w:t>
      </w:r>
    </w:p>
    <w:p w:rsidR="009C5C1F" w:rsidRDefault="004D2E0D" w:rsidP="009135C6">
      <w:pPr>
        <w:autoSpaceDE w:val="0"/>
        <w:autoSpaceDN w:val="0"/>
        <w:adjustRightInd w:val="0"/>
        <w:spacing w:line="500" w:lineRule="exact"/>
        <w:ind w:firstLineChars="257" w:firstLine="617"/>
        <w:jc w:val="left"/>
        <w:rPr>
          <w:rFonts w:ascii="宋体" w:hAnsi="宋体" w:cs="宋体"/>
          <w:color w:val="000000"/>
          <w:sz w:val="24"/>
        </w:rPr>
      </w:pPr>
      <w:bookmarkStart w:id="186" w:name="_Toc17195"/>
      <w:bookmarkStart w:id="187" w:name="_Toc47469530"/>
      <w:r>
        <w:rPr>
          <w:rFonts w:ascii="宋体" w:hAnsi="宋体" w:cs="宋体" w:hint="eastAsia"/>
          <w:color w:val="000000"/>
          <w:sz w:val="24"/>
        </w:rPr>
        <w:t>3. 区域岩浆岩</w:t>
      </w:r>
      <w:bookmarkEnd w:id="186"/>
      <w:bookmarkEnd w:id="187"/>
    </w:p>
    <w:p w:rsidR="009C5C1F" w:rsidRDefault="004D2E0D" w:rsidP="009135C6">
      <w:pPr>
        <w:autoSpaceDE w:val="0"/>
        <w:autoSpaceDN w:val="0"/>
        <w:adjustRightInd w:val="0"/>
        <w:spacing w:line="500" w:lineRule="exact"/>
        <w:ind w:firstLineChars="257" w:firstLine="617"/>
        <w:jc w:val="left"/>
        <w:rPr>
          <w:rFonts w:ascii="宋体" w:hAnsi="宋体" w:cs="宋体"/>
          <w:color w:val="000000"/>
          <w:sz w:val="24"/>
        </w:rPr>
      </w:pPr>
      <w:r>
        <w:rPr>
          <w:rFonts w:ascii="宋体" w:hAnsi="宋体" w:cs="宋体" w:hint="eastAsia"/>
          <w:color w:val="000000"/>
          <w:sz w:val="24"/>
        </w:rPr>
        <w:t>区域范围内未见岩浆岩出露。</w:t>
      </w:r>
    </w:p>
    <w:p w:rsidR="009C5C1F" w:rsidRDefault="004D2E0D">
      <w:pPr>
        <w:pStyle w:val="3"/>
        <w:spacing w:beforeLines="100" w:before="360" w:after="0" w:line="500" w:lineRule="exact"/>
        <w:ind w:firstLineChars="200" w:firstLine="482"/>
        <w:rPr>
          <w:rFonts w:ascii="宋体" w:hAnsi="宋体" w:cs="宋体"/>
          <w:lang w:val="zh-CN"/>
        </w:rPr>
      </w:pPr>
      <w:bookmarkStart w:id="188" w:name="_Toc70589728"/>
      <w:bookmarkEnd w:id="172"/>
      <w:bookmarkEnd w:id="173"/>
      <w:bookmarkEnd w:id="174"/>
      <w:bookmarkEnd w:id="175"/>
      <w:bookmarkEnd w:id="176"/>
      <w:bookmarkEnd w:id="177"/>
      <w:bookmarkEnd w:id="178"/>
      <w:bookmarkEnd w:id="179"/>
      <w:r>
        <w:rPr>
          <w:rFonts w:ascii="宋体" w:hAnsi="宋体" w:cs="宋体" w:hint="eastAsia"/>
        </w:rPr>
        <w:t>3.2.2</w:t>
      </w:r>
      <w:r>
        <w:rPr>
          <w:rFonts w:ascii="宋体" w:hAnsi="宋体" w:cs="宋体" w:hint="eastAsia"/>
          <w:lang w:val="zh-CN"/>
        </w:rPr>
        <w:t>矿区地质</w:t>
      </w:r>
      <w:bookmarkEnd w:id="188"/>
    </w:p>
    <w:p w:rsidR="009C5C1F" w:rsidRDefault="004D2E0D">
      <w:pPr>
        <w:autoSpaceDE w:val="0"/>
        <w:autoSpaceDN w:val="0"/>
        <w:adjustRightInd w:val="0"/>
        <w:spacing w:line="500" w:lineRule="exact"/>
        <w:ind w:firstLineChars="200" w:firstLine="480"/>
        <w:jc w:val="left"/>
        <w:rPr>
          <w:sz w:val="28"/>
          <w:szCs w:val="28"/>
        </w:rPr>
      </w:pPr>
      <w:r>
        <w:rPr>
          <w:rFonts w:hint="eastAsia"/>
          <w:sz w:val="24"/>
        </w:rPr>
        <w:t>矿区位于正北山以西，河流所形成的冲</w:t>
      </w:r>
      <w:r>
        <w:rPr>
          <w:rFonts w:hint="eastAsia"/>
          <w:sz w:val="24"/>
        </w:rPr>
        <w:t>-</w:t>
      </w:r>
      <w:r>
        <w:rPr>
          <w:rFonts w:hint="eastAsia"/>
          <w:sz w:val="24"/>
        </w:rPr>
        <w:t>洪积扇上，地势平坦开阔，区内无明显构造活动影响矿体形态</w:t>
      </w:r>
      <w:r>
        <w:rPr>
          <w:rFonts w:hint="eastAsia"/>
          <w:sz w:val="28"/>
          <w:szCs w:val="28"/>
        </w:rPr>
        <w:t>。</w:t>
      </w:r>
    </w:p>
    <w:p w:rsidR="009C5C1F" w:rsidRDefault="004D2E0D">
      <w:pPr>
        <w:pStyle w:val="a0"/>
        <w:spacing w:line="500" w:lineRule="exact"/>
        <w:ind w:firstLineChars="200" w:firstLine="480"/>
        <w:rPr>
          <w:sz w:val="24"/>
        </w:rPr>
      </w:pPr>
      <w:r>
        <w:rPr>
          <w:rFonts w:hint="eastAsia"/>
          <w:sz w:val="24"/>
        </w:rPr>
        <w:t>1</w:t>
      </w:r>
      <w:r>
        <w:rPr>
          <w:sz w:val="24"/>
        </w:rPr>
        <w:t>.</w:t>
      </w:r>
      <w:r>
        <w:rPr>
          <w:rFonts w:hint="eastAsia"/>
          <w:sz w:val="24"/>
        </w:rPr>
        <w:t>矿区地层</w:t>
      </w:r>
    </w:p>
    <w:p w:rsidR="009C5C1F" w:rsidRDefault="004D2E0D">
      <w:pPr>
        <w:pStyle w:val="a0"/>
        <w:spacing w:line="500" w:lineRule="exact"/>
        <w:ind w:firstLineChars="200" w:firstLine="480"/>
        <w:rPr>
          <w:sz w:val="24"/>
        </w:rPr>
      </w:pPr>
      <w:r>
        <w:rPr>
          <w:rFonts w:hint="eastAsia"/>
          <w:sz w:val="24"/>
        </w:rPr>
        <w:t>矿区处于</w:t>
      </w:r>
      <w:r>
        <w:rPr>
          <w:sz w:val="24"/>
        </w:rPr>
        <w:t>地表覆盖有大面积的第四系（</w:t>
      </w:r>
      <w:r>
        <w:rPr>
          <w:sz w:val="24"/>
        </w:rPr>
        <w:t>Qp</w:t>
      </w:r>
      <w:r>
        <w:rPr>
          <w:i/>
          <w:sz w:val="24"/>
          <w:vertAlign w:val="superscript"/>
        </w:rPr>
        <w:t>3pl</w:t>
      </w:r>
      <w:r>
        <w:rPr>
          <w:sz w:val="24"/>
        </w:rPr>
        <w:t>）。</w:t>
      </w:r>
      <w:r>
        <w:rPr>
          <w:rFonts w:hint="eastAsia"/>
          <w:sz w:val="24"/>
        </w:rPr>
        <w:t>矿</w:t>
      </w:r>
      <w:r>
        <w:rPr>
          <w:sz w:val="24"/>
        </w:rPr>
        <w:t>区出露地</w:t>
      </w:r>
      <w:proofErr w:type="gramStart"/>
      <w:r>
        <w:rPr>
          <w:sz w:val="24"/>
        </w:rPr>
        <w:t>层情况</w:t>
      </w:r>
      <w:proofErr w:type="gramEnd"/>
      <w:r>
        <w:rPr>
          <w:sz w:val="24"/>
        </w:rPr>
        <w:t>详述如下：</w:t>
      </w:r>
    </w:p>
    <w:p w:rsidR="009C5C1F" w:rsidRDefault="004D2E0D">
      <w:pPr>
        <w:spacing w:line="360" w:lineRule="auto"/>
        <w:ind w:firstLineChars="200" w:firstLine="480"/>
        <w:rPr>
          <w:sz w:val="24"/>
        </w:rPr>
      </w:pPr>
      <w:r>
        <w:rPr>
          <w:sz w:val="24"/>
        </w:rPr>
        <w:t>第四系晚更新统洪积物（</w:t>
      </w:r>
      <w:r>
        <w:rPr>
          <w:sz w:val="24"/>
        </w:rPr>
        <w:t>Qp</w:t>
      </w:r>
      <w:r>
        <w:rPr>
          <w:i/>
          <w:sz w:val="24"/>
          <w:vertAlign w:val="superscript"/>
        </w:rPr>
        <w:t>3pl</w:t>
      </w:r>
      <w:r>
        <w:rPr>
          <w:sz w:val="24"/>
        </w:rPr>
        <w:t>）</w:t>
      </w:r>
    </w:p>
    <w:p w:rsidR="009C5C1F" w:rsidRDefault="004D2E0D">
      <w:pPr>
        <w:spacing w:line="360" w:lineRule="auto"/>
        <w:ind w:firstLineChars="200" w:firstLine="480"/>
        <w:rPr>
          <w:sz w:val="24"/>
        </w:rPr>
      </w:pPr>
      <w:r>
        <w:rPr>
          <w:rFonts w:hint="eastAsia"/>
          <w:sz w:val="24"/>
        </w:rPr>
        <w:t>该地层为本次普查区砖瓦用粘土矿的主要赋存地层。主要岩性为粘土</w:t>
      </w:r>
      <w:proofErr w:type="gramStart"/>
      <w:r>
        <w:rPr>
          <w:rFonts w:hint="eastAsia"/>
          <w:sz w:val="24"/>
        </w:rPr>
        <w:t>层夹灰</w:t>
      </w:r>
      <w:proofErr w:type="gramEnd"/>
      <w:r>
        <w:rPr>
          <w:rFonts w:hint="eastAsia"/>
          <w:sz w:val="24"/>
        </w:rPr>
        <w:t>褐色砾石层等。底板为白垩系下</w:t>
      </w:r>
      <w:proofErr w:type="gramStart"/>
      <w:r>
        <w:rPr>
          <w:rFonts w:hint="eastAsia"/>
          <w:sz w:val="24"/>
        </w:rPr>
        <w:t>白垩统庙沟</w:t>
      </w:r>
      <w:proofErr w:type="gramEnd"/>
      <w:r>
        <w:rPr>
          <w:rFonts w:hint="eastAsia"/>
          <w:sz w:val="24"/>
        </w:rPr>
        <w:t>组砂砾岩与粉砂岩</w:t>
      </w:r>
      <w:r>
        <w:rPr>
          <w:rFonts w:hint="eastAsia"/>
          <w:sz w:val="24"/>
        </w:rPr>
        <w:t>-</w:t>
      </w:r>
      <w:r>
        <w:rPr>
          <w:rFonts w:hint="eastAsia"/>
          <w:sz w:val="24"/>
        </w:rPr>
        <w:t>泥岩、砾岩夹砂岩。</w:t>
      </w:r>
    </w:p>
    <w:p w:rsidR="009C5C1F" w:rsidRDefault="004D2E0D">
      <w:pPr>
        <w:spacing w:line="360" w:lineRule="auto"/>
        <w:ind w:firstLineChars="200" w:firstLine="480"/>
        <w:jc w:val="left"/>
        <w:rPr>
          <w:bCs/>
          <w:sz w:val="24"/>
        </w:rPr>
      </w:pPr>
      <w:r>
        <w:rPr>
          <w:rFonts w:hint="eastAsia"/>
          <w:bCs/>
          <w:sz w:val="24"/>
        </w:rPr>
        <w:t>第四系全新统统风积、坡积、洪积物（</w:t>
      </w:r>
      <w:r>
        <w:rPr>
          <w:rFonts w:hint="eastAsia"/>
          <w:bCs/>
          <w:sz w:val="24"/>
        </w:rPr>
        <w:t>Qh</w:t>
      </w:r>
      <w:r>
        <w:rPr>
          <w:bCs/>
          <w:sz w:val="24"/>
          <w:vertAlign w:val="superscript"/>
        </w:rPr>
        <w:t xml:space="preserve"> pl</w:t>
      </w:r>
      <w:r>
        <w:rPr>
          <w:rFonts w:hint="eastAsia"/>
          <w:bCs/>
          <w:sz w:val="24"/>
        </w:rPr>
        <w:t xml:space="preserve"> </w:t>
      </w:r>
      <w:r>
        <w:rPr>
          <w:rFonts w:hint="eastAsia"/>
          <w:bCs/>
          <w:sz w:val="24"/>
        </w:rPr>
        <w:t>、</w:t>
      </w:r>
      <w:r>
        <w:rPr>
          <w:rFonts w:hint="eastAsia"/>
          <w:bCs/>
          <w:sz w:val="24"/>
        </w:rPr>
        <w:t>Qh</w:t>
      </w:r>
      <w:r>
        <w:rPr>
          <w:bCs/>
          <w:sz w:val="24"/>
        </w:rPr>
        <w:t xml:space="preserve"> </w:t>
      </w:r>
      <w:r>
        <w:rPr>
          <w:bCs/>
          <w:sz w:val="24"/>
          <w:vertAlign w:val="superscript"/>
        </w:rPr>
        <w:t>dl</w:t>
      </w:r>
      <w:r>
        <w:rPr>
          <w:rFonts w:hint="eastAsia"/>
          <w:bCs/>
          <w:sz w:val="24"/>
        </w:rPr>
        <w:t xml:space="preserve"> </w:t>
      </w:r>
      <w:r>
        <w:rPr>
          <w:rFonts w:hint="eastAsia"/>
          <w:bCs/>
          <w:sz w:val="24"/>
        </w:rPr>
        <w:t>、</w:t>
      </w:r>
      <w:r>
        <w:rPr>
          <w:rFonts w:hint="eastAsia"/>
          <w:bCs/>
          <w:sz w:val="24"/>
        </w:rPr>
        <w:t>Qh</w:t>
      </w:r>
      <w:r>
        <w:rPr>
          <w:bCs/>
          <w:sz w:val="24"/>
        </w:rPr>
        <w:t xml:space="preserve"> </w:t>
      </w:r>
      <w:r>
        <w:rPr>
          <w:bCs/>
          <w:sz w:val="24"/>
          <w:vertAlign w:val="superscript"/>
        </w:rPr>
        <w:t>eol</w:t>
      </w:r>
      <w:r>
        <w:rPr>
          <w:rFonts w:hint="eastAsia"/>
          <w:bCs/>
          <w:sz w:val="24"/>
        </w:rPr>
        <w:t>）</w:t>
      </w:r>
    </w:p>
    <w:p w:rsidR="009C5C1F" w:rsidRDefault="004D2E0D">
      <w:pPr>
        <w:spacing w:line="360" w:lineRule="auto"/>
        <w:ind w:firstLineChars="200" w:firstLine="480"/>
        <w:jc w:val="left"/>
        <w:rPr>
          <w:sz w:val="24"/>
        </w:rPr>
      </w:pPr>
      <w:r>
        <w:rPr>
          <w:rFonts w:hint="eastAsia"/>
          <w:sz w:val="24"/>
        </w:rPr>
        <w:t>该地层为覆盖于第四系晚更新统洪积物（</w:t>
      </w:r>
      <w:r>
        <w:rPr>
          <w:rFonts w:hint="eastAsia"/>
          <w:sz w:val="24"/>
        </w:rPr>
        <w:t>Qp</w:t>
      </w:r>
      <w:r>
        <w:rPr>
          <w:rFonts w:hint="eastAsia"/>
          <w:sz w:val="24"/>
          <w:vertAlign w:val="superscript"/>
        </w:rPr>
        <w:t>3pl</w:t>
      </w:r>
      <w:r>
        <w:rPr>
          <w:rFonts w:hint="eastAsia"/>
          <w:sz w:val="24"/>
        </w:rPr>
        <w:t>）之上，主要包含第四系全新统（</w:t>
      </w:r>
      <w:r>
        <w:rPr>
          <w:rFonts w:hint="eastAsia"/>
          <w:sz w:val="24"/>
        </w:rPr>
        <w:t>Qh</w:t>
      </w:r>
      <w:r>
        <w:rPr>
          <w:rFonts w:hint="eastAsia"/>
          <w:sz w:val="24"/>
          <w:vertAlign w:val="superscript"/>
        </w:rPr>
        <w:t>eol</w:t>
      </w:r>
      <w:r>
        <w:rPr>
          <w:rFonts w:hint="eastAsia"/>
          <w:sz w:val="24"/>
        </w:rPr>
        <w:t>）风积物灰黄色松散细粉粘土、第四系全新统（</w:t>
      </w:r>
      <w:r>
        <w:rPr>
          <w:rFonts w:hint="eastAsia"/>
          <w:sz w:val="24"/>
        </w:rPr>
        <w:t>Qh</w:t>
      </w:r>
      <w:r>
        <w:rPr>
          <w:b/>
          <w:sz w:val="24"/>
          <w:vertAlign w:val="superscript"/>
        </w:rPr>
        <w:t>dl</w:t>
      </w:r>
      <w:r>
        <w:rPr>
          <w:rFonts w:hint="eastAsia"/>
          <w:sz w:val="24"/>
        </w:rPr>
        <w:t>）坡积物灰色砾石、含砂砾石及第四系全新统（</w:t>
      </w:r>
      <w:r>
        <w:rPr>
          <w:rFonts w:hint="eastAsia"/>
          <w:sz w:val="24"/>
        </w:rPr>
        <w:t>Qh</w:t>
      </w:r>
      <w:r>
        <w:rPr>
          <w:rFonts w:hint="eastAsia"/>
          <w:sz w:val="24"/>
          <w:vertAlign w:val="superscript"/>
        </w:rPr>
        <w:t>pl</w:t>
      </w:r>
      <w:r>
        <w:rPr>
          <w:rFonts w:hint="eastAsia"/>
          <w:sz w:val="24"/>
        </w:rPr>
        <w:t>）洪积物灰色、灰褐色亚砂土。该层亦含有砖瓦用粘土矿，但风成沙、砾石、腐殖质等杂质较高，工业利用价值较低。</w:t>
      </w:r>
    </w:p>
    <w:p w:rsidR="009C5C1F" w:rsidRDefault="004D2E0D">
      <w:pPr>
        <w:autoSpaceDE w:val="0"/>
        <w:autoSpaceDN w:val="0"/>
        <w:adjustRightInd w:val="0"/>
        <w:spacing w:line="500" w:lineRule="exact"/>
        <w:ind w:firstLineChars="200" w:firstLine="480"/>
        <w:jc w:val="left"/>
        <w:rPr>
          <w:rFonts w:ascii="宋体" w:hAnsi="宋体" w:cs="宋体"/>
          <w:color w:val="000000"/>
          <w:sz w:val="24"/>
        </w:rPr>
      </w:pPr>
      <w:bookmarkStart w:id="189" w:name="_Toc47469534"/>
      <w:bookmarkStart w:id="190" w:name="_Toc4611_WPSOffice_Level3"/>
      <w:r>
        <w:rPr>
          <w:rFonts w:ascii="宋体" w:hAnsi="宋体" w:cs="宋体" w:hint="eastAsia"/>
          <w:color w:val="000000"/>
          <w:sz w:val="24"/>
        </w:rPr>
        <w:t>2.矿区构造</w:t>
      </w:r>
      <w:bookmarkEnd w:id="189"/>
      <w:bookmarkEnd w:id="190"/>
    </w:p>
    <w:p w:rsidR="009C5C1F" w:rsidRDefault="004D2E0D">
      <w:pPr>
        <w:autoSpaceDE w:val="0"/>
        <w:autoSpaceDN w:val="0"/>
        <w:adjustRightInd w:val="0"/>
        <w:spacing w:line="500" w:lineRule="exact"/>
        <w:ind w:firstLineChars="200" w:firstLine="480"/>
        <w:jc w:val="left"/>
        <w:rPr>
          <w:rFonts w:ascii="宋体" w:hAnsi="宋体" w:cs="宋体"/>
          <w:color w:val="000000"/>
          <w:sz w:val="24"/>
        </w:rPr>
      </w:pPr>
      <w:r>
        <w:rPr>
          <w:sz w:val="24"/>
        </w:rPr>
        <w:t>由于</w:t>
      </w:r>
      <w:r>
        <w:rPr>
          <w:rFonts w:hint="eastAsia"/>
          <w:sz w:val="24"/>
        </w:rPr>
        <w:t>矿</w:t>
      </w:r>
      <w:r>
        <w:rPr>
          <w:sz w:val="24"/>
        </w:rPr>
        <w:t>区处于洪流所形成的洪积扇上，地势平坦开阔，无其它岩性露头，地表未发现新构造运动痕迹。根据</w:t>
      </w:r>
      <w:r>
        <w:rPr>
          <w:rFonts w:hint="eastAsia"/>
          <w:sz w:val="24"/>
        </w:rPr>
        <w:t>采空区</w:t>
      </w:r>
      <w:r>
        <w:rPr>
          <w:sz w:val="24"/>
        </w:rPr>
        <w:t>断面等人工露头野外观察，</w:t>
      </w:r>
      <w:r>
        <w:rPr>
          <w:rFonts w:hint="eastAsia"/>
          <w:sz w:val="24"/>
        </w:rPr>
        <w:t>粘土层、</w:t>
      </w:r>
      <w:r>
        <w:rPr>
          <w:sz w:val="24"/>
        </w:rPr>
        <w:t>砾石</w:t>
      </w:r>
      <w:r>
        <w:rPr>
          <w:rFonts w:hint="eastAsia"/>
          <w:sz w:val="24"/>
        </w:rPr>
        <w:t>层</w:t>
      </w:r>
      <w:r>
        <w:rPr>
          <w:sz w:val="24"/>
        </w:rPr>
        <w:t>产状基本</w:t>
      </w:r>
      <w:r>
        <w:rPr>
          <w:rFonts w:hint="eastAsia"/>
          <w:sz w:val="24"/>
        </w:rPr>
        <w:t>呈</w:t>
      </w:r>
      <w:r>
        <w:rPr>
          <w:sz w:val="24"/>
        </w:rPr>
        <w:t>水平面状展布</w:t>
      </w:r>
      <w:r>
        <w:rPr>
          <w:rFonts w:ascii="宋体" w:hAnsi="宋体" w:cs="宋体" w:hint="eastAsia"/>
          <w:color w:val="000000"/>
          <w:sz w:val="24"/>
        </w:rPr>
        <w:t>。</w:t>
      </w:r>
    </w:p>
    <w:p w:rsidR="009C5C1F" w:rsidRDefault="004D2E0D">
      <w:pPr>
        <w:autoSpaceDE w:val="0"/>
        <w:autoSpaceDN w:val="0"/>
        <w:adjustRightInd w:val="0"/>
        <w:spacing w:line="500" w:lineRule="exact"/>
        <w:ind w:firstLineChars="200" w:firstLine="480"/>
        <w:jc w:val="left"/>
        <w:rPr>
          <w:rFonts w:ascii="宋体" w:hAnsi="宋体" w:cs="宋体"/>
          <w:color w:val="000000"/>
          <w:sz w:val="24"/>
        </w:rPr>
      </w:pPr>
      <w:bookmarkStart w:id="191" w:name="_Toc47469535"/>
      <w:bookmarkStart w:id="192" w:name="_Toc225677875"/>
      <w:bookmarkStart w:id="193" w:name="_Toc24096"/>
      <w:bookmarkStart w:id="194" w:name="_Toc225677175"/>
      <w:bookmarkStart w:id="195" w:name="_Toc225679312"/>
      <w:r>
        <w:rPr>
          <w:rFonts w:ascii="宋体" w:hAnsi="宋体" w:cs="宋体" w:hint="eastAsia"/>
          <w:color w:val="000000"/>
          <w:sz w:val="24"/>
        </w:rPr>
        <w:lastRenderedPageBreak/>
        <w:t>3.矿区岩浆岩及变质作用</w:t>
      </w:r>
      <w:bookmarkEnd w:id="191"/>
      <w:bookmarkEnd w:id="192"/>
      <w:bookmarkEnd w:id="193"/>
      <w:bookmarkEnd w:id="194"/>
      <w:bookmarkEnd w:id="195"/>
    </w:p>
    <w:p w:rsidR="009C5C1F" w:rsidRDefault="004D2E0D">
      <w:pPr>
        <w:autoSpaceDE w:val="0"/>
        <w:autoSpaceDN w:val="0"/>
        <w:adjustRightInd w:val="0"/>
        <w:spacing w:line="500" w:lineRule="exact"/>
        <w:ind w:firstLineChars="200" w:firstLine="480"/>
        <w:jc w:val="left"/>
        <w:rPr>
          <w:rFonts w:ascii="宋体" w:hAnsi="宋体" w:cs="宋体"/>
          <w:color w:val="000000"/>
          <w:sz w:val="24"/>
        </w:rPr>
      </w:pPr>
      <w:r>
        <w:rPr>
          <w:rFonts w:ascii="宋体" w:hAnsi="宋体" w:cs="宋体" w:hint="eastAsia"/>
          <w:color w:val="000000"/>
          <w:sz w:val="24"/>
        </w:rPr>
        <w:t>矿区内全为第四系覆盖物，未发现岩浆岩及变质作用。</w:t>
      </w:r>
    </w:p>
    <w:p w:rsidR="009C5C1F" w:rsidRDefault="004D2E0D">
      <w:pPr>
        <w:pStyle w:val="3"/>
        <w:spacing w:beforeLines="100" w:before="360" w:after="0" w:line="500" w:lineRule="exact"/>
        <w:ind w:firstLineChars="200" w:firstLine="482"/>
        <w:rPr>
          <w:rFonts w:ascii="宋体" w:hAnsi="宋体" w:cs="宋体"/>
        </w:rPr>
      </w:pPr>
      <w:bookmarkStart w:id="196" w:name="_Toc70589729"/>
      <w:r>
        <w:rPr>
          <w:rFonts w:ascii="宋体" w:hAnsi="宋体" w:cs="宋体" w:hint="eastAsia"/>
        </w:rPr>
        <w:t>3.2.3矿体特征</w:t>
      </w:r>
      <w:bookmarkEnd w:id="196"/>
    </w:p>
    <w:p w:rsidR="009C5C1F" w:rsidRDefault="004D2E0D">
      <w:pPr>
        <w:spacing w:line="360" w:lineRule="auto"/>
        <w:ind w:firstLineChars="200" w:firstLine="480"/>
        <w:rPr>
          <w:rFonts w:ascii="宋体" w:hAnsi="宋体"/>
          <w:color w:val="000000"/>
          <w:sz w:val="24"/>
        </w:rPr>
      </w:pPr>
      <w:bookmarkStart w:id="197" w:name="_Toc340735431"/>
      <w:r>
        <w:rPr>
          <w:rFonts w:ascii="宋体" w:hAnsi="宋体" w:hint="eastAsia"/>
          <w:color w:val="000000"/>
          <w:sz w:val="24"/>
        </w:rPr>
        <w:t>在矿区内共圈定1条矿体，编号为TR1。矿体特征如下：</w:t>
      </w:r>
    </w:p>
    <w:p w:rsidR="009C5C1F" w:rsidRDefault="004D2E0D">
      <w:pPr>
        <w:spacing w:line="360" w:lineRule="auto"/>
        <w:ind w:firstLineChars="200" w:firstLine="482"/>
        <w:rPr>
          <w:rFonts w:ascii="宋体" w:hAnsi="宋体"/>
          <w:b/>
          <w:color w:val="000000"/>
          <w:sz w:val="24"/>
        </w:rPr>
      </w:pPr>
      <w:r>
        <w:rPr>
          <w:rFonts w:ascii="宋体" w:hAnsi="宋体" w:hint="eastAsia"/>
          <w:b/>
          <w:color w:val="000000"/>
          <w:sz w:val="24"/>
        </w:rPr>
        <w:t>TR1号矿体</w:t>
      </w:r>
    </w:p>
    <w:p w:rsidR="009C5C1F" w:rsidRDefault="004D2E0D">
      <w:pPr>
        <w:autoSpaceDE w:val="0"/>
        <w:autoSpaceDN w:val="0"/>
        <w:adjustRightInd w:val="0"/>
        <w:spacing w:line="500" w:lineRule="exact"/>
        <w:ind w:firstLineChars="200" w:firstLine="480"/>
        <w:jc w:val="left"/>
        <w:rPr>
          <w:rFonts w:ascii="宋体" w:hAnsi="宋体"/>
          <w:color w:val="000000"/>
          <w:sz w:val="24"/>
        </w:rPr>
      </w:pPr>
      <w:r>
        <w:rPr>
          <w:rFonts w:ascii="宋体" w:hAnsi="宋体" w:hint="eastAsia"/>
          <w:sz w:val="24"/>
        </w:rPr>
        <w:t>临泽县板桥</w:t>
      </w:r>
      <w:proofErr w:type="gramStart"/>
      <w:r>
        <w:rPr>
          <w:rFonts w:ascii="宋体" w:hAnsi="宋体" w:hint="eastAsia"/>
          <w:sz w:val="24"/>
        </w:rPr>
        <w:t>镇壕洼村</w:t>
      </w:r>
      <w:proofErr w:type="gramEnd"/>
      <w:r>
        <w:rPr>
          <w:rFonts w:hint="eastAsia"/>
          <w:sz w:val="24"/>
        </w:rPr>
        <w:t>正北山西侧砖瓦用粘土矿</w:t>
      </w:r>
      <w:r>
        <w:rPr>
          <w:rFonts w:ascii="宋体" w:hAnsi="宋体" w:cs="仿宋_GB2312" w:hint="eastAsia"/>
          <w:color w:val="000000"/>
          <w:kern w:val="0"/>
          <w:sz w:val="24"/>
        </w:rPr>
        <w:t>矿体赋存于第四系晚更新统洪积物</w:t>
      </w:r>
      <w:proofErr w:type="gramStart"/>
      <w:r>
        <w:rPr>
          <w:rFonts w:ascii="宋体" w:hAnsi="宋体" w:cs="仿宋_GB2312" w:hint="eastAsia"/>
          <w:color w:val="000000"/>
          <w:kern w:val="0"/>
          <w:sz w:val="24"/>
        </w:rPr>
        <w:t>粘土层夹砾石</w:t>
      </w:r>
      <w:proofErr w:type="gramEnd"/>
      <w:r>
        <w:rPr>
          <w:rFonts w:ascii="宋体" w:hAnsi="宋体" w:cs="仿宋_GB2312" w:hint="eastAsia"/>
          <w:color w:val="000000"/>
          <w:kern w:val="0"/>
          <w:sz w:val="24"/>
        </w:rPr>
        <w:t>层，呈土黄色，</w:t>
      </w:r>
      <w:r>
        <w:rPr>
          <w:rFonts w:ascii="宋体" w:hAnsi="宋体" w:hint="eastAsia"/>
          <w:color w:val="000000"/>
          <w:sz w:val="24"/>
        </w:rPr>
        <w:t>矿体自然形态具水平层</w:t>
      </w:r>
      <w:r>
        <w:rPr>
          <w:rFonts w:ascii="宋体" w:hAnsi="宋体" w:hint="eastAsia"/>
          <w:sz w:val="24"/>
        </w:rPr>
        <w:t>理，沉积韵律明显</w:t>
      </w:r>
      <w:r>
        <w:rPr>
          <w:rFonts w:ascii="宋体" w:hAnsi="宋体"/>
          <w:sz w:val="24"/>
        </w:rPr>
        <w:t>，</w:t>
      </w:r>
      <w:r>
        <w:rPr>
          <w:rFonts w:ascii="宋体" w:hAnsi="宋体" w:hint="eastAsia"/>
          <w:color w:val="000000"/>
          <w:sz w:val="24"/>
        </w:rPr>
        <w:t>粘土层和砾石层自上而下，粒度上</w:t>
      </w:r>
      <w:r>
        <w:rPr>
          <w:rFonts w:ascii="宋体" w:hAnsi="宋体"/>
          <w:color w:val="000000"/>
          <w:sz w:val="24"/>
        </w:rPr>
        <w:t>由粗变细</w:t>
      </w:r>
      <w:r>
        <w:rPr>
          <w:rFonts w:ascii="宋体" w:hAnsi="宋体" w:hint="eastAsia"/>
          <w:sz w:val="24"/>
        </w:rPr>
        <w:t>，</w:t>
      </w:r>
      <w:r>
        <w:rPr>
          <w:rFonts w:ascii="宋体" w:hAnsi="宋体"/>
          <w:sz w:val="24"/>
        </w:rPr>
        <w:t>呈连续的变化，中间没有明显的界线，各种特征除粒度变化明显外，其他均无</w:t>
      </w:r>
      <w:r>
        <w:rPr>
          <w:rFonts w:ascii="宋体" w:hAnsi="宋体" w:hint="eastAsia"/>
          <w:sz w:val="24"/>
        </w:rPr>
        <w:t>明显</w:t>
      </w:r>
      <w:r>
        <w:rPr>
          <w:rFonts w:ascii="宋体" w:hAnsi="宋体"/>
          <w:sz w:val="24"/>
        </w:rPr>
        <w:t>的变化</w:t>
      </w:r>
      <w:r>
        <w:rPr>
          <w:rFonts w:ascii="宋体" w:hAnsi="宋体" w:hint="eastAsia"/>
          <w:sz w:val="24"/>
        </w:rPr>
        <w:t>，矿体形态、</w:t>
      </w:r>
      <w:proofErr w:type="gramStart"/>
      <w:r>
        <w:rPr>
          <w:rFonts w:ascii="宋体" w:hAnsi="宋体" w:hint="eastAsia"/>
          <w:sz w:val="24"/>
        </w:rPr>
        <w:t>规模受矿权</w:t>
      </w:r>
      <w:proofErr w:type="gramEnd"/>
      <w:r>
        <w:rPr>
          <w:rFonts w:ascii="宋体" w:hAnsi="宋体" w:hint="eastAsia"/>
          <w:sz w:val="24"/>
        </w:rPr>
        <w:t>范围限制，依地形呈面状分布，呈块状，局部表面呈蜂窝状，较松散，胶结程度中等。</w:t>
      </w:r>
      <w:r>
        <w:rPr>
          <w:rFonts w:ascii="宋体" w:hAnsi="宋体" w:hint="eastAsia"/>
          <w:color w:val="000000"/>
          <w:sz w:val="24"/>
        </w:rPr>
        <w:t>矿体范围与资源量估算范围相同0.35km</w:t>
      </w:r>
      <w:r>
        <w:rPr>
          <w:rFonts w:ascii="宋体" w:hAnsi="宋体" w:hint="eastAsia"/>
          <w:color w:val="000000"/>
          <w:sz w:val="24"/>
          <w:vertAlign w:val="superscript"/>
        </w:rPr>
        <w:t>2</w:t>
      </w:r>
      <w:r>
        <w:rPr>
          <w:rFonts w:ascii="宋体" w:hAnsi="宋体" w:hint="eastAsia"/>
          <w:color w:val="000000"/>
          <w:sz w:val="24"/>
        </w:rPr>
        <w:t>，矿体由5条勘探线控制，矿体长1241m，宽</w:t>
      </w:r>
      <w:r>
        <w:rPr>
          <w:rFonts w:ascii="宋体" w:hAnsi="宋体"/>
          <w:color w:val="000000"/>
          <w:sz w:val="24"/>
        </w:rPr>
        <w:t>270</w:t>
      </w:r>
      <w:r>
        <w:rPr>
          <w:rFonts w:ascii="宋体" w:hAnsi="宋体" w:hint="eastAsia"/>
          <w:color w:val="000000"/>
          <w:sz w:val="24"/>
        </w:rPr>
        <w:t>m，厚4.80m～11.5m</w:t>
      </w:r>
      <w:bookmarkEnd w:id="197"/>
      <w:r>
        <w:rPr>
          <w:rFonts w:ascii="宋体" w:hAnsi="宋体" w:hint="eastAsia"/>
          <w:color w:val="000000"/>
          <w:sz w:val="24"/>
        </w:rPr>
        <w:t>。</w:t>
      </w:r>
    </w:p>
    <w:p w:rsidR="009C5C1F" w:rsidRDefault="004D2E0D">
      <w:pPr>
        <w:pStyle w:val="a0"/>
        <w:ind w:firstLine="240"/>
        <w:jc w:val="center"/>
      </w:pPr>
      <w:r>
        <w:rPr>
          <w:rFonts w:ascii="宋体" w:hAnsi="宋体"/>
          <w:noProof/>
          <w:sz w:val="24"/>
        </w:rPr>
        <w:drawing>
          <wp:anchor distT="0" distB="0" distL="114300" distR="114300" simplePos="0" relativeHeight="251664384" behindDoc="1" locked="0" layoutInCell="1" allowOverlap="1">
            <wp:simplePos x="0" y="0"/>
            <wp:positionH relativeFrom="column">
              <wp:posOffset>2788285</wp:posOffset>
            </wp:positionH>
            <wp:positionV relativeFrom="paragraph">
              <wp:posOffset>570865</wp:posOffset>
            </wp:positionV>
            <wp:extent cx="2853055" cy="2647950"/>
            <wp:effectExtent l="0" t="0" r="4445" b="0"/>
            <wp:wrapTight wrapText="bothSides">
              <wp:wrapPolygon edited="0">
                <wp:start x="0" y="0"/>
                <wp:lineTo x="0" y="21445"/>
                <wp:lineTo x="21489" y="21445"/>
                <wp:lineTo x="21489" y="0"/>
                <wp:lineTo x="0" y="0"/>
              </wp:wrapPolygon>
            </wp:wrapTight>
            <wp:docPr id="2196073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07359"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53055" cy="2647950"/>
                    </a:xfrm>
                    <a:prstGeom prst="rect">
                      <a:avLst/>
                    </a:prstGeom>
                    <a:noFill/>
                    <a:ln>
                      <a:noFill/>
                    </a:ln>
                  </pic:spPr>
                </pic:pic>
              </a:graphicData>
            </a:graphic>
          </wp:anchor>
        </w:drawing>
      </w:r>
      <w:r>
        <w:rPr>
          <w:rFonts w:ascii="宋体" w:hAnsi="宋体"/>
          <w:noProof/>
          <w:sz w:val="24"/>
        </w:rPr>
        <w:drawing>
          <wp:anchor distT="0" distB="0" distL="114300" distR="114300" simplePos="0" relativeHeight="251663360" behindDoc="1" locked="0" layoutInCell="1" allowOverlap="1">
            <wp:simplePos x="0" y="0"/>
            <wp:positionH relativeFrom="column">
              <wp:posOffset>-223520</wp:posOffset>
            </wp:positionH>
            <wp:positionV relativeFrom="paragraph">
              <wp:posOffset>641350</wp:posOffset>
            </wp:positionV>
            <wp:extent cx="2835910" cy="2648585"/>
            <wp:effectExtent l="0" t="0" r="2540" b="0"/>
            <wp:wrapTight wrapText="bothSides">
              <wp:wrapPolygon edited="0">
                <wp:start x="0" y="0"/>
                <wp:lineTo x="0" y="21439"/>
                <wp:lineTo x="21474" y="21439"/>
                <wp:lineTo x="21474" y="0"/>
                <wp:lineTo x="0" y="0"/>
              </wp:wrapPolygon>
            </wp:wrapTight>
            <wp:docPr id="9813294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29440"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35910" cy="2648585"/>
                    </a:xfrm>
                    <a:prstGeom prst="rect">
                      <a:avLst/>
                    </a:prstGeom>
                    <a:noFill/>
                    <a:ln>
                      <a:noFill/>
                    </a:ln>
                  </pic:spPr>
                </pic:pic>
              </a:graphicData>
            </a:graphic>
          </wp:anchor>
        </w:drawing>
      </w:r>
      <w:r>
        <w:rPr>
          <w:rFonts w:hint="eastAsia"/>
        </w:rPr>
        <w:t>照片</w:t>
      </w:r>
      <w:r>
        <w:rPr>
          <w:rFonts w:hint="eastAsia"/>
        </w:rPr>
        <w:t>1</w:t>
      </w:r>
      <w:r>
        <w:t xml:space="preserve"> </w:t>
      </w:r>
      <w:r>
        <w:rPr>
          <w:rFonts w:hint="eastAsia"/>
        </w:rPr>
        <w:t>普查区断面及地表矿体（左图断面、右图地表）</w:t>
      </w:r>
    </w:p>
    <w:p w:rsidR="009C5C1F" w:rsidRDefault="004D2E0D">
      <w:pPr>
        <w:pStyle w:val="3"/>
        <w:spacing w:beforeLines="100" w:before="360" w:after="0" w:line="500" w:lineRule="exact"/>
        <w:rPr>
          <w:rFonts w:ascii="宋体" w:hAnsi="宋体" w:cs="宋体"/>
          <w:lang w:val="zh-TW"/>
        </w:rPr>
      </w:pPr>
      <w:bookmarkStart w:id="198" w:name="_Toc70589730"/>
      <w:r>
        <w:rPr>
          <w:rFonts w:ascii="宋体" w:hAnsi="宋体" w:cs="宋体" w:hint="eastAsia"/>
        </w:rPr>
        <w:lastRenderedPageBreak/>
        <w:t>3.2.4</w:t>
      </w:r>
      <w:r>
        <w:rPr>
          <w:rFonts w:ascii="宋体" w:hAnsi="宋体" w:cs="宋体" w:hint="eastAsia"/>
          <w:lang w:val="zh-TW"/>
        </w:rPr>
        <w:t>矿石矿物组成</w:t>
      </w:r>
      <w:bookmarkEnd w:id="198"/>
    </w:p>
    <w:p w:rsidR="009C5C1F" w:rsidRDefault="004D2E0D">
      <w:pPr>
        <w:spacing w:line="360" w:lineRule="auto"/>
        <w:ind w:firstLineChars="200" w:firstLine="480"/>
        <w:rPr>
          <w:sz w:val="28"/>
          <w:szCs w:val="28"/>
        </w:rPr>
      </w:pPr>
      <w:r>
        <w:rPr>
          <w:rFonts w:ascii="宋体" w:hAnsi="宋体" w:cs="宋体"/>
          <w:noProof/>
          <w:color w:val="000000"/>
          <w:sz w:val="24"/>
        </w:rPr>
        <w:drawing>
          <wp:anchor distT="0" distB="0" distL="114300" distR="114300" simplePos="0" relativeHeight="251666432" behindDoc="1" locked="0" layoutInCell="1" allowOverlap="1">
            <wp:simplePos x="0" y="0"/>
            <wp:positionH relativeFrom="column">
              <wp:posOffset>223520</wp:posOffset>
            </wp:positionH>
            <wp:positionV relativeFrom="paragraph">
              <wp:posOffset>4705350</wp:posOffset>
            </wp:positionV>
            <wp:extent cx="4600575" cy="3190875"/>
            <wp:effectExtent l="0" t="0" r="9525" b="9525"/>
            <wp:wrapTopAndBottom/>
            <wp:docPr id="6344234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23493" name="图片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600575" cy="3190875"/>
                    </a:xfrm>
                    <a:prstGeom prst="rect">
                      <a:avLst/>
                    </a:prstGeom>
                    <a:noFill/>
                    <a:ln>
                      <a:noFill/>
                    </a:ln>
                  </pic:spPr>
                </pic:pic>
              </a:graphicData>
            </a:graphic>
          </wp:anchor>
        </w:drawing>
      </w:r>
      <w:r>
        <w:rPr>
          <w:noProof/>
          <w:sz w:val="24"/>
        </w:rPr>
        <w:drawing>
          <wp:anchor distT="0" distB="0" distL="114300" distR="114300" simplePos="0" relativeHeight="251665408" behindDoc="1" locked="0" layoutInCell="1" allowOverlap="1">
            <wp:simplePos x="0" y="0"/>
            <wp:positionH relativeFrom="column">
              <wp:posOffset>224155</wp:posOffset>
            </wp:positionH>
            <wp:positionV relativeFrom="paragraph">
              <wp:posOffset>1616710</wp:posOffset>
            </wp:positionV>
            <wp:extent cx="4591050" cy="3000375"/>
            <wp:effectExtent l="0" t="0" r="0" b="9525"/>
            <wp:wrapTopAndBottom/>
            <wp:docPr id="10840240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24082"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591050" cy="3000375"/>
                    </a:xfrm>
                    <a:prstGeom prst="rect">
                      <a:avLst/>
                    </a:prstGeom>
                    <a:noFill/>
                    <a:ln>
                      <a:noFill/>
                    </a:ln>
                  </pic:spPr>
                </pic:pic>
              </a:graphicData>
            </a:graphic>
          </wp:anchor>
        </w:drawing>
      </w:r>
      <w:r>
        <w:rPr>
          <w:rFonts w:hint="eastAsia"/>
          <w:sz w:val="24"/>
        </w:rPr>
        <w:t>根据矿区实际情况，</w:t>
      </w:r>
      <w:r>
        <w:rPr>
          <w:rFonts w:ascii="仿宋" w:hAnsi="仿宋" w:hint="eastAsia"/>
          <w:sz w:val="24"/>
        </w:rPr>
        <w:t>矿体的覆盖层主要为第四系晚更新统洪积物粘土</w:t>
      </w:r>
      <w:proofErr w:type="gramStart"/>
      <w:r>
        <w:rPr>
          <w:rFonts w:ascii="仿宋" w:hAnsi="仿宋" w:hint="eastAsia"/>
          <w:sz w:val="24"/>
        </w:rPr>
        <w:t>层夹灰</w:t>
      </w:r>
      <w:proofErr w:type="gramEnd"/>
      <w:r>
        <w:rPr>
          <w:rFonts w:ascii="仿宋" w:hAnsi="仿宋" w:hint="eastAsia"/>
          <w:sz w:val="24"/>
        </w:rPr>
        <w:t>褐色砾石层，</w:t>
      </w:r>
      <w:r>
        <w:rPr>
          <w:rFonts w:hint="eastAsia"/>
          <w:sz w:val="24"/>
        </w:rPr>
        <w:t>矿体为</w:t>
      </w:r>
      <w:r>
        <w:rPr>
          <w:rFonts w:ascii="仿宋" w:hAnsi="仿宋" w:hint="eastAsia"/>
          <w:sz w:val="24"/>
        </w:rPr>
        <w:t>第四系晚更新统洪积物粘土</w:t>
      </w:r>
      <w:proofErr w:type="gramStart"/>
      <w:r>
        <w:rPr>
          <w:rFonts w:ascii="仿宋" w:hAnsi="仿宋" w:hint="eastAsia"/>
          <w:sz w:val="24"/>
        </w:rPr>
        <w:t>层夹灰</w:t>
      </w:r>
      <w:proofErr w:type="gramEnd"/>
      <w:r>
        <w:rPr>
          <w:rFonts w:ascii="仿宋" w:hAnsi="仿宋" w:hint="eastAsia"/>
          <w:sz w:val="24"/>
        </w:rPr>
        <w:t>褐色砾石层</w:t>
      </w:r>
      <w:r>
        <w:rPr>
          <w:rFonts w:hint="eastAsia"/>
          <w:sz w:val="24"/>
        </w:rPr>
        <w:t>，砾石层厚约</w:t>
      </w:r>
      <w:r>
        <w:rPr>
          <w:rFonts w:hint="eastAsia"/>
          <w:sz w:val="24"/>
        </w:rPr>
        <w:t>0.1-0.3m</w:t>
      </w:r>
      <w:r>
        <w:rPr>
          <w:rFonts w:hint="eastAsia"/>
          <w:sz w:val="24"/>
        </w:rPr>
        <w:t>，小于夹石剔除厚度</w:t>
      </w:r>
      <w:r>
        <w:rPr>
          <w:rFonts w:hint="eastAsia"/>
          <w:sz w:val="24"/>
        </w:rPr>
        <w:t>1.0m</w:t>
      </w:r>
      <w:r>
        <w:rPr>
          <w:rFonts w:hint="eastAsia"/>
          <w:sz w:val="24"/>
        </w:rPr>
        <w:t>，无顶板围岩，矿体底板为</w:t>
      </w:r>
      <w:bookmarkStart w:id="199" w:name="_Hlk151991377"/>
      <w:r>
        <w:rPr>
          <w:rFonts w:hint="eastAsia"/>
          <w:sz w:val="24"/>
        </w:rPr>
        <w:t>砂砾岩、粉砂岩</w:t>
      </w:r>
      <w:r>
        <w:rPr>
          <w:rFonts w:hint="eastAsia"/>
          <w:sz w:val="24"/>
        </w:rPr>
        <w:t>-</w:t>
      </w:r>
      <w:r>
        <w:rPr>
          <w:rFonts w:hint="eastAsia"/>
          <w:sz w:val="24"/>
        </w:rPr>
        <w:t>泥岩</w:t>
      </w:r>
      <w:bookmarkEnd w:id="199"/>
      <w:r>
        <w:rPr>
          <w:rFonts w:hint="eastAsia"/>
          <w:sz w:val="24"/>
        </w:rPr>
        <w:t>、砾岩夹砂岩等白垩系岩石</w:t>
      </w:r>
      <w:r>
        <w:rPr>
          <w:rFonts w:hint="eastAsia"/>
          <w:sz w:val="28"/>
          <w:szCs w:val="28"/>
        </w:rPr>
        <w:t>。</w:t>
      </w:r>
    </w:p>
    <w:p w:rsidR="009C5C1F" w:rsidRDefault="004D2E0D">
      <w:pPr>
        <w:autoSpaceDE w:val="0"/>
        <w:autoSpaceDN w:val="0"/>
        <w:adjustRightInd w:val="0"/>
        <w:spacing w:line="500" w:lineRule="exact"/>
        <w:ind w:firstLineChars="200" w:firstLine="420"/>
        <w:jc w:val="center"/>
        <w:rPr>
          <w:rFonts w:ascii="宋体" w:hAnsi="宋体" w:cs="宋体"/>
          <w:color w:val="000000"/>
          <w:szCs w:val="21"/>
        </w:rPr>
      </w:pPr>
      <w:r>
        <w:rPr>
          <w:rFonts w:ascii="宋体" w:hAnsi="宋体" w:cs="宋体" w:hint="eastAsia"/>
          <w:color w:val="000000"/>
          <w:szCs w:val="21"/>
        </w:rPr>
        <w:t>照片2</w:t>
      </w:r>
      <w:r>
        <w:rPr>
          <w:rFonts w:ascii="宋体" w:hAnsi="宋体" w:cs="宋体"/>
          <w:color w:val="000000"/>
          <w:szCs w:val="21"/>
        </w:rPr>
        <w:t xml:space="preserve"> </w:t>
      </w:r>
      <w:r>
        <w:rPr>
          <w:rFonts w:ascii="宋体" w:hAnsi="宋体" w:cs="宋体" w:hint="eastAsia"/>
          <w:color w:val="000000"/>
          <w:szCs w:val="21"/>
        </w:rPr>
        <w:t>矿区矿体顶板、底板（上图顶板、下图底板）</w:t>
      </w:r>
    </w:p>
    <w:p w:rsidR="009C5C1F" w:rsidRDefault="004D2E0D">
      <w:pPr>
        <w:pStyle w:val="2"/>
        <w:spacing w:beforeLines="100" w:before="360" w:line="500" w:lineRule="atLeast"/>
        <w:ind w:firstLine="482"/>
        <w:rPr>
          <w:rFonts w:ascii="宋体" w:eastAsia="宋体" w:hAnsi="宋体" w:cs="宋体"/>
          <w:sz w:val="24"/>
          <w:szCs w:val="24"/>
        </w:rPr>
      </w:pPr>
      <w:bookmarkStart w:id="200" w:name="_Toc307304011"/>
      <w:bookmarkStart w:id="201" w:name="_Toc153130716"/>
      <w:bookmarkStart w:id="202" w:name="_Toc502783420"/>
      <w:bookmarkStart w:id="203" w:name="_Toc70589731"/>
      <w:bookmarkStart w:id="204" w:name="_Toc511226412"/>
      <w:bookmarkEnd w:id="180"/>
      <w:bookmarkEnd w:id="181"/>
      <w:r>
        <w:rPr>
          <w:rFonts w:ascii="宋体" w:eastAsia="宋体" w:hAnsi="宋体" w:cs="宋体" w:hint="eastAsia"/>
          <w:sz w:val="24"/>
          <w:szCs w:val="24"/>
        </w:rPr>
        <w:lastRenderedPageBreak/>
        <w:t>3.3开采技术条件</w:t>
      </w:r>
      <w:bookmarkEnd w:id="200"/>
      <w:bookmarkEnd w:id="201"/>
      <w:bookmarkEnd w:id="202"/>
      <w:bookmarkEnd w:id="203"/>
      <w:bookmarkEnd w:id="204"/>
    </w:p>
    <w:p w:rsidR="009C5C1F" w:rsidRDefault="004D2E0D">
      <w:pPr>
        <w:pStyle w:val="3"/>
        <w:spacing w:beforeLines="100" w:before="360" w:after="0" w:line="500" w:lineRule="exact"/>
        <w:ind w:firstLineChars="200" w:firstLine="482"/>
        <w:rPr>
          <w:rFonts w:ascii="宋体" w:hAnsi="宋体" w:cs="宋体"/>
        </w:rPr>
      </w:pPr>
      <w:bookmarkStart w:id="205" w:name="_Toc395519139"/>
      <w:bookmarkStart w:id="206" w:name="_Toc293479190"/>
      <w:bookmarkStart w:id="207" w:name="_Toc502783421"/>
      <w:bookmarkStart w:id="208" w:name="_Toc172861822"/>
      <w:bookmarkStart w:id="209" w:name="_Toc70589732"/>
      <w:bookmarkEnd w:id="182"/>
      <w:r>
        <w:rPr>
          <w:rFonts w:ascii="宋体" w:hAnsi="宋体" w:cs="宋体" w:hint="eastAsia"/>
        </w:rPr>
        <w:t>3.3.1水文地质</w:t>
      </w:r>
      <w:bookmarkEnd w:id="205"/>
      <w:bookmarkEnd w:id="206"/>
      <w:bookmarkEnd w:id="207"/>
      <w:bookmarkEnd w:id="208"/>
      <w:bookmarkEnd w:id="209"/>
    </w:p>
    <w:p w:rsidR="009C5C1F" w:rsidRDefault="004D2E0D">
      <w:pPr>
        <w:pStyle w:val="a0"/>
        <w:ind w:firstLineChars="200" w:firstLine="480"/>
        <w:rPr>
          <w:sz w:val="24"/>
        </w:rPr>
      </w:pPr>
      <w:bookmarkStart w:id="210" w:name="_Toc502783422"/>
      <w:bookmarkStart w:id="211" w:name="_Toc395519140"/>
      <w:bookmarkStart w:id="212" w:name="_Toc293479191"/>
      <w:r>
        <w:rPr>
          <w:rFonts w:hint="eastAsia"/>
          <w:sz w:val="24"/>
        </w:rPr>
        <w:t>矿区含、隔水层及其特征：</w:t>
      </w:r>
    </w:p>
    <w:p w:rsidR="009C5C1F" w:rsidRDefault="004D2E0D">
      <w:pPr>
        <w:spacing w:line="360" w:lineRule="auto"/>
        <w:ind w:firstLineChars="200" w:firstLine="480"/>
        <w:rPr>
          <w:rFonts w:ascii="宋体" w:hAnsi="宋体"/>
          <w:sz w:val="24"/>
        </w:rPr>
      </w:pPr>
      <w:r>
        <w:rPr>
          <w:rFonts w:ascii="宋体" w:hAnsi="宋体"/>
          <w:sz w:val="24"/>
        </w:rPr>
        <w:t>1.含、隔水岩组</w:t>
      </w:r>
    </w:p>
    <w:p w:rsidR="009C5C1F" w:rsidRDefault="004D2E0D">
      <w:pPr>
        <w:spacing w:line="360" w:lineRule="auto"/>
        <w:ind w:firstLineChars="200" w:firstLine="480"/>
        <w:rPr>
          <w:rFonts w:ascii="宋体" w:hAnsi="宋体"/>
          <w:color w:val="000000"/>
          <w:sz w:val="24"/>
        </w:rPr>
      </w:pPr>
      <w:r>
        <w:rPr>
          <w:rFonts w:ascii="宋体" w:hAnsi="宋体" w:hint="eastAsia"/>
          <w:color w:val="000000"/>
          <w:sz w:val="24"/>
        </w:rPr>
        <w:t>矿</w:t>
      </w:r>
      <w:r>
        <w:rPr>
          <w:rFonts w:ascii="宋体" w:hAnsi="宋体"/>
          <w:color w:val="000000"/>
          <w:sz w:val="24"/>
        </w:rPr>
        <w:t>区出露地层均为第四系晚更新统洪积物，为冲洪积</w:t>
      </w:r>
      <w:r>
        <w:rPr>
          <w:rFonts w:ascii="宋体" w:hAnsi="宋体" w:hint="eastAsia"/>
          <w:color w:val="000000"/>
          <w:sz w:val="24"/>
        </w:rPr>
        <w:t>物</w:t>
      </w:r>
      <w:proofErr w:type="gramStart"/>
      <w:r>
        <w:rPr>
          <w:rFonts w:ascii="宋体" w:hAnsi="宋体" w:hint="eastAsia"/>
          <w:color w:val="000000"/>
          <w:sz w:val="24"/>
        </w:rPr>
        <w:t>粘土层夹砾石</w:t>
      </w:r>
      <w:proofErr w:type="gramEnd"/>
      <w:r>
        <w:rPr>
          <w:rFonts w:ascii="宋体" w:hAnsi="宋体" w:hint="eastAsia"/>
          <w:color w:val="000000"/>
          <w:sz w:val="24"/>
        </w:rPr>
        <w:t>层</w:t>
      </w:r>
      <w:r>
        <w:rPr>
          <w:rFonts w:ascii="宋体" w:hAnsi="宋体"/>
          <w:color w:val="000000"/>
          <w:sz w:val="24"/>
        </w:rPr>
        <w:t>，</w:t>
      </w:r>
      <w:r>
        <w:rPr>
          <w:rFonts w:ascii="宋体" w:hAnsi="宋体" w:hint="eastAsia"/>
          <w:color w:val="000000"/>
          <w:sz w:val="24"/>
        </w:rPr>
        <w:t>粘土层主要由粘土</w:t>
      </w:r>
      <w:proofErr w:type="gramStart"/>
      <w:r>
        <w:rPr>
          <w:rFonts w:ascii="宋体" w:hAnsi="宋体" w:hint="eastAsia"/>
          <w:color w:val="000000"/>
          <w:sz w:val="24"/>
        </w:rPr>
        <w:t>土</w:t>
      </w:r>
      <w:proofErr w:type="gramEnd"/>
      <w:r>
        <w:rPr>
          <w:rFonts w:ascii="宋体" w:hAnsi="宋体" w:hint="eastAsia"/>
          <w:color w:val="000000"/>
          <w:sz w:val="24"/>
        </w:rPr>
        <w:t>组成，砾石层主要为白垩系砂砾岩与粉砂岩-泥岩、砾岩夹砂岩</w:t>
      </w:r>
      <w:r>
        <w:rPr>
          <w:rFonts w:ascii="宋体" w:hAnsi="宋体"/>
          <w:color w:val="000000"/>
          <w:sz w:val="24"/>
        </w:rPr>
        <w:t>，蓄水性、富水性均较差，不利于水的积聚，属透水而</w:t>
      </w:r>
      <w:proofErr w:type="gramStart"/>
      <w:r>
        <w:rPr>
          <w:rFonts w:ascii="宋体" w:hAnsi="宋体"/>
          <w:color w:val="000000"/>
          <w:sz w:val="24"/>
        </w:rPr>
        <w:t>不</w:t>
      </w:r>
      <w:proofErr w:type="gramEnd"/>
      <w:r>
        <w:rPr>
          <w:rFonts w:ascii="宋体" w:hAnsi="宋体"/>
          <w:color w:val="000000"/>
          <w:sz w:val="24"/>
        </w:rPr>
        <w:t>含水层，无隔水层。</w:t>
      </w:r>
    </w:p>
    <w:p w:rsidR="009C5C1F" w:rsidRDefault="004D2E0D">
      <w:pPr>
        <w:spacing w:line="360" w:lineRule="auto"/>
        <w:ind w:firstLineChars="200" w:firstLine="480"/>
        <w:rPr>
          <w:rFonts w:ascii="宋体" w:hAnsi="宋体"/>
          <w:sz w:val="24"/>
        </w:rPr>
      </w:pPr>
      <w:r>
        <w:rPr>
          <w:rFonts w:ascii="宋体" w:hAnsi="宋体"/>
          <w:sz w:val="24"/>
        </w:rPr>
        <w:t>2.地下水补给、径流、排泄条件</w:t>
      </w:r>
    </w:p>
    <w:p w:rsidR="009C5C1F" w:rsidRDefault="004D2E0D">
      <w:pPr>
        <w:spacing w:line="360" w:lineRule="auto"/>
        <w:ind w:firstLineChars="200" w:firstLine="480"/>
        <w:rPr>
          <w:rFonts w:ascii="宋体" w:hAnsi="宋体"/>
          <w:sz w:val="24"/>
        </w:rPr>
      </w:pPr>
      <w:r>
        <w:rPr>
          <w:rFonts w:ascii="宋体" w:hAnsi="宋体"/>
          <w:sz w:val="24"/>
        </w:rPr>
        <w:t>大气降水入渗是区内地下水的主要补给来源，由于该区大气降水极少，补给贫乏，含水层富水性弱，地下水以静储量为主，水量很少，地表径流及地下径流均表现微弱，不会对采矿造成不良影响。地下水埋藏较深，采矿不受地下水的影响，水文地质条件</w:t>
      </w:r>
      <w:proofErr w:type="gramStart"/>
      <w:r>
        <w:rPr>
          <w:rFonts w:ascii="宋体" w:hAnsi="宋体"/>
          <w:sz w:val="24"/>
        </w:rPr>
        <w:t>属简单</w:t>
      </w:r>
      <w:proofErr w:type="gramEnd"/>
      <w:r>
        <w:rPr>
          <w:rFonts w:ascii="宋体" w:hAnsi="宋体"/>
          <w:sz w:val="24"/>
        </w:rPr>
        <w:t>类型。</w:t>
      </w:r>
    </w:p>
    <w:p w:rsidR="009C5C1F" w:rsidRDefault="004D2E0D">
      <w:pPr>
        <w:spacing w:line="360" w:lineRule="auto"/>
        <w:ind w:firstLineChars="200" w:firstLine="480"/>
        <w:rPr>
          <w:rFonts w:ascii="宋体" w:hAnsi="宋体"/>
          <w:color w:val="000000"/>
          <w:sz w:val="24"/>
        </w:rPr>
      </w:pPr>
      <w:r>
        <w:rPr>
          <w:rFonts w:ascii="宋体" w:hAnsi="宋体"/>
          <w:color w:val="000000"/>
          <w:sz w:val="24"/>
        </w:rPr>
        <w:t>区内地下水排泄，一是通过地下水径流由</w:t>
      </w:r>
      <w:r>
        <w:rPr>
          <w:rFonts w:ascii="宋体" w:hAnsi="宋体" w:hint="eastAsia"/>
          <w:color w:val="000000"/>
          <w:sz w:val="24"/>
        </w:rPr>
        <w:t>东</w:t>
      </w:r>
      <w:r>
        <w:rPr>
          <w:rFonts w:ascii="宋体" w:hAnsi="宋体"/>
          <w:color w:val="000000"/>
          <w:sz w:val="24"/>
        </w:rPr>
        <w:t>向</w:t>
      </w:r>
      <w:r>
        <w:rPr>
          <w:rFonts w:ascii="宋体" w:hAnsi="宋体" w:hint="eastAsia"/>
          <w:color w:val="000000"/>
          <w:sz w:val="24"/>
        </w:rPr>
        <w:t>西</w:t>
      </w:r>
      <w:r>
        <w:rPr>
          <w:rFonts w:ascii="宋体" w:hAnsi="宋体"/>
          <w:color w:val="000000"/>
          <w:sz w:val="24"/>
        </w:rPr>
        <w:t>排泄，二是在地下水位较浅的地段通过陆面蒸发和植物蒸腾的方式垂直排泄。</w:t>
      </w:r>
    </w:p>
    <w:p w:rsidR="009C5C1F" w:rsidRDefault="004D2E0D">
      <w:pPr>
        <w:spacing w:line="360" w:lineRule="auto"/>
        <w:ind w:firstLineChars="200" w:firstLine="480"/>
        <w:rPr>
          <w:rFonts w:ascii="宋体" w:hAnsi="宋体"/>
          <w:sz w:val="24"/>
        </w:rPr>
      </w:pPr>
      <w:r>
        <w:rPr>
          <w:rFonts w:ascii="宋体" w:hAnsi="宋体" w:hint="eastAsia"/>
          <w:sz w:val="24"/>
        </w:rPr>
        <w:t>矿</w:t>
      </w:r>
      <w:r>
        <w:rPr>
          <w:rFonts w:ascii="宋体" w:hAnsi="宋体"/>
          <w:sz w:val="24"/>
        </w:rPr>
        <w:t>区内矿体最低赋存标高远高于地下水位标高，地下水对开采无影响。</w:t>
      </w:r>
    </w:p>
    <w:p w:rsidR="009C5C1F" w:rsidRDefault="004D2E0D">
      <w:pPr>
        <w:pStyle w:val="3"/>
        <w:spacing w:beforeLines="100" w:before="360" w:after="0" w:line="500" w:lineRule="exact"/>
        <w:ind w:firstLineChars="200" w:firstLine="482"/>
        <w:rPr>
          <w:rFonts w:ascii="宋体" w:hAnsi="宋体" w:cs="宋体"/>
        </w:rPr>
      </w:pPr>
      <w:bookmarkStart w:id="213" w:name="_Toc70589733"/>
      <w:r>
        <w:rPr>
          <w:rFonts w:ascii="宋体" w:hAnsi="宋体" w:cs="宋体" w:hint="eastAsia"/>
        </w:rPr>
        <w:t>3.3.2工程地质</w:t>
      </w:r>
      <w:bookmarkEnd w:id="210"/>
      <w:bookmarkEnd w:id="211"/>
      <w:bookmarkEnd w:id="212"/>
      <w:bookmarkEnd w:id="213"/>
    </w:p>
    <w:p w:rsidR="009C5C1F" w:rsidRDefault="004D2E0D">
      <w:pPr>
        <w:spacing w:line="360" w:lineRule="auto"/>
        <w:ind w:firstLineChars="200" w:firstLine="480"/>
        <w:rPr>
          <w:sz w:val="24"/>
        </w:rPr>
      </w:pPr>
      <w:bookmarkStart w:id="214" w:name="_Toc293479192"/>
      <w:bookmarkStart w:id="215" w:name="_Toc395519141"/>
      <w:bookmarkStart w:id="216" w:name="_Toc502783423"/>
      <w:bookmarkStart w:id="217" w:name="_Toc211070074"/>
      <w:r>
        <w:rPr>
          <w:sz w:val="24"/>
        </w:rPr>
        <w:t>矿区内粘土呈</w:t>
      </w:r>
      <w:r>
        <w:rPr>
          <w:rFonts w:hint="eastAsia"/>
          <w:sz w:val="24"/>
        </w:rPr>
        <w:t>灰褐</w:t>
      </w:r>
      <w:r>
        <w:rPr>
          <w:sz w:val="24"/>
        </w:rPr>
        <w:t>色，结构紧密，呈厚层致密块状，质地坚硬，属易溶粘土，具粘性及塑性</w:t>
      </w:r>
      <w:proofErr w:type="gramStart"/>
      <w:r>
        <w:rPr>
          <w:sz w:val="24"/>
        </w:rPr>
        <w:t>坚硬岩类土</w:t>
      </w:r>
      <w:proofErr w:type="gramEnd"/>
      <w:r>
        <w:rPr>
          <w:sz w:val="24"/>
        </w:rPr>
        <w:t>体。</w:t>
      </w:r>
      <w:r>
        <w:rPr>
          <w:rFonts w:hint="eastAsia"/>
          <w:sz w:val="24"/>
        </w:rPr>
        <w:t>无</w:t>
      </w:r>
      <w:r>
        <w:rPr>
          <w:sz w:val="24"/>
        </w:rPr>
        <w:t>顶板</w:t>
      </w:r>
      <w:r>
        <w:rPr>
          <w:rFonts w:hint="eastAsia"/>
          <w:sz w:val="24"/>
        </w:rPr>
        <w:t>围岩</w:t>
      </w:r>
      <w:r>
        <w:rPr>
          <w:sz w:val="24"/>
        </w:rPr>
        <w:t>。底板为</w:t>
      </w:r>
      <w:r>
        <w:rPr>
          <w:rFonts w:hint="eastAsia"/>
          <w:sz w:val="24"/>
        </w:rPr>
        <w:t>砂砾岩、粉砂岩</w:t>
      </w:r>
      <w:r>
        <w:rPr>
          <w:rFonts w:hint="eastAsia"/>
          <w:sz w:val="24"/>
        </w:rPr>
        <w:t>-</w:t>
      </w:r>
      <w:r>
        <w:rPr>
          <w:rFonts w:hint="eastAsia"/>
          <w:sz w:val="24"/>
        </w:rPr>
        <w:t>泥岩、</w:t>
      </w:r>
      <w:r>
        <w:rPr>
          <w:sz w:val="24"/>
        </w:rPr>
        <w:t>粘土岩，遇水易变形。</w:t>
      </w:r>
    </w:p>
    <w:p w:rsidR="009C5C1F" w:rsidRDefault="004D2E0D">
      <w:pPr>
        <w:spacing w:line="360" w:lineRule="auto"/>
        <w:ind w:firstLineChars="200" w:firstLine="480"/>
        <w:rPr>
          <w:sz w:val="24"/>
        </w:rPr>
      </w:pPr>
      <w:r>
        <w:rPr>
          <w:sz w:val="24"/>
        </w:rPr>
        <w:t>据地区经验，粘土容许承载力</w:t>
      </w:r>
      <w:r>
        <w:rPr>
          <w:sz w:val="24"/>
        </w:rPr>
        <w:t xml:space="preserve"> 400</w:t>
      </w:r>
      <w:r>
        <w:rPr>
          <w:sz w:val="24"/>
        </w:rPr>
        <w:t>～</w:t>
      </w:r>
      <w:r>
        <w:rPr>
          <w:sz w:val="24"/>
        </w:rPr>
        <w:t>800Kpa</w:t>
      </w:r>
      <w:r>
        <w:rPr>
          <w:sz w:val="24"/>
        </w:rPr>
        <w:t>，工程地质条件良</w:t>
      </w:r>
      <w:r>
        <w:rPr>
          <w:rFonts w:hint="eastAsia"/>
          <w:sz w:val="24"/>
        </w:rPr>
        <w:t>好。</w:t>
      </w:r>
    </w:p>
    <w:p w:rsidR="009C5C1F" w:rsidRDefault="004D2E0D">
      <w:pPr>
        <w:pStyle w:val="3"/>
        <w:spacing w:beforeLines="100" w:before="360" w:after="0" w:line="500" w:lineRule="exact"/>
        <w:ind w:firstLineChars="200" w:firstLine="482"/>
        <w:rPr>
          <w:rFonts w:ascii="宋体" w:hAnsi="宋体" w:cs="宋体"/>
        </w:rPr>
      </w:pPr>
      <w:bookmarkStart w:id="218" w:name="_Toc70589734"/>
      <w:r>
        <w:rPr>
          <w:rFonts w:ascii="宋体" w:hAnsi="宋体" w:cs="宋体" w:hint="eastAsia"/>
        </w:rPr>
        <w:t>3.3.3环境地质</w:t>
      </w:r>
      <w:bookmarkEnd w:id="214"/>
      <w:bookmarkEnd w:id="215"/>
      <w:bookmarkEnd w:id="216"/>
      <w:bookmarkEnd w:id="218"/>
    </w:p>
    <w:p w:rsidR="009C5C1F" w:rsidRDefault="004D2E0D">
      <w:pPr>
        <w:spacing w:line="360" w:lineRule="auto"/>
        <w:ind w:firstLineChars="200" w:firstLine="480"/>
        <w:rPr>
          <w:sz w:val="24"/>
        </w:rPr>
      </w:pPr>
      <w:bookmarkStart w:id="219" w:name="_Toc502783424"/>
      <w:bookmarkStart w:id="220" w:name="_Toc31013"/>
      <w:bookmarkStart w:id="221" w:name="_Toc395519142"/>
      <w:bookmarkEnd w:id="217"/>
      <w:r>
        <w:rPr>
          <w:sz w:val="24"/>
        </w:rPr>
        <w:t>1.</w:t>
      </w:r>
      <w:r>
        <w:rPr>
          <w:sz w:val="24"/>
        </w:rPr>
        <w:t>区域稳定性</w:t>
      </w:r>
    </w:p>
    <w:p w:rsidR="009C5C1F" w:rsidRDefault="004D2E0D">
      <w:pPr>
        <w:spacing w:line="360" w:lineRule="auto"/>
        <w:ind w:firstLineChars="200" w:firstLine="480"/>
        <w:rPr>
          <w:sz w:val="24"/>
        </w:rPr>
      </w:pPr>
      <w:r>
        <w:rPr>
          <w:sz w:val="24"/>
        </w:rPr>
        <w:t>区域地震基本烈度为</w:t>
      </w:r>
      <w:r>
        <w:rPr>
          <w:rFonts w:ascii="宋体" w:hAnsi="宋体" w:cs="宋体" w:hint="eastAsia"/>
          <w:sz w:val="24"/>
        </w:rPr>
        <w:t>Ⅶ</w:t>
      </w:r>
      <w:r>
        <w:rPr>
          <w:sz w:val="24"/>
        </w:rPr>
        <w:t>度，地震动峰值加速度为</w:t>
      </w:r>
      <w:r>
        <w:rPr>
          <w:sz w:val="24"/>
        </w:rPr>
        <w:t>0.15g</w:t>
      </w:r>
      <w:r>
        <w:rPr>
          <w:sz w:val="24"/>
        </w:rPr>
        <w:t>，</w:t>
      </w:r>
      <w:r>
        <w:rPr>
          <w:rFonts w:hint="eastAsia"/>
          <w:sz w:val="24"/>
        </w:rPr>
        <w:t>地震动加速度反应谱特征周期</w:t>
      </w:r>
      <w:r>
        <w:rPr>
          <w:rFonts w:hint="eastAsia"/>
          <w:sz w:val="24"/>
        </w:rPr>
        <w:t>0.4</w:t>
      </w:r>
      <w:r>
        <w:rPr>
          <w:sz w:val="24"/>
        </w:rPr>
        <w:t>5</w:t>
      </w:r>
      <w:r>
        <w:rPr>
          <w:rFonts w:hint="eastAsia"/>
          <w:sz w:val="24"/>
        </w:rPr>
        <w:t>s</w:t>
      </w:r>
      <w:r>
        <w:rPr>
          <w:rFonts w:hint="eastAsia"/>
          <w:sz w:val="24"/>
        </w:rPr>
        <w:t>。矿</w:t>
      </w:r>
      <w:r>
        <w:rPr>
          <w:sz w:val="24"/>
        </w:rPr>
        <w:t>区区域地壳稳定性属稳定区，工程建设条件适宜。但张掖</w:t>
      </w:r>
      <w:r>
        <w:rPr>
          <w:sz w:val="24"/>
        </w:rPr>
        <w:lastRenderedPageBreak/>
        <w:t>地区历史上地震活动较频繁。发生</w:t>
      </w:r>
      <w:r>
        <w:rPr>
          <w:sz w:val="24"/>
        </w:rPr>
        <w:t>3</w:t>
      </w:r>
      <w:r>
        <w:rPr>
          <w:sz w:val="24"/>
        </w:rPr>
        <w:t>级以上地震</w:t>
      </w:r>
      <w:r>
        <w:rPr>
          <w:sz w:val="24"/>
        </w:rPr>
        <w:t>60</w:t>
      </w:r>
      <w:r>
        <w:rPr>
          <w:sz w:val="24"/>
        </w:rPr>
        <w:t>余次，其中具有破坏性地震</w:t>
      </w:r>
      <w:r>
        <w:rPr>
          <w:sz w:val="24"/>
        </w:rPr>
        <w:t>4</w:t>
      </w:r>
      <w:r>
        <w:rPr>
          <w:sz w:val="24"/>
        </w:rPr>
        <w:t>次，</w:t>
      </w:r>
      <w:proofErr w:type="gramStart"/>
      <w:r>
        <w:rPr>
          <w:sz w:val="24"/>
        </w:rPr>
        <w:t>造成人蓄伤亡</w:t>
      </w:r>
      <w:proofErr w:type="gramEnd"/>
      <w:r>
        <w:rPr>
          <w:sz w:val="24"/>
        </w:rPr>
        <w:t>的</w:t>
      </w:r>
      <w:r>
        <w:rPr>
          <w:sz w:val="24"/>
        </w:rPr>
        <w:t>5</w:t>
      </w:r>
      <w:r>
        <w:rPr>
          <w:sz w:val="24"/>
        </w:rPr>
        <w:t>次。</w:t>
      </w:r>
      <w:r>
        <w:rPr>
          <w:rFonts w:hint="eastAsia"/>
          <w:sz w:val="24"/>
        </w:rPr>
        <w:t>矿</w:t>
      </w:r>
      <w:r>
        <w:rPr>
          <w:sz w:val="24"/>
        </w:rPr>
        <w:t>区在历史上没有发生过破坏性地震，但邻区强震曾多次波及。</w:t>
      </w:r>
    </w:p>
    <w:p w:rsidR="009C5C1F" w:rsidRDefault="004D2E0D">
      <w:pPr>
        <w:spacing w:line="360" w:lineRule="auto"/>
        <w:ind w:firstLineChars="200" w:firstLine="480"/>
        <w:rPr>
          <w:sz w:val="24"/>
        </w:rPr>
      </w:pPr>
      <w:r>
        <w:rPr>
          <w:sz w:val="24"/>
        </w:rPr>
        <w:t>2.</w:t>
      </w:r>
      <w:r>
        <w:rPr>
          <w:sz w:val="24"/>
        </w:rPr>
        <w:t>不良工程地质现象</w:t>
      </w:r>
    </w:p>
    <w:p w:rsidR="009C5C1F" w:rsidRDefault="004D2E0D">
      <w:pPr>
        <w:spacing w:line="360" w:lineRule="auto"/>
        <w:ind w:firstLineChars="200" w:firstLine="480"/>
        <w:rPr>
          <w:sz w:val="24"/>
        </w:rPr>
      </w:pPr>
      <w:r>
        <w:rPr>
          <w:rFonts w:hint="eastAsia"/>
          <w:sz w:val="24"/>
        </w:rPr>
        <w:t>矿</w:t>
      </w:r>
      <w:r>
        <w:rPr>
          <w:sz w:val="24"/>
        </w:rPr>
        <w:t>区地貌单元单一，地势</w:t>
      </w:r>
      <w:r>
        <w:rPr>
          <w:rFonts w:hint="eastAsia"/>
          <w:sz w:val="24"/>
        </w:rPr>
        <w:t>东</w:t>
      </w:r>
      <w:r>
        <w:rPr>
          <w:sz w:val="24"/>
        </w:rPr>
        <w:t>高</w:t>
      </w:r>
      <w:r>
        <w:rPr>
          <w:rFonts w:hint="eastAsia"/>
          <w:sz w:val="24"/>
        </w:rPr>
        <w:t>西</w:t>
      </w:r>
      <w:r>
        <w:rPr>
          <w:sz w:val="24"/>
        </w:rPr>
        <w:t>低，坡度在</w:t>
      </w:r>
      <w:r>
        <w:rPr>
          <w:rFonts w:hint="eastAsia"/>
          <w:sz w:val="24"/>
        </w:rPr>
        <w:t>3</w:t>
      </w:r>
      <w:r>
        <w:rPr>
          <w:sz w:val="24"/>
        </w:rPr>
        <w:t>～</w:t>
      </w:r>
      <w:r>
        <w:rPr>
          <w:rFonts w:hint="eastAsia"/>
          <w:sz w:val="24"/>
        </w:rPr>
        <w:t>5</w:t>
      </w:r>
      <w:r>
        <w:rPr>
          <w:sz w:val="24"/>
        </w:rPr>
        <w:t>°</w:t>
      </w:r>
      <w:r>
        <w:rPr>
          <w:sz w:val="24"/>
        </w:rPr>
        <w:t>之间，地势平坦，起伏不大，区内冲沟不发育。</w:t>
      </w:r>
    </w:p>
    <w:p w:rsidR="009C5C1F" w:rsidRDefault="004D2E0D">
      <w:pPr>
        <w:spacing w:line="360" w:lineRule="auto"/>
        <w:ind w:firstLineChars="200" w:firstLine="480"/>
        <w:rPr>
          <w:sz w:val="24"/>
        </w:rPr>
      </w:pPr>
      <w:r>
        <w:rPr>
          <w:sz w:val="24"/>
        </w:rPr>
        <w:t>由于风化与搬运作用，剥蚀与堆积作用基本平衡，植被不发育，干旱少雨，</w:t>
      </w:r>
      <w:r>
        <w:rPr>
          <w:rFonts w:hint="eastAsia"/>
          <w:sz w:val="24"/>
        </w:rPr>
        <w:t>矿</w:t>
      </w:r>
      <w:r>
        <w:rPr>
          <w:sz w:val="24"/>
        </w:rPr>
        <w:t>区无洪水、泥石流灾害。</w:t>
      </w:r>
      <w:r>
        <w:rPr>
          <w:rFonts w:hint="eastAsia"/>
          <w:sz w:val="24"/>
        </w:rPr>
        <w:t>但</w:t>
      </w:r>
      <w:r>
        <w:rPr>
          <w:sz w:val="24"/>
        </w:rPr>
        <w:t>随着采矿工作的不断深入</w:t>
      </w:r>
      <w:r>
        <w:rPr>
          <w:rFonts w:hint="eastAsia"/>
          <w:sz w:val="24"/>
        </w:rPr>
        <w:t>，开采时可能会发生崩塌</w:t>
      </w:r>
      <w:r>
        <w:rPr>
          <w:sz w:val="24"/>
        </w:rPr>
        <w:t>等地质灾害</w:t>
      </w:r>
      <w:r>
        <w:rPr>
          <w:rFonts w:hint="eastAsia"/>
          <w:sz w:val="24"/>
        </w:rPr>
        <w:t>，还应</w:t>
      </w:r>
      <w:r>
        <w:rPr>
          <w:sz w:val="24"/>
        </w:rPr>
        <w:t>加强对暴雨形成的季节性洪水的防范工作。</w:t>
      </w:r>
    </w:p>
    <w:p w:rsidR="009C5C1F" w:rsidRDefault="004D2E0D">
      <w:pPr>
        <w:spacing w:line="360" w:lineRule="auto"/>
        <w:ind w:firstLineChars="200" w:firstLine="480"/>
        <w:rPr>
          <w:sz w:val="24"/>
        </w:rPr>
      </w:pPr>
      <w:r>
        <w:rPr>
          <w:sz w:val="24"/>
        </w:rPr>
        <w:t>3.</w:t>
      </w:r>
      <w:r>
        <w:rPr>
          <w:sz w:val="24"/>
        </w:rPr>
        <w:t>采矿对环境的影响</w:t>
      </w:r>
    </w:p>
    <w:p w:rsidR="009C5C1F" w:rsidRDefault="004D2E0D">
      <w:pPr>
        <w:spacing w:line="360" w:lineRule="auto"/>
        <w:ind w:firstLineChars="200" w:firstLine="480"/>
        <w:rPr>
          <w:sz w:val="24"/>
        </w:rPr>
      </w:pPr>
      <w:r>
        <w:rPr>
          <w:rFonts w:hint="eastAsia"/>
          <w:sz w:val="24"/>
        </w:rPr>
        <w:t>矿区矿体为</w:t>
      </w:r>
      <w:r>
        <w:rPr>
          <w:rFonts w:hint="eastAsia"/>
          <w:color w:val="000000"/>
          <w:sz w:val="24"/>
        </w:rPr>
        <w:t>临泽县板桥</w:t>
      </w:r>
      <w:proofErr w:type="gramStart"/>
      <w:r>
        <w:rPr>
          <w:rFonts w:hint="eastAsia"/>
          <w:color w:val="000000"/>
          <w:sz w:val="24"/>
        </w:rPr>
        <w:t>镇壕洼村</w:t>
      </w:r>
      <w:proofErr w:type="gramEnd"/>
      <w:r>
        <w:rPr>
          <w:rFonts w:hint="eastAsia"/>
          <w:sz w:val="24"/>
        </w:rPr>
        <w:t>正北山西侧砖瓦用粘土矿，因此，</w:t>
      </w:r>
      <w:r>
        <w:rPr>
          <w:sz w:val="24"/>
        </w:rPr>
        <w:t>采矿对环境的最大影响范围与</w:t>
      </w:r>
      <w:r>
        <w:rPr>
          <w:rFonts w:hint="eastAsia"/>
          <w:sz w:val="24"/>
        </w:rPr>
        <w:t>矿区</w:t>
      </w:r>
      <w:r>
        <w:rPr>
          <w:sz w:val="24"/>
        </w:rPr>
        <w:t>范围一致</w:t>
      </w:r>
      <w:r>
        <w:rPr>
          <w:rFonts w:hint="eastAsia"/>
          <w:sz w:val="24"/>
        </w:rPr>
        <w:t>。</w:t>
      </w:r>
      <w:r>
        <w:rPr>
          <w:sz w:val="24"/>
        </w:rPr>
        <w:t>因此，采矿对环境的附加影响较小。</w:t>
      </w:r>
    </w:p>
    <w:p w:rsidR="009C5C1F" w:rsidRDefault="004D2E0D">
      <w:pPr>
        <w:spacing w:line="360" w:lineRule="auto"/>
        <w:ind w:firstLineChars="200" w:firstLine="480"/>
        <w:rPr>
          <w:rFonts w:ascii="宋体" w:hAnsi="宋体"/>
          <w:color w:val="000000"/>
          <w:sz w:val="24"/>
        </w:rPr>
      </w:pPr>
      <w:r>
        <w:rPr>
          <w:rFonts w:ascii="宋体" w:hAnsi="宋体" w:hint="eastAsia"/>
          <w:color w:val="000000"/>
          <w:sz w:val="24"/>
        </w:rPr>
        <w:t>没有搜集到普查区放射性污染资料，但该地人畜活动频繁，存在放射性污染可能性低。</w:t>
      </w:r>
    </w:p>
    <w:p w:rsidR="009C5C1F" w:rsidRDefault="004D2E0D">
      <w:pPr>
        <w:spacing w:line="360" w:lineRule="auto"/>
        <w:ind w:firstLineChars="200" w:firstLine="480"/>
        <w:rPr>
          <w:sz w:val="24"/>
        </w:rPr>
      </w:pPr>
      <w:r>
        <w:rPr>
          <w:sz w:val="24"/>
        </w:rPr>
        <w:t>但是，未来矿山在开发过程中对植被的破坏，将直接影响到周边地区的生态环境，因此，要根据土地的规划，合理安排矿山地质环境保护与治理恢复工作，使矿山地质环境与周边经济开发协调统一。</w:t>
      </w:r>
    </w:p>
    <w:p w:rsidR="009C5C1F" w:rsidRDefault="004D2E0D">
      <w:pPr>
        <w:pStyle w:val="3"/>
        <w:spacing w:beforeLines="100" w:before="360" w:after="0" w:line="500" w:lineRule="exact"/>
        <w:ind w:firstLineChars="200" w:firstLine="482"/>
        <w:rPr>
          <w:rFonts w:ascii="宋体" w:hAnsi="宋体" w:cs="宋体"/>
        </w:rPr>
      </w:pPr>
      <w:bookmarkStart w:id="222" w:name="_Toc70589735"/>
      <w:r>
        <w:rPr>
          <w:rFonts w:ascii="宋体" w:hAnsi="宋体" w:cs="宋体" w:hint="eastAsia"/>
        </w:rPr>
        <w:t>3.3.4开采技术条件小结</w:t>
      </w:r>
      <w:bookmarkEnd w:id="219"/>
      <w:bookmarkEnd w:id="220"/>
      <w:bookmarkEnd w:id="221"/>
      <w:bookmarkEnd w:id="222"/>
    </w:p>
    <w:p w:rsidR="009C5C1F" w:rsidRDefault="004D2E0D">
      <w:pPr>
        <w:autoSpaceDE w:val="0"/>
        <w:autoSpaceDN w:val="0"/>
        <w:adjustRightInd w:val="0"/>
        <w:spacing w:line="500" w:lineRule="exact"/>
        <w:ind w:firstLineChars="200" w:firstLine="480"/>
        <w:jc w:val="left"/>
        <w:rPr>
          <w:rFonts w:ascii="宋体" w:hAnsi="宋体" w:cs="宋体"/>
          <w:color w:val="000000"/>
          <w:sz w:val="24"/>
        </w:rPr>
      </w:pPr>
      <w:bookmarkStart w:id="223" w:name="_Toc211070079"/>
      <w:bookmarkStart w:id="224" w:name="_Toc511226413"/>
      <w:bookmarkStart w:id="225" w:name="_Toc214406993"/>
      <w:bookmarkStart w:id="226" w:name="_Toc502783425"/>
      <w:bookmarkStart w:id="227" w:name="_Toc213683050"/>
      <w:bookmarkEnd w:id="183"/>
      <w:bookmarkEnd w:id="184"/>
      <w:bookmarkEnd w:id="185"/>
      <w:r>
        <w:rPr>
          <w:sz w:val="24"/>
        </w:rPr>
        <w:t>综上，</w:t>
      </w:r>
      <w:r>
        <w:rPr>
          <w:rFonts w:hint="eastAsia"/>
          <w:sz w:val="24"/>
        </w:rPr>
        <w:t>矿</w:t>
      </w:r>
      <w:r>
        <w:rPr>
          <w:sz w:val="24"/>
        </w:rPr>
        <w:t>区目前水文地质、工程地质条件均为简单，环境地质条件亦较好，因此，根据《矿区水文地质工程地质勘查规范》（</w:t>
      </w:r>
      <w:r>
        <w:rPr>
          <w:sz w:val="24"/>
        </w:rPr>
        <w:t>GB  12719</w:t>
      </w:r>
      <w:r>
        <w:rPr>
          <w:sz w:val="24"/>
        </w:rPr>
        <w:t>－</w:t>
      </w:r>
      <w:r>
        <w:rPr>
          <w:rFonts w:hint="eastAsia"/>
          <w:sz w:val="24"/>
        </w:rPr>
        <w:t>2021</w:t>
      </w:r>
      <w:r>
        <w:rPr>
          <w:sz w:val="24"/>
        </w:rPr>
        <w:t>），本矿床开采技术条件勘查类型为简单（</w:t>
      </w:r>
      <w:r>
        <w:rPr>
          <w:sz w:val="24"/>
        </w:rPr>
        <w:t>I</w:t>
      </w:r>
      <w:r>
        <w:rPr>
          <w:sz w:val="24"/>
        </w:rPr>
        <w:t>）类型</w:t>
      </w:r>
      <w:r>
        <w:rPr>
          <w:rFonts w:hint="eastAsia"/>
          <w:sz w:val="24"/>
        </w:rPr>
        <w:t>，适合露天开采</w:t>
      </w:r>
      <w:r>
        <w:rPr>
          <w:rFonts w:ascii="宋体" w:hAnsi="宋体" w:cs="宋体" w:hint="eastAsia"/>
          <w:color w:val="000000"/>
          <w:sz w:val="24"/>
        </w:rPr>
        <w:t>。</w:t>
      </w:r>
    </w:p>
    <w:p w:rsidR="009C5C1F" w:rsidRDefault="004D2E0D">
      <w:pPr>
        <w:pStyle w:val="2"/>
        <w:spacing w:beforeLines="100" w:before="360" w:line="500" w:lineRule="atLeast"/>
        <w:ind w:firstLine="482"/>
        <w:rPr>
          <w:rFonts w:ascii="宋体" w:eastAsia="宋体" w:hAnsi="宋体" w:cs="宋体"/>
          <w:sz w:val="24"/>
          <w:szCs w:val="24"/>
        </w:rPr>
      </w:pPr>
      <w:bookmarkStart w:id="228" w:name="_Toc153130717"/>
      <w:bookmarkStart w:id="229" w:name="_Toc70589736"/>
      <w:r>
        <w:rPr>
          <w:rFonts w:ascii="宋体" w:eastAsia="宋体" w:hAnsi="宋体" w:cs="宋体" w:hint="eastAsia"/>
          <w:sz w:val="24"/>
          <w:szCs w:val="24"/>
        </w:rPr>
        <w:t>3.4矿山资源储量概述</w:t>
      </w:r>
      <w:bookmarkEnd w:id="228"/>
      <w:bookmarkEnd w:id="229"/>
    </w:p>
    <w:p w:rsidR="009C5C1F" w:rsidRDefault="004D2E0D">
      <w:pPr>
        <w:autoSpaceDE w:val="0"/>
        <w:autoSpaceDN w:val="0"/>
        <w:adjustRightInd w:val="0"/>
        <w:spacing w:line="500" w:lineRule="exact"/>
        <w:ind w:firstLineChars="200" w:firstLine="480"/>
        <w:jc w:val="left"/>
        <w:rPr>
          <w:rFonts w:ascii="宋体" w:hAnsi="宋体" w:cs="宋体"/>
          <w:color w:val="000000"/>
          <w:sz w:val="24"/>
        </w:rPr>
      </w:pPr>
      <w:r>
        <w:rPr>
          <w:rFonts w:ascii="宋体" w:hAnsi="宋体" w:cs="宋体" w:hint="eastAsia"/>
          <w:color w:val="000000"/>
          <w:sz w:val="24"/>
        </w:rPr>
        <w:t>由“原普查报告”可知：临泽县板桥</w:t>
      </w:r>
      <w:proofErr w:type="gramStart"/>
      <w:r>
        <w:rPr>
          <w:rFonts w:ascii="宋体" w:hAnsi="宋体" w:cs="宋体" w:hint="eastAsia"/>
          <w:color w:val="000000"/>
          <w:sz w:val="24"/>
        </w:rPr>
        <w:t>镇壕洼村</w:t>
      </w:r>
      <w:proofErr w:type="gramEnd"/>
      <w:r>
        <w:rPr>
          <w:rFonts w:hint="eastAsia"/>
          <w:sz w:val="24"/>
        </w:rPr>
        <w:t>正北山西侧砖瓦用粘土矿</w:t>
      </w:r>
      <w:proofErr w:type="gramStart"/>
      <w:r>
        <w:rPr>
          <w:rFonts w:ascii="宋体" w:hAnsi="宋体" w:cs="宋体" w:hint="eastAsia"/>
          <w:color w:val="000000"/>
          <w:sz w:val="24"/>
        </w:rPr>
        <w:t>矿</w:t>
      </w:r>
      <w:proofErr w:type="gramEnd"/>
      <w:r>
        <w:rPr>
          <w:rFonts w:ascii="宋体" w:hAnsi="宋体" w:cs="宋体" w:hint="eastAsia"/>
          <w:color w:val="000000"/>
          <w:sz w:val="24"/>
        </w:rPr>
        <w:t>权范围内粘土矿物推断资源量为</w:t>
      </w:r>
      <w:r>
        <w:rPr>
          <w:rFonts w:ascii="宋体" w:hAnsi="宋体" w:cs="宋体"/>
          <w:color w:val="000000"/>
          <w:sz w:val="24"/>
        </w:rPr>
        <w:t>124.1×</w:t>
      </w:r>
      <w:r>
        <w:rPr>
          <w:rFonts w:ascii="宋体" w:hAnsi="宋体" w:cs="宋体" w:hint="eastAsia"/>
          <w:color w:val="000000"/>
          <w:sz w:val="24"/>
        </w:rPr>
        <w:t>10</w:t>
      </w:r>
      <w:r>
        <w:rPr>
          <w:rFonts w:ascii="宋体" w:hAnsi="宋体" w:cs="宋体" w:hint="eastAsia"/>
          <w:color w:val="000000"/>
          <w:sz w:val="24"/>
          <w:vertAlign w:val="superscript"/>
        </w:rPr>
        <w:t>4</w:t>
      </w:r>
      <w:r>
        <w:rPr>
          <w:rFonts w:ascii="宋体" w:hAnsi="宋体" w:cs="宋体" w:hint="eastAsia"/>
          <w:color w:val="000000"/>
          <w:sz w:val="24"/>
        </w:rPr>
        <w:t>m</w:t>
      </w:r>
      <w:r>
        <w:rPr>
          <w:rFonts w:ascii="宋体" w:hAnsi="宋体" w:cs="宋体" w:hint="eastAsia"/>
          <w:color w:val="000000"/>
          <w:sz w:val="24"/>
          <w:vertAlign w:val="superscript"/>
        </w:rPr>
        <w:t>3</w:t>
      </w:r>
      <w:r>
        <w:rPr>
          <w:rFonts w:ascii="宋体" w:hAnsi="宋体" w:cs="宋体" w:hint="eastAsia"/>
          <w:color w:val="000000"/>
          <w:sz w:val="24"/>
        </w:rPr>
        <w:t>。</w:t>
      </w:r>
    </w:p>
    <w:p w:rsidR="009C5C1F" w:rsidRDefault="004D2E0D">
      <w:pPr>
        <w:pStyle w:val="2"/>
        <w:spacing w:beforeLines="100" w:before="360" w:line="500" w:lineRule="atLeast"/>
        <w:ind w:firstLine="482"/>
        <w:rPr>
          <w:rFonts w:ascii="宋体" w:eastAsia="宋体" w:hAnsi="宋体" w:cs="宋体"/>
          <w:sz w:val="24"/>
          <w:szCs w:val="24"/>
        </w:rPr>
      </w:pPr>
      <w:bookmarkStart w:id="230" w:name="_Toc153130718"/>
      <w:bookmarkStart w:id="231" w:name="_Toc70589737"/>
      <w:r>
        <w:rPr>
          <w:rFonts w:ascii="宋体" w:eastAsia="宋体" w:hAnsi="宋体" w:cs="宋体" w:hint="eastAsia"/>
          <w:sz w:val="24"/>
          <w:szCs w:val="24"/>
        </w:rPr>
        <w:lastRenderedPageBreak/>
        <w:t>3.</w:t>
      </w:r>
      <w:bookmarkEnd w:id="223"/>
      <w:r>
        <w:rPr>
          <w:rFonts w:ascii="宋体" w:eastAsia="宋体" w:hAnsi="宋体" w:cs="宋体" w:hint="eastAsia"/>
          <w:sz w:val="24"/>
          <w:szCs w:val="24"/>
        </w:rPr>
        <w:t>5对地质勘探报告的评述</w:t>
      </w:r>
      <w:bookmarkEnd w:id="224"/>
      <w:bookmarkEnd w:id="225"/>
      <w:bookmarkEnd w:id="226"/>
      <w:bookmarkEnd w:id="227"/>
      <w:bookmarkEnd w:id="230"/>
      <w:bookmarkEnd w:id="231"/>
    </w:p>
    <w:p w:rsidR="009C5C1F" w:rsidRDefault="004D2E0D">
      <w:pPr>
        <w:autoSpaceDE w:val="0"/>
        <w:autoSpaceDN w:val="0"/>
        <w:adjustRightInd w:val="0"/>
        <w:spacing w:line="500" w:lineRule="exact"/>
        <w:ind w:firstLineChars="200" w:firstLine="480"/>
        <w:jc w:val="left"/>
        <w:rPr>
          <w:rFonts w:ascii="宋体" w:hAnsi="宋体" w:cs="宋体"/>
          <w:color w:val="000000"/>
          <w:sz w:val="24"/>
        </w:rPr>
      </w:pPr>
      <w:r>
        <w:rPr>
          <w:rFonts w:ascii="宋体" w:hAnsi="宋体" w:cs="宋体" w:hint="eastAsia"/>
          <w:color w:val="000000"/>
          <w:sz w:val="24"/>
        </w:rPr>
        <w:t>本次开发利用方案编制工作所依据的《甘肃省板桥镇壕洼村</w:t>
      </w:r>
      <w:r>
        <w:rPr>
          <w:rFonts w:hint="eastAsia"/>
          <w:sz w:val="24"/>
        </w:rPr>
        <w:t>正北山西侧砖瓦用粘土矿</w:t>
      </w:r>
      <w:r>
        <w:rPr>
          <w:rFonts w:ascii="宋体" w:hAnsi="宋体" w:cs="宋体" w:hint="eastAsia"/>
          <w:color w:val="000000"/>
          <w:sz w:val="24"/>
        </w:rPr>
        <w:t>普查报告》（甘肃省有色金属地质</w:t>
      </w:r>
      <w:proofErr w:type="gramStart"/>
      <w:r>
        <w:rPr>
          <w:rFonts w:ascii="宋体" w:hAnsi="宋体" w:cs="宋体" w:hint="eastAsia"/>
          <w:color w:val="000000"/>
          <w:sz w:val="24"/>
        </w:rPr>
        <w:t>勘查局张掖</w:t>
      </w:r>
      <w:proofErr w:type="gramEnd"/>
      <w:r>
        <w:rPr>
          <w:rFonts w:ascii="宋体" w:hAnsi="宋体" w:cs="宋体" w:hint="eastAsia"/>
          <w:color w:val="000000"/>
          <w:sz w:val="24"/>
        </w:rPr>
        <w:t>矿产勘查院 202</w:t>
      </w:r>
      <w:r>
        <w:rPr>
          <w:rFonts w:ascii="宋体" w:hAnsi="宋体" w:cs="宋体"/>
          <w:color w:val="000000"/>
          <w:sz w:val="24"/>
        </w:rPr>
        <w:t>2</w:t>
      </w:r>
      <w:r>
        <w:rPr>
          <w:rFonts w:ascii="宋体" w:hAnsi="宋体" w:cs="宋体" w:hint="eastAsia"/>
          <w:color w:val="000000"/>
          <w:sz w:val="24"/>
        </w:rPr>
        <w:t>.</w:t>
      </w:r>
      <w:r>
        <w:rPr>
          <w:rFonts w:ascii="宋体" w:hAnsi="宋体" w:cs="宋体"/>
          <w:color w:val="000000"/>
          <w:sz w:val="24"/>
        </w:rPr>
        <w:t>1</w:t>
      </w:r>
      <w:r>
        <w:rPr>
          <w:rFonts w:ascii="宋体" w:hAnsi="宋体" w:cs="宋体" w:hint="eastAsia"/>
          <w:color w:val="000000"/>
          <w:sz w:val="24"/>
        </w:rPr>
        <w:t>），通过1:</w:t>
      </w:r>
      <w:r>
        <w:rPr>
          <w:rFonts w:ascii="宋体" w:hAnsi="宋体" w:cs="宋体"/>
          <w:color w:val="000000"/>
          <w:sz w:val="24"/>
        </w:rPr>
        <w:t>2</w:t>
      </w:r>
      <w:r>
        <w:rPr>
          <w:rFonts w:ascii="宋体" w:hAnsi="宋体" w:cs="宋体" w:hint="eastAsia"/>
          <w:color w:val="000000"/>
          <w:sz w:val="24"/>
        </w:rPr>
        <w:t>000地质草测，结合剖面测量和采样。估算了矿区范围内所有资源量，地质工作达到了《固体矿产地质勘查规范总则》（GB/T13908-2020）国家标准要求，基本满足本次开发利用方案编制对地质资源核实报告的要求。</w:t>
      </w:r>
      <w:bookmarkStart w:id="232" w:name="_Toc511226414"/>
      <w:bookmarkStart w:id="233" w:name="_Toc502783426"/>
      <w:bookmarkStart w:id="234" w:name="_Toc214406994"/>
    </w:p>
    <w:p w:rsidR="009C5C1F" w:rsidRDefault="004D2E0D">
      <w:pPr>
        <w:pStyle w:val="1"/>
        <w:spacing w:beforeLines="100" w:before="360" w:after="0" w:line="500" w:lineRule="exact"/>
        <w:rPr>
          <w:rStyle w:val="1Char"/>
          <w:b/>
          <w:bCs/>
          <w:sz w:val="24"/>
          <w:szCs w:val="24"/>
        </w:rPr>
      </w:pPr>
      <w:r>
        <w:rPr>
          <w:rFonts w:ascii="宋体" w:hAnsi="宋体" w:cs="宋体" w:hint="eastAsia"/>
          <w:color w:val="000000"/>
          <w:sz w:val="24"/>
        </w:rPr>
        <w:br w:type="page"/>
      </w:r>
      <w:bookmarkStart w:id="235" w:name="_Toc70589738"/>
      <w:bookmarkStart w:id="236" w:name="_Toc153130719"/>
      <w:r>
        <w:rPr>
          <w:rFonts w:ascii="宋体" w:hAnsi="宋体" w:cs="宋体" w:hint="eastAsia"/>
          <w:sz w:val="24"/>
          <w:szCs w:val="24"/>
        </w:rPr>
        <w:lastRenderedPageBreak/>
        <w:t>4  主要建设方案确定</w:t>
      </w:r>
      <w:bookmarkEnd w:id="232"/>
      <w:bookmarkEnd w:id="233"/>
      <w:bookmarkEnd w:id="234"/>
      <w:bookmarkEnd w:id="235"/>
      <w:bookmarkEnd w:id="236"/>
    </w:p>
    <w:p w:rsidR="009C5C1F" w:rsidRDefault="004D2E0D">
      <w:pPr>
        <w:pStyle w:val="2"/>
        <w:spacing w:beforeLines="100" w:before="360" w:line="500" w:lineRule="atLeast"/>
        <w:ind w:firstLine="482"/>
        <w:rPr>
          <w:rFonts w:ascii="宋体" w:eastAsia="宋体" w:hAnsi="宋体" w:cs="宋体"/>
          <w:sz w:val="24"/>
          <w:szCs w:val="24"/>
        </w:rPr>
      </w:pPr>
      <w:bookmarkStart w:id="237" w:name="_Toc214406995"/>
      <w:bookmarkStart w:id="238" w:name="_Toc153130720"/>
      <w:bookmarkStart w:id="239" w:name="_Toc511226415"/>
      <w:bookmarkStart w:id="240" w:name="_Toc502783427"/>
      <w:bookmarkStart w:id="241" w:name="_Toc70589739"/>
      <w:r>
        <w:rPr>
          <w:rFonts w:ascii="宋体" w:eastAsia="宋体" w:hAnsi="宋体" w:cs="宋体" w:hint="eastAsia"/>
          <w:sz w:val="24"/>
          <w:szCs w:val="24"/>
        </w:rPr>
        <w:t>4.1 开采方案矿区总体概况</w:t>
      </w:r>
      <w:bookmarkEnd w:id="237"/>
      <w:bookmarkEnd w:id="238"/>
      <w:bookmarkEnd w:id="239"/>
      <w:bookmarkEnd w:id="240"/>
      <w:bookmarkEnd w:id="241"/>
    </w:p>
    <w:p w:rsidR="009C5C1F" w:rsidRDefault="004D2E0D">
      <w:pPr>
        <w:pStyle w:val="3"/>
        <w:spacing w:beforeLines="100" w:before="360" w:after="0" w:line="500" w:lineRule="exact"/>
        <w:ind w:firstLineChars="200" w:firstLine="482"/>
        <w:rPr>
          <w:rFonts w:ascii="宋体" w:hAnsi="宋体" w:cs="宋体"/>
        </w:rPr>
      </w:pPr>
      <w:bookmarkStart w:id="242" w:name="_Toc214406996"/>
      <w:bookmarkStart w:id="243" w:name="_Toc70589740"/>
      <w:bookmarkStart w:id="244" w:name="_Toc395519147"/>
      <w:bookmarkStart w:id="245" w:name="_Toc502783428"/>
      <w:r>
        <w:rPr>
          <w:rFonts w:ascii="宋体" w:hAnsi="宋体" w:cs="宋体" w:hint="eastAsia"/>
        </w:rPr>
        <w:t>4.1.1 开采范围、可利用的资源储量</w:t>
      </w:r>
      <w:bookmarkEnd w:id="242"/>
      <w:bookmarkEnd w:id="243"/>
      <w:bookmarkEnd w:id="244"/>
      <w:bookmarkEnd w:id="245"/>
    </w:p>
    <w:p w:rsidR="009C5C1F" w:rsidRDefault="004D2E0D">
      <w:pPr>
        <w:spacing w:line="500" w:lineRule="exact"/>
        <w:ind w:firstLineChars="200" w:firstLine="482"/>
        <w:rPr>
          <w:rFonts w:ascii="宋体" w:hAnsi="宋体" w:cs="宋体"/>
          <w:b/>
          <w:bCs/>
          <w:sz w:val="24"/>
        </w:rPr>
      </w:pPr>
      <w:bookmarkStart w:id="246" w:name="_Toc372118877"/>
      <w:bookmarkStart w:id="247" w:name="_Toc323392648"/>
      <w:bookmarkStart w:id="248" w:name="_Toc323136831"/>
      <w:bookmarkStart w:id="249" w:name="_Toc325471787"/>
      <w:bookmarkStart w:id="250" w:name="_Toc324345657"/>
      <w:bookmarkStart w:id="251" w:name="_Toc18223"/>
      <w:bookmarkStart w:id="252" w:name="_Toc502783429"/>
      <w:bookmarkStart w:id="253" w:name="_Toc393202158"/>
      <w:bookmarkStart w:id="254" w:name="_Toc394081955"/>
      <w:bookmarkStart w:id="255" w:name="_Toc395519148"/>
      <w:bookmarkStart w:id="256" w:name="_Toc21266"/>
      <w:bookmarkStart w:id="257" w:name="_Toc211070081"/>
      <w:bookmarkStart w:id="258" w:name="_Toc213683053"/>
      <w:r>
        <w:rPr>
          <w:rFonts w:ascii="宋体" w:hAnsi="宋体" w:cs="宋体" w:hint="eastAsia"/>
          <w:b/>
          <w:bCs/>
          <w:sz w:val="24"/>
        </w:rPr>
        <w:t>1.矿区开采对象及</w:t>
      </w:r>
      <w:bookmarkEnd w:id="246"/>
      <w:bookmarkEnd w:id="247"/>
      <w:bookmarkEnd w:id="248"/>
      <w:bookmarkEnd w:id="249"/>
      <w:bookmarkEnd w:id="250"/>
      <w:r>
        <w:rPr>
          <w:rFonts w:ascii="宋体" w:hAnsi="宋体" w:cs="宋体" w:hint="eastAsia"/>
          <w:b/>
          <w:bCs/>
          <w:sz w:val="24"/>
        </w:rPr>
        <w:t>开采范围</w:t>
      </w:r>
      <w:bookmarkEnd w:id="251"/>
      <w:bookmarkEnd w:id="252"/>
      <w:bookmarkEnd w:id="253"/>
      <w:bookmarkEnd w:id="254"/>
      <w:bookmarkEnd w:id="255"/>
      <w:bookmarkEnd w:id="256"/>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本次设计的开采对象为甘肃省板桥</w:t>
      </w:r>
      <w:proofErr w:type="gramStart"/>
      <w:r>
        <w:rPr>
          <w:rFonts w:ascii="宋体" w:hAnsi="宋体" w:cs="宋体" w:hint="eastAsia"/>
          <w:sz w:val="24"/>
        </w:rPr>
        <w:t>镇壕洼村</w:t>
      </w:r>
      <w:proofErr w:type="gramEnd"/>
      <w:r>
        <w:rPr>
          <w:rFonts w:hint="eastAsia"/>
          <w:sz w:val="24"/>
        </w:rPr>
        <w:t>正北山西侧砖瓦用粘土矿</w:t>
      </w:r>
      <w:r>
        <w:rPr>
          <w:rFonts w:ascii="宋体" w:hAnsi="宋体" w:cs="宋体" w:hint="eastAsia"/>
          <w:sz w:val="24"/>
        </w:rPr>
        <w:t>，矿区面积</w:t>
      </w:r>
      <w:r>
        <w:rPr>
          <w:rFonts w:ascii="宋体" w:hAnsi="宋体" w:cs="宋体"/>
          <w:sz w:val="24"/>
        </w:rPr>
        <w:t>0.35</w:t>
      </w:r>
      <w:r>
        <w:rPr>
          <w:rFonts w:ascii="宋体" w:hAnsi="宋体" w:cs="宋体" w:hint="eastAsia"/>
          <w:sz w:val="24"/>
        </w:rPr>
        <w:t>km</w:t>
      </w:r>
      <w:r>
        <w:rPr>
          <w:rFonts w:ascii="宋体" w:hAnsi="宋体" w:cs="宋体" w:hint="eastAsia"/>
          <w:sz w:val="24"/>
          <w:vertAlign w:val="superscript"/>
        </w:rPr>
        <w:t>2</w:t>
      </w:r>
      <w:r>
        <w:rPr>
          <w:rFonts w:ascii="宋体" w:hAnsi="宋体" w:cs="宋体" w:hint="eastAsia"/>
          <w:sz w:val="24"/>
        </w:rPr>
        <w:t>。开采标高为</w:t>
      </w:r>
      <w:r>
        <w:rPr>
          <w:rFonts w:ascii="宋体" w:hAnsi="宋体" w:cs="宋体"/>
          <w:sz w:val="24"/>
        </w:rPr>
        <w:t>1371</w:t>
      </w:r>
      <w:r>
        <w:rPr>
          <w:rFonts w:ascii="宋体" w:hAnsi="宋体" w:cs="宋体" w:hint="eastAsia"/>
          <w:sz w:val="24"/>
        </w:rPr>
        <w:t>m～</w:t>
      </w:r>
      <w:r>
        <w:rPr>
          <w:rFonts w:ascii="宋体" w:hAnsi="宋体" w:cs="宋体"/>
          <w:sz w:val="24"/>
        </w:rPr>
        <w:t>1353</w:t>
      </w:r>
      <w:r>
        <w:rPr>
          <w:rFonts w:ascii="宋体" w:hAnsi="宋体" w:cs="宋体" w:hint="eastAsia"/>
          <w:sz w:val="24"/>
        </w:rPr>
        <w:t>m，</w:t>
      </w:r>
      <w:proofErr w:type="gramStart"/>
      <w:r>
        <w:rPr>
          <w:rFonts w:ascii="宋体" w:hAnsi="宋体" w:cs="宋体" w:hint="eastAsia"/>
          <w:sz w:val="24"/>
        </w:rPr>
        <w:t>采深</w:t>
      </w:r>
      <w:proofErr w:type="gramEnd"/>
      <w:r>
        <w:rPr>
          <w:rFonts w:ascii="宋体" w:hAnsi="宋体" w:cs="宋体"/>
          <w:sz w:val="24"/>
        </w:rPr>
        <w:t>5m</w:t>
      </w:r>
      <w:r>
        <w:rPr>
          <w:rFonts w:ascii="宋体" w:hAnsi="宋体" w:cs="宋体" w:hint="eastAsia"/>
          <w:sz w:val="24"/>
        </w:rPr>
        <w:t>，矿区范围拐点坐标见表4-1。</w:t>
      </w:r>
    </w:p>
    <w:p w:rsidR="009C5C1F" w:rsidRDefault="004D2E0D">
      <w:pPr>
        <w:adjustRightInd w:val="0"/>
        <w:snapToGrid w:val="0"/>
        <w:spacing w:line="500" w:lineRule="exact"/>
        <w:rPr>
          <w:rFonts w:ascii="宋体" w:hAnsi="宋体" w:cs="宋体"/>
          <w:color w:val="FF0000"/>
          <w:szCs w:val="21"/>
        </w:rPr>
      </w:pPr>
      <w:r>
        <w:rPr>
          <w:rFonts w:ascii="宋体" w:hAnsi="宋体" w:cs="仿宋_GB2312" w:hint="eastAsia"/>
          <w:b/>
          <w:color w:val="000000"/>
          <w:szCs w:val="21"/>
        </w:rPr>
        <w:t>表4-1             板桥</w:t>
      </w:r>
      <w:proofErr w:type="gramStart"/>
      <w:r>
        <w:rPr>
          <w:rFonts w:ascii="宋体" w:hAnsi="宋体" w:cs="仿宋_GB2312" w:hint="eastAsia"/>
          <w:b/>
          <w:color w:val="000000"/>
          <w:szCs w:val="21"/>
        </w:rPr>
        <w:t>镇壕洼村</w:t>
      </w:r>
      <w:proofErr w:type="gramEnd"/>
      <w:r>
        <w:rPr>
          <w:rFonts w:ascii="宋体" w:hAnsi="宋体" w:cs="仿宋_GB2312" w:hint="eastAsia"/>
          <w:b/>
          <w:color w:val="000000"/>
          <w:szCs w:val="21"/>
        </w:rPr>
        <w:t>正北山西侧粘土矿区范围拐点坐标一览表</w:t>
      </w:r>
    </w:p>
    <w:tbl>
      <w:tblPr>
        <w:tblW w:w="8816" w:type="dxa"/>
        <w:tblInd w:w="108" w:type="dxa"/>
        <w:tblLook w:val="04A0" w:firstRow="1" w:lastRow="0" w:firstColumn="1" w:lastColumn="0" w:noHBand="0" w:noVBand="1"/>
      </w:tblPr>
      <w:tblGrid>
        <w:gridCol w:w="427"/>
        <w:gridCol w:w="2561"/>
        <w:gridCol w:w="2277"/>
        <w:gridCol w:w="1707"/>
        <w:gridCol w:w="1844"/>
      </w:tblGrid>
      <w:tr w:rsidR="009C5C1F">
        <w:trPr>
          <w:trHeight w:val="386"/>
        </w:trPr>
        <w:tc>
          <w:tcPr>
            <w:tcW w:w="427" w:type="dxa"/>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拐点</w:t>
            </w:r>
          </w:p>
        </w:tc>
        <w:tc>
          <w:tcPr>
            <w:tcW w:w="8389" w:type="dxa"/>
            <w:gridSpan w:val="4"/>
            <w:tcBorders>
              <w:top w:val="single" w:sz="4" w:space="0" w:color="auto"/>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2000</w:t>
            </w:r>
            <w:r>
              <w:rPr>
                <w:rFonts w:ascii="仿宋" w:hAnsi="仿宋" w:cs="宋体" w:hint="eastAsia"/>
                <w:color w:val="000000"/>
                <w:kern w:val="0"/>
                <w:szCs w:val="21"/>
              </w:rPr>
              <w:t>国家大地坐标系</w:t>
            </w:r>
          </w:p>
        </w:tc>
      </w:tr>
      <w:tr w:rsidR="009C5C1F">
        <w:trPr>
          <w:trHeight w:val="772"/>
        </w:trPr>
        <w:tc>
          <w:tcPr>
            <w:tcW w:w="427" w:type="dxa"/>
            <w:vMerge/>
            <w:tcBorders>
              <w:top w:val="single" w:sz="4" w:space="0" w:color="auto"/>
              <w:left w:val="single" w:sz="4" w:space="0" w:color="auto"/>
              <w:bottom w:val="single" w:sz="4" w:space="0" w:color="auto"/>
              <w:right w:val="single" w:sz="4" w:space="0" w:color="auto"/>
            </w:tcBorders>
            <w:vAlign w:val="center"/>
          </w:tcPr>
          <w:p w:rsidR="009C5C1F" w:rsidRDefault="009C5C1F">
            <w:pPr>
              <w:widowControl/>
              <w:jc w:val="left"/>
              <w:rPr>
                <w:rFonts w:ascii="仿宋" w:hAnsi="仿宋" w:cs="宋体"/>
                <w:color w:val="000000"/>
                <w:kern w:val="0"/>
                <w:szCs w:val="21"/>
              </w:rPr>
            </w:pPr>
          </w:p>
        </w:tc>
        <w:tc>
          <w:tcPr>
            <w:tcW w:w="4838" w:type="dxa"/>
            <w:gridSpan w:val="2"/>
            <w:tcBorders>
              <w:top w:val="single" w:sz="4" w:space="0" w:color="auto"/>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地理坐标</w:t>
            </w:r>
          </w:p>
        </w:tc>
        <w:tc>
          <w:tcPr>
            <w:tcW w:w="3550" w:type="dxa"/>
            <w:gridSpan w:val="2"/>
            <w:tcBorders>
              <w:top w:val="single" w:sz="4" w:space="0" w:color="auto"/>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直角坐标（</w:t>
            </w:r>
            <w:r>
              <w:rPr>
                <w:rFonts w:ascii="仿宋" w:hAnsi="仿宋" w:cs="宋体" w:hint="eastAsia"/>
                <w:color w:val="000000"/>
                <w:kern w:val="0"/>
                <w:szCs w:val="21"/>
              </w:rPr>
              <w:t>3</w:t>
            </w:r>
            <w:r>
              <w:rPr>
                <w:rFonts w:ascii="仿宋" w:hAnsi="仿宋" w:cs="宋体" w:hint="eastAsia"/>
                <w:color w:val="000000"/>
                <w:kern w:val="0"/>
                <w:szCs w:val="21"/>
              </w:rPr>
              <w:t>度带，</w:t>
            </w:r>
            <w:r>
              <w:rPr>
                <w:rFonts w:ascii="仿宋" w:hAnsi="仿宋" w:cs="宋体" w:hint="eastAsia"/>
                <w:color w:val="000000"/>
                <w:kern w:val="0"/>
                <w:szCs w:val="21"/>
              </w:rPr>
              <w:t>33</w:t>
            </w:r>
            <w:r>
              <w:rPr>
                <w:rFonts w:ascii="仿宋" w:hAnsi="仿宋" w:cs="宋体" w:hint="eastAsia"/>
                <w:color w:val="000000"/>
                <w:kern w:val="0"/>
                <w:szCs w:val="21"/>
              </w:rPr>
              <w:t>分带）</w:t>
            </w:r>
          </w:p>
        </w:tc>
      </w:tr>
      <w:tr w:rsidR="009C5C1F">
        <w:trPr>
          <w:trHeight w:val="386"/>
        </w:trPr>
        <w:tc>
          <w:tcPr>
            <w:tcW w:w="427" w:type="dxa"/>
            <w:vMerge/>
            <w:tcBorders>
              <w:top w:val="single" w:sz="4" w:space="0" w:color="auto"/>
              <w:left w:val="single" w:sz="4" w:space="0" w:color="auto"/>
              <w:bottom w:val="single" w:sz="4" w:space="0" w:color="auto"/>
              <w:right w:val="single" w:sz="4" w:space="0" w:color="auto"/>
            </w:tcBorders>
            <w:vAlign w:val="center"/>
          </w:tcPr>
          <w:p w:rsidR="009C5C1F" w:rsidRDefault="009C5C1F">
            <w:pPr>
              <w:widowControl/>
              <w:jc w:val="left"/>
              <w:rPr>
                <w:rFonts w:ascii="仿宋" w:hAnsi="仿宋" w:cs="宋体"/>
                <w:color w:val="000000"/>
                <w:kern w:val="0"/>
                <w:szCs w:val="21"/>
              </w:rPr>
            </w:pPr>
          </w:p>
        </w:tc>
        <w:tc>
          <w:tcPr>
            <w:tcW w:w="2561" w:type="dxa"/>
            <w:tcBorders>
              <w:top w:val="nil"/>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北纬</w:t>
            </w:r>
          </w:p>
        </w:tc>
        <w:tc>
          <w:tcPr>
            <w:tcW w:w="2277" w:type="dxa"/>
            <w:tcBorders>
              <w:top w:val="nil"/>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东经</w:t>
            </w:r>
          </w:p>
        </w:tc>
        <w:tc>
          <w:tcPr>
            <w:tcW w:w="1707" w:type="dxa"/>
            <w:tcBorders>
              <w:top w:val="nil"/>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X</w:t>
            </w:r>
          </w:p>
        </w:tc>
        <w:tc>
          <w:tcPr>
            <w:tcW w:w="1842" w:type="dxa"/>
            <w:tcBorders>
              <w:top w:val="nil"/>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Y</w:t>
            </w: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1</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auto" w:fill="auto"/>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2</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3</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4</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5</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6</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bl>
    <w:p w:rsidR="009C5C1F" w:rsidRDefault="004D2E0D">
      <w:pPr>
        <w:spacing w:line="500" w:lineRule="exact"/>
        <w:ind w:firstLineChars="200" w:firstLine="482"/>
        <w:rPr>
          <w:rFonts w:ascii="宋体" w:hAnsi="宋体" w:cs="宋体"/>
          <w:b/>
          <w:bCs/>
          <w:sz w:val="24"/>
        </w:rPr>
      </w:pPr>
      <w:bookmarkStart w:id="259" w:name="_Toc394081956"/>
      <w:bookmarkStart w:id="260" w:name="_Toc11643"/>
      <w:bookmarkStart w:id="261" w:name="_Toc23648"/>
      <w:bookmarkStart w:id="262" w:name="_Toc323392649"/>
      <w:bookmarkStart w:id="263" w:name="_Toc324345658"/>
      <w:bookmarkStart w:id="264" w:name="_Toc325471788"/>
      <w:bookmarkStart w:id="265" w:name="_Toc372118878"/>
      <w:bookmarkStart w:id="266" w:name="_Toc323136832"/>
      <w:bookmarkStart w:id="267" w:name="_Toc393202159"/>
      <w:bookmarkStart w:id="268" w:name="_Toc502783430"/>
      <w:bookmarkStart w:id="269" w:name="_Toc395519149"/>
      <w:r>
        <w:rPr>
          <w:rFonts w:ascii="宋体" w:hAnsi="宋体" w:cs="宋体" w:hint="eastAsia"/>
          <w:b/>
          <w:bCs/>
          <w:sz w:val="24"/>
        </w:rPr>
        <w:t>2.可利用的资源储量</w:t>
      </w:r>
      <w:bookmarkEnd w:id="259"/>
      <w:bookmarkEnd w:id="260"/>
      <w:bookmarkEnd w:id="261"/>
      <w:bookmarkEnd w:id="262"/>
      <w:bookmarkEnd w:id="263"/>
      <w:bookmarkEnd w:id="264"/>
      <w:bookmarkEnd w:id="265"/>
      <w:bookmarkEnd w:id="266"/>
      <w:bookmarkEnd w:id="267"/>
      <w:bookmarkEnd w:id="268"/>
      <w:bookmarkEnd w:id="269"/>
      <w:r>
        <w:rPr>
          <w:rFonts w:ascii="宋体" w:hAnsi="宋体" w:cs="宋体" w:hint="eastAsia"/>
          <w:b/>
          <w:bCs/>
          <w:sz w:val="24"/>
        </w:rPr>
        <w:t xml:space="preserve"> </w:t>
      </w:r>
    </w:p>
    <w:p w:rsidR="009C5C1F" w:rsidRDefault="004D2E0D">
      <w:pPr>
        <w:spacing w:line="500" w:lineRule="exact"/>
        <w:ind w:firstLineChars="200" w:firstLine="472"/>
        <w:rPr>
          <w:rFonts w:ascii="宋体" w:hAnsi="宋体" w:cs="宋体"/>
          <w:sz w:val="24"/>
        </w:rPr>
      </w:pPr>
      <w:bookmarkStart w:id="270" w:name="_Toc211070083"/>
      <w:bookmarkStart w:id="271" w:name="_Toc214406997"/>
      <w:bookmarkStart w:id="272" w:name="_Toc213683054"/>
      <w:r>
        <w:rPr>
          <w:rFonts w:ascii="宋体" w:hAnsi="宋体" w:cs="宋体" w:hint="eastAsia"/>
          <w:spacing w:val="-2"/>
          <w:sz w:val="24"/>
        </w:rPr>
        <w:t>本方案所依据的资源量是由《甘肃省</w:t>
      </w:r>
      <w:r>
        <w:rPr>
          <w:rFonts w:hint="eastAsia"/>
          <w:sz w:val="24"/>
        </w:rPr>
        <w:t>板桥镇壕洼村正北山西侧砖瓦用粘土矿</w:t>
      </w:r>
      <w:r>
        <w:rPr>
          <w:rFonts w:ascii="宋体" w:hAnsi="宋体" w:cs="宋体" w:hint="eastAsia"/>
          <w:spacing w:val="-2"/>
          <w:sz w:val="24"/>
        </w:rPr>
        <w:t>普查报告》（甘肃省有色金属地质勘察局张掖矿产勘察院 20</w:t>
      </w:r>
      <w:r>
        <w:rPr>
          <w:rFonts w:ascii="宋体" w:hAnsi="宋体" w:cs="宋体"/>
          <w:spacing w:val="-2"/>
          <w:sz w:val="24"/>
        </w:rPr>
        <w:t>22</w:t>
      </w:r>
      <w:r>
        <w:rPr>
          <w:rFonts w:ascii="宋体" w:hAnsi="宋体" w:cs="宋体" w:hint="eastAsia"/>
          <w:spacing w:val="-2"/>
          <w:sz w:val="24"/>
        </w:rPr>
        <w:t>年</w:t>
      </w:r>
      <w:r>
        <w:rPr>
          <w:rFonts w:ascii="宋体" w:hAnsi="宋体" w:cs="宋体"/>
          <w:spacing w:val="-2"/>
          <w:sz w:val="24"/>
        </w:rPr>
        <w:t>1</w:t>
      </w:r>
      <w:r>
        <w:rPr>
          <w:rFonts w:ascii="宋体" w:hAnsi="宋体" w:cs="宋体" w:hint="eastAsia"/>
          <w:spacing w:val="-2"/>
          <w:sz w:val="24"/>
        </w:rPr>
        <w:t>月）可知：该粘土矿在其核准的采矿权范围</w:t>
      </w:r>
      <w:proofErr w:type="gramStart"/>
      <w:r>
        <w:rPr>
          <w:rFonts w:ascii="宋体" w:hAnsi="宋体" w:cs="宋体" w:hint="eastAsia"/>
          <w:spacing w:val="-2"/>
          <w:sz w:val="24"/>
        </w:rPr>
        <w:t>内待采的</w:t>
      </w:r>
      <w:proofErr w:type="gramEnd"/>
      <w:r>
        <w:rPr>
          <w:rFonts w:ascii="宋体" w:hAnsi="宋体" w:cs="宋体" w:hint="eastAsia"/>
          <w:spacing w:val="-2"/>
          <w:sz w:val="24"/>
        </w:rPr>
        <w:t>砖瓦用粘土矿推断资源量为：1</w:t>
      </w:r>
      <w:r>
        <w:rPr>
          <w:rFonts w:ascii="宋体" w:hAnsi="宋体" w:cs="宋体"/>
          <w:spacing w:val="-2"/>
          <w:sz w:val="24"/>
        </w:rPr>
        <w:t>24.1</w:t>
      </w:r>
      <w:r>
        <w:rPr>
          <w:rFonts w:ascii="宋体" w:hAnsi="宋体" w:cs="宋体" w:hint="eastAsia"/>
          <w:spacing w:val="-2"/>
          <w:sz w:val="24"/>
        </w:rPr>
        <w:t>×</w:t>
      </w:r>
      <w:bookmarkStart w:id="273" w:name="_Hlk152233453"/>
      <w:r>
        <w:rPr>
          <w:rFonts w:ascii="宋体" w:hAnsi="宋体" w:cs="宋体" w:hint="eastAsia"/>
          <w:spacing w:val="-2"/>
          <w:sz w:val="24"/>
        </w:rPr>
        <w:t>10</w:t>
      </w:r>
      <w:r>
        <w:rPr>
          <w:rFonts w:ascii="宋体" w:hAnsi="宋体" w:cs="宋体" w:hint="eastAsia"/>
          <w:spacing w:val="-2"/>
          <w:sz w:val="24"/>
          <w:vertAlign w:val="superscript"/>
        </w:rPr>
        <w:t>4</w:t>
      </w:r>
      <w:r>
        <w:rPr>
          <w:rFonts w:ascii="宋体" w:hAnsi="宋体" w:cs="宋体" w:hint="eastAsia"/>
          <w:spacing w:val="-2"/>
          <w:sz w:val="24"/>
        </w:rPr>
        <w:t>m</w:t>
      </w:r>
      <w:r>
        <w:rPr>
          <w:rFonts w:ascii="宋体" w:hAnsi="宋体" w:cs="宋体" w:hint="eastAsia"/>
          <w:spacing w:val="-2"/>
          <w:sz w:val="24"/>
          <w:vertAlign w:val="superscript"/>
        </w:rPr>
        <w:t>3</w:t>
      </w:r>
      <w:bookmarkStart w:id="274" w:name="_Hlk147570487"/>
      <w:r>
        <w:rPr>
          <w:rFonts w:ascii="宋体" w:hAnsi="宋体" w:cs="宋体"/>
          <w:spacing w:val="-2"/>
          <w:sz w:val="24"/>
          <w:vertAlign w:val="superscript"/>
        </w:rPr>
        <w:t>,</w:t>
      </w:r>
      <w:bookmarkEnd w:id="273"/>
      <w:r>
        <w:rPr>
          <w:rFonts w:ascii="宋体" w:hAnsi="宋体" w:cs="宋体" w:hint="eastAsia"/>
          <w:spacing w:val="-2"/>
          <w:sz w:val="24"/>
          <w:vertAlign w:val="superscript"/>
        </w:rPr>
        <w:t xml:space="preserve"> </w:t>
      </w:r>
      <w:r>
        <w:rPr>
          <w:rFonts w:ascii="宋体" w:hAnsi="宋体" w:cs="宋体" w:hint="eastAsia"/>
          <w:sz w:val="24"/>
        </w:rPr>
        <w:t>。</w:t>
      </w:r>
    </w:p>
    <w:p w:rsidR="009C5C1F" w:rsidRDefault="004D2E0D">
      <w:pPr>
        <w:spacing w:line="500" w:lineRule="exact"/>
        <w:ind w:firstLineChars="200" w:firstLine="472"/>
        <w:rPr>
          <w:rFonts w:ascii="宋体" w:hAnsi="宋体" w:cs="宋体"/>
          <w:spacing w:val="-2"/>
          <w:sz w:val="24"/>
        </w:rPr>
      </w:pPr>
      <w:bookmarkStart w:id="275" w:name="_Hlk152248658"/>
      <w:bookmarkEnd w:id="274"/>
      <w:r>
        <w:rPr>
          <w:rFonts w:ascii="宋体" w:hAnsi="宋体" w:cs="宋体" w:hint="eastAsia"/>
          <w:spacing w:val="-2"/>
          <w:sz w:val="24"/>
        </w:rPr>
        <w:t>根据实地考察以及普查报告，矿区西北</w:t>
      </w:r>
      <w:proofErr w:type="gramStart"/>
      <w:r>
        <w:rPr>
          <w:rFonts w:ascii="宋体" w:hAnsi="宋体" w:cs="宋体" w:hint="eastAsia"/>
          <w:spacing w:val="-2"/>
          <w:sz w:val="24"/>
        </w:rPr>
        <w:t>角存在</w:t>
      </w:r>
      <w:proofErr w:type="gramEnd"/>
      <w:r>
        <w:rPr>
          <w:rFonts w:ascii="宋体" w:hAnsi="宋体" w:cs="宋体" w:hint="eastAsia"/>
          <w:spacing w:val="-2"/>
          <w:sz w:val="24"/>
        </w:rPr>
        <w:t>两条交叉的1</w:t>
      </w:r>
      <w:r>
        <w:rPr>
          <w:rFonts w:ascii="宋体" w:hAnsi="宋体" w:cs="宋体"/>
          <w:spacing w:val="-2"/>
          <w:sz w:val="24"/>
        </w:rPr>
        <w:t>0KV</w:t>
      </w:r>
      <w:r>
        <w:rPr>
          <w:rFonts w:ascii="宋体" w:hAnsi="宋体" w:cs="宋体" w:hint="eastAsia"/>
          <w:spacing w:val="-2"/>
          <w:sz w:val="24"/>
        </w:rPr>
        <w:t>电线，为保证安全等因素，将扣除高压线及高压线外扩2</w:t>
      </w:r>
      <w:r>
        <w:rPr>
          <w:rFonts w:ascii="宋体" w:hAnsi="宋体" w:cs="宋体"/>
          <w:spacing w:val="-2"/>
          <w:sz w:val="24"/>
        </w:rPr>
        <w:t>0m</w:t>
      </w:r>
      <w:r>
        <w:rPr>
          <w:rFonts w:ascii="宋体" w:hAnsi="宋体" w:cs="宋体" w:hint="eastAsia"/>
          <w:spacing w:val="-2"/>
          <w:sz w:val="24"/>
        </w:rPr>
        <w:t>范围内的资源量，资源量按平均厚度</w:t>
      </w:r>
      <w:r>
        <w:rPr>
          <w:rFonts w:ascii="宋体" w:hAnsi="宋体" w:cs="宋体"/>
          <w:spacing w:val="-2"/>
          <w:sz w:val="24"/>
        </w:rPr>
        <w:t>4m</w:t>
      </w:r>
      <w:r>
        <w:rPr>
          <w:rFonts w:ascii="宋体" w:hAnsi="宋体" w:cs="宋体" w:hint="eastAsia"/>
          <w:spacing w:val="-2"/>
          <w:sz w:val="24"/>
        </w:rPr>
        <w:t>估算，经估算，两条高压线附近资源量约为</w:t>
      </w:r>
      <w:r>
        <w:rPr>
          <w:rFonts w:ascii="宋体" w:hAnsi="宋体" w:cs="宋体"/>
          <w:spacing w:val="-2"/>
          <w:sz w:val="24"/>
        </w:rPr>
        <w:t>6.4</w:t>
      </w:r>
      <w:r>
        <w:rPr>
          <w:rFonts w:ascii="宋体" w:hAnsi="宋体" w:cs="宋体" w:hint="eastAsia"/>
          <w:spacing w:val="-2"/>
          <w:sz w:val="24"/>
        </w:rPr>
        <w:t>×10</w:t>
      </w:r>
      <w:r>
        <w:rPr>
          <w:rFonts w:ascii="宋体" w:hAnsi="宋体" w:cs="宋体" w:hint="eastAsia"/>
          <w:spacing w:val="-2"/>
          <w:sz w:val="24"/>
          <w:vertAlign w:val="superscript"/>
        </w:rPr>
        <w:t>4</w:t>
      </w:r>
      <w:r>
        <w:rPr>
          <w:rFonts w:ascii="宋体" w:hAnsi="宋体" w:cs="宋体" w:hint="eastAsia"/>
          <w:spacing w:val="-2"/>
          <w:sz w:val="24"/>
        </w:rPr>
        <w:t>m</w:t>
      </w:r>
      <w:r>
        <w:rPr>
          <w:rFonts w:ascii="宋体" w:hAnsi="宋体" w:cs="宋体" w:hint="eastAsia"/>
          <w:spacing w:val="-2"/>
          <w:sz w:val="24"/>
          <w:vertAlign w:val="superscript"/>
        </w:rPr>
        <w:t>3</w:t>
      </w:r>
      <w:r>
        <w:rPr>
          <w:rFonts w:ascii="宋体" w:hAnsi="宋体" w:cs="宋体"/>
          <w:spacing w:val="-2"/>
          <w:sz w:val="24"/>
          <w:vertAlign w:val="superscript"/>
        </w:rPr>
        <w:t>,</w:t>
      </w:r>
      <w:r>
        <w:rPr>
          <w:rFonts w:ascii="宋体" w:hAnsi="宋体" w:cs="宋体" w:hint="eastAsia"/>
          <w:spacing w:val="-2"/>
          <w:sz w:val="24"/>
        </w:rPr>
        <w:t>，故该粘土</w:t>
      </w:r>
      <w:proofErr w:type="gramStart"/>
      <w:r>
        <w:rPr>
          <w:rFonts w:ascii="宋体" w:hAnsi="宋体" w:cs="宋体" w:hint="eastAsia"/>
          <w:spacing w:val="-2"/>
          <w:sz w:val="24"/>
        </w:rPr>
        <w:t>矿设计</w:t>
      </w:r>
      <w:proofErr w:type="gramEnd"/>
      <w:r>
        <w:rPr>
          <w:rFonts w:ascii="宋体" w:hAnsi="宋体" w:cs="宋体" w:hint="eastAsia"/>
          <w:spacing w:val="-2"/>
          <w:sz w:val="24"/>
        </w:rPr>
        <w:t>可利用资源量为1</w:t>
      </w:r>
      <w:r>
        <w:rPr>
          <w:rFonts w:ascii="宋体" w:hAnsi="宋体" w:cs="宋体"/>
          <w:spacing w:val="-2"/>
          <w:sz w:val="24"/>
        </w:rPr>
        <w:t>17.7</w:t>
      </w:r>
      <w:r>
        <w:rPr>
          <w:rFonts w:ascii="宋体" w:hAnsi="宋体" w:cs="宋体" w:hint="eastAsia"/>
          <w:spacing w:val="-2"/>
          <w:sz w:val="24"/>
        </w:rPr>
        <w:t>×</w:t>
      </w:r>
      <w:r>
        <w:rPr>
          <w:rFonts w:ascii="宋体" w:hAnsi="宋体" w:cs="宋体"/>
          <w:spacing w:val="-2"/>
          <w:sz w:val="24"/>
        </w:rPr>
        <w:t>10</w:t>
      </w:r>
      <w:r>
        <w:rPr>
          <w:rFonts w:ascii="宋体" w:hAnsi="宋体" w:cs="宋体"/>
          <w:spacing w:val="-2"/>
          <w:sz w:val="24"/>
          <w:vertAlign w:val="superscript"/>
        </w:rPr>
        <w:t>4</w:t>
      </w:r>
      <w:r>
        <w:rPr>
          <w:rFonts w:ascii="宋体" w:hAnsi="宋体" w:cs="宋体"/>
          <w:spacing w:val="-2"/>
          <w:sz w:val="24"/>
        </w:rPr>
        <w:t>m</w:t>
      </w:r>
      <w:r>
        <w:rPr>
          <w:rFonts w:ascii="宋体" w:hAnsi="宋体" w:cs="宋体"/>
          <w:spacing w:val="-2"/>
          <w:sz w:val="24"/>
          <w:vertAlign w:val="superscript"/>
        </w:rPr>
        <w:t>3</w:t>
      </w:r>
      <w:r>
        <w:rPr>
          <w:rFonts w:ascii="宋体" w:hAnsi="宋体" w:cs="宋体"/>
          <w:spacing w:val="-2"/>
          <w:sz w:val="24"/>
        </w:rPr>
        <w:t>.</w:t>
      </w:r>
    </w:p>
    <w:bookmarkEnd w:id="275"/>
    <w:p w:rsidR="009C5C1F" w:rsidRDefault="004D2E0D">
      <w:pPr>
        <w:spacing w:line="500" w:lineRule="exact"/>
        <w:ind w:firstLineChars="200" w:firstLine="472"/>
        <w:rPr>
          <w:rFonts w:ascii="宋体" w:hAnsi="宋体" w:cs="宋体"/>
          <w:spacing w:val="-2"/>
          <w:sz w:val="24"/>
        </w:rPr>
      </w:pPr>
      <w:r>
        <w:rPr>
          <w:rFonts w:ascii="宋体" w:hAnsi="宋体" w:cs="宋体" w:hint="eastAsia"/>
          <w:spacing w:val="-2"/>
          <w:sz w:val="24"/>
        </w:rPr>
        <w:t>根据张掖市内其他同类矿山相对比及矿山实际情况，本次开发利用方案矿山</w:t>
      </w:r>
      <w:r>
        <w:rPr>
          <w:rFonts w:ascii="宋体" w:hAnsi="宋体" w:cs="宋体" w:hint="eastAsia"/>
          <w:spacing w:val="-2"/>
          <w:sz w:val="24"/>
        </w:rPr>
        <w:lastRenderedPageBreak/>
        <w:t>开采损失主要为矿体最终边坡及开采过程中粘土的抛散而造成的损失，该部分矿石损失量约占设计利用的5%，则：</w:t>
      </w:r>
    </w:p>
    <w:p w:rsidR="009C5C1F" w:rsidRDefault="004D2E0D">
      <w:pPr>
        <w:spacing w:line="500" w:lineRule="exact"/>
        <w:ind w:firstLineChars="200" w:firstLine="472"/>
        <w:rPr>
          <w:rFonts w:ascii="宋体" w:hAnsi="宋体" w:cs="宋体"/>
          <w:spacing w:val="-2"/>
          <w:sz w:val="24"/>
        </w:rPr>
      </w:pPr>
      <w:r>
        <w:rPr>
          <w:rFonts w:ascii="宋体" w:hAnsi="宋体" w:cs="宋体" w:hint="eastAsia"/>
          <w:spacing w:val="-2"/>
          <w:sz w:val="24"/>
        </w:rPr>
        <w:t>设计可采资源量=设计可利用资源量-损失量=</w:t>
      </w:r>
      <w:r>
        <w:rPr>
          <w:rFonts w:ascii="宋体" w:hAnsi="宋体" w:cs="宋体"/>
          <w:spacing w:val="-2"/>
          <w:sz w:val="24"/>
        </w:rPr>
        <w:t>117.7</w:t>
      </w:r>
      <w:r>
        <w:rPr>
          <w:rFonts w:ascii="宋体" w:hAnsi="宋体" w:cs="宋体" w:hint="eastAsia"/>
          <w:spacing w:val="-2"/>
          <w:sz w:val="24"/>
        </w:rPr>
        <w:t>×10</w:t>
      </w:r>
      <w:r>
        <w:rPr>
          <w:rFonts w:ascii="宋体" w:hAnsi="宋体" w:cs="宋体" w:hint="eastAsia"/>
          <w:spacing w:val="-2"/>
          <w:sz w:val="24"/>
          <w:vertAlign w:val="superscript"/>
        </w:rPr>
        <w:t>4</w:t>
      </w:r>
      <w:r>
        <w:rPr>
          <w:rFonts w:ascii="宋体" w:hAnsi="宋体" w:cs="宋体" w:hint="eastAsia"/>
          <w:spacing w:val="-2"/>
          <w:sz w:val="24"/>
        </w:rPr>
        <w:t>m</w:t>
      </w:r>
      <w:r>
        <w:rPr>
          <w:rFonts w:ascii="宋体" w:hAnsi="宋体" w:cs="宋体" w:hint="eastAsia"/>
          <w:spacing w:val="-2"/>
          <w:sz w:val="24"/>
          <w:vertAlign w:val="superscript"/>
        </w:rPr>
        <w:t>3</w:t>
      </w:r>
      <w:r>
        <w:rPr>
          <w:rFonts w:ascii="宋体" w:hAnsi="宋体" w:cs="宋体" w:hint="eastAsia"/>
          <w:spacing w:val="-2"/>
          <w:sz w:val="24"/>
        </w:rPr>
        <w:t>×（1-5%）=</w:t>
      </w:r>
      <w:r>
        <w:rPr>
          <w:rFonts w:ascii="宋体" w:hAnsi="宋体" w:cs="宋体"/>
          <w:spacing w:val="-2"/>
          <w:sz w:val="24"/>
        </w:rPr>
        <w:t>111.815</w:t>
      </w:r>
      <w:r>
        <w:rPr>
          <w:rFonts w:ascii="宋体" w:hAnsi="宋体" w:cs="宋体" w:hint="eastAsia"/>
          <w:spacing w:val="-2"/>
          <w:sz w:val="24"/>
        </w:rPr>
        <w:t>×10</w:t>
      </w:r>
      <w:r>
        <w:rPr>
          <w:rFonts w:ascii="宋体" w:hAnsi="宋体" w:cs="宋体" w:hint="eastAsia"/>
          <w:spacing w:val="-2"/>
          <w:sz w:val="24"/>
          <w:vertAlign w:val="superscript"/>
        </w:rPr>
        <w:t>4</w:t>
      </w:r>
      <w:r>
        <w:rPr>
          <w:rFonts w:ascii="宋体" w:hAnsi="宋体" w:cs="宋体" w:hint="eastAsia"/>
          <w:spacing w:val="-2"/>
          <w:sz w:val="24"/>
        </w:rPr>
        <w:t>m</w:t>
      </w:r>
      <w:r>
        <w:rPr>
          <w:rFonts w:ascii="宋体" w:hAnsi="宋体" w:cs="宋体" w:hint="eastAsia"/>
          <w:spacing w:val="-2"/>
          <w:sz w:val="24"/>
          <w:vertAlign w:val="superscript"/>
        </w:rPr>
        <w:t>3</w:t>
      </w:r>
      <w:r>
        <w:rPr>
          <w:rFonts w:ascii="宋体" w:hAnsi="宋体" w:cs="宋体" w:hint="eastAsia"/>
          <w:spacing w:val="-2"/>
          <w:sz w:val="24"/>
        </w:rPr>
        <w:t xml:space="preserve"> 。因此，设计可采资源量为</w:t>
      </w:r>
      <w:bookmarkStart w:id="276" w:name="_Hlk152233955"/>
      <w:r>
        <w:rPr>
          <w:rFonts w:ascii="宋体" w:hAnsi="宋体" w:cs="宋体"/>
          <w:spacing w:val="-2"/>
          <w:sz w:val="24"/>
        </w:rPr>
        <w:t>111.815</w:t>
      </w:r>
      <w:r>
        <w:rPr>
          <w:rFonts w:ascii="宋体" w:hAnsi="宋体" w:cs="宋体" w:hint="eastAsia"/>
          <w:spacing w:val="-2"/>
          <w:sz w:val="24"/>
        </w:rPr>
        <w:t>×10</w:t>
      </w:r>
      <w:r>
        <w:rPr>
          <w:rFonts w:ascii="宋体" w:hAnsi="宋体" w:cs="宋体" w:hint="eastAsia"/>
          <w:spacing w:val="-2"/>
          <w:sz w:val="24"/>
          <w:vertAlign w:val="superscript"/>
        </w:rPr>
        <w:t>4</w:t>
      </w:r>
      <w:bookmarkEnd w:id="276"/>
      <w:r>
        <w:rPr>
          <w:rFonts w:ascii="宋体" w:hAnsi="宋体" w:cs="宋体" w:hint="eastAsia"/>
          <w:spacing w:val="-2"/>
          <w:sz w:val="24"/>
        </w:rPr>
        <w:t>m</w:t>
      </w:r>
      <w:r>
        <w:rPr>
          <w:rFonts w:ascii="宋体" w:hAnsi="宋体" w:cs="宋体" w:hint="eastAsia"/>
          <w:spacing w:val="-2"/>
          <w:sz w:val="24"/>
          <w:vertAlign w:val="superscript"/>
        </w:rPr>
        <w:t>3</w:t>
      </w:r>
      <w:r>
        <w:rPr>
          <w:rFonts w:ascii="宋体" w:hAnsi="宋体" w:cs="宋体" w:hint="eastAsia"/>
          <w:spacing w:val="-2"/>
          <w:sz w:val="24"/>
        </w:rPr>
        <w:t xml:space="preserve"> 。</w:t>
      </w:r>
    </w:p>
    <w:p w:rsidR="009C5C1F" w:rsidRDefault="004D2E0D">
      <w:pPr>
        <w:pStyle w:val="3"/>
        <w:spacing w:beforeLines="100" w:before="360" w:after="0" w:line="500" w:lineRule="exact"/>
        <w:ind w:firstLineChars="200" w:firstLine="482"/>
        <w:rPr>
          <w:rFonts w:ascii="宋体" w:hAnsi="宋体" w:cs="宋体"/>
        </w:rPr>
      </w:pPr>
      <w:bookmarkStart w:id="277" w:name="_Toc70589741"/>
      <w:bookmarkStart w:id="278" w:name="_Toc502783431"/>
      <w:bookmarkStart w:id="279" w:name="_Toc395519150"/>
      <w:r>
        <w:rPr>
          <w:rFonts w:ascii="宋体" w:hAnsi="宋体" w:cs="宋体" w:hint="eastAsia"/>
        </w:rPr>
        <w:t>4.1.2 建设规模</w:t>
      </w:r>
      <w:bookmarkEnd w:id="270"/>
      <w:bookmarkEnd w:id="271"/>
      <w:bookmarkEnd w:id="272"/>
      <w:r>
        <w:rPr>
          <w:rFonts w:ascii="宋体" w:hAnsi="宋体" w:cs="宋体" w:hint="eastAsia"/>
        </w:rPr>
        <w:t>、产品方案</w:t>
      </w:r>
      <w:bookmarkEnd w:id="277"/>
      <w:bookmarkEnd w:id="278"/>
      <w:bookmarkEnd w:id="279"/>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1.建设规模</w:t>
      </w:r>
    </w:p>
    <w:p w:rsidR="009C5C1F" w:rsidRDefault="004D2E0D">
      <w:pPr>
        <w:adjustRightInd w:val="0"/>
        <w:snapToGrid w:val="0"/>
        <w:spacing w:line="480" w:lineRule="atLeast"/>
        <w:ind w:firstLineChars="200" w:firstLine="480"/>
        <w:rPr>
          <w:rFonts w:ascii="宋体" w:hAnsi="宋体"/>
          <w:sz w:val="24"/>
        </w:rPr>
      </w:pPr>
      <w:bookmarkStart w:id="280" w:name="_Toc214406998"/>
      <w:bookmarkStart w:id="281" w:name="_Toc211070082"/>
      <w:bookmarkEnd w:id="257"/>
      <w:bookmarkEnd w:id="258"/>
      <w:r>
        <w:rPr>
          <w:rFonts w:ascii="宋体" w:hAnsi="宋体" w:cs="宋体" w:hint="eastAsia"/>
          <w:kern w:val="0"/>
          <w:sz w:val="24"/>
        </w:rPr>
        <w:t>根据国务院下发的《矿产资源开采登记管理办法》（中华人民共和国国务院令第241号）及张掖市</w:t>
      </w:r>
      <w:r>
        <w:rPr>
          <w:rFonts w:ascii="宋体" w:hAnsi="宋体" w:hint="eastAsia"/>
          <w:sz w:val="24"/>
        </w:rPr>
        <w:t>第三轮整体规划等</w:t>
      </w:r>
      <w:r>
        <w:rPr>
          <w:rFonts w:ascii="宋体" w:hAnsi="宋体" w:cs="宋体" w:hint="eastAsia"/>
          <w:kern w:val="0"/>
          <w:sz w:val="24"/>
        </w:rPr>
        <w:t>相关规定，并且根据该矿矿体形态、规模及产状，结合当地的销售能力以及通过跟业主讨论，</w:t>
      </w:r>
      <w:r>
        <w:rPr>
          <w:rFonts w:ascii="宋体" w:hAnsi="宋体" w:hint="eastAsia"/>
          <w:sz w:val="24"/>
        </w:rPr>
        <w:t>现提出1</w:t>
      </w:r>
      <w:r>
        <w:rPr>
          <w:rFonts w:ascii="宋体" w:hAnsi="宋体"/>
          <w:sz w:val="24"/>
        </w:rPr>
        <w:t>0</w:t>
      </w:r>
      <w:r>
        <w:rPr>
          <w:rFonts w:ascii="宋体" w:hAnsi="宋体" w:hint="eastAsia"/>
          <w:sz w:val="24"/>
        </w:rPr>
        <w:t>万立方米/年、1</w:t>
      </w:r>
      <w:r>
        <w:rPr>
          <w:rFonts w:ascii="宋体" w:hAnsi="宋体"/>
          <w:sz w:val="24"/>
        </w:rPr>
        <w:t>5</w:t>
      </w:r>
      <w:r>
        <w:rPr>
          <w:rFonts w:ascii="宋体" w:hAnsi="宋体" w:hint="eastAsia"/>
          <w:sz w:val="24"/>
        </w:rPr>
        <w:t>万立方米/年、2</w:t>
      </w:r>
      <w:r>
        <w:rPr>
          <w:rFonts w:ascii="宋体" w:hAnsi="宋体"/>
          <w:sz w:val="24"/>
        </w:rPr>
        <w:t>0</w:t>
      </w:r>
      <w:r>
        <w:rPr>
          <w:rFonts w:ascii="宋体" w:hAnsi="宋体" w:hint="eastAsia"/>
          <w:sz w:val="24"/>
        </w:rPr>
        <w:t>万立方米/年三个建设规模进行简要论证（见表4-</w:t>
      </w:r>
      <w:r>
        <w:rPr>
          <w:rFonts w:ascii="宋体" w:hAnsi="宋体"/>
          <w:sz w:val="24"/>
        </w:rPr>
        <w:t>2</w:t>
      </w:r>
      <w:r>
        <w:rPr>
          <w:rFonts w:ascii="宋体" w:hAnsi="宋体" w:hint="eastAsia"/>
          <w:sz w:val="24"/>
        </w:rPr>
        <w:t>）。</w:t>
      </w:r>
    </w:p>
    <w:p w:rsidR="009C5C1F" w:rsidRDefault="004D2E0D">
      <w:pPr>
        <w:adjustRightInd w:val="0"/>
        <w:snapToGrid w:val="0"/>
        <w:spacing w:line="480" w:lineRule="atLeast"/>
        <w:ind w:firstLineChars="200" w:firstLine="482"/>
        <w:jc w:val="center"/>
        <w:rPr>
          <w:rFonts w:ascii="宋体" w:hAnsi="宋体"/>
          <w:b/>
          <w:sz w:val="24"/>
        </w:rPr>
      </w:pPr>
      <w:r>
        <w:rPr>
          <w:rFonts w:ascii="宋体" w:hAnsi="宋体" w:hint="eastAsia"/>
          <w:b/>
          <w:bCs/>
          <w:kern w:val="0"/>
          <w:sz w:val="24"/>
        </w:rPr>
        <w:t>表4-</w:t>
      </w:r>
      <w:r>
        <w:rPr>
          <w:rFonts w:ascii="宋体" w:hAnsi="宋体"/>
          <w:b/>
          <w:bCs/>
          <w:kern w:val="0"/>
          <w:sz w:val="24"/>
        </w:rPr>
        <w:t xml:space="preserve">2      </w:t>
      </w:r>
      <w:r>
        <w:rPr>
          <w:rFonts w:ascii="宋体" w:hAnsi="宋体" w:hint="eastAsia"/>
          <w:b/>
          <w:bCs/>
          <w:kern w:val="0"/>
          <w:sz w:val="24"/>
        </w:rPr>
        <w:t xml:space="preserve">建设规模简要论证对比表       </w:t>
      </w:r>
    </w:p>
    <w:tbl>
      <w:tblPr>
        <w:tblW w:w="8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2"/>
        <w:gridCol w:w="2552"/>
        <w:gridCol w:w="1275"/>
        <w:gridCol w:w="1134"/>
        <w:gridCol w:w="1037"/>
        <w:gridCol w:w="1231"/>
      </w:tblGrid>
      <w:tr w:rsidR="009C5C1F">
        <w:trPr>
          <w:trHeight w:val="411"/>
          <w:jc w:val="center"/>
        </w:trPr>
        <w:tc>
          <w:tcPr>
            <w:tcW w:w="1652" w:type="dxa"/>
            <w:vMerge w:val="restart"/>
            <w:vAlign w:val="center"/>
          </w:tcPr>
          <w:p w:rsidR="009C5C1F" w:rsidRDefault="004D2E0D">
            <w:pPr>
              <w:rPr>
                <w:rFonts w:ascii="仿宋" w:eastAsia="仿宋" w:hAnsi="仿宋" w:cs="宋体"/>
                <w:b/>
                <w:szCs w:val="21"/>
              </w:rPr>
            </w:pPr>
            <w:r>
              <w:rPr>
                <w:rFonts w:ascii="仿宋" w:eastAsia="仿宋" w:hAnsi="仿宋" w:cs="宋体" w:hint="eastAsia"/>
                <w:b/>
                <w:szCs w:val="21"/>
              </w:rPr>
              <w:t>项目</w:t>
            </w:r>
          </w:p>
        </w:tc>
        <w:tc>
          <w:tcPr>
            <w:tcW w:w="2552" w:type="dxa"/>
            <w:vMerge w:val="restart"/>
            <w:vAlign w:val="center"/>
          </w:tcPr>
          <w:p w:rsidR="009C5C1F" w:rsidRDefault="004D2E0D">
            <w:pPr>
              <w:rPr>
                <w:rFonts w:ascii="仿宋" w:eastAsia="仿宋" w:hAnsi="仿宋" w:cs="宋体"/>
                <w:b/>
                <w:szCs w:val="21"/>
              </w:rPr>
            </w:pPr>
            <w:r>
              <w:rPr>
                <w:rFonts w:ascii="仿宋" w:eastAsia="仿宋" w:hAnsi="仿宋" w:cs="宋体" w:hint="eastAsia"/>
                <w:b/>
                <w:szCs w:val="21"/>
              </w:rPr>
              <w:t>单价（矿山价）</w:t>
            </w:r>
          </w:p>
          <w:p w:rsidR="009C5C1F" w:rsidRDefault="004D2E0D">
            <w:pPr>
              <w:rPr>
                <w:rFonts w:ascii="仿宋" w:eastAsia="仿宋" w:hAnsi="仿宋" w:cs="宋体"/>
                <w:b/>
                <w:szCs w:val="21"/>
              </w:rPr>
            </w:pPr>
            <w:r>
              <w:rPr>
                <w:rFonts w:ascii="仿宋" w:eastAsia="仿宋" w:hAnsi="仿宋" w:cs="宋体" w:hint="eastAsia"/>
                <w:b/>
                <w:szCs w:val="21"/>
              </w:rPr>
              <w:t>及计算规则</w:t>
            </w:r>
          </w:p>
        </w:tc>
        <w:tc>
          <w:tcPr>
            <w:tcW w:w="3446" w:type="dxa"/>
            <w:gridSpan w:val="3"/>
            <w:vAlign w:val="center"/>
          </w:tcPr>
          <w:p w:rsidR="009C5C1F" w:rsidRDefault="004D2E0D">
            <w:pPr>
              <w:rPr>
                <w:rFonts w:ascii="仿宋" w:eastAsia="仿宋" w:hAnsi="仿宋" w:cs="宋体"/>
                <w:b/>
                <w:szCs w:val="21"/>
              </w:rPr>
            </w:pPr>
            <w:r>
              <w:rPr>
                <w:rFonts w:ascii="仿宋" w:eastAsia="仿宋" w:hAnsi="仿宋" w:cs="宋体" w:hint="eastAsia"/>
                <w:b/>
                <w:szCs w:val="21"/>
              </w:rPr>
              <w:t>建设规模</w:t>
            </w:r>
          </w:p>
        </w:tc>
        <w:tc>
          <w:tcPr>
            <w:tcW w:w="1231" w:type="dxa"/>
            <w:vMerge w:val="restart"/>
            <w:vAlign w:val="center"/>
          </w:tcPr>
          <w:p w:rsidR="009C5C1F" w:rsidRDefault="004D2E0D">
            <w:pPr>
              <w:rPr>
                <w:rFonts w:ascii="仿宋" w:eastAsia="仿宋" w:hAnsi="仿宋" w:cs="宋体"/>
                <w:b/>
                <w:szCs w:val="21"/>
              </w:rPr>
            </w:pPr>
            <w:r>
              <w:rPr>
                <w:rFonts w:ascii="仿宋" w:eastAsia="仿宋" w:hAnsi="仿宋" w:cs="宋体" w:hint="eastAsia"/>
                <w:b/>
                <w:szCs w:val="21"/>
              </w:rPr>
              <w:t>备注</w:t>
            </w:r>
          </w:p>
        </w:tc>
      </w:tr>
      <w:tr w:rsidR="009C5C1F">
        <w:trPr>
          <w:trHeight w:val="331"/>
          <w:jc w:val="center"/>
        </w:trPr>
        <w:tc>
          <w:tcPr>
            <w:tcW w:w="1652" w:type="dxa"/>
            <w:vMerge/>
            <w:vAlign w:val="center"/>
          </w:tcPr>
          <w:p w:rsidR="009C5C1F" w:rsidRDefault="009C5C1F">
            <w:pPr>
              <w:rPr>
                <w:rFonts w:ascii="仿宋" w:eastAsia="仿宋" w:hAnsi="仿宋" w:cs="宋体"/>
                <w:szCs w:val="21"/>
              </w:rPr>
            </w:pPr>
          </w:p>
        </w:tc>
        <w:tc>
          <w:tcPr>
            <w:tcW w:w="2552" w:type="dxa"/>
            <w:vMerge/>
            <w:vAlign w:val="center"/>
          </w:tcPr>
          <w:p w:rsidR="009C5C1F" w:rsidRDefault="009C5C1F">
            <w:pPr>
              <w:rPr>
                <w:rFonts w:ascii="仿宋" w:eastAsia="仿宋" w:hAnsi="仿宋" w:cs="宋体"/>
                <w:szCs w:val="21"/>
              </w:rPr>
            </w:pPr>
          </w:p>
        </w:tc>
        <w:tc>
          <w:tcPr>
            <w:tcW w:w="1275" w:type="dxa"/>
            <w:vAlign w:val="center"/>
          </w:tcPr>
          <w:p w:rsidR="009C5C1F" w:rsidRDefault="004D2E0D">
            <w:pPr>
              <w:rPr>
                <w:rFonts w:ascii="仿宋" w:eastAsia="仿宋" w:hAnsi="仿宋" w:cs="宋体"/>
                <w:b/>
                <w:szCs w:val="21"/>
              </w:rPr>
            </w:pPr>
            <w:r>
              <w:rPr>
                <w:rFonts w:ascii="仿宋" w:eastAsia="仿宋" w:hAnsi="仿宋" w:cs="宋体"/>
                <w:b/>
                <w:szCs w:val="21"/>
              </w:rPr>
              <w:t>10</w:t>
            </w:r>
            <w:r>
              <w:rPr>
                <w:rFonts w:ascii="仿宋" w:eastAsia="仿宋" w:hAnsi="仿宋" w:cs="宋体" w:hint="eastAsia"/>
                <w:b/>
                <w:szCs w:val="21"/>
              </w:rPr>
              <w:t>万m</w:t>
            </w:r>
            <w:r>
              <w:rPr>
                <w:rFonts w:ascii="仿宋" w:eastAsia="仿宋" w:hAnsi="仿宋" w:cs="宋体" w:hint="eastAsia"/>
                <w:b/>
                <w:szCs w:val="21"/>
                <w:vertAlign w:val="superscript"/>
              </w:rPr>
              <w:t>3</w:t>
            </w:r>
            <w:r>
              <w:rPr>
                <w:rFonts w:ascii="仿宋" w:eastAsia="仿宋" w:hAnsi="仿宋" w:cs="宋体" w:hint="eastAsia"/>
                <w:b/>
                <w:szCs w:val="21"/>
              </w:rPr>
              <w:t>/ a</w:t>
            </w:r>
          </w:p>
        </w:tc>
        <w:tc>
          <w:tcPr>
            <w:tcW w:w="1134" w:type="dxa"/>
            <w:vAlign w:val="center"/>
          </w:tcPr>
          <w:p w:rsidR="009C5C1F" w:rsidRDefault="004D2E0D">
            <w:pPr>
              <w:rPr>
                <w:rFonts w:ascii="仿宋" w:eastAsia="仿宋" w:hAnsi="仿宋" w:cs="宋体"/>
                <w:b/>
                <w:szCs w:val="21"/>
              </w:rPr>
            </w:pPr>
            <w:r>
              <w:rPr>
                <w:rFonts w:ascii="仿宋" w:eastAsia="仿宋" w:hAnsi="仿宋" w:cs="宋体"/>
                <w:b/>
                <w:szCs w:val="21"/>
              </w:rPr>
              <w:t>15</w:t>
            </w:r>
            <w:r>
              <w:rPr>
                <w:rFonts w:ascii="仿宋" w:eastAsia="仿宋" w:hAnsi="仿宋" w:cs="宋体" w:hint="eastAsia"/>
                <w:b/>
                <w:szCs w:val="21"/>
              </w:rPr>
              <w:t>万m</w:t>
            </w:r>
            <w:r>
              <w:rPr>
                <w:rFonts w:ascii="仿宋" w:eastAsia="仿宋" w:hAnsi="仿宋" w:cs="宋体" w:hint="eastAsia"/>
                <w:b/>
                <w:szCs w:val="21"/>
                <w:vertAlign w:val="superscript"/>
              </w:rPr>
              <w:t>3</w:t>
            </w:r>
            <w:r>
              <w:rPr>
                <w:rFonts w:ascii="仿宋" w:eastAsia="仿宋" w:hAnsi="仿宋" w:cs="宋体" w:hint="eastAsia"/>
                <w:b/>
                <w:szCs w:val="21"/>
              </w:rPr>
              <w:t>/ a</w:t>
            </w:r>
          </w:p>
        </w:tc>
        <w:tc>
          <w:tcPr>
            <w:tcW w:w="1037" w:type="dxa"/>
            <w:vAlign w:val="center"/>
          </w:tcPr>
          <w:p w:rsidR="009C5C1F" w:rsidRDefault="004D2E0D">
            <w:pPr>
              <w:rPr>
                <w:rFonts w:ascii="仿宋" w:eastAsia="仿宋" w:hAnsi="仿宋" w:cs="宋体"/>
                <w:b/>
                <w:szCs w:val="21"/>
              </w:rPr>
            </w:pPr>
            <w:r>
              <w:rPr>
                <w:rFonts w:ascii="仿宋" w:eastAsia="仿宋" w:hAnsi="仿宋" w:cs="宋体"/>
                <w:b/>
                <w:szCs w:val="21"/>
              </w:rPr>
              <w:t>20</w:t>
            </w:r>
            <w:r>
              <w:rPr>
                <w:rFonts w:ascii="仿宋" w:eastAsia="仿宋" w:hAnsi="仿宋" w:cs="宋体" w:hint="eastAsia"/>
                <w:b/>
                <w:szCs w:val="21"/>
              </w:rPr>
              <w:t>万m</w:t>
            </w:r>
            <w:r>
              <w:rPr>
                <w:rFonts w:ascii="仿宋" w:eastAsia="仿宋" w:hAnsi="仿宋" w:cs="宋体" w:hint="eastAsia"/>
                <w:b/>
                <w:szCs w:val="21"/>
                <w:vertAlign w:val="superscript"/>
              </w:rPr>
              <w:t>3</w:t>
            </w:r>
            <w:r>
              <w:rPr>
                <w:rFonts w:ascii="仿宋" w:eastAsia="仿宋" w:hAnsi="仿宋" w:cs="宋体" w:hint="eastAsia"/>
                <w:b/>
                <w:szCs w:val="21"/>
              </w:rPr>
              <w:t>/ a</w:t>
            </w:r>
          </w:p>
        </w:tc>
        <w:tc>
          <w:tcPr>
            <w:tcW w:w="1231" w:type="dxa"/>
            <w:vMerge/>
            <w:vAlign w:val="center"/>
          </w:tcPr>
          <w:p w:rsidR="009C5C1F" w:rsidRDefault="009C5C1F">
            <w:pPr>
              <w:rPr>
                <w:rFonts w:ascii="仿宋" w:eastAsia="仿宋" w:hAnsi="仿宋" w:cs="宋体"/>
                <w:szCs w:val="21"/>
              </w:rPr>
            </w:pPr>
          </w:p>
        </w:tc>
      </w:tr>
      <w:tr w:rsidR="009C5C1F">
        <w:trPr>
          <w:trHeight w:val="293"/>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投资</w:t>
            </w:r>
          </w:p>
        </w:tc>
        <w:tc>
          <w:tcPr>
            <w:tcW w:w="2552" w:type="dxa"/>
            <w:vAlign w:val="center"/>
          </w:tcPr>
          <w:p w:rsidR="009C5C1F" w:rsidRDefault="004D2E0D">
            <w:pPr>
              <w:rPr>
                <w:rFonts w:ascii="仿宋" w:eastAsia="仿宋" w:hAnsi="仿宋" w:cs="宋体"/>
                <w:szCs w:val="21"/>
              </w:rPr>
            </w:pPr>
            <w:r>
              <w:rPr>
                <w:rFonts w:ascii="仿宋" w:eastAsia="仿宋" w:hAnsi="仿宋" w:cs="宋体" w:hint="eastAsia"/>
                <w:szCs w:val="21"/>
              </w:rPr>
              <w:t>I</w:t>
            </w: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250.5</w:t>
            </w:r>
            <w:r>
              <w:rPr>
                <w:rFonts w:ascii="仿宋" w:eastAsia="仿宋" w:hAnsi="仿宋" w:cs="宋体" w:hint="eastAsia"/>
                <w:szCs w:val="21"/>
              </w:rPr>
              <w:t>万元</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425</w:t>
            </w:r>
            <w:r>
              <w:rPr>
                <w:rFonts w:ascii="仿宋" w:eastAsia="仿宋" w:hAnsi="仿宋" w:cs="宋体" w:hint="eastAsia"/>
                <w:szCs w:val="21"/>
              </w:rPr>
              <w:t>万元</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525.5</w:t>
            </w:r>
            <w:r>
              <w:rPr>
                <w:rFonts w:ascii="仿宋" w:eastAsia="仿宋" w:hAnsi="仿宋" w:cs="宋体" w:hint="eastAsia"/>
                <w:szCs w:val="21"/>
              </w:rPr>
              <w:t>万元</w:t>
            </w:r>
          </w:p>
        </w:tc>
        <w:tc>
          <w:tcPr>
            <w:tcW w:w="1231" w:type="dxa"/>
            <w:vAlign w:val="center"/>
          </w:tcPr>
          <w:p w:rsidR="009C5C1F" w:rsidRDefault="004D2E0D">
            <w:pPr>
              <w:rPr>
                <w:rFonts w:ascii="仿宋" w:eastAsia="仿宋" w:hAnsi="仿宋" w:cs="宋体"/>
                <w:szCs w:val="21"/>
              </w:rPr>
            </w:pPr>
            <w:r>
              <w:rPr>
                <w:rFonts w:ascii="仿宋" w:eastAsia="仿宋" w:hAnsi="仿宋" w:cs="宋体" w:hint="eastAsia"/>
                <w:szCs w:val="21"/>
              </w:rPr>
              <w:t>计算确定</w:t>
            </w:r>
          </w:p>
        </w:tc>
      </w:tr>
      <w:tr w:rsidR="009C5C1F">
        <w:trPr>
          <w:trHeight w:val="227"/>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一、年销售收入</w:t>
            </w:r>
          </w:p>
        </w:tc>
        <w:tc>
          <w:tcPr>
            <w:tcW w:w="2552" w:type="dxa"/>
            <w:vAlign w:val="center"/>
          </w:tcPr>
          <w:p w:rsidR="009C5C1F" w:rsidRDefault="004D2E0D">
            <w:pPr>
              <w:rPr>
                <w:rFonts w:ascii="仿宋" w:eastAsia="仿宋" w:hAnsi="仿宋" w:cs="宋体"/>
                <w:szCs w:val="21"/>
              </w:rPr>
            </w:pPr>
            <w:r>
              <w:rPr>
                <w:rFonts w:ascii="仿宋" w:eastAsia="仿宋" w:hAnsi="仿宋" w:cs="宋体"/>
                <w:szCs w:val="21"/>
              </w:rPr>
              <w:t>35</w:t>
            </w:r>
            <w:r>
              <w:rPr>
                <w:rFonts w:ascii="仿宋" w:eastAsia="仿宋" w:hAnsi="仿宋" w:cs="宋体" w:hint="eastAsia"/>
                <w:szCs w:val="21"/>
              </w:rPr>
              <w:t>元/ m</w:t>
            </w:r>
            <w:r>
              <w:rPr>
                <w:rFonts w:ascii="仿宋" w:eastAsia="仿宋" w:hAnsi="仿宋" w:cs="宋体" w:hint="eastAsia"/>
                <w:szCs w:val="21"/>
                <w:vertAlign w:val="superscript"/>
              </w:rPr>
              <w:t>3</w:t>
            </w: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350</w:t>
            </w:r>
            <w:r>
              <w:rPr>
                <w:rFonts w:ascii="仿宋" w:eastAsia="仿宋" w:hAnsi="仿宋" w:cs="宋体" w:hint="eastAsia"/>
                <w:szCs w:val="21"/>
              </w:rPr>
              <w:t>万元</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525</w:t>
            </w:r>
            <w:r>
              <w:rPr>
                <w:rFonts w:ascii="仿宋" w:eastAsia="仿宋" w:hAnsi="仿宋" w:cs="宋体" w:hint="eastAsia"/>
                <w:szCs w:val="21"/>
              </w:rPr>
              <w:t>万元</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700</w:t>
            </w:r>
            <w:r>
              <w:rPr>
                <w:rFonts w:ascii="仿宋" w:eastAsia="仿宋" w:hAnsi="仿宋" w:cs="宋体" w:hint="eastAsia"/>
                <w:szCs w:val="21"/>
              </w:rPr>
              <w:t>万元</w:t>
            </w:r>
          </w:p>
        </w:tc>
        <w:tc>
          <w:tcPr>
            <w:tcW w:w="1231" w:type="dxa"/>
            <w:vAlign w:val="center"/>
          </w:tcPr>
          <w:p w:rsidR="009C5C1F" w:rsidRDefault="009C5C1F">
            <w:pPr>
              <w:rPr>
                <w:rFonts w:ascii="仿宋" w:eastAsia="仿宋" w:hAnsi="仿宋" w:cs="宋体"/>
                <w:szCs w:val="21"/>
              </w:rPr>
            </w:pPr>
          </w:p>
        </w:tc>
      </w:tr>
      <w:tr w:rsidR="009C5C1F">
        <w:trPr>
          <w:trHeight w:val="299"/>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二、生产成本</w:t>
            </w:r>
          </w:p>
        </w:tc>
        <w:tc>
          <w:tcPr>
            <w:tcW w:w="2552" w:type="dxa"/>
            <w:vAlign w:val="center"/>
          </w:tcPr>
          <w:p w:rsidR="009C5C1F" w:rsidRDefault="004D2E0D">
            <w:pPr>
              <w:rPr>
                <w:rFonts w:ascii="仿宋" w:eastAsia="仿宋" w:hAnsi="仿宋" w:cs="宋体"/>
                <w:szCs w:val="21"/>
              </w:rPr>
            </w:pPr>
            <w:r>
              <w:rPr>
                <w:rFonts w:ascii="仿宋" w:eastAsia="仿宋" w:hAnsi="仿宋" w:cs="宋体"/>
                <w:szCs w:val="21"/>
              </w:rPr>
              <w:t>18</w:t>
            </w:r>
            <w:r>
              <w:rPr>
                <w:rFonts w:ascii="仿宋" w:eastAsia="仿宋" w:hAnsi="仿宋" w:cs="宋体" w:hint="eastAsia"/>
                <w:szCs w:val="21"/>
              </w:rPr>
              <w:t>元/ m</w:t>
            </w:r>
            <w:r>
              <w:rPr>
                <w:rFonts w:ascii="仿宋" w:eastAsia="仿宋" w:hAnsi="仿宋" w:cs="宋体" w:hint="eastAsia"/>
                <w:szCs w:val="21"/>
                <w:vertAlign w:val="superscript"/>
              </w:rPr>
              <w:t>3</w:t>
            </w: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180</w:t>
            </w:r>
            <w:r>
              <w:rPr>
                <w:rFonts w:ascii="仿宋" w:eastAsia="仿宋" w:hAnsi="仿宋" w:cs="宋体" w:hint="eastAsia"/>
                <w:szCs w:val="21"/>
              </w:rPr>
              <w:t>万元</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270</w:t>
            </w:r>
            <w:r>
              <w:rPr>
                <w:rFonts w:ascii="仿宋" w:eastAsia="仿宋" w:hAnsi="仿宋" w:cs="宋体" w:hint="eastAsia"/>
                <w:szCs w:val="21"/>
              </w:rPr>
              <w:t>万元</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360</w:t>
            </w:r>
            <w:r>
              <w:rPr>
                <w:rFonts w:ascii="仿宋" w:eastAsia="仿宋" w:hAnsi="仿宋" w:cs="宋体" w:hint="eastAsia"/>
                <w:szCs w:val="21"/>
              </w:rPr>
              <w:t>万元</w:t>
            </w:r>
          </w:p>
        </w:tc>
        <w:tc>
          <w:tcPr>
            <w:tcW w:w="1231" w:type="dxa"/>
            <w:vAlign w:val="center"/>
          </w:tcPr>
          <w:p w:rsidR="009C5C1F" w:rsidRDefault="004D2E0D">
            <w:pPr>
              <w:rPr>
                <w:rFonts w:ascii="仿宋" w:eastAsia="仿宋" w:hAnsi="仿宋" w:cs="宋体"/>
                <w:szCs w:val="21"/>
              </w:rPr>
            </w:pPr>
            <w:r>
              <w:rPr>
                <w:rFonts w:ascii="仿宋" w:eastAsia="仿宋" w:hAnsi="仿宋" w:cs="宋体" w:hint="eastAsia"/>
                <w:szCs w:val="21"/>
              </w:rPr>
              <w:t>含矿山剥离费用</w:t>
            </w:r>
          </w:p>
        </w:tc>
      </w:tr>
      <w:tr w:rsidR="009C5C1F">
        <w:trPr>
          <w:trHeight w:val="291"/>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三、税费</w:t>
            </w:r>
          </w:p>
        </w:tc>
        <w:tc>
          <w:tcPr>
            <w:tcW w:w="2552" w:type="dxa"/>
            <w:vAlign w:val="center"/>
          </w:tcPr>
          <w:p w:rsidR="009C5C1F" w:rsidRDefault="009C5C1F">
            <w:pPr>
              <w:rPr>
                <w:rFonts w:ascii="仿宋" w:eastAsia="仿宋" w:hAnsi="仿宋" w:cs="宋体"/>
                <w:szCs w:val="21"/>
              </w:rPr>
            </w:pPr>
          </w:p>
        </w:tc>
        <w:tc>
          <w:tcPr>
            <w:tcW w:w="1275" w:type="dxa"/>
            <w:vAlign w:val="center"/>
          </w:tcPr>
          <w:p w:rsidR="009C5C1F" w:rsidRDefault="009C5C1F">
            <w:pPr>
              <w:rPr>
                <w:rFonts w:ascii="仿宋" w:eastAsia="仿宋" w:hAnsi="仿宋" w:cs="宋体"/>
                <w:szCs w:val="21"/>
              </w:rPr>
            </w:pPr>
          </w:p>
        </w:tc>
        <w:tc>
          <w:tcPr>
            <w:tcW w:w="1134" w:type="dxa"/>
            <w:vAlign w:val="center"/>
          </w:tcPr>
          <w:p w:rsidR="009C5C1F" w:rsidRDefault="009C5C1F">
            <w:pPr>
              <w:rPr>
                <w:rFonts w:ascii="仿宋" w:eastAsia="仿宋" w:hAnsi="仿宋" w:cs="宋体"/>
                <w:szCs w:val="21"/>
              </w:rPr>
            </w:pPr>
          </w:p>
        </w:tc>
        <w:tc>
          <w:tcPr>
            <w:tcW w:w="1037" w:type="dxa"/>
            <w:vAlign w:val="center"/>
          </w:tcPr>
          <w:p w:rsidR="009C5C1F" w:rsidRDefault="009C5C1F">
            <w:pPr>
              <w:rPr>
                <w:rFonts w:ascii="仿宋" w:eastAsia="仿宋" w:hAnsi="仿宋" w:cs="宋体"/>
                <w:szCs w:val="21"/>
              </w:rPr>
            </w:pPr>
          </w:p>
        </w:tc>
        <w:tc>
          <w:tcPr>
            <w:tcW w:w="1231" w:type="dxa"/>
            <w:vAlign w:val="center"/>
          </w:tcPr>
          <w:p w:rsidR="009C5C1F" w:rsidRDefault="009C5C1F">
            <w:pPr>
              <w:rPr>
                <w:rFonts w:ascii="仿宋" w:eastAsia="仿宋" w:hAnsi="仿宋" w:cs="宋体"/>
                <w:szCs w:val="21"/>
              </w:rPr>
            </w:pPr>
          </w:p>
        </w:tc>
      </w:tr>
      <w:tr w:rsidR="009C5C1F">
        <w:trPr>
          <w:trHeight w:val="291"/>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1、增值税</w:t>
            </w:r>
          </w:p>
        </w:tc>
        <w:tc>
          <w:tcPr>
            <w:tcW w:w="2552" w:type="dxa"/>
            <w:vAlign w:val="center"/>
          </w:tcPr>
          <w:p w:rsidR="009C5C1F" w:rsidRDefault="004D2E0D">
            <w:pPr>
              <w:rPr>
                <w:rFonts w:ascii="仿宋" w:eastAsia="仿宋" w:hAnsi="仿宋" w:cs="宋体"/>
                <w:szCs w:val="21"/>
              </w:rPr>
            </w:pPr>
            <w:r>
              <w:rPr>
                <w:rFonts w:ascii="仿宋" w:eastAsia="仿宋" w:hAnsi="仿宋" w:cs="宋体" w:hint="eastAsia"/>
                <w:szCs w:val="21"/>
              </w:rPr>
              <w:t>销售收入×</w:t>
            </w:r>
            <w:r>
              <w:rPr>
                <w:rFonts w:ascii="仿宋" w:eastAsia="仿宋" w:hAnsi="仿宋" w:cs="宋体"/>
                <w:szCs w:val="21"/>
              </w:rPr>
              <w:t>10</w:t>
            </w:r>
            <w:r>
              <w:rPr>
                <w:rFonts w:ascii="仿宋" w:eastAsia="仿宋" w:hAnsi="仿宋" w:cs="宋体" w:hint="eastAsia"/>
                <w:szCs w:val="21"/>
              </w:rPr>
              <w:t>%</w:t>
            </w: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35</w:t>
            </w:r>
            <w:r>
              <w:rPr>
                <w:rFonts w:ascii="仿宋" w:eastAsia="仿宋" w:hAnsi="仿宋" w:cs="宋体" w:hint="eastAsia"/>
                <w:szCs w:val="21"/>
              </w:rPr>
              <w:t>万元</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52.5</w:t>
            </w:r>
            <w:r>
              <w:rPr>
                <w:rFonts w:ascii="仿宋" w:eastAsia="仿宋" w:hAnsi="仿宋" w:cs="宋体" w:hint="eastAsia"/>
                <w:szCs w:val="21"/>
              </w:rPr>
              <w:t>万元</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70</w:t>
            </w:r>
            <w:r>
              <w:rPr>
                <w:rFonts w:ascii="仿宋" w:eastAsia="仿宋" w:hAnsi="仿宋" w:cs="宋体" w:hint="eastAsia"/>
                <w:szCs w:val="21"/>
              </w:rPr>
              <w:t>万元</w:t>
            </w:r>
          </w:p>
        </w:tc>
        <w:tc>
          <w:tcPr>
            <w:tcW w:w="1231" w:type="dxa"/>
            <w:vAlign w:val="center"/>
          </w:tcPr>
          <w:p w:rsidR="009C5C1F" w:rsidRDefault="009C5C1F">
            <w:pPr>
              <w:rPr>
                <w:rFonts w:ascii="仿宋" w:eastAsia="仿宋" w:hAnsi="仿宋" w:cs="宋体"/>
                <w:szCs w:val="21"/>
              </w:rPr>
            </w:pPr>
          </w:p>
        </w:tc>
      </w:tr>
      <w:tr w:rsidR="009C5C1F">
        <w:trPr>
          <w:trHeight w:val="277"/>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2、营业税+水利基建基金</w:t>
            </w:r>
          </w:p>
        </w:tc>
        <w:tc>
          <w:tcPr>
            <w:tcW w:w="2552" w:type="dxa"/>
            <w:vAlign w:val="center"/>
          </w:tcPr>
          <w:p w:rsidR="009C5C1F" w:rsidRDefault="004D2E0D">
            <w:pPr>
              <w:rPr>
                <w:rFonts w:ascii="仿宋" w:eastAsia="仿宋" w:hAnsi="仿宋" w:cs="宋体"/>
                <w:szCs w:val="21"/>
              </w:rPr>
            </w:pPr>
            <w:r>
              <w:rPr>
                <w:rFonts w:ascii="仿宋" w:eastAsia="仿宋" w:hAnsi="仿宋" w:cs="宋体" w:hint="eastAsia"/>
                <w:szCs w:val="21"/>
              </w:rPr>
              <w:t>增值税×5.1%</w:t>
            </w: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1.785</w:t>
            </w:r>
            <w:r>
              <w:rPr>
                <w:rFonts w:ascii="仿宋" w:eastAsia="仿宋" w:hAnsi="仿宋" w:cs="宋体" w:hint="eastAsia"/>
                <w:szCs w:val="21"/>
              </w:rPr>
              <w:t>万元</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2.6775</w:t>
            </w:r>
            <w:r>
              <w:rPr>
                <w:rFonts w:ascii="仿宋" w:eastAsia="仿宋" w:hAnsi="仿宋" w:cs="宋体" w:hint="eastAsia"/>
                <w:szCs w:val="21"/>
              </w:rPr>
              <w:t>万元</w:t>
            </w:r>
          </w:p>
        </w:tc>
        <w:tc>
          <w:tcPr>
            <w:tcW w:w="1037" w:type="dxa"/>
            <w:vAlign w:val="center"/>
          </w:tcPr>
          <w:p w:rsidR="009C5C1F" w:rsidRDefault="004D2E0D">
            <w:pPr>
              <w:rPr>
                <w:rFonts w:ascii="仿宋" w:eastAsia="仿宋" w:hAnsi="仿宋" w:cs="宋体"/>
                <w:szCs w:val="21"/>
              </w:rPr>
            </w:pPr>
            <w:r>
              <w:rPr>
                <w:rFonts w:ascii="仿宋" w:eastAsia="仿宋" w:hAnsi="仿宋" w:cs="宋体" w:hint="eastAsia"/>
                <w:szCs w:val="21"/>
              </w:rPr>
              <w:t>3</w:t>
            </w:r>
            <w:r>
              <w:rPr>
                <w:rFonts w:ascii="仿宋" w:eastAsia="仿宋" w:hAnsi="仿宋" w:cs="宋体"/>
                <w:szCs w:val="21"/>
              </w:rPr>
              <w:t>.57</w:t>
            </w:r>
            <w:r>
              <w:rPr>
                <w:rFonts w:ascii="仿宋" w:eastAsia="仿宋" w:hAnsi="仿宋" w:cs="宋体" w:hint="eastAsia"/>
                <w:szCs w:val="21"/>
              </w:rPr>
              <w:t>万元</w:t>
            </w:r>
          </w:p>
        </w:tc>
        <w:tc>
          <w:tcPr>
            <w:tcW w:w="1231" w:type="dxa"/>
            <w:vAlign w:val="center"/>
          </w:tcPr>
          <w:p w:rsidR="009C5C1F" w:rsidRDefault="009C5C1F">
            <w:pPr>
              <w:rPr>
                <w:rFonts w:ascii="仿宋" w:eastAsia="仿宋" w:hAnsi="仿宋" w:cs="宋体"/>
                <w:szCs w:val="21"/>
              </w:rPr>
            </w:pPr>
          </w:p>
        </w:tc>
      </w:tr>
      <w:tr w:rsidR="009C5C1F">
        <w:trPr>
          <w:trHeight w:val="422"/>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3、城市维护建设税、教育费附加和地方税</w:t>
            </w:r>
          </w:p>
        </w:tc>
        <w:tc>
          <w:tcPr>
            <w:tcW w:w="2552" w:type="dxa"/>
            <w:vAlign w:val="center"/>
          </w:tcPr>
          <w:p w:rsidR="009C5C1F" w:rsidRDefault="004D2E0D">
            <w:pPr>
              <w:rPr>
                <w:rFonts w:ascii="仿宋" w:eastAsia="仿宋" w:hAnsi="仿宋" w:cs="宋体"/>
                <w:szCs w:val="21"/>
              </w:rPr>
            </w:pPr>
            <w:r>
              <w:rPr>
                <w:rFonts w:ascii="仿宋" w:eastAsia="仿宋" w:hAnsi="仿宋" w:cs="宋体" w:hint="eastAsia"/>
                <w:szCs w:val="21"/>
              </w:rPr>
              <w:t>营业税×9%</w:t>
            </w: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0.161</w:t>
            </w:r>
            <w:r>
              <w:rPr>
                <w:rFonts w:ascii="仿宋" w:eastAsia="仿宋" w:hAnsi="仿宋" w:cs="宋体" w:hint="eastAsia"/>
                <w:szCs w:val="21"/>
              </w:rPr>
              <w:t>万元</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0.241</w:t>
            </w:r>
            <w:r>
              <w:rPr>
                <w:rFonts w:ascii="仿宋" w:eastAsia="仿宋" w:hAnsi="仿宋" w:cs="宋体" w:hint="eastAsia"/>
                <w:szCs w:val="21"/>
              </w:rPr>
              <w:t>万元</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0.3213</w:t>
            </w:r>
            <w:r>
              <w:rPr>
                <w:rFonts w:ascii="仿宋" w:eastAsia="仿宋" w:hAnsi="仿宋" w:cs="宋体" w:hint="eastAsia"/>
                <w:szCs w:val="21"/>
              </w:rPr>
              <w:t>万元</w:t>
            </w:r>
          </w:p>
        </w:tc>
        <w:tc>
          <w:tcPr>
            <w:tcW w:w="1231" w:type="dxa"/>
            <w:vAlign w:val="center"/>
          </w:tcPr>
          <w:p w:rsidR="009C5C1F" w:rsidRDefault="009C5C1F">
            <w:pPr>
              <w:rPr>
                <w:rFonts w:ascii="仿宋" w:eastAsia="仿宋" w:hAnsi="仿宋" w:cs="宋体"/>
                <w:szCs w:val="21"/>
              </w:rPr>
            </w:pPr>
          </w:p>
        </w:tc>
      </w:tr>
      <w:tr w:rsidR="009C5C1F">
        <w:trPr>
          <w:trHeight w:val="247"/>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4、矿产资源税</w:t>
            </w:r>
          </w:p>
        </w:tc>
        <w:tc>
          <w:tcPr>
            <w:tcW w:w="2552" w:type="dxa"/>
            <w:vAlign w:val="center"/>
          </w:tcPr>
          <w:p w:rsidR="009C5C1F" w:rsidRDefault="004D2E0D">
            <w:pPr>
              <w:rPr>
                <w:rFonts w:ascii="仿宋" w:eastAsia="仿宋" w:hAnsi="仿宋" w:cs="宋体"/>
                <w:szCs w:val="21"/>
              </w:rPr>
            </w:pPr>
            <w:r>
              <w:rPr>
                <w:rFonts w:ascii="仿宋" w:eastAsia="仿宋" w:hAnsi="仿宋" w:cs="宋体" w:hint="eastAsia"/>
                <w:szCs w:val="21"/>
              </w:rPr>
              <w:t>年产量×1.0元/立方米</w:t>
            </w: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10</w:t>
            </w:r>
            <w:r>
              <w:rPr>
                <w:rFonts w:ascii="仿宋" w:eastAsia="仿宋" w:hAnsi="仿宋" w:cs="宋体" w:hint="eastAsia"/>
                <w:szCs w:val="21"/>
              </w:rPr>
              <w:t>万元</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15</w:t>
            </w:r>
            <w:r>
              <w:rPr>
                <w:rFonts w:ascii="仿宋" w:eastAsia="仿宋" w:hAnsi="仿宋" w:cs="宋体" w:hint="eastAsia"/>
                <w:szCs w:val="21"/>
              </w:rPr>
              <w:t>万元</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20</w:t>
            </w:r>
            <w:r>
              <w:rPr>
                <w:rFonts w:ascii="仿宋" w:eastAsia="仿宋" w:hAnsi="仿宋" w:cs="宋体" w:hint="eastAsia"/>
                <w:szCs w:val="21"/>
              </w:rPr>
              <w:t>万元</w:t>
            </w:r>
          </w:p>
        </w:tc>
        <w:tc>
          <w:tcPr>
            <w:tcW w:w="1231" w:type="dxa"/>
            <w:vAlign w:val="center"/>
          </w:tcPr>
          <w:p w:rsidR="009C5C1F" w:rsidRDefault="009C5C1F">
            <w:pPr>
              <w:rPr>
                <w:rFonts w:ascii="仿宋" w:eastAsia="仿宋" w:hAnsi="仿宋" w:cs="宋体"/>
                <w:szCs w:val="21"/>
              </w:rPr>
            </w:pPr>
          </w:p>
        </w:tc>
      </w:tr>
      <w:tr w:rsidR="009C5C1F">
        <w:trPr>
          <w:trHeight w:val="247"/>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5、管理及财务费用</w:t>
            </w:r>
          </w:p>
        </w:tc>
        <w:tc>
          <w:tcPr>
            <w:tcW w:w="2552" w:type="dxa"/>
            <w:vAlign w:val="center"/>
          </w:tcPr>
          <w:p w:rsidR="009C5C1F" w:rsidRDefault="009C5C1F">
            <w:pPr>
              <w:rPr>
                <w:rFonts w:ascii="仿宋" w:eastAsia="仿宋" w:hAnsi="仿宋" w:cs="宋体"/>
                <w:szCs w:val="21"/>
              </w:rPr>
            </w:pP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7</w:t>
            </w:r>
            <w:r>
              <w:rPr>
                <w:rFonts w:ascii="仿宋" w:eastAsia="仿宋" w:hAnsi="仿宋" w:cs="宋体" w:hint="eastAsia"/>
                <w:szCs w:val="21"/>
              </w:rPr>
              <w:t>万元</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10.5</w:t>
            </w:r>
            <w:r>
              <w:rPr>
                <w:rFonts w:ascii="仿宋" w:eastAsia="仿宋" w:hAnsi="仿宋" w:cs="宋体" w:hint="eastAsia"/>
                <w:szCs w:val="21"/>
              </w:rPr>
              <w:t>万元</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14</w:t>
            </w:r>
            <w:r>
              <w:rPr>
                <w:rFonts w:ascii="仿宋" w:eastAsia="仿宋" w:hAnsi="仿宋" w:cs="宋体" w:hint="eastAsia"/>
                <w:szCs w:val="21"/>
              </w:rPr>
              <w:t>万元</w:t>
            </w:r>
          </w:p>
        </w:tc>
        <w:tc>
          <w:tcPr>
            <w:tcW w:w="1231" w:type="dxa"/>
            <w:vAlign w:val="center"/>
          </w:tcPr>
          <w:p w:rsidR="009C5C1F" w:rsidRDefault="009C5C1F">
            <w:pPr>
              <w:rPr>
                <w:rFonts w:ascii="仿宋" w:eastAsia="仿宋" w:hAnsi="仿宋" w:cs="宋体"/>
                <w:szCs w:val="21"/>
              </w:rPr>
            </w:pPr>
          </w:p>
        </w:tc>
      </w:tr>
      <w:tr w:rsidR="009C5C1F">
        <w:trPr>
          <w:trHeight w:val="251"/>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6、企业所得税</w:t>
            </w:r>
          </w:p>
        </w:tc>
        <w:tc>
          <w:tcPr>
            <w:tcW w:w="2552" w:type="dxa"/>
            <w:vAlign w:val="center"/>
          </w:tcPr>
          <w:p w:rsidR="009C5C1F" w:rsidRDefault="004D2E0D">
            <w:pPr>
              <w:rPr>
                <w:rFonts w:ascii="仿宋" w:eastAsia="仿宋" w:hAnsi="仿宋" w:cs="宋体"/>
                <w:szCs w:val="21"/>
              </w:rPr>
            </w:pPr>
            <w:r>
              <w:rPr>
                <w:rFonts w:ascii="仿宋" w:eastAsia="仿宋" w:hAnsi="仿宋" w:cs="宋体" w:hint="eastAsia"/>
                <w:szCs w:val="21"/>
              </w:rPr>
              <w:t>（利润总额-各类税费）×25%</w:t>
            </w:r>
          </w:p>
        </w:tc>
        <w:tc>
          <w:tcPr>
            <w:tcW w:w="1275" w:type="dxa"/>
            <w:vAlign w:val="center"/>
          </w:tcPr>
          <w:p w:rsidR="009C5C1F" w:rsidRDefault="004D2E0D">
            <w:pPr>
              <w:rPr>
                <w:rFonts w:ascii="仿宋" w:eastAsia="仿宋" w:hAnsi="仿宋" w:cs="宋体"/>
                <w:color w:val="C00000"/>
                <w:szCs w:val="21"/>
              </w:rPr>
            </w:pPr>
            <w:r>
              <w:rPr>
                <w:rFonts w:ascii="仿宋" w:eastAsia="仿宋" w:hAnsi="仿宋" w:cs="宋体"/>
                <w:szCs w:val="21"/>
              </w:rPr>
              <w:t>29.0135</w:t>
            </w:r>
            <w:r>
              <w:rPr>
                <w:rFonts w:ascii="仿宋" w:eastAsia="仿宋" w:hAnsi="仿宋" w:cs="宋体" w:hint="eastAsia"/>
                <w:szCs w:val="21"/>
              </w:rPr>
              <w:t>万元</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43.52</w:t>
            </w:r>
            <w:r>
              <w:rPr>
                <w:rFonts w:ascii="仿宋" w:eastAsia="仿宋" w:hAnsi="仿宋" w:cs="宋体" w:hint="eastAsia"/>
                <w:szCs w:val="21"/>
              </w:rPr>
              <w:t>万元</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58.027</w:t>
            </w:r>
            <w:r>
              <w:rPr>
                <w:rFonts w:ascii="仿宋" w:eastAsia="仿宋" w:hAnsi="仿宋" w:cs="宋体" w:hint="eastAsia"/>
                <w:szCs w:val="21"/>
              </w:rPr>
              <w:t>万元</w:t>
            </w:r>
          </w:p>
        </w:tc>
        <w:tc>
          <w:tcPr>
            <w:tcW w:w="1231" w:type="dxa"/>
            <w:vAlign w:val="center"/>
          </w:tcPr>
          <w:p w:rsidR="009C5C1F" w:rsidRDefault="009C5C1F">
            <w:pPr>
              <w:rPr>
                <w:rFonts w:ascii="仿宋" w:eastAsia="仿宋" w:hAnsi="仿宋" w:cs="宋体"/>
                <w:szCs w:val="21"/>
              </w:rPr>
            </w:pPr>
          </w:p>
        </w:tc>
      </w:tr>
      <w:tr w:rsidR="009C5C1F">
        <w:trPr>
          <w:trHeight w:val="217"/>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四、年净利润</w:t>
            </w:r>
          </w:p>
        </w:tc>
        <w:tc>
          <w:tcPr>
            <w:tcW w:w="2552" w:type="dxa"/>
            <w:vAlign w:val="center"/>
          </w:tcPr>
          <w:p w:rsidR="009C5C1F" w:rsidRDefault="004D2E0D">
            <w:pPr>
              <w:rPr>
                <w:rFonts w:ascii="仿宋" w:eastAsia="仿宋" w:hAnsi="仿宋" w:cs="宋体"/>
                <w:szCs w:val="21"/>
              </w:rPr>
            </w:pPr>
            <w:r>
              <w:rPr>
                <w:rFonts w:ascii="仿宋" w:eastAsia="仿宋" w:hAnsi="仿宋" w:cs="宋体" w:hint="eastAsia"/>
                <w:szCs w:val="21"/>
              </w:rPr>
              <w:t>F=总收入-总费用</w:t>
            </w: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87.04</w:t>
            </w:r>
            <w:r>
              <w:rPr>
                <w:rFonts w:ascii="仿宋" w:eastAsia="仿宋" w:hAnsi="仿宋" w:cs="宋体" w:hint="eastAsia"/>
                <w:szCs w:val="21"/>
              </w:rPr>
              <w:t>万元</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130.56</w:t>
            </w:r>
            <w:r>
              <w:rPr>
                <w:rFonts w:ascii="仿宋" w:eastAsia="仿宋" w:hAnsi="仿宋" w:cs="宋体" w:hint="eastAsia"/>
                <w:szCs w:val="21"/>
              </w:rPr>
              <w:t>万元</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174.08</w:t>
            </w:r>
            <w:r>
              <w:rPr>
                <w:rFonts w:ascii="仿宋" w:eastAsia="仿宋" w:hAnsi="仿宋" w:cs="宋体" w:hint="eastAsia"/>
                <w:szCs w:val="21"/>
              </w:rPr>
              <w:t>万元</w:t>
            </w:r>
          </w:p>
        </w:tc>
        <w:tc>
          <w:tcPr>
            <w:tcW w:w="1231" w:type="dxa"/>
            <w:vAlign w:val="center"/>
          </w:tcPr>
          <w:p w:rsidR="009C5C1F" w:rsidRDefault="009C5C1F">
            <w:pPr>
              <w:rPr>
                <w:rFonts w:ascii="仿宋" w:eastAsia="仿宋" w:hAnsi="仿宋" w:cs="宋体"/>
                <w:szCs w:val="21"/>
              </w:rPr>
            </w:pPr>
          </w:p>
        </w:tc>
      </w:tr>
      <w:tr w:rsidR="009C5C1F">
        <w:trPr>
          <w:trHeight w:val="183"/>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lastRenderedPageBreak/>
              <w:t>五、简单投资收益率</w:t>
            </w:r>
          </w:p>
        </w:tc>
        <w:tc>
          <w:tcPr>
            <w:tcW w:w="2552" w:type="dxa"/>
            <w:vAlign w:val="center"/>
          </w:tcPr>
          <w:p w:rsidR="009C5C1F" w:rsidRDefault="004D2E0D">
            <w:pPr>
              <w:rPr>
                <w:rFonts w:ascii="仿宋" w:eastAsia="仿宋" w:hAnsi="仿宋" w:cs="宋体"/>
                <w:szCs w:val="21"/>
              </w:rPr>
            </w:pPr>
            <w:r>
              <w:rPr>
                <w:rFonts w:ascii="仿宋" w:eastAsia="仿宋" w:hAnsi="仿宋" w:cs="宋体" w:hint="eastAsia"/>
                <w:szCs w:val="21"/>
              </w:rPr>
              <w:t>Rf=F/I</w:t>
            </w: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34.75</w:t>
            </w:r>
            <w:r>
              <w:rPr>
                <w:rFonts w:ascii="仿宋" w:eastAsia="仿宋" w:hAnsi="仿宋" w:cs="宋体" w:hint="eastAsia"/>
                <w:szCs w:val="21"/>
              </w:rPr>
              <w:t>%</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30.72</w:t>
            </w:r>
            <w:r>
              <w:rPr>
                <w:rFonts w:ascii="仿宋" w:eastAsia="仿宋" w:hAnsi="仿宋" w:cs="宋体" w:hint="eastAsia"/>
                <w:szCs w:val="21"/>
              </w:rPr>
              <w:t>%</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33.13</w:t>
            </w:r>
            <w:r>
              <w:rPr>
                <w:rFonts w:ascii="仿宋" w:eastAsia="仿宋" w:hAnsi="仿宋" w:cs="宋体" w:hint="eastAsia"/>
                <w:szCs w:val="21"/>
              </w:rPr>
              <w:t>%</w:t>
            </w:r>
          </w:p>
        </w:tc>
        <w:tc>
          <w:tcPr>
            <w:tcW w:w="1231" w:type="dxa"/>
            <w:vAlign w:val="center"/>
          </w:tcPr>
          <w:p w:rsidR="009C5C1F" w:rsidRDefault="009C5C1F">
            <w:pPr>
              <w:rPr>
                <w:rFonts w:ascii="仿宋" w:eastAsia="仿宋" w:hAnsi="仿宋" w:cs="宋体"/>
                <w:szCs w:val="21"/>
              </w:rPr>
            </w:pPr>
          </w:p>
        </w:tc>
      </w:tr>
      <w:tr w:rsidR="009C5C1F">
        <w:trPr>
          <w:trHeight w:val="196"/>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六、静态投资回收期</w:t>
            </w:r>
          </w:p>
        </w:tc>
        <w:tc>
          <w:tcPr>
            <w:tcW w:w="2552" w:type="dxa"/>
            <w:vAlign w:val="center"/>
          </w:tcPr>
          <w:p w:rsidR="009C5C1F" w:rsidRDefault="004D2E0D">
            <w:pPr>
              <w:rPr>
                <w:rFonts w:ascii="仿宋" w:eastAsia="仿宋" w:hAnsi="仿宋" w:cs="宋体"/>
                <w:szCs w:val="21"/>
              </w:rPr>
            </w:pPr>
            <w:r>
              <w:rPr>
                <w:rFonts w:ascii="仿宋" w:eastAsia="仿宋" w:hAnsi="仿宋" w:cs="宋体"/>
                <w:szCs w:val="21"/>
              </w:rPr>
              <w:t>Q</w:t>
            </w:r>
            <w:r>
              <w:rPr>
                <w:rFonts w:ascii="仿宋" w:eastAsia="仿宋" w:hAnsi="仿宋" w:cs="宋体" w:hint="eastAsia"/>
                <w:szCs w:val="21"/>
              </w:rPr>
              <w:t>=I/F</w:t>
            </w: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2.878</w:t>
            </w:r>
            <w:r>
              <w:rPr>
                <w:rFonts w:ascii="仿宋" w:eastAsia="仿宋" w:hAnsi="仿宋" w:cs="宋体" w:hint="eastAsia"/>
                <w:szCs w:val="21"/>
              </w:rPr>
              <w:t>年</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3.26</w:t>
            </w:r>
            <w:r>
              <w:rPr>
                <w:rFonts w:ascii="仿宋" w:eastAsia="仿宋" w:hAnsi="仿宋" w:cs="宋体" w:hint="eastAsia"/>
                <w:szCs w:val="21"/>
              </w:rPr>
              <w:t>年</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3.02</w:t>
            </w:r>
            <w:r>
              <w:rPr>
                <w:rFonts w:ascii="仿宋" w:eastAsia="仿宋" w:hAnsi="仿宋" w:cs="宋体" w:hint="eastAsia"/>
                <w:szCs w:val="21"/>
              </w:rPr>
              <w:t>年</w:t>
            </w:r>
          </w:p>
        </w:tc>
        <w:tc>
          <w:tcPr>
            <w:tcW w:w="1231" w:type="dxa"/>
            <w:vAlign w:val="center"/>
          </w:tcPr>
          <w:p w:rsidR="009C5C1F" w:rsidRDefault="009C5C1F">
            <w:pPr>
              <w:rPr>
                <w:rFonts w:ascii="仿宋" w:eastAsia="仿宋" w:hAnsi="仿宋" w:cs="宋体"/>
                <w:szCs w:val="21"/>
              </w:rPr>
            </w:pPr>
          </w:p>
        </w:tc>
      </w:tr>
      <w:tr w:rsidR="009C5C1F">
        <w:trPr>
          <w:trHeight w:val="343"/>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七、服务年限</w:t>
            </w:r>
          </w:p>
        </w:tc>
        <w:tc>
          <w:tcPr>
            <w:tcW w:w="2552" w:type="dxa"/>
            <w:vAlign w:val="center"/>
          </w:tcPr>
          <w:p w:rsidR="009C5C1F" w:rsidRDefault="004D2E0D">
            <w:pPr>
              <w:rPr>
                <w:rFonts w:ascii="仿宋" w:eastAsia="仿宋" w:hAnsi="仿宋" w:cs="宋体"/>
                <w:szCs w:val="21"/>
              </w:rPr>
            </w:pPr>
            <w:r>
              <w:rPr>
                <w:rFonts w:ascii="仿宋" w:eastAsia="仿宋" w:hAnsi="仿宋" w:cs="宋体" w:hint="eastAsia"/>
                <w:szCs w:val="21"/>
              </w:rPr>
              <w:t>T</w:t>
            </w:r>
            <w:r>
              <w:rPr>
                <w:rFonts w:ascii="仿宋" w:eastAsia="仿宋" w:hAnsi="仿宋" w:cs="宋体"/>
                <w:szCs w:val="21"/>
              </w:rPr>
              <w:t>z=Zk/A</w:t>
            </w:r>
          </w:p>
        </w:tc>
        <w:tc>
          <w:tcPr>
            <w:tcW w:w="1275" w:type="dxa"/>
            <w:vAlign w:val="center"/>
          </w:tcPr>
          <w:p w:rsidR="009C5C1F" w:rsidRDefault="004D2E0D">
            <w:pPr>
              <w:rPr>
                <w:rFonts w:ascii="仿宋" w:eastAsia="仿宋" w:hAnsi="仿宋" w:cs="宋体"/>
                <w:szCs w:val="21"/>
              </w:rPr>
            </w:pPr>
            <w:r>
              <w:rPr>
                <w:rFonts w:ascii="仿宋" w:eastAsia="仿宋" w:hAnsi="仿宋" w:cs="宋体"/>
                <w:szCs w:val="21"/>
              </w:rPr>
              <w:t>11</w:t>
            </w:r>
            <w:r>
              <w:rPr>
                <w:rFonts w:ascii="仿宋" w:eastAsia="仿宋" w:hAnsi="仿宋" w:cs="宋体" w:hint="eastAsia"/>
                <w:szCs w:val="21"/>
              </w:rPr>
              <w:t>年</w:t>
            </w:r>
          </w:p>
        </w:tc>
        <w:tc>
          <w:tcPr>
            <w:tcW w:w="1134" w:type="dxa"/>
            <w:vAlign w:val="center"/>
          </w:tcPr>
          <w:p w:rsidR="009C5C1F" w:rsidRDefault="004D2E0D">
            <w:pPr>
              <w:rPr>
                <w:rFonts w:ascii="仿宋" w:eastAsia="仿宋" w:hAnsi="仿宋" w:cs="宋体"/>
                <w:szCs w:val="21"/>
              </w:rPr>
            </w:pPr>
            <w:r>
              <w:rPr>
                <w:rFonts w:ascii="仿宋" w:eastAsia="仿宋" w:hAnsi="仿宋" w:cs="宋体"/>
                <w:szCs w:val="21"/>
              </w:rPr>
              <w:t>8</w:t>
            </w:r>
            <w:r>
              <w:rPr>
                <w:rFonts w:ascii="仿宋" w:eastAsia="仿宋" w:hAnsi="仿宋" w:cs="宋体" w:hint="eastAsia"/>
                <w:szCs w:val="21"/>
              </w:rPr>
              <w:t>年</w:t>
            </w:r>
          </w:p>
        </w:tc>
        <w:tc>
          <w:tcPr>
            <w:tcW w:w="1037" w:type="dxa"/>
            <w:vAlign w:val="center"/>
          </w:tcPr>
          <w:p w:rsidR="009C5C1F" w:rsidRDefault="004D2E0D">
            <w:pPr>
              <w:rPr>
                <w:rFonts w:ascii="仿宋" w:eastAsia="仿宋" w:hAnsi="仿宋" w:cs="宋体"/>
                <w:szCs w:val="21"/>
              </w:rPr>
            </w:pPr>
            <w:r>
              <w:rPr>
                <w:rFonts w:ascii="仿宋" w:eastAsia="仿宋" w:hAnsi="仿宋" w:cs="宋体"/>
                <w:szCs w:val="21"/>
              </w:rPr>
              <w:t>6</w:t>
            </w:r>
            <w:r>
              <w:rPr>
                <w:rFonts w:ascii="仿宋" w:eastAsia="仿宋" w:hAnsi="仿宋" w:cs="宋体" w:hint="eastAsia"/>
                <w:szCs w:val="21"/>
              </w:rPr>
              <w:t>年</w:t>
            </w:r>
          </w:p>
        </w:tc>
        <w:tc>
          <w:tcPr>
            <w:tcW w:w="1231" w:type="dxa"/>
            <w:vAlign w:val="center"/>
          </w:tcPr>
          <w:p w:rsidR="009C5C1F" w:rsidRDefault="009C5C1F">
            <w:pPr>
              <w:rPr>
                <w:rFonts w:ascii="仿宋" w:eastAsia="仿宋" w:hAnsi="仿宋" w:cs="宋体"/>
                <w:szCs w:val="21"/>
              </w:rPr>
            </w:pPr>
          </w:p>
        </w:tc>
      </w:tr>
      <w:tr w:rsidR="009C5C1F">
        <w:trPr>
          <w:trHeight w:val="305"/>
          <w:jc w:val="center"/>
        </w:trPr>
        <w:tc>
          <w:tcPr>
            <w:tcW w:w="1652" w:type="dxa"/>
            <w:vAlign w:val="center"/>
          </w:tcPr>
          <w:p w:rsidR="009C5C1F" w:rsidRDefault="004D2E0D">
            <w:pPr>
              <w:rPr>
                <w:rFonts w:ascii="仿宋" w:eastAsia="仿宋" w:hAnsi="仿宋" w:cs="宋体"/>
                <w:szCs w:val="21"/>
              </w:rPr>
            </w:pPr>
            <w:r>
              <w:rPr>
                <w:rFonts w:ascii="仿宋" w:eastAsia="仿宋" w:hAnsi="仿宋" w:cs="宋体" w:hint="eastAsia"/>
                <w:szCs w:val="21"/>
              </w:rPr>
              <w:t>经济评价</w:t>
            </w:r>
          </w:p>
        </w:tc>
        <w:tc>
          <w:tcPr>
            <w:tcW w:w="2552" w:type="dxa"/>
            <w:vAlign w:val="center"/>
          </w:tcPr>
          <w:p w:rsidR="009C5C1F" w:rsidRDefault="009C5C1F">
            <w:pPr>
              <w:rPr>
                <w:rFonts w:ascii="仿宋" w:eastAsia="仿宋" w:hAnsi="仿宋" w:cs="宋体"/>
                <w:szCs w:val="21"/>
              </w:rPr>
            </w:pPr>
          </w:p>
        </w:tc>
        <w:tc>
          <w:tcPr>
            <w:tcW w:w="1275" w:type="dxa"/>
            <w:vAlign w:val="center"/>
          </w:tcPr>
          <w:p w:rsidR="009C5C1F" w:rsidRDefault="004D2E0D">
            <w:pPr>
              <w:rPr>
                <w:rFonts w:ascii="仿宋" w:eastAsia="仿宋" w:hAnsi="仿宋" w:cs="宋体"/>
                <w:szCs w:val="21"/>
              </w:rPr>
            </w:pPr>
            <w:r>
              <w:rPr>
                <w:rFonts w:ascii="仿宋" w:eastAsia="仿宋" w:hAnsi="仿宋" w:cs="宋体" w:hint="eastAsia"/>
                <w:szCs w:val="21"/>
              </w:rPr>
              <w:t>收益率高</w:t>
            </w:r>
          </w:p>
          <w:p w:rsidR="009C5C1F" w:rsidRDefault="004D2E0D">
            <w:pPr>
              <w:rPr>
                <w:rFonts w:ascii="仿宋" w:eastAsia="仿宋" w:hAnsi="仿宋" w:cs="宋体"/>
                <w:szCs w:val="21"/>
              </w:rPr>
            </w:pPr>
            <w:r>
              <w:rPr>
                <w:rFonts w:ascii="仿宋" w:eastAsia="仿宋" w:hAnsi="仿宋" w:cs="宋体" w:hint="eastAsia"/>
                <w:szCs w:val="21"/>
              </w:rPr>
              <w:t>投资回收期短</w:t>
            </w:r>
          </w:p>
        </w:tc>
        <w:tc>
          <w:tcPr>
            <w:tcW w:w="1134" w:type="dxa"/>
            <w:vAlign w:val="center"/>
          </w:tcPr>
          <w:p w:rsidR="009C5C1F" w:rsidRDefault="004D2E0D">
            <w:pPr>
              <w:rPr>
                <w:rFonts w:ascii="仿宋" w:eastAsia="仿宋" w:hAnsi="仿宋" w:cs="宋体"/>
                <w:szCs w:val="21"/>
              </w:rPr>
            </w:pPr>
            <w:r>
              <w:rPr>
                <w:rFonts w:ascii="仿宋" w:eastAsia="仿宋" w:hAnsi="仿宋" w:cs="宋体" w:hint="eastAsia"/>
                <w:szCs w:val="21"/>
              </w:rPr>
              <w:t>收益率低</w:t>
            </w:r>
          </w:p>
          <w:p w:rsidR="009C5C1F" w:rsidRDefault="004D2E0D">
            <w:pPr>
              <w:pStyle w:val="a0"/>
              <w:ind w:firstLineChars="0" w:firstLine="0"/>
              <w:rPr>
                <w:rFonts w:ascii="仿宋" w:eastAsia="仿宋" w:hAnsi="仿宋"/>
              </w:rPr>
            </w:pPr>
            <w:r>
              <w:rPr>
                <w:rFonts w:ascii="仿宋" w:eastAsia="仿宋" w:hAnsi="仿宋" w:hint="eastAsia"/>
              </w:rPr>
              <w:t>投资回收期长</w:t>
            </w:r>
          </w:p>
        </w:tc>
        <w:tc>
          <w:tcPr>
            <w:tcW w:w="1037" w:type="dxa"/>
            <w:vAlign w:val="center"/>
          </w:tcPr>
          <w:p w:rsidR="009C5C1F" w:rsidRDefault="004D2E0D">
            <w:pPr>
              <w:rPr>
                <w:rFonts w:ascii="仿宋" w:eastAsia="仿宋" w:hAnsi="仿宋" w:cs="宋体"/>
                <w:szCs w:val="21"/>
              </w:rPr>
            </w:pPr>
            <w:r>
              <w:rPr>
                <w:rFonts w:ascii="仿宋" w:eastAsia="仿宋" w:hAnsi="仿宋" w:cs="宋体" w:hint="eastAsia"/>
                <w:szCs w:val="21"/>
              </w:rPr>
              <w:t>收益率较高但</w:t>
            </w:r>
          </w:p>
          <w:p w:rsidR="009C5C1F" w:rsidRDefault="004D2E0D">
            <w:pPr>
              <w:rPr>
                <w:rFonts w:ascii="仿宋" w:eastAsia="仿宋" w:hAnsi="仿宋" w:cs="宋体"/>
                <w:szCs w:val="21"/>
              </w:rPr>
            </w:pPr>
            <w:r>
              <w:rPr>
                <w:rFonts w:ascii="仿宋" w:eastAsia="仿宋" w:hAnsi="仿宋" w:cs="宋体" w:hint="eastAsia"/>
                <w:szCs w:val="21"/>
              </w:rPr>
              <w:t>投资回收期长</w:t>
            </w:r>
          </w:p>
        </w:tc>
        <w:tc>
          <w:tcPr>
            <w:tcW w:w="1231" w:type="dxa"/>
            <w:vAlign w:val="center"/>
          </w:tcPr>
          <w:p w:rsidR="009C5C1F" w:rsidRDefault="009C5C1F">
            <w:pPr>
              <w:rPr>
                <w:rFonts w:ascii="仿宋" w:eastAsia="仿宋" w:hAnsi="仿宋" w:cs="宋体"/>
                <w:szCs w:val="21"/>
              </w:rPr>
            </w:pPr>
          </w:p>
        </w:tc>
      </w:tr>
    </w:tbl>
    <w:p w:rsidR="009C5C1F" w:rsidRDefault="004D2E0D">
      <w:pPr>
        <w:adjustRightInd w:val="0"/>
        <w:snapToGrid w:val="0"/>
        <w:spacing w:line="480" w:lineRule="atLeast"/>
        <w:ind w:firstLineChars="200" w:firstLine="480"/>
        <w:rPr>
          <w:rFonts w:ascii="宋体" w:hAnsi="宋体" w:cs="宋体"/>
          <w:kern w:val="0"/>
          <w:sz w:val="24"/>
        </w:rPr>
      </w:pPr>
      <w:r>
        <w:rPr>
          <w:rFonts w:ascii="宋体" w:hAnsi="宋体" w:cs="宋体" w:hint="eastAsia"/>
          <w:kern w:val="0"/>
          <w:sz w:val="24"/>
        </w:rPr>
        <w:t>通过三个方案比较，建设规模1</w:t>
      </w:r>
      <w:r>
        <w:rPr>
          <w:rFonts w:ascii="宋体" w:hAnsi="宋体" w:cs="宋体"/>
          <w:kern w:val="0"/>
          <w:sz w:val="24"/>
        </w:rPr>
        <w:t>0</w:t>
      </w:r>
      <w:r>
        <w:rPr>
          <w:rFonts w:ascii="宋体" w:hAnsi="宋体" w:cs="宋体" w:hint="eastAsia"/>
          <w:kern w:val="0"/>
          <w:sz w:val="24"/>
        </w:rPr>
        <w:t>万立方米/年在矿山生产能力、矿山服务年限、投资回收期与储量规模相匹配，更为合理,因此本方案推荐建设规模</w:t>
      </w:r>
      <w:r>
        <w:rPr>
          <w:rFonts w:ascii="宋体" w:hAnsi="宋体" w:cs="宋体"/>
          <w:kern w:val="0"/>
          <w:sz w:val="24"/>
        </w:rPr>
        <w:t>10</w:t>
      </w:r>
      <w:r>
        <w:rPr>
          <w:rFonts w:ascii="宋体" w:hAnsi="宋体" w:cs="宋体" w:hint="eastAsia"/>
          <w:kern w:val="0"/>
          <w:sz w:val="24"/>
        </w:rPr>
        <w:t>万立方米/年。</w:t>
      </w:r>
    </w:p>
    <w:p w:rsidR="009C5C1F" w:rsidRDefault="004D2E0D">
      <w:pPr>
        <w:adjustRightInd w:val="0"/>
        <w:snapToGrid w:val="0"/>
        <w:spacing w:line="480" w:lineRule="atLeast"/>
        <w:ind w:firstLineChars="200" w:firstLine="480"/>
        <w:rPr>
          <w:rFonts w:ascii="宋体" w:hAnsi="宋体" w:cs="宋体"/>
          <w:kern w:val="0"/>
          <w:sz w:val="24"/>
        </w:rPr>
      </w:pPr>
      <w:r>
        <w:rPr>
          <w:rFonts w:ascii="宋体" w:hAnsi="宋体" w:cs="宋体" w:hint="eastAsia"/>
          <w:kern w:val="0"/>
          <w:sz w:val="24"/>
        </w:rPr>
        <w:t>回采率按95％计算，采矿消耗的矿石量为</w:t>
      </w:r>
      <w:r>
        <w:rPr>
          <w:rFonts w:ascii="宋体" w:hAnsi="宋体" w:cs="宋体"/>
          <w:kern w:val="0"/>
          <w:sz w:val="24"/>
        </w:rPr>
        <w:t>5.885</w:t>
      </w:r>
      <w:r>
        <w:rPr>
          <w:rFonts w:ascii="宋体" w:hAnsi="宋体" w:cs="宋体" w:hint="eastAsia"/>
          <w:kern w:val="0"/>
          <w:sz w:val="24"/>
        </w:rPr>
        <w:t>万立方米。矿山确定的可采储量为</w:t>
      </w:r>
      <w:r>
        <w:rPr>
          <w:rFonts w:ascii="宋体" w:hAnsi="宋体" w:cs="宋体"/>
          <w:spacing w:val="-2"/>
          <w:sz w:val="24"/>
        </w:rPr>
        <w:t>111.815</w:t>
      </w:r>
      <w:r>
        <w:rPr>
          <w:rFonts w:ascii="宋体" w:hAnsi="宋体" w:cs="宋体" w:hint="eastAsia"/>
          <w:spacing w:val="-2"/>
          <w:sz w:val="24"/>
        </w:rPr>
        <w:t>×10</w:t>
      </w:r>
      <w:r>
        <w:rPr>
          <w:rFonts w:ascii="宋体" w:hAnsi="宋体" w:cs="宋体" w:hint="eastAsia"/>
          <w:spacing w:val="-2"/>
          <w:sz w:val="24"/>
          <w:vertAlign w:val="superscript"/>
        </w:rPr>
        <w:t>4</w:t>
      </w:r>
      <w:r>
        <w:rPr>
          <w:rFonts w:ascii="宋体" w:hAnsi="宋体" w:cs="宋体"/>
          <w:kern w:val="0"/>
          <w:sz w:val="24"/>
        </w:rPr>
        <w:t>万</w:t>
      </w:r>
      <w:r>
        <w:rPr>
          <w:rFonts w:ascii="宋体" w:hAnsi="宋体" w:cs="宋体" w:hint="eastAsia"/>
          <w:kern w:val="0"/>
          <w:sz w:val="24"/>
        </w:rPr>
        <w:t>立方米，矿山服务年限约为</w:t>
      </w:r>
      <w:r>
        <w:rPr>
          <w:rFonts w:ascii="宋体" w:hAnsi="宋体" w:cs="宋体"/>
          <w:kern w:val="0"/>
          <w:sz w:val="24"/>
        </w:rPr>
        <w:t>11</w:t>
      </w:r>
      <w:r>
        <w:rPr>
          <w:rFonts w:ascii="宋体" w:hAnsi="宋体" w:cs="宋体" w:hint="eastAsia"/>
          <w:kern w:val="0"/>
          <w:sz w:val="24"/>
        </w:rPr>
        <w:t>年（不含基建期）。矿山采用间断工作制，年工作日300天（约10个月），每天一班，每班八小时。基本符合中小型矿山经济合理服务年限的要求。</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2.产品方案</w:t>
      </w:r>
      <w:bookmarkStart w:id="282" w:name="_Toc395519151"/>
      <w:bookmarkStart w:id="283" w:name="_Toc502783432"/>
    </w:p>
    <w:p w:rsidR="009C5C1F" w:rsidRDefault="004D2E0D">
      <w:pPr>
        <w:spacing w:line="500" w:lineRule="exact"/>
        <w:ind w:firstLineChars="200" w:firstLine="472"/>
        <w:rPr>
          <w:rFonts w:ascii="宋体" w:hAnsi="宋体" w:cs="宋体"/>
          <w:spacing w:val="-2"/>
          <w:sz w:val="24"/>
        </w:rPr>
      </w:pPr>
      <w:r>
        <w:rPr>
          <w:rFonts w:ascii="宋体" w:hAnsi="宋体" w:cs="宋体" w:hint="eastAsia"/>
          <w:spacing w:val="-2"/>
          <w:sz w:val="24"/>
        </w:rPr>
        <w:t>产品方案为砖瓦用粘土。</w:t>
      </w:r>
    </w:p>
    <w:p w:rsidR="009C5C1F" w:rsidRDefault="004D2E0D">
      <w:pPr>
        <w:pStyle w:val="3"/>
        <w:spacing w:beforeLines="100" w:before="360" w:after="0" w:line="500" w:lineRule="exact"/>
        <w:ind w:firstLineChars="200" w:firstLine="482"/>
        <w:rPr>
          <w:rFonts w:ascii="宋体" w:hAnsi="宋体" w:cs="宋体"/>
        </w:rPr>
      </w:pPr>
      <w:bookmarkStart w:id="284" w:name="_Toc70589742"/>
      <w:r>
        <w:rPr>
          <w:rFonts w:ascii="宋体" w:hAnsi="宋体" w:cs="宋体" w:hint="eastAsia"/>
        </w:rPr>
        <w:t>4.1.3 矿床开采方式</w:t>
      </w:r>
      <w:bookmarkEnd w:id="280"/>
      <w:bookmarkEnd w:id="282"/>
      <w:bookmarkEnd w:id="283"/>
      <w:bookmarkEnd w:id="284"/>
    </w:p>
    <w:p w:rsidR="009C5C1F" w:rsidRDefault="004D2E0D">
      <w:pPr>
        <w:adjustRightInd w:val="0"/>
        <w:snapToGrid w:val="0"/>
        <w:spacing w:line="500" w:lineRule="exact"/>
        <w:ind w:firstLineChars="200" w:firstLine="480"/>
        <w:rPr>
          <w:rFonts w:ascii="宋体" w:hAnsi="宋体" w:cs="宋体"/>
          <w:sz w:val="24"/>
        </w:rPr>
      </w:pPr>
      <w:bookmarkStart w:id="285" w:name="_Toc323392653"/>
      <w:bookmarkStart w:id="286" w:name="_Toc324345662"/>
      <w:bookmarkStart w:id="287" w:name="_Toc309487617"/>
      <w:bookmarkStart w:id="288" w:name="_Toc395519152"/>
      <w:bookmarkStart w:id="289" w:name="_Toc325471792"/>
      <w:bookmarkStart w:id="290" w:name="_Toc393202162"/>
      <w:bookmarkStart w:id="291" w:name="_Toc323136836"/>
      <w:bookmarkStart w:id="292" w:name="_Toc394081959"/>
      <w:bookmarkStart w:id="293" w:name="_Toc291776757"/>
      <w:bookmarkStart w:id="294" w:name="_Toc502783433"/>
      <w:bookmarkStart w:id="295" w:name="_Toc22719"/>
      <w:bookmarkStart w:id="296" w:name="_Toc322772249"/>
      <w:bookmarkStart w:id="297" w:name="_Toc1328"/>
      <w:bookmarkStart w:id="298" w:name="_Toc372118882"/>
      <w:r>
        <w:rPr>
          <w:rFonts w:ascii="宋体" w:hAnsi="宋体" w:cs="宋体" w:hint="eastAsia"/>
          <w:sz w:val="24"/>
        </w:rPr>
        <w:t>1.矿体开采方式</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hint="eastAsia"/>
          <w:kern w:val="0"/>
          <w:sz w:val="24"/>
        </w:rPr>
        <w:t>依据矿体赋存特点，从该矿矿体直接裸露地表来看，该矿适合露天开采，故本次设计确定的开采方式为露天开采。根据该矿矿体松散易采掘的土质特性，开采工艺主要按照先</w:t>
      </w:r>
      <w:proofErr w:type="gramStart"/>
      <w:r>
        <w:rPr>
          <w:rFonts w:ascii="宋体" w:cs="宋体" w:hint="eastAsia"/>
          <w:kern w:val="0"/>
          <w:sz w:val="24"/>
        </w:rPr>
        <w:t>开采再</w:t>
      </w:r>
      <w:proofErr w:type="gramEnd"/>
      <w:r>
        <w:rPr>
          <w:rFonts w:ascii="宋体" w:cs="宋体" w:hint="eastAsia"/>
          <w:kern w:val="0"/>
          <w:sz w:val="24"/>
        </w:rPr>
        <w:t>回采的原则进行开采，即以机械挖掘为主、人工配合为辅的采矿方法</w:t>
      </w:r>
      <w:r>
        <w:rPr>
          <w:rFonts w:ascii="宋体" w:hAnsi="宋体" w:cs="宋体" w:hint="eastAsia"/>
          <w:sz w:val="24"/>
        </w:rPr>
        <w:t>。</w:t>
      </w:r>
    </w:p>
    <w:p w:rsidR="009C5C1F" w:rsidRDefault="004D2E0D">
      <w:pPr>
        <w:adjustRightInd w:val="0"/>
        <w:snapToGrid w:val="0"/>
        <w:spacing w:line="500" w:lineRule="exact"/>
        <w:ind w:firstLineChars="200" w:firstLine="480"/>
        <w:rPr>
          <w:rFonts w:ascii="宋体" w:hAnsi="宋体" w:cs="宋体"/>
          <w:sz w:val="24"/>
        </w:rPr>
      </w:pPr>
      <w:bookmarkStart w:id="299" w:name="_Toc322772250"/>
      <w:bookmarkStart w:id="300" w:name="_Toc323136837"/>
      <w:bookmarkStart w:id="301" w:name="_Toc502783434"/>
      <w:bookmarkStart w:id="302" w:name="_Toc291776758"/>
      <w:bookmarkStart w:id="303" w:name="_Toc1047"/>
      <w:bookmarkStart w:id="304" w:name="_Toc309487618"/>
      <w:bookmarkStart w:id="305" w:name="_Toc325471793"/>
      <w:bookmarkStart w:id="306" w:name="_Toc395519153"/>
      <w:bookmarkStart w:id="307" w:name="_Toc21460"/>
      <w:bookmarkStart w:id="308" w:name="_Toc324345663"/>
      <w:bookmarkStart w:id="309" w:name="_Toc372118883"/>
      <w:bookmarkStart w:id="310" w:name="_Toc323392654"/>
      <w:bookmarkStart w:id="311" w:name="_Toc394081960"/>
      <w:bookmarkStart w:id="312" w:name="_Toc393202163"/>
      <w:r>
        <w:rPr>
          <w:rFonts w:ascii="宋体" w:hAnsi="宋体" w:cs="宋体" w:hint="eastAsia"/>
          <w:sz w:val="24"/>
        </w:rPr>
        <w:t>2.开采顺序</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根据矿体赋存特点以及对底板砂石层的稳定性、开采深度、地下水等因素的综合分析：首先沿地形走向修建简易道路，在矿体地势</w:t>
      </w:r>
      <w:proofErr w:type="gramStart"/>
      <w:r>
        <w:rPr>
          <w:rFonts w:ascii="宋体" w:hAnsi="宋体" w:cs="宋体" w:hint="eastAsia"/>
          <w:sz w:val="24"/>
        </w:rPr>
        <w:t>高较为</w:t>
      </w:r>
      <w:proofErr w:type="gramEnd"/>
      <w:r>
        <w:rPr>
          <w:rFonts w:ascii="宋体" w:hAnsi="宋体" w:cs="宋体" w:hint="eastAsia"/>
          <w:sz w:val="24"/>
        </w:rPr>
        <w:t>平坦位置指定首采面，将采矿设备拉运至该位置，在设计指定位置建立首采面工作平台，工作线沿矿体走向布置，平行推进，开采顺序为沿着首采面分一层向矿区地势低的地方推</w:t>
      </w:r>
      <w:r>
        <w:rPr>
          <w:rFonts w:ascii="宋体" w:hAnsi="宋体" w:cs="宋体" w:hint="eastAsia"/>
          <w:sz w:val="24"/>
        </w:rPr>
        <w:lastRenderedPageBreak/>
        <w:t>进（具体详见附图 总平面布置图）。</w:t>
      </w:r>
    </w:p>
    <w:p w:rsidR="009C5C1F" w:rsidRDefault="004D2E0D">
      <w:pPr>
        <w:adjustRightInd w:val="0"/>
        <w:snapToGrid w:val="0"/>
        <w:spacing w:line="500" w:lineRule="exact"/>
        <w:ind w:firstLineChars="200" w:firstLine="480"/>
        <w:rPr>
          <w:rFonts w:ascii="宋体" w:hAnsi="宋体" w:cs="宋体"/>
          <w:sz w:val="24"/>
        </w:rPr>
      </w:pPr>
      <w:bookmarkStart w:id="313" w:name="_Toc309487619"/>
      <w:bookmarkStart w:id="314" w:name="_Toc291776759"/>
      <w:bookmarkStart w:id="315" w:name="_Toc325471794"/>
      <w:bookmarkStart w:id="316" w:name="_Toc323136838"/>
      <w:bookmarkStart w:id="317" w:name="_Toc12375"/>
      <w:bookmarkStart w:id="318" w:name="_Toc393202165"/>
      <w:bookmarkStart w:id="319" w:name="_Toc323392655"/>
      <w:bookmarkStart w:id="320" w:name="_Toc394081963"/>
      <w:bookmarkStart w:id="321" w:name="_Toc322772251"/>
      <w:bookmarkStart w:id="322" w:name="_Toc324345664"/>
      <w:bookmarkStart w:id="323" w:name="_Toc11366"/>
      <w:bookmarkStart w:id="324" w:name="_Toc395519156"/>
      <w:bookmarkStart w:id="325" w:name="_Toc372118884"/>
      <w:bookmarkStart w:id="326" w:name="_Toc502783435"/>
      <w:r>
        <w:rPr>
          <w:rFonts w:ascii="宋体" w:hAnsi="宋体" w:cs="宋体" w:hint="eastAsia"/>
          <w:sz w:val="24"/>
        </w:rPr>
        <w:t>3. 矿山开拓</w:t>
      </w:r>
      <w:bookmarkEnd w:id="313"/>
      <w:bookmarkEnd w:id="314"/>
      <w:r>
        <w:rPr>
          <w:rFonts w:ascii="宋体" w:hAnsi="宋体" w:cs="宋体" w:hint="eastAsia"/>
          <w:sz w:val="24"/>
        </w:rPr>
        <w:t>方式</w:t>
      </w:r>
      <w:bookmarkEnd w:id="315"/>
      <w:bookmarkEnd w:id="316"/>
      <w:bookmarkEnd w:id="317"/>
      <w:bookmarkEnd w:id="318"/>
      <w:bookmarkEnd w:id="319"/>
      <w:bookmarkEnd w:id="320"/>
      <w:bookmarkEnd w:id="321"/>
      <w:bookmarkEnd w:id="322"/>
      <w:bookmarkEnd w:id="323"/>
      <w:bookmarkEnd w:id="324"/>
      <w:bookmarkEnd w:id="325"/>
      <w:bookmarkEnd w:id="326"/>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开拓方案选择的基本原则：力求基建工程量省、经营费低，便于施工，环节少、管理方便等。</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根据矿体赋存特征、矿山生产规模、总体布置、工程设施等条件，矿山采用汽车运输、移动坑线开拓方式。地表运输道路布线方案：根据该矿区地形地貌修建矿区道路， 使之能够</w:t>
      </w:r>
      <w:proofErr w:type="gramStart"/>
      <w:r>
        <w:rPr>
          <w:rFonts w:ascii="宋体" w:hAnsi="宋体" w:cs="宋体" w:hint="eastAsia"/>
          <w:sz w:val="24"/>
        </w:rPr>
        <w:t>到达采坑位置</w:t>
      </w:r>
      <w:proofErr w:type="gramEnd"/>
      <w:r>
        <w:rPr>
          <w:rFonts w:ascii="宋体" w:hAnsi="宋体" w:cs="宋体" w:hint="eastAsia"/>
          <w:sz w:val="24"/>
        </w:rPr>
        <w:t>。</w:t>
      </w:r>
      <w:bookmarkStart w:id="327" w:name="_Toc309487620"/>
      <w:bookmarkStart w:id="328" w:name="_Toc323392656"/>
      <w:bookmarkStart w:id="329" w:name="_Toc323136839"/>
      <w:bookmarkStart w:id="330" w:name="_Toc324345665"/>
      <w:bookmarkStart w:id="331" w:name="_Toc291776760"/>
      <w:bookmarkStart w:id="332" w:name="_Toc372118885"/>
      <w:bookmarkStart w:id="333" w:name="_Toc322772252"/>
      <w:bookmarkStart w:id="334" w:name="_Toc325471795"/>
      <w:bookmarkStart w:id="335" w:name="_Toc502783436"/>
      <w:bookmarkStart w:id="336" w:name="_Toc25396"/>
      <w:bookmarkStart w:id="337" w:name="_Toc393202166"/>
      <w:bookmarkStart w:id="338" w:name="_Toc395519157"/>
      <w:bookmarkStart w:id="339" w:name="_Toc394081964"/>
      <w:bookmarkStart w:id="340" w:name="_Toc21806"/>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4. 开采工艺</w:t>
      </w:r>
      <w:bookmarkEnd w:id="327"/>
      <w:bookmarkEnd w:id="328"/>
      <w:bookmarkEnd w:id="329"/>
      <w:bookmarkEnd w:id="330"/>
      <w:bookmarkEnd w:id="331"/>
      <w:bookmarkEnd w:id="332"/>
      <w:bookmarkEnd w:id="333"/>
      <w:bookmarkEnd w:id="334"/>
      <w:r>
        <w:rPr>
          <w:rFonts w:ascii="宋体" w:hAnsi="宋体" w:cs="宋体" w:hint="eastAsia"/>
          <w:sz w:val="24"/>
        </w:rPr>
        <w:t>概述</w:t>
      </w:r>
      <w:bookmarkEnd w:id="335"/>
      <w:bookmarkEnd w:id="336"/>
      <w:bookmarkEnd w:id="337"/>
      <w:bookmarkEnd w:id="338"/>
      <w:bookmarkEnd w:id="339"/>
      <w:bookmarkEnd w:id="340"/>
    </w:p>
    <w:p w:rsidR="009C5C1F" w:rsidRDefault="004D2E0D">
      <w:pPr>
        <w:autoSpaceDE w:val="0"/>
        <w:autoSpaceDN w:val="0"/>
        <w:adjustRightInd w:val="0"/>
        <w:spacing w:line="500" w:lineRule="exact"/>
        <w:ind w:firstLineChars="200" w:firstLine="480"/>
        <w:rPr>
          <w:rFonts w:ascii="宋体" w:cs="宋体"/>
          <w:kern w:val="0"/>
          <w:sz w:val="24"/>
        </w:rPr>
      </w:pPr>
      <w:bookmarkStart w:id="341" w:name="_Toc309487621"/>
      <w:bookmarkStart w:id="342" w:name="_Toc372118886"/>
      <w:bookmarkStart w:id="343" w:name="_Toc393202167"/>
      <w:bookmarkStart w:id="344" w:name="_Toc395519158"/>
      <w:bookmarkStart w:id="345" w:name="_Toc323136840"/>
      <w:bookmarkStart w:id="346" w:name="_Toc322772253"/>
      <w:bookmarkStart w:id="347" w:name="_Toc325471796"/>
      <w:bookmarkStart w:id="348" w:name="_Toc394081965"/>
      <w:bookmarkStart w:id="349" w:name="_Toc323392657"/>
      <w:bookmarkStart w:id="350" w:name="_Toc291776761"/>
      <w:bookmarkStart w:id="351" w:name="_Toc324345666"/>
      <w:r>
        <w:rPr>
          <w:rFonts w:ascii="宋体" w:hAnsi="宋体" w:cs="宋体" w:hint="eastAsia"/>
          <w:sz w:val="24"/>
        </w:rPr>
        <w:t>粘土作为砖瓦的重要原料，矿石主要由</w:t>
      </w:r>
      <w:proofErr w:type="gramStart"/>
      <w:r>
        <w:rPr>
          <w:rFonts w:ascii="宋体" w:hAnsi="宋体" w:cs="宋体" w:hint="eastAsia"/>
          <w:sz w:val="24"/>
        </w:rPr>
        <w:t>粘土层夹砾石</w:t>
      </w:r>
      <w:proofErr w:type="gramEnd"/>
      <w:r>
        <w:rPr>
          <w:rFonts w:ascii="宋体" w:hAnsi="宋体" w:cs="宋体" w:hint="eastAsia"/>
          <w:sz w:val="24"/>
        </w:rPr>
        <w:t>层组成，</w:t>
      </w:r>
      <w:bookmarkStart w:id="352" w:name="_Toc502783437"/>
      <w:bookmarkStart w:id="353" w:name="_Toc14777"/>
      <w:bookmarkStart w:id="354" w:name="_Toc25454"/>
      <w:r>
        <w:rPr>
          <w:rFonts w:ascii="宋体" w:cs="宋体" w:hint="eastAsia"/>
          <w:kern w:val="0"/>
          <w:sz w:val="24"/>
        </w:rPr>
        <w:t>该矿山开采类型简单，其生产工艺为：开采</w:t>
      </w:r>
      <w:r>
        <w:rPr>
          <w:rFonts w:ascii="宋体" w:cs="宋体"/>
          <w:kern w:val="0"/>
          <w:sz w:val="24"/>
        </w:rPr>
        <w:t>-</w:t>
      </w:r>
      <w:r>
        <w:rPr>
          <w:rFonts w:ascii="宋体" w:cs="宋体" w:hint="eastAsia"/>
          <w:kern w:val="0"/>
          <w:sz w:val="24"/>
        </w:rPr>
        <w:t>装运</w:t>
      </w:r>
      <w:r>
        <w:rPr>
          <w:rFonts w:ascii="宋体" w:cs="宋体"/>
          <w:kern w:val="0"/>
          <w:sz w:val="24"/>
        </w:rPr>
        <w:t>-</w:t>
      </w:r>
      <w:r>
        <w:rPr>
          <w:rFonts w:ascii="宋体" w:cs="宋体" w:hint="eastAsia"/>
          <w:kern w:val="0"/>
          <w:sz w:val="24"/>
        </w:rPr>
        <w:t>堆料。最终按需求即可运输至销售地（大多为临泽本地）。</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5.采场布置的技术参数</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9C5C1F" w:rsidRDefault="004D2E0D">
      <w:pPr>
        <w:adjustRightInd w:val="0"/>
        <w:snapToGrid w:val="0"/>
        <w:spacing w:line="500" w:lineRule="exact"/>
        <w:ind w:firstLineChars="200" w:firstLine="480"/>
        <w:rPr>
          <w:rFonts w:ascii="宋体" w:hAnsi="宋体" w:cs="宋体"/>
          <w:sz w:val="24"/>
        </w:rPr>
      </w:pPr>
      <w:bookmarkStart w:id="355" w:name="_Toc394081966"/>
      <w:bookmarkStart w:id="356" w:name="_Toc395519159"/>
      <w:bookmarkStart w:id="357" w:name="_Toc393202168"/>
      <w:r>
        <w:rPr>
          <w:rFonts w:ascii="宋体" w:hAnsi="宋体" w:cs="宋体" w:hint="eastAsia"/>
          <w:sz w:val="24"/>
        </w:rPr>
        <w:t>⑴影响采场最终边帮稳定性的因素有：</w:t>
      </w:r>
      <w:bookmarkEnd w:id="355"/>
      <w:bookmarkEnd w:id="356"/>
      <w:bookmarkEnd w:id="357"/>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①岩石的物理力学性质：包括岩石硬度、凝聚力和内摩擦角等；</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②地质构造：包括由破碎带、断层、节理裂隙和层理构成的弱面。不稳定的软岩夹层，以及遇水膨胀的软岩等；</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③水文地质条件：地下水</w:t>
      </w:r>
      <w:proofErr w:type="gramStart"/>
      <w:r>
        <w:rPr>
          <w:rFonts w:ascii="宋体" w:hAnsi="宋体" w:cs="宋体" w:hint="eastAsia"/>
          <w:sz w:val="24"/>
        </w:rPr>
        <w:t>净压力</w:t>
      </w:r>
      <w:proofErr w:type="gramEnd"/>
      <w:r>
        <w:rPr>
          <w:rFonts w:ascii="宋体" w:hAnsi="宋体" w:cs="宋体" w:hint="eastAsia"/>
          <w:sz w:val="24"/>
        </w:rPr>
        <w:t>和动压力，地下水活动对岩层稳定性的影响；</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④强烈地震区地震的影响；</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⑤开采技术条件和边坡存在的时间。</w:t>
      </w:r>
    </w:p>
    <w:p w:rsidR="009C5C1F" w:rsidRDefault="004D2E0D">
      <w:pPr>
        <w:adjustRightInd w:val="0"/>
        <w:snapToGrid w:val="0"/>
        <w:spacing w:line="500" w:lineRule="exact"/>
        <w:ind w:firstLineChars="200" w:firstLine="480"/>
        <w:rPr>
          <w:rFonts w:ascii="宋体" w:hAnsi="宋体" w:cs="宋体"/>
          <w:sz w:val="24"/>
        </w:rPr>
      </w:pPr>
      <w:bookmarkStart w:id="358" w:name="_Toc393202169"/>
      <w:bookmarkStart w:id="359" w:name="_Toc394081967"/>
      <w:bookmarkStart w:id="360" w:name="_Toc395519160"/>
      <w:r>
        <w:rPr>
          <w:rFonts w:ascii="宋体" w:hAnsi="宋体" w:cs="宋体" w:hint="eastAsia"/>
          <w:sz w:val="24"/>
        </w:rPr>
        <w:t>⑵露天开采境界确定的原则</w:t>
      </w:r>
      <w:bookmarkEnd w:id="358"/>
      <w:bookmarkEnd w:id="359"/>
      <w:bookmarkEnd w:id="360"/>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本次设计在圈定露天矿开采境界时，要充分考虑矿区地形地貌，最大限度的减少基建投资，降低生产剥采比，并使企业获得最大的经济效益。</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⑶矿体及围岩特征</w:t>
      </w:r>
    </w:p>
    <w:p w:rsidR="009C5C1F" w:rsidRDefault="004D2E0D">
      <w:pPr>
        <w:adjustRightInd w:val="0"/>
        <w:snapToGrid w:val="0"/>
        <w:spacing w:line="500" w:lineRule="exact"/>
        <w:ind w:firstLineChars="200" w:firstLine="480"/>
        <w:rPr>
          <w:rFonts w:ascii="宋体" w:hAnsi="宋体" w:cs="宋体"/>
          <w:sz w:val="24"/>
        </w:rPr>
      </w:pPr>
      <w:bookmarkStart w:id="361" w:name="_Toc393202170"/>
      <w:bookmarkStart w:id="362" w:name="_Toc394081968"/>
      <w:bookmarkStart w:id="363" w:name="_Toc395519161"/>
      <w:r>
        <w:rPr>
          <w:rFonts w:ascii="宋体" w:hAnsi="宋体" w:cs="宋体" w:hint="eastAsia"/>
          <w:sz w:val="24"/>
        </w:rPr>
        <w:t>矿体中部及西部地段有薄层亚砂土覆盖，东端砂石矿体基本裸露地表，底部为亚粘土。矿体内未见</w:t>
      </w:r>
      <w:proofErr w:type="gramStart"/>
      <w:r>
        <w:rPr>
          <w:rFonts w:ascii="宋体" w:hAnsi="宋体" w:cs="宋体" w:hint="eastAsia"/>
          <w:sz w:val="24"/>
        </w:rPr>
        <w:t>夹层及夹石</w:t>
      </w:r>
      <w:proofErr w:type="gramEnd"/>
      <w:r>
        <w:rPr>
          <w:rFonts w:ascii="宋体" w:hAnsi="宋体" w:cs="宋体" w:hint="eastAsia"/>
          <w:sz w:val="24"/>
        </w:rPr>
        <w:t>存在。</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⑷露天采场最终边坡要素的确定</w:t>
      </w:r>
      <w:bookmarkEnd w:id="361"/>
      <w:bookmarkEnd w:id="362"/>
      <w:bookmarkEnd w:id="363"/>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根据矿体的赋存条件可确定各矿体露天采场境界，本次开发利用方案，除充</w:t>
      </w:r>
      <w:r>
        <w:rPr>
          <w:rFonts w:ascii="宋体" w:hAnsi="宋体" w:cs="宋体" w:hint="eastAsia"/>
          <w:sz w:val="24"/>
        </w:rPr>
        <w:lastRenderedPageBreak/>
        <w:t>分利用现有的资料外，又类比其他类似矿山经验，同时根据露天采矿边坡设计原则，结合本矿区矿体选用的开采方法及围岩的岩石力学性质，确定最终境界范围内各边坡要素，主要边坡参数如下：</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hint="eastAsia"/>
          <w:kern w:val="0"/>
          <w:sz w:val="24"/>
        </w:rPr>
        <w:t>边坡角为</w:t>
      </w:r>
      <w:r>
        <w:rPr>
          <w:rFonts w:ascii="宋体" w:cs="宋体"/>
          <w:kern w:val="0"/>
          <w:sz w:val="24"/>
        </w:rPr>
        <w:t>45</w:t>
      </w:r>
      <w:r>
        <w:rPr>
          <w:rFonts w:ascii="宋体" w:cs="宋体" w:hint="eastAsia"/>
          <w:kern w:val="0"/>
          <w:sz w:val="24"/>
        </w:rPr>
        <w:t>°；</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hint="eastAsia"/>
          <w:kern w:val="0"/>
          <w:sz w:val="24"/>
        </w:rPr>
        <w:t>最终边坡角小于</w:t>
      </w:r>
      <w:r>
        <w:rPr>
          <w:rFonts w:ascii="宋体" w:cs="宋体"/>
          <w:kern w:val="0"/>
          <w:sz w:val="24"/>
        </w:rPr>
        <w:t>45</w:t>
      </w:r>
      <w:r>
        <w:rPr>
          <w:rFonts w:ascii="宋体" w:cs="宋体" w:hint="eastAsia"/>
          <w:kern w:val="0"/>
          <w:sz w:val="24"/>
        </w:rPr>
        <w:t>°；</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hint="eastAsia"/>
          <w:kern w:val="0"/>
          <w:sz w:val="24"/>
        </w:rPr>
        <w:t>运输道路宽</w:t>
      </w:r>
      <w:r>
        <w:rPr>
          <w:rFonts w:ascii="宋体" w:cs="宋体"/>
          <w:kern w:val="0"/>
          <w:sz w:val="24"/>
        </w:rPr>
        <w:t>4</w:t>
      </w:r>
      <w:r>
        <w:rPr>
          <w:rFonts w:ascii="宋体" w:cs="宋体" w:hint="eastAsia"/>
          <w:kern w:val="0"/>
          <w:sz w:val="24"/>
        </w:rPr>
        <w:t>～</w:t>
      </w:r>
      <w:r>
        <w:rPr>
          <w:rFonts w:ascii="宋体" w:cs="宋体"/>
          <w:kern w:val="0"/>
          <w:sz w:val="24"/>
        </w:rPr>
        <w:t>6m</w:t>
      </w:r>
      <w:r>
        <w:rPr>
          <w:rFonts w:ascii="宋体" w:cs="宋体" w:hint="eastAsia"/>
          <w:kern w:val="0"/>
          <w:sz w:val="24"/>
        </w:rPr>
        <w:t>，最小转弯半径</w:t>
      </w:r>
      <w:r>
        <w:rPr>
          <w:rFonts w:ascii="宋体" w:cs="宋体"/>
          <w:kern w:val="0"/>
          <w:sz w:val="24"/>
        </w:rPr>
        <w:t>15m</w:t>
      </w:r>
      <w:r>
        <w:rPr>
          <w:rFonts w:ascii="宋体" w:cs="宋体" w:hint="eastAsia"/>
          <w:kern w:val="0"/>
          <w:sz w:val="24"/>
        </w:rPr>
        <w:t>。</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hint="eastAsia"/>
          <w:kern w:val="0"/>
          <w:sz w:val="24"/>
        </w:rPr>
        <w:t>该矿生产能力为</w:t>
      </w:r>
      <w:r>
        <w:rPr>
          <w:rFonts w:ascii="宋体" w:cs="宋体"/>
          <w:kern w:val="0"/>
          <w:sz w:val="24"/>
        </w:rPr>
        <w:t>10</w:t>
      </w:r>
      <w:r>
        <w:rPr>
          <w:rFonts w:ascii="宋体" w:cs="宋体" w:hint="eastAsia"/>
          <w:kern w:val="0"/>
          <w:sz w:val="24"/>
        </w:rPr>
        <w:t>万吨</w:t>
      </w:r>
      <w:r>
        <w:rPr>
          <w:rFonts w:ascii="宋体" w:cs="宋体"/>
          <w:kern w:val="0"/>
          <w:sz w:val="24"/>
        </w:rPr>
        <w:t>/</w:t>
      </w:r>
      <w:r>
        <w:rPr>
          <w:rFonts w:ascii="宋体" w:cs="宋体" w:hint="eastAsia"/>
          <w:kern w:val="0"/>
          <w:sz w:val="24"/>
        </w:rPr>
        <w:t>年，全矿布置</w:t>
      </w:r>
      <w:r>
        <w:rPr>
          <w:rFonts w:ascii="宋体" w:cs="宋体"/>
          <w:kern w:val="0"/>
          <w:sz w:val="24"/>
        </w:rPr>
        <w:t>1</w:t>
      </w:r>
      <w:r>
        <w:rPr>
          <w:rFonts w:ascii="宋体" w:cs="宋体" w:hint="eastAsia"/>
          <w:kern w:val="0"/>
          <w:sz w:val="24"/>
        </w:rPr>
        <w:t>个工作面开采，即可节省设备，又能满足生产要求。为实现合理开采，采场</w:t>
      </w:r>
      <w:proofErr w:type="gramStart"/>
      <w:r>
        <w:rPr>
          <w:rFonts w:ascii="宋体" w:cs="宋体" w:hint="eastAsia"/>
          <w:kern w:val="0"/>
          <w:sz w:val="24"/>
        </w:rPr>
        <w:t>沿首采</w:t>
      </w:r>
      <w:proofErr w:type="gramEnd"/>
      <w:r>
        <w:rPr>
          <w:rFonts w:ascii="宋体" w:cs="宋体" w:hint="eastAsia"/>
          <w:kern w:val="0"/>
          <w:sz w:val="24"/>
        </w:rPr>
        <w:t>工作面开始水平推进开采，直至矿区范围内的矿体开采完毕</w:t>
      </w:r>
      <w:r>
        <w:rPr>
          <w:rFonts w:ascii="宋体" w:hAnsi="宋体" w:cs="宋体" w:hint="eastAsia"/>
          <w:sz w:val="24"/>
        </w:rPr>
        <w:t>。</w:t>
      </w:r>
    </w:p>
    <w:p w:rsidR="009C5C1F" w:rsidRDefault="004D2E0D">
      <w:pPr>
        <w:pStyle w:val="3"/>
        <w:spacing w:beforeLines="100" w:before="360" w:after="0" w:line="500" w:lineRule="exact"/>
        <w:ind w:firstLineChars="200" w:firstLine="482"/>
        <w:rPr>
          <w:rFonts w:ascii="宋体" w:hAnsi="宋体" w:cs="宋体"/>
        </w:rPr>
      </w:pPr>
      <w:bookmarkStart w:id="364" w:name="_Toc309487626"/>
      <w:bookmarkStart w:id="365" w:name="_Toc322772258"/>
      <w:bookmarkStart w:id="366" w:name="_Toc325471801"/>
      <w:bookmarkStart w:id="367" w:name="_Toc324345671"/>
      <w:bookmarkStart w:id="368" w:name="_Toc291776766"/>
      <w:bookmarkStart w:id="369" w:name="_Toc502783442"/>
      <w:bookmarkStart w:id="370" w:name="_Toc32434"/>
      <w:bookmarkStart w:id="371" w:name="_Toc323136845"/>
      <w:bookmarkStart w:id="372" w:name="_Toc394081986"/>
      <w:bookmarkStart w:id="373" w:name="_Toc856"/>
      <w:bookmarkStart w:id="374" w:name="_Toc323392662"/>
      <w:bookmarkStart w:id="375" w:name="_Toc395519179"/>
      <w:bookmarkStart w:id="376" w:name="_Toc393202175"/>
      <w:bookmarkStart w:id="377" w:name="_Toc70589743"/>
      <w:bookmarkStart w:id="378" w:name="_Toc214406999"/>
      <w:r>
        <w:rPr>
          <w:rFonts w:ascii="宋体" w:hAnsi="宋体" w:cs="宋体" w:hint="eastAsia"/>
        </w:rPr>
        <w:t>4.1.4铲装</w:t>
      </w:r>
      <w:bookmarkEnd w:id="364"/>
      <w:bookmarkEnd w:id="365"/>
      <w:bookmarkEnd w:id="366"/>
      <w:bookmarkEnd w:id="367"/>
      <w:bookmarkEnd w:id="368"/>
      <w:bookmarkEnd w:id="369"/>
      <w:bookmarkEnd w:id="370"/>
      <w:bookmarkEnd w:id="371"/>
      <w:bookmarkEnd w:id="372"/>
      <w:bookmarkEnd w:id="373"/>
      <w:bookmarkEnd w:id="374"/>
      <w:bookmarkEnd w:id="375"/>
      <w:bookmarkEnd w:id="376"/>
      <w:r>
        <w:rPr>
          <w:rFonts w:ascii="宋体" w:hAnsi="宋体" w:cs="宋体" w:hint="eastAsia"/>
        </w:rPr>
        <w:t>、运输</w:t>
      </w:r>
      <w:bookmarkEnd w:id="377"/>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1.铲装、运输方式</w:t>
      </w:r>
    </w:p>
    <w:p w:rsidR="009C5C1F" w:rsidRDefault="004D2E0D">
      <w:pPr>
        <w:spacing w:line="500" w:lineRule="exact"/>
        <w:ind w:firstLineChars="200" w:firstLine="480"/>
        <w:rPr>
          <w:rFonts w:ascii="宋体" w:hAnsi="宋体" w:cs="宋体"/>
          <w:sz w:val="24"/>
        </w:rPr>
      </w:pPr>
      <w:r>
        <w:rPr>
          <w:rFonts w:ascii="宋体" w:hAnsi="宋体" w:cs="宋体" w:hint="eastAsia"/>
          <w:sz w:val="24"/>
        </w:rPr>
        <w:t>矿山铲装、运输工序可分为两部分，即采场内的铲装工序和装车运输工序。</w:t>
      </w:r>
    </w:p>
    <w:p w:rsidR="009C5C1F" w:rsidRDefault="004D2E0D">
      <w:pPr>
        <w:spacing w:line="500" w:lineRule="exact"/>
        <w:ind w:firstLineChars="200" w:firstLine="480"/>
        <w:jc w:val="left"/>
        <w:rPr>
          <w:rFonts w:ascii="宋体" w:hAnsi="宋体" w:cs="宋体"/>
          <w:sz w:val="24"/>
        </w:rPr>
      </w:pPr>
      <w:r>
        <w:rPr>
          <w:rFonts w:ascii="宋体" w:hAnsi="宋体" w:cs="宋体" w:hint="eastAsia"/>
          <w:sz w:val="24"/>
        </w:rPr>
        <w:t>①采场内铲装：设计选用EC240B型挖掘机作为铲装设备，其具有极高的爬坡能力，可通过矿区修建的道路进入作业平台，将粘土装车外运。</w:t>
      </w:r>
    </w:p>
    <w:p w:rsidR="009C5C1F" w:rsidRDefault="004D2E0D">
      <w:pPr>
        <w:spacing w:line="500" w:lineRule="exact"/>
        <w:ind w:firstLineChars="200" w:firstLine="480"/>
        <w:rPr>
          <w:rFonts w:ascii="宋体" w:hAnsi="宋体" w:cs="宋体"/>
          <w:sz w:val="24"/>
        </w:rPr>
      </w:pPr>
      <w:r>
        <w:rPr>
          <w:rFonts w:ascii="宋体" w:hAnsi="宋体" w:cs="宋体" w:hint="eastAsia"/>
          <w:sz w:val="24"/>
        </w:rPr>
        <w:t>②运输：采场内矿石由采场至堆料场之间的短距离运输由装载机完成，采用汽车拉运。</w:t>
      </w:r>
    </w:p>
    <w:p w:rsidR="009C5C1F" w:rsidRDefault="004D2E0D">
      <w:pPr>
        <w:adjustRightInd w:val="0"/>
        <w:snapToGrid w:val="0"/>
        <w:spacing w:line="500" w:lineRule="exact"/>
        <w:ind w:firstLineChars="200" w:firstLine="480"/>
        <w:rPr>
          <w:rFonts w:ascii="宋体" w:hAnsi="宋体" w:cs="宋体"/>
          <w:sz w:val="24"/>
        </w:rPr>
      </w:pPr>
      <w:bookmarkStart w:id="379" w:name="_Toc394081988"/>
      <w:bookmarkStart w:id="380" w:name="_Toc395519181"/>
      <w:r>
        <w:rPr>
          <w:rFonts w:ascii="宋体" w:hAnsi="宋体" w:cs="宋体" w:hint="eastAsia"/>
          <w:sz w:val="24"/>
        </w:rPr>
        <w:t>2.铲装设备选型及数量</w:t>
      </w:r>
      <w:bookmarkEnd w:id="379"/>
      <w:bookmarkEnd w:id="380"/>
    </w:p>
    <w:p w:rsidR="009C5C1F" w:rsidRDefault="004D2E0D">
      <w:pPr>
        <w:spacing w:line="500" w:lineRule="exact"/>
        <w:ind w:firstLineChars="200" w:firstLine="480"/>
        <w:jc w:val="left"/>
        <w:rPr>
          <w:rFonts w:ascii="宋体" w:hAnsi="宋体" w:cs="宋体"/>
          <w:sz w:val="24"/>
        </w:rPr>
      </w:pPr>
      <w:r>
        <w:rPr>
          <w:rFonts w:ascii="宋体" w:hAnsi="宋体" w:cs="宋体" w:hint="eastAsia"/>
          <w:sz w:val="24"/>
        </w:rPr>
        <w:t>露天采场铲装设备选型依据采场参数，作业环境、作业顺序、铲装作业量等因素综合考虑。</w:t>
      </w:r>
    </w:p>
    <w:p w:rsidR="009C5C1F" w:rsidRDefault="004D2E0D">
      <w:pPr>
        <w:pStyle w:val="3"/>
        <w:spacing w:beforeLines="100" w:before="360" w:after="0" w:line="500" w:lineRule="exact"/>
        <w:ind w:firstLineChars="200" w:firstLine="482"/>
        <w:rPr>
          <w:rFonts w:ascii="宋体" w:hAnsi="宋体" w:cs="宋体"/>
        </w:rPr>
      </w:pPr>
      <w:bookmarkStart w:id="381" w:name="_Toc70589744"/>
      <w:bookmarkStart w:id="382" w:name="_Toc395519183"/>
      <w:bookmarkStart w:id="383" w:name="_Toc502783444"/>
      <w:r>
        <w:rPr>
          <w:rFonts w:ascii="宋体" w:hAnsi="宋体" w:cs="宋体" w:hint="eastAsia"/>
        </w:rPr>
        <w:t>4.1.</w:t>
      </w:r>
      <w:bookmarkEnd w:id="378"/>
      <w:r>
        <w:rPr>
          <w:rFonts w:ascii="宋体" w:hAnsi="宋体" w:cs="宋体" w:hint="eastAsia"/>
        </w:rPr>
        <w:t>5 开拓运输方案及厂址选择</w:t>
      </w:r>
      <w:bookmarkEnd w:id="381"/>
      <w:bookmarkEnd w:id="382"/>
      <w:bookmarkEnd w:id="383"/>
    </w:p>
    <w:p w:rsidR="009C5C1F" w:rsidRDefault="004D2E0D">
      <w:pPr>
        <w:spacing w:line="500" w:lineRule="exact"/>
        <w:ind w:firstLineChars="200" w:firstLine="480"/>
        <w:rPr>
          <w:rFonts w:ascii="宋体" w:hAnsi="宋体" w:cs="宋体"/>
          <w:sz w:val="24"/>
        </w:rPr>
      </w:pPr>
      <w:bookmarkStart w:id="384" w:name="_Toc260144469"/>
      <w:r>
        <w:rPr>
          <w:rFonts w:ascii="宋体" w:hAnsi="宋体" w:cs="宋体" w:hint="eastAsia"/>
          <w:sz w:val="24"/>
        </w:rPr>
        <w:t>1. 开拓运输方案</w:t>
      </w:r>
      <w:bookmarkEnd w:id="384"/>
    </w:p>
    <w:p w:rsidR="009C5C1F" w:rsidRDefault="004D2E0D">
      <w:pPr>
        <w:spacing w:line="500" w:lineRule="exact"/>
        <w:ind w:firstLineChars="200" w:firstLine="480"/>
        <w:rPr>
          <w:rFonts w:ascii="宋体" w:hAnsi="宋体" w:cs="宋体"/>
          <w:sz w:val="24"/>
        </w:rPr>
      </w:pPr>
      <w:r>
        <w:rPr>
          <w:rFonts w:ascii="宋体" w:hAnsi="宋体" w:cs="宋体" w:hint="eastAsia"/>
          <w:sz w:val="24"/>
        </w:rPr>
        <w:t>开拓方案选择的基本原则：力求基建工程量省、经营费低，便于施工，环节少、管理方便等。</w:t>
      </w:r>
    </w:p>
    <w:p w:rsidR="009C5C1F" w:rsidRDefault="004D2E0D">
      <w:pPr>
        <w:spacing w:line="500" w:lineRule="exact"/>
        <w:ind w:firstLineChars="200" w:firstLine="480"/>
        <w:rPr>
          <w:rFonts w:ascii="宋体" w:hAnsi="宋体" w:cs="宋体"/>
          <w:sz w:val="24"/>
        </w:rPr>
      </w:pPr>
      <w:r>
        <w:rPr>
          <w:rFonts w:ascii="宋体" w:hAnsi="宋体" w:cs="宋体" w:hint="eastAsia"/>
          <w:sz w:val="24"/>
        </w:rPr>
        <w:t>根据矿体赋存特征、矿山生产规模、总体布置、工程设施等条件，矿山采用公路运输、移动坑线开拓方式。</w:t>
      </w:r>
    </w:p>
    <w:p w:rsidR="009C5C1F" w:rsidRDefault="004D2E0D">
      <w:pPr>
        <w:spacing w:line="500" w:lineRule="exact"/>
        <w:ind w:firstLineChars="200" w:firstLine="480"/>
        <w:rPr>
          <w:rFonts w:ascii="宋体" w:hAnsi="宋体" w:cs="宋体"/>
          <w:sz w:val="24"/>
        </w:rPr>
      </w:pPr>
      <w:r>
        <w:rPr>
          <w:rFonts w:ascii="宋体" w:hAnsi="宋体" w:cs="宋体" w:hint="eastAsia"/>
          <w:sz w:val="24"/>
        </w:rPr>
        <w:t>采坑内开拓运输方案：考虑该矿区地形地貌修建坑内道路，使设备可以直接</w:t>
      </w:r>
      <w:r>
        <w:rPr>
          <w:rFonts w:ascii="宋体" w:hAnsi="宋体" w:cs="宋体" w:hint="eastAsia"/>
          <w:sz w:val="24"/>
        </w:rPr>
        <w:lastRenderedPageBreak/>
        <w:t>到采坑内进行开采。开采主要以机械为主、人工配合的采矿方法。即采用挖掘机配合装载机进行作业，自卸运输车运输。直接形成工作线，布置一层开采台阶进行开采。</w:t>
      </w:r>
    </w:p>
    <w:p w:rsidR="009C5C1F" w:rsidRDefault="004D2E0D">
      <w:pPr>
        <w:spacing w:line="500" w:lineRule="exact"/>
        <w:ind w:firstLineChars="200" w:firstLine="480"/>
        <w:rPr>
          <w:rFonts w:ascii="宋体" w:hAnsi="宋体" w:cs="宋体"/>
          <w:sz w:val="24"/>
        </w:rPr>
      </w:pPr>
      <w:r>
        <w:rPr>
          <w:rFonts w:ascii="宋体" w:hAnsi="宋体" w:cs="宋体" w:hint="eastAsia"/>
          <w:sz w:val="24"/>
        </w:rPr>
        <w:t>2.运输设备</w:t>
      </w:r>
    </w:p>
    <w:p w:rsidR="009C5C1F" w:rsidRDefault="004D2E0D">
      <w:pPr>
        <w:pStyle w:val="A-3"/>
        <w:spacing w:line="500" w:lineRule="exact"/>
        <w:rPr>
          <w:rFonts w:cs="宋体"/>
        </w:rPr>
      </w:pPr>
      <w:bookmarkStart w:id="385" w:name="_Toc260144470"/>
      <w:r>
        <w:rPr>
          <w:rFonts w:cs="宋体" w:hint="eastAsia"/>
        </w:rPr>
        <w:t>矿山备品、配件及原材料等的运入，均委托社会运输车辆运输，企业运输设备的配备只考虑物料装运、矿山生活物资的运输以及管理等必备车辆。</w:t>
      </w:r>
    </w:p>
    <w:p w:rsidR="009C5C1F" w:rsidRDefault="004D2E0D">
      <w:pPr>
        <w:pStyle w:val="A-3"/>
        <w:spacing w:line="500" w:lineRule="exact"/>
        <w:rPr>
          <w:rFonts w:cs="宋体"/>
        </w:rPr>
      </w:pPr>
      <w:r>
        <w:rPr>
          <w:rFonts w:cs="宋体" w:hint="eastAsia"/>
        </w:rPr>
        <w:t>由于矿山生活物资的运输量不大，</w:t>
      </w:r>
      <w:proofErr w:type="gramStart"/>
      <w:r>
        <w:rPr>
          <w:rFonts w:cs="宋体" w:hint="eastAsia"/>
        </w:rPr>
        <w:t>故设计</w:t>
      </w:r>
      <w:proofErr w:type="gramEnd"/>
      <w:r>
        <w:rPr>
          <w:rFonts w:cs="宋体" w:hint="eastAsia"/>
        </w:rPr>
        <w:t>考虑配备1辆装载</w:t>
      </w:r>
      <w:proofErr w:type="gramStart"/>
      <w:r>
        <w:rPr>
          <w:rFonts w:cs="宋体" w:hint="eastAsia"/>
        </w:rPr>
        <w:t>车承担</w:t>
      </w:r>
      <w:proofErr w:type="gramEnd"/>
      <w:r>
        <w:rPr>
          <w:rFonts w:cs="宋体" w:hint="eastAsia"/>
        </w:rPr>
        <w:t>运输任务，另配备1辆输车内完成短距离运输工作并辅助完成平整作业。</w:t>
      </w:r>
    </w:p>
    <w:p w:rsidR="009C5C1F" w:rsidRDefault="004D2E0D">
      <w:pPr>
        <w:spacing w:line="500" w:lineRule="exact"/>
        <w:ind w:firstLineChars="200" w:firstLine="480"/>
        <w:rPr>
          <w:rFonts w:ascii="宋体" w:hAnsi="宋体" w:cs="宋体"/>
          <w:sz w:val="24"/>
        </w:rPr>
      </w:pPr>
      <w:r>
        <w:rPr>
          <w:rFonts w:ascii="宋体" w:hAnsi="宋体" w:cs="宋体" w:hint="eastAsia"/>
          <w:sz w:val="24"/>
        </w:rPr>
        <w:t>3. 厂址选择</w:t>
      </w:r>
      <w:bookmarkEnd w:id="385"/>
    </w:p>
    <w:p w:rsidR="009C5C1F" w:rsidRDefault="004D2E0D">
      <w:pPr>
        <w:pStyle w:val="A-3"/>
        <w:spacing w:line="500" w:lineRule="exact"/>
        <w:jc w:val="left"/>
        <w:rPr>
          <w:rFonts w:cs="宋体"/>
        </w:rPr>
      </w:pPr>
      <w:r>
        <w:rPr>
          <w:rFonts w:cs="宋体" w:hint="eastAsia"/>
        </w:rPr>
        <w:t>考虑到矿山开采的实际情况，依据矿体赋存情况、矿山开拓方案、自然地理条件、地形、气候等因素，选定的厂址方案总体布置详见总平面布置图</w:t>
      </w:r>
    </w:p>
    <w:p w:rsidR="009C5C1F" w:rsidRDefault="004D2E0D">
      <w:pPr>
        <w:pStyle w:val="3"/>
        <w:spacing w:beforeLines="100" w:before="360" w:after="0" w:line="500" w:lineRule="exact"/>
        <w:ind w:firstLineChars="200" w:firstLine="482"/>
        <w:rPr>
          <w:rFonts w:ascii="宋体" w:hAnsi="宋体" w:cs="宋体"/>
        </w:rPr>
      </w:pPr>
      <w:bookmarkStart w:id="386" w:name="_Toc214407000"/>
      <w:bookmarkStart w:id="387" w:name="_Toc70589745"/>
      <w:bookmarkStart w:id="388" w:name="_Toc395519184"/>
      <w:bookmarkStart w:id="389" w:name="_Toc213683063"/>
      <w:bookmarkStart w:id="390" w:name="_Toc502783445"/>
      <w:r>
        <w:rPr>
          <w:rFonts w:ascii="宋体" w:hAnsi="宋体" w:cs="宋体" w:hint="eastAsia"/>
        </w:rPr>
        <w:t>4.1.6 矿山机械</w:t>
      </w:r>
      <w:bookmarkEnd w:id="386"/>
      <w:bookmarkEnd w:id="387"/>
      <w:bookmarkEnd w:id="388"/>
      <w:bookmarkEnd w:id="389"/>
      <w:bookmarkEnd w:id="390"/>
    </w:p>
    <w:p w:rsidR="009C5C1F" w:rsidRDefault="004D2E0D">
      <w:pPr>
        <w:spacing w:line="500" w:lineRule="exact"/>
        <w:ind w:firstLineChars="200" w:firstLine="480"/>
        <w:rPr>
          <w:rFonts w:ascii="宋体" w:hAnsi="宋体" w:cs="宋体"/>
          <w:sz w:val="24"/>
        </w:rPr>
      </w:pPr>
      <w:bookmarkStart w:id="391" w:name="_Toc214407004"/>
      <w:r>
        <w:rPr>
          <w:rFonts w:ascii="宋体" w:hAnsi="宋体" w:cs="宋体" w:hint="eastAsia"/>
          <w:sz w:val="24"/>
        </w:rPr>
        <w:t>为保证矿山顺利施工，所选设备均应考虑备用，具体采矿设备详见表4-</w:t>
      </w:r>
      <w:r>
        <w:rPr>
          <w:rFonts w:ascii="宋体" w:hAnsi="宋体" w:cs="宋体"/>
          <w:sz w:val="24"/>
        </w:rPr>
        <w:t>3</w:t>
      </w:r>
    </w:p>
    <w:p w:rsidR="009C5C1F" w:rsidRDefault="004D2E0D">
      <w:pPr>
        <w:pStyle w:val="A-0"/>
        <w:spacing w:line="500" w:lineRule="exact"/>
        <w:rPr>
          <w:rFonts w:ascii="宋体" w:eastAsia="宋体" w:hAnsi="宋体" w:cs="仿宋_GB2312"/>
          <w:b/>
          <w:color w:val="000000"/>
          <w:sz w:val="21"/>
          <w:szCs w:val="21"/>
        </w:rPr>
      </w:pPr>
      <w:r>
        <w:rPr>
          <w:rFonts w:ascii="宋体" w:eastAsia="宋体" w:hAnsi="宋体" w:cs="仿宋_GB2312" w:hint="eastAsia"/>
          <w:b/>
          <w:color w:val="000000"/>
          <w:sz w:val="21"/>
          <w:szCs w:val="21"/>
        </w:rPr>
        <w:t>表4-</w:t>
      </w:r>
      <w:r>
        <w:rPr>
          <w:rFonts w:ascii="宋体" w:eastAsia="宋体" w:hAnsi="宋体" w:cs="仿宋_GB2312"/>
          <w:b/>
          <w:color w:val="000000"/>
          <w:sz w:val="21"/>
          <w:szCs w:val="21"/>
        </w:rPr>
        <w:t>3</w:t>
      </w:r>
      <w:r>
        <w:rPr>
          <w:rFonts w:ascii="宋体" w:eastAsia="宋体" w:hAnsi="宋体" w:cs="仿宋_GB2312" w:hint="eastAsia"/>
          <w:b/>
          <w:color w:val="000000"/>
          <w:sz w:val="21"/>
          <w:szCs w:val="21"/>
        </w:rPr>
        <w:t xml:space="preserve">                           采矿设备明细表</w:t>
      </w:r>
    </w:p>
    <w:tbl>
      <w:tblPr>
        <w:tblW w:w="0" w:type="auto"/>
        <w:tblInd w:w="6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376"/>
        <w:gridCol w:w="1276"/>
        <w:gridCol w:w="1601"/>
        <w:gridCol w:w="1754"/>
      </w:tblGrid>
      <w:tr w:rsidR="009C5C1F">
        <w:trPr>
          <w:trHeight w:val="621"/>
        </w:trPr>
        <w:tc>
          <w:tcPr>
            <w:tcW w:w="2376"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设备名称</w:t>
            </w:r>
          </w:p>
        </w:tc>
        <w:tc>
          <w:tcPr>
            <w:tcW w:w="1276"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单位</w:t>
            </w:r>
          </w:p>
        </w:tc>
        <w:tc>
          <w:tcPr>
            <w:tcW w:w="160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数量</w:t>
            </w:r>
          </w:p>
        </w:tc>
        <w:tc>
          <w:tcPr>
            <w:tcW w:w="1754"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备注</w:t>
            </w:r>
          </w:p>
        </w:tc>
      </w:tr>
      <w:tr w:rsidR="009C5C1F">
        <w:trPr>
          <w:trHeight w:val="367"/>
        </w:trPr>
        <w:tc>
          <w:tcPr>
            <w:tcW w:w="2376"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山工牌IL－50D装载机</w:t>
            </w:r>
          </w:p>
        </w:tc>
        <w:tc>
          <w:tcPr>
            <w:tcW w:w="1276"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台</w:t>
            </w:r>
          </w:p>
        </w:tc>
        <w:tc>
          <w:tcPr>
            <w:tcW w:w="160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sz w:val="21"/>
                <w:szCs w:val="21"/>
              </w:rPr>
              <w:t>2</w:t>
            </w:r>
          </w:p>
        </w:tc>
        <w:tc>
          <w:tcPr>
            <w:tcW w:w="1754"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一台备用</w:t>
            </w:r>
          </w:p>
        </w:tc>
      </w:tr>
      <w:tr w:rsidR="009C5C1F">
        <w:trPr>
          <w:trHeight w:val="367"/>
        </w:trPr>
        <w:tc>
          <w:tcPr>
            <w:tcW w:w="2376"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V</w:t>
            </w:r>
            <w:r>
              <w:rPr>
                <w:rFonts w:ascii="宋体" w:eastAsia="宋体" w:hAnsi="宋体" w:cs="宋体"/>
                <w:sz w:val="21"/>
                <w:szCs w:val="21"/>
              </w:rPr>
              <w:t>OLVO EC240B</w:t>
            </w:r>
            <w:r>
              <w:rPr>
                <w:rFonts w:ascii="宋体" w:eastAsia="宋体" w:hAnsi="宋体" w:cs="宋体" w:hint="eastAsia"/>
                <w:sz w:val="21"/>
                <w:szCs w:val="21"/>
              </w:rPr>
              <w:t>挖掘机</w:t>
            </w:r>
          </w:p>
        </w:tc>
        <w:tc>
          <w:tcPr>
            <w:tcW w:w="1276"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台</w:t>
            </w:r>
          </w:p>
        </w:tc>
        <w:tc>
          <w:tcPr>
            <w:tcW w:w="160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1</w:t>
            </w:r>
          </w:p>
        </w:tc>
        <w:tc>
          <w:tcPr>
            <w:tcW w:w="1754" w:type="dxa"/>
            <w:vAlign w:val="center"/>
          </w:tcPr>
          <w:p w:rsidR="009C5C1F" w:rsidRDefault="009C5C1F">
            <w:pPr>
              <w:pStyle w:val="A-1"/>
              <w:spacing w:line="500" w:lineRule="exact"/>
              <w:rPr>
                <w:rFonts w:ascii="宋体" w:eastAsia="宋体" w:hAnsi="宋体" w:cs="宋体"/>
                <w:sz w:val="21"/>
                <w:szCs w:val="21"/>
              </w:rPr>
            </w:pPr>
          </w:p>
        </w:tc>
      </w:tr>
      <w:tr w:rsidR="009C5C1F">
        <w:trPr>
          <w:trHeight w:val="367"/>
        </w:trPr>
        <w:tc>
          <w:tcPr>
            <w:tcW w:w="2376"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农用运输车</w:t>
            </w:r>
          </w:p>
        </w:tc>
        <w:tc>
          <w:tcPr>
            <w:tcW w:w="1276"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辆</w:t>
            </w:r>
          </w:p>
        </w:tc>
        <w:tc>
          <w:tcPr>
            <w:tcW w:w="160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1</w:t>
            </w:r>
          </w:p>
        </w:tc>
        <w:tc>
          <w:tcPr>
            <w:tcW w:w="1754" w:type="dxa"/>
            <w:vAlign w:val="center"/>
          </w:tcPr>
          <w:p w:rsidR="009C5C1F" w:rsidRDefault="009C5C1F">
            <w:pPr>
              <w:pStyle w:val="A-1"/>
              <w:spacing w:line="500" w:lineRule="exact"/>
              <w:rPr>
                <w:rFonts w:ascii="宋体" w:eastAsia="宋体" w:hAnsi="宋体" w:cs="宋体"/>
                <w:sz w:val="21"/>
                <w:szCs w:val="21"/>
              </w:rPr>
            </w:pPr>
          </w:p>
        </w:tc>
      </w:tr>
      <w:tr w:rsidR="009C5C1F">
        <w:trPr>
          <w:trHeight w:val="367"/>
        </w:trPr>
        <w:tc>
          <w:tcPr>
            <w:tcW w:w="2376"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V</w:t>
            </w:r>
            <w:r>
              <w:rPr>
                <w:rFonts w:ascii="宋体" w:eastAsia="宋体" w:hAnsi="宋体" w:cs="宋体"/>
                <w:sz w:val="21"/>
                <w:szCs w:val="21"/>
              </w:rPr>
              <w:t>2200-A潜水泵</w:t>
            </w:r>
          </w:p>
        </w:tc>
        <w:tc>
          <w:tcPr>
            <w:tcW w:w="1276"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台</w:t>
            </w:r>
          </w:p>
        </w:tc>
        <w:tc>
          <w:tcPr>
            <w:tcW w:w="160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2</w:t>
            </w:r>
          </w:p>
        </w:tc>
        <w:tc>
          <w:tcPr>
            <w:tcW w:w="1754"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暴雨</w:t>
            </w:r>
            <w:proofErr w:type="gramStart"/>
            <w:r>
              <w:rPr>
                <w:rFonts w:ascii="宋体" w:eastAsia="宋体" w:hAnsi="宋体" w:cs="宋体" w:hint="eastAsia"/>
                <w:sz w:val="21"/>
                <w:szCs w:val="21"/>
              </w:rPr>
              <w:t>季节采坑积水</w:t>
            </w:r>
            <w:proofErr w:type="gramEnd"/>
            <w:r>
              <w:rPr>
                <w:rFonts w:ascii="宋体" w:eastAsia="宋体" w:hAnsi="宋体" w:cs="宋体" w:hint="eastAsia"/>
                <w:sz w:val="21"/>
                <w:szCs w:val="21"/>
              </w:rPr>
              <w:t>抽水设备</w:t>
            </w:r>
          </w:p>
        </w:tc>
      </w:tr>
    </w:tbl>
    <w:p w:rsidR="009C5C1F" w:rsidRDefault="009C5C1F">
      <w:pPr>
        <w:pStyle w:val="A-0"/>
        <w:spacing w:line="500" w:lineRule="exact"/>
        <w:jc w:val="left"/>
        <w:rPr>
          <w:rFonts w:ascii="宋体" w:eastAsia="宋体" w:hAnsi="宋体" w:cs="仿宋_GB2312"/>
          <w:b/>
          <w:color w:val="000000"/>
          <w:sz w:val="21"/>
          <w:szCs w:val="21"/>
        </w:rPr>
      </w:pPr>
    </w:p>
    <w:p w:rsidR="009C5C1F" w:rsidRDefault="004D2E0D">
      <w:pPr>
        <w:pStyle w:val="2"/>
        <w:spacing w:beforeLines="100" w:before="360" w:line="500" w:lineRule="atLeast"/>
        <w:ind w:firstLine="482"/>
        <w:rPr>
          <w:rFonts w:ascii="宋体" w:eastAsia="宋体" w:hAnsi="宋体" w:cs="宋体"/>
          <w:sz w:val="24"/>
          <w:szCs w:val="24"/>
        </w:rPr>
      </w:pPr>
      <w:bookmarkStart w:id="392" w:name="_Toc511226416"/>
      <w:bookmarkStart w:id="393" w:name="_Toc70589746"/>
      <w:bookmarkStart w:id="394" w:name="_Toc502783448"/>
      <w:bookmarkStart w:id="395" w:name="_Toc153130721"/>
      <w:r>
        <w:rPr>
          <w:rFonts w:ascii="宋体" w:eastAsia="宋体" w:hAnsi="宋体" w:cs="宋体" w:hint="eastAsia"/>
          <w:sz w:val="24"/>
          <w:szCs w:val="24"/>
        </w:rPr>
        <w:t>4.2 矿山防治水方案</w:t>
      </w:r>
      <w:bookmarkEnd w:id="391"/>
      <w:bookmarkEnd w:id="392"/>
      <w:bookmarkEnd w:id="393"/>
      <w:bookmarkEnd w:id="394"/>
      <w:bookmarkEnd w:id="395"/>
    </w:p>
    <w:p w:rsidR="009C5C1F" w:rsidRDefault="004D2E0D">
      <w:pPr>
        <w:spacing w:line="500" w:lineRule="exact"/>
        <w:ind w:firstLineChars="200" w:firstLine="480"/>
        <w:rPr>
          <w:rFonts w:ascii="宋体" w:hAnsi="宋体" w:cs="宋体"/>
          <w:sz w:val="24"/>
        </w:rPr>
      </w:pPr>
      <w:bookmarkStart w:id="396" w:name="_Toc214407005"/>
      <w:bookmarkStart w:id="397" w:name="_Toc213683057"/>
      <w:bookmarkStart w:id="398" w:name="_Toc213687928"/>
      <w:r>
        <w:rPr>
          <w:rFonts w:ascii="宋体" w:hAnsi="宋体" w:cs="宋体" w:hint="eastAsia"/>
          <w:sz w:val="24"/>
        </w:rPr>
        <w:t>根据区域水文资料，可采矿体位于地下水位以上，地下水对矿体开采影响不大，采场内生产废水通过自然渗透或者潜水泵抽取的方式进行外部排放。</w:t>
      </w:r>
    </w:p>
    <w:p w:rsidR="009C5C1F" w:rsidRDefault="004D2E0D">
      <w:pPr>
        <w:pStyle w:val="a7"/>
        <w:spacing w:before="36" w:line="500" w:lineRule="exact"/>
        <w:ind w:right="212" w:firstLine="479"/>
        <w:rPr>
          <w:rFonts w:ascii="宋体" w:hAnsi="宋体" w:cs="宋体"/>
          <w:sz w:val="24"/>
        </w:rPr>
      </w:pPr>
      <w:r>
        <w:rPr>
          <w:rFonts w:ascii="宋体" w:hAnsi="宋体" w:cs="宋体" w:hint="eastAsia"/>
          <w:sz w:val="24"/>
        </w:rPr>
        <w:t>因为矿区整体地势为南高北低，存在自然坡度，</w:t>
      </w:r>
      <w:proofErr w:type="gramStart"/>
      <w:r>
        <w:rPr>
          <w:rFonts w:ascii="宋体" w:hAnsi="宋体" w:cs="宋体" w:hint="eastAsia"/>
          <w:sz w:val="24"/>
        </w:rPr>
        <w:t>且首采</w:t>
      </w:r>
      <w:proofErr w:type="gramEnd"/>
      <w:r>
        <w:rPr>
          <w:rFonts w:ascii="宋体" w:hAnsi="宋体" w:cs="宋体" w:hint="eastAsia"/>
          <w:sz w:val="24"/>
        </w:rPr>
        <w:t>工作面定到南部，</w:t>
      </w:r>
      <w:r>
        <w:rPr>
          <w:rFonts w:ascii="宋体" w:hAnsi="宋体" w:cs="宋体" w:hint="eastAsia"/>
          <w:sz w:val="24"/>
        </w:rPr>
        <w:lastRenderedPageBreak/>
        <w:t>则雨季洪水对开采的无影响。</w:t>
      </w:r>
      <w:r>
        <w:rPr>
          <w:rFonts w:ascii="宋体" w:hAnsi="宋体" w:cs="宋体"/>
          <w:sz w:val="24"/>
        </w:rPr>
        <w:t xml:space="preserve"> </w:t>
      </w:r>
    </w:p>
    <w:p w:rsidR="009C5C1F" w:rsidRDefault="004D2E0D">
      <w:pPr>
        <w:spacing w:line="500" w:lineRule="exact"/>
        <w:ind w:firstLineChars="200" w:firstLine="480"/>
        <w:rPr>
          <w:rFonts w:ascii="宋体" w:hAnsi="宋体" w:cs="宋体"/>
          <w:sz w:val="24"/>
        </w:rPr>
      </w:pPr>
      <w:r>
        <w:rPr>
          <w:rFonts w:ascii="宋体" w:hAnsi="宋体" w:cs="宋体"/>
          <w:sz w:val="24"/>
        </w:rPr>
        <w:t>考虑到夏季暴雨</w:t>
      </w:r>
      <w:proofErr w:type="gramStart"/>
      <w:r>
        <w:rPr>
          <w:rFonts w:ascii="宋体" w:hAnsi="宋体" w:cs="宋体"/>
          <w:sz w:val="24"/>
        </w:rPr>
        <w:t>时节采坑内积</w:t>
      </w:r>
      <w:proofErr w:type="gramEnd"/>
      <w:r>
        <w:rPr>
          <w:rFonts w:ascii="宋体" w:hAnsi="宋体" w:cs="宋体"/>
          <w:sz w:val="24"/>
        </w:rPr>
        <w:t xml:space="preserve">水等造成采矿作业难，采场内设置临时的 V2200-A </w:t>
      </w:r>
      <w:proofErr w:type="gramStart"/>
      <w:r>
        <w:rPr>
          <w:rFonts w:ascii="宋体" w:hAnsi="宋体" w:cs="宋体"/>
          <w:sz w:val="24"/>
        </w:rPr>
        <w:t>型抽水泵</w:t>
      </w:r>
      <w:proofErr w:type="gramEnd"/>
      <w:r>
        <w:rPr>
          <w:rFonts w:ascii="宋体" w:hAnsi="宋体" w:cs="宋体"/>
          <w:sz w:val="24"/>
        </w:rPr>
        <w:t>一台，备用一台</w:t>
      </w:r>
      <w:r>
        <w:rPr>
          <w:rFonts w:ascii="宋体" w:hAnsi="宋体" w:cs="宋体" w:hint="eastAsia"/>
          <w:sz w:val="24"/>
        </w:rPr>
        <w:t>，</w:t>
      </w:r>
      <w:r>
        <w:rPr>
          <w:rFonts w:ascii="宋体" w:hAnsi="宋体" w:cs="宋体"/>
          <w:sz w:val="24"/>
        </w:rPr>
        <w:t>供采场排水用，且排水必须做到流水畅通，</w:t>
      </w:r>
      <w:proofErr w:type="gramStart"/>
      <w:r>
        <w:rPr>
          <w:rFonts w:ascii="宋体" w:hAnsi="宋体" w:cs="宋体"/>
          <w:sz w:val="24"/>
        </w:rPr>
        <w:t>不</w:t>
      </w:r>
      <w:proofErr w:type="gramEnd"/>
      <w:r>
        <w:rPr>
          <w:rFonts w:ascii="宋体" w:hAnsi="宋体" w:cs="宋体"/>
          <w:sz w:val="24"/>
        </w:rPr>
        <w:t>积水、</w:t>
      </w:r>
      <w:proofErr w:type="gramStart"/>
      <w:r>
        <w:rPr>
          <w:rFonts w:ascii="宋体" w:hAnsi="宋体" w:cs="宋体"/>
          <w:sz w:val="24"/>
        </w:rPr>
        <w:t>不</w:t>
      </w:r>
      <w:proofErr w:type="gramEnd"/>
      <w:r>
        <w:rPr>
          <w:rFonts w:ascii="宋体" w:hAnsi="宋体" w:cs="宋体"/>
          <w:sz w:val="24"/>
        </w:rPr>
        <w:t>断流、遇强降雨能及时排出。积水面积较小可采用积水坑收集雨水。</w:t>
      </w:r>
    </w:p>
    <w:p w:rsidR="009C5C1F" w:rsidRDefault="004D2E0D">
      <w:pPr>
        <w:spacing w:line="500" w:lineRule="exact"/>
        <w:ind w:firstLineChars="200" w:firstLine="480"/>
        <w:rPr>
          <w:rFonts w:ascii="宋体" w:hAnsi="宋体" w:cs="宋体"/>
          <w:sz w:val="24"/>
        </w:rPr>
      </w:pPr>
      <w:r>
        <w:rPr>
          <w:rFonts w:ascii="宋体" w:hAnsi="宋体" w:cs="宋体"/>
          <w:sz w:val="24"/>
        </w:rPr>
        <w:t>采场在开采过程中如遇强降水，应及时修筑简单的临时排水沟，保证采场区内无大量积水，为采场的后续生产不留隐患。</w:t>
      </w:r>
    </w:p>
    <w:p w:rsidR="009C5C1F" w:rsidRDefault="009C5C1F">
      <w:pPr>
        <w:spacing w:line="500" w:lineRule="exact"/>
        <w:ind w:firstLineChars="200" w:firstLine="480"/>
        <w:rPr>
          <w:rFonts w:ascii="宋体" w:hAnsi="宋体" w:cs="宋体"/>
          <w:sz w:val="24"/>
        </w:rPr>
      </w:pPr>
    </w:p>
    <w:p w:rsidR="009C5C1F" w:rsidRDefault="004D2E0D">
      <w:pPr>
        <w:pStyle w:val="1"/>
        <w:spacing w:beforeLines="100" w:before="360" w:after="0" w:line="500" w:lineRule="exact"/>
        <w:rPr>
          <w:color w:val="FF0000"/>
        </w:rPr>
      </w:pPr>
      <w:r>
        <w:rPr>
          <w:rFonts w:ascii="宋体" w:hAnsi="宋体" w:cs="宋体" w:hint="eastAsia"/>
          <w:color w:val="FF0000"/>
          <w:sz w:val="24"/>
        </w:rPr>
        <w:br w:type="page"/>
      </w:r>
      <w:bookmarkStart w:id="399" w:name="_Toc153130722"/>
      <w:bookmarkStart w:id="400" w:name="_Toc502783449"/>
      <w:bookmarkStart w:id="401" w:name="_Toc70589747"/>
      <w:bookmarkStart w:id="402" w:name="_Toc511226417"/>
      <w:r>
        <w:rPr>
          <w:rStyle w:val="1Char"/>
          <w:rFonts w:hint="eastAsia"/>
          <w:b/>
          <w:bCs/>
          <w:sz w:val="24"/>
          <w:szCs w:val="24"/>
        </w:rPr>
        <w:lastRenderedPageBreak/>
        <w:t xml:space="preserve">5  </w:t>
      </w:r>
      <w:r>
        <w:rPr>
          <w:rStyle w:val="1Char"/>
          <w:rFonts w:hint="eastAsia"/>
          <w:b/>
          <w:bCs/>
          <w:sz w:val="24"/>
          <w:szCs w:val="24"/>
        </w:rPr>
        <w:t>矿床开采</w:t>
      </w:r>
      <w:bookmarkEnd w:id="396"/>
      <w:bookmarkEnd w:id="399"/>
      <w:bookmarkEnd w:id="400"/>
      <w:bookmarkEnd w:id="401"/>
      <w:bookmarkEnd w:id="402"/>
    </w:p>
    <w:p w:rsidR="009C5C1F" w:rsidRDefault="004D2E0D">
      <w:pPr>
        <w:pStyle w:val="2"/>
        <w:spacing w:beforeLines="100" w:before="360" w:line="500" w:lineRule="atLeast"/>
        <w:ind w:firstLine="482"/>
        <w:rPr>
          <w:rFonts w:ascii="宋体" w:eastAsia="宋体" w:hAnsi="宋体" w:cs="宋体"/>
          <w:sz w:val="24"/>
          <w:szCs w:val="24"/>
        </w:rPr>
      </w:pPr>
      <w:bookmarkStart w:id="403" w:name="_Toc511226418"/>
      <w:bookmarkStart w:id="404" w:name="_Toc70589748"/>
      <w:bookmarkStart w:id="405" w:name="_Toc502783450"/>
      <w:bookmarkStart w:id="406" w:name="_Toc214407006"/>
      <w:bookmarkStart w:id="407" w:name="_Toc153130723"/>
      <w:r>
        <w:rPr>
          <w:rFonts w:ascii="宋体" w:eastAsia="宋体" w:hAnsi="宋体" w:cs="宋体" w:hint="eastAsia"/>
          <w:sz w:val="24"/>
          <w:szCs w:val="24"/>
        </w:rPr>
        <w:t>5.1 采场边坡及台阶</w:t>
      </w:r>
      <w:bookmarkEnd w:id="403"/>
      <w:bookmarkEnd w:id="404"/>
      <w:bookmarkEnd w:id="405"/>
      <w:bookmarkEnd w:id="406"/>
      <w:bookmarkEnd w:id="407"/>
    </w:p>
    <w:bookmarkEnd w:id="397"/>
    <w:bookmarkEnd w:id="398"/>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hint="eastAsia"/>
          <w:kern w:val="0"/>
          <w:sz w:val="24"/>
        </w:rPr>
        <w:t>矿体分一层进行开采，最大开采深度为5</w:t>
      </w:r>
      <w:r>
        <w:rPr>
          <w:rFonts w:ascii="宋体" w:cs="宋体"/>
          <w:kern w:val="0"/>
          <w:sz w:val="24"/>
        </w:rPr>
        <w:t>m</w:t>
      </w:r>
      <w:r>
        <w:rPr>
          <w:rFonts w:ascii="宋体" w:cs="宋体" w:hint="eastAsia"/>
          <w:kern w:val="0"/>
          <w:sz w:val="24"/>
        </w:rPr>
        <w:t>，边坡角</w:t>
      </w:r>
      <w:r>
        <w:rPr>
          <w:rFonts w:ascii="宋体" w:cs="宋体"/>
          <w:kern w:val="0"/>
          <w:sz w:val="24"/>
        </w:rPr>
        <w:t>45</w:t>
      </w:r>
      <w:r>
        <w:rPr>
          <w:rFonts w:ascii="宋体" w:cs="宋体" w:hint="eastAsia"/>
          <w:kern w:val="0"/>
          <w:sz w:val="24"/>
        </w:rPr>
        <w:t>°，最终边坡角小于</w:t>
      </w:r>
      <w:r>
        <w:rPr>
          <w:rFonts w:ascii="宋体" w:cs="宋体"/>
          <w:kern w:val="0"/>
          <w:sz w:val="24"/>
        </w:rPr>
        <w:t>45</w:t>
      </w:r>
      <w:r>
        <w:rPr>
          <w:rFonts w:ascii="宋体" w:cs="宋体" w:hint="eastAsia"/>
          <w:kern w:val="0"/>
          <w:sz w:val="24"/>
        </w:rPr>
        <w:t>°；符合《金属非金属矿山安全规程》（</w:t>
      </w:r>
      <w:r>
        <w:rPr>
          <w:rFonts w:ascii="宋体" w:cs="宋体"/>
          <w:kern w:val="0"/>
          <w:sz w:val="24"/>
        </w:rPr>
        <w:t>GB16423-2020</w:t>
      </w:r>
      <w:r>
        <w:rPr>
          <w:rFonts w:ascii="宋体" w:cs="宋体" w:hint="eastAsia"/>
          <w:kern w:val="0"/>
          <w:sz w:val="24"/>
        </w:rPr>
        <w:t>）的要求</w:t>
      </w:r>
      <w:r>
        <w:rPr>
          <w:rFonts w:ascii="宋体" w:hAnsi="宋体" w:cs="宋体" w:hint="eastAsia"/>
          <w:sz w:val="24"/>
        </w:rPr>
        <w:t>。</w:t>
      </w:r>
    </w:p>
    <w:p w:rsidR="009C5C1F" w:rsidRDefault="004D2E0D">
      <w:pPr>
        <w:pStyle w:val="2"/>
        <w:spacing w:beforeLines="100" w:before="360" w:line="500" w:lineRule="atLeast"/>
        <w:ind w:firstLine="482"/>
        <w:rPr>
          <w:rFonts w:ascii="宋体" w:eastAsia="宋体" w:hAnsi="宋体" w:cs="宋体"/>
          <w:sz w:val="24"/>
          <w:szCs w:val="24"/>
        </w:rPr>
      </w:pPr>
      <w:bookmarkStart w:id="408" w:name="_Toc511226419"/>
      <w:bookmarkStart w:id="409" w:name="_Toc214407007"/>
      <w:bookmarkStart w:id="410" w:name="_Toc502783451"/>
      <w:bookmarkStart w:id="411" w:name="_Toc70589749"/>
      <w:bookmarkStart w:id="412" w:name="_Toc153130724"/>
      <w:r>
        <w:rPr>
          <w:rFonts w:ascii="宋体" w:eastAsia="宋体" w:hAnsi="宋体" w:cs="宋体" w:hint="eastAsia"/>
          <w:sz w:val="24"/>
          <w:szCs w:val="24"/>
        </w:rPr>
        <w:t>5.2 矿山工作制度</w:t>
      </w:r>
      <w:bookmarkEnd w:id="281"/>
      <w:bookmarkEnd w:id="408"/>
      <w:bookmarkEnd w:id="409"/>
      <w:bookmarkEnd w:id="410"/>
      <w:bookmarkEnd w:id="411"/>
      <w:bookmarkEnd w:id="412"/>
    </w:p>
    <w:p w:rsidR="009C5C1F" w:rsidRDefault="004D2E0D">
      <w:pPr>
        <w:spacing w:line="500" w:lineRule="exact"/>
        <w:ind w:firstLineChars="200" w:firstLine="480"/>
        <w:rPr>
          <w:rFonts w:ascii="宋体" w:hAnsi="宋体" w:cs="宋体"/>
          <w:sz w:val="24"/>
        </w:rPr>
      </w:pPr>
      <w:r>
        <w:rPr>
          <w:rFonts w:ascii="宋体" w:hAnsi="宋体" w:cs="宋体" w:hint="eastAsia"/>
          <w:sz w:val="24"/>
        </w:rPr>
        <w:t>矿山年工作天数为300天，每天一班作业，每班8小时工作制。</w:t>
      </w:r>
    </w:p>
    <w:p w:rsidR="009C5C1F" w:rsidRDefault="004D2E0D">
      <w:pPr>
        <w:pStyle w:val="2"/>
        <w:spacing w:beforeLines="100" w:before="360" w:line="500" w:lineRule="atLeast"/>
        <w:ind w:firstLine="482"/>
        <w:rPr>
          <w:rFonts w:ascii="宋体" w:eastAsia="宋体" w:hAnsi="宋体" w:cs="宋体"/>
          <w:sz w:val="24"/>
          <w:szCs w:val="24"/>
        </w:rPr>
      </w:pPr>
      <w:bookmarkStart w:id="413" w:name="_Toc511226420"/>
      <w:bookmarkStart w:id="414" w:name="_Toc153130725"/>
      <w:bookmarkStart w:id="415" w:name="_Toc211070085"/>
      <w:bookmarkStart w:id="416" w:name="_Toc502783452"/>
      <w:bookmarkStart w:id="417" w:name="_Toc213683056"/>
      <w:bookmarkStart w:id="418" w:name="_Toc70589750"/>
      <w:bookmarkStart w:id="419" w:name="_Toc214407008"/>
      <w:r>
        <w:rPr>
          <w:rFonts w:ascii="宋体" w:eastAsia="宋体" w:hAnsi="宋体" w:cs="宋体" w:hint="eastAsia"/>
          <w:sz w:val="24"/>
          <w:szCs w:val="24"/>
        </w:rPr>
        <w:t>5.3 矿山服务年限</w:t>
      </w:r>
      <w:bookmarkEnd w:id="413"/>
      <w:bookmarkEnd w:id="414"/>
      <w:bookmarkEnd w:id="415"/>
      <w:bookmarkEnd w:id="416"/>
      <w:bookmarkEnd w:id="417"/>
      <w:bookmarkEnd w:id="418"/>
      <w:bookmarkEnd w:id="419"/>
    </w:p>
    <w:p w:rsidR="009C5C1F" w:rsidRDefault="004D2E0D">
      <w:pPr>
        <w:spacing w:line="500" w:lineRule="exact"/>
        <w:ind w:firstLineChars="200" w:firstLine="480"/>
        <w:rPr>
          <w:rFonts w:ascii="宋体" w:hAnsi="宋体" w:cs="宋体"/>
          <w:sz w:val="24"/>
        </w:rPr>
      </w:pPr>
      <w:bookmarkStart w:id="420" w:name="_Toc213683061"/>
      <w:bookmarkStart w:id="421" w:name="_Toc211070090"/>
      <w:bookmarkStart w:id="422" w:name="_Toc214407009"/>
      <w:r>
        <w:rPr>
          <w:rFonts w:ascii="宋体" w:hAnsi="宋体" w:cs="宋体" w:hint="eastAsia"/>
          <w:sz w:val="24"/>
        </w:rPr>
        <w:t>在第四章4.1.1节中对该矿的设计可采的资源储量已做了合理计算，该矿开采范围内建筑用砂矿设计可采资源量为</w:t>
      </w:r>
      <w:r>
        <w:rPr>
          <w:rFonts w:ascii="宋体" w:hAnsi="宋体" w:cs="宋体"/>
          <w:spacing w:val="-2"/>
          <w:sz w:val="24"/>
        </w:rPr>
        <w:t>111.815</w:t>
      </w:r>
      <w:r>
        <w:rPr>
          <w:rFonts w:ascii="宋体" w:hAnsi="宋体" w:cs="宋体" w:hint="eastAsia"/>
          <w:spacing w:val="-2"/>
          <w:sz w:val="24"/>
        </w:rPr>
        <w:t>×10</w:t>
      </w:r>
      <w:r>
        <w:rPr>
          <w:rFonts w:ascii="宋体" w:hAnsi="宋体" w:cs="宋体" w:hint="eastAsia"/>
          <w:spacing w:val="-2"/>
          <w:sz w:val="24"/>
          <w:vertAlign w:val="superscript"/>
        </w:rPr>
        <w:t>4</w:t>
      </w:r>
      <w:r>
        <w:rPr>
          <w:rFonts w:ascii="宋体" w:hAnsi="宋体" w:cs="宋体" w:hint="eastAsia"/>
          <w:sz w:val="24"/>
        </w:rPr>
        <w:t>m</w:t>
      </w:r>
      <w:r>
        <w:rPr>
          <w:rFonts w:ascii="宋体" w:hAnsi="宋体" w:cs="宋体" w:hint="eastAsia"/>
          <w:sz w:val="24"/>
          <w:vertAlign w:val="superscript"/>
        </w:rPr>
        <w:t>3</w:t>
      </w:r>
      <w:r>
        <w:rPr>
          <w:rFonts w:ascii="宋体" w:hAnsi="宋体" w:cs="宋体" w:hint="eastAsia"/>
          <w:sz w:val="24"/>
        </w:rPr>
        <w:t>，本次开发利用方案根据提供的矿山普查报告、以及该矿矿石市场的需求量将开采规模定为</w:t>
      </w:r>
      <w:r>
        <w:rPr>
          <w:rFonts w:ascii="宋体" w:hAnsi="宋体" w:cs="宋体"/>
          <w:sz w:val="24"/>
        </w:rPr>
        <w:t>10</w:t>
      </w:r>
      <w:r>
        <w:rPr>
          <w:rFonts w:ascii="Arial" w:hAnsi="Arial" w:cs="Arial"/>
          <w:sz w:val="24"/>
        </w:rPr>
        <w:t>×</w:t>
      </w:r>
      <w:r>
        <w:rPr>
          <w:rFonts w:ascii="宋体" w:hAnsi="宋体" w:cs="宋体" w:hint="eastAsia"/>
          <w:sz w:val="24"/>
        </w:rPr>
        <w:t>10</w:t>
      </w:r>
      <w:r>
        <w:rPr>
          <w:rFonts w:ascii="宋体" w:hAnsi="宋体" w:cs="宋体" w:hint="eastAsia"/>
          <w:sz w:val="24"/>
          <w:vertAlign w:val="superscript"/>
        </w:rPr>
        <w:t>4</w:t>
      </w:r>
      <w:r>
        <w:rPr>
          <w:rFonts w:ascii="宋体" w:hAnsi="宋体" w:cs="宋体" w:hint="eastAsia"/>
          <w:sz w:val="24"/>
        </w:rPr>
        <w:t>m</w:t>
      </w:r>
      <w:r>
        <w:rPr>
          <w:rFonts w:ascii="宋体" w:hAnsi="宋体" w:cs="宋体" w:hint="eastAsia"/>
          <w:sz w:val="24"/>
          <w:vertAlign w:val="superscript"/>
        </w:rPr>
        <w:t>3</w:t>
      </w:r>
      <w:r>
        <w:rPr>
          <w:rFonts w:ascii="宋体" w:hAnsi="宋体" w:cs="宋体" w:hint="eastAsia"/>
          <w:sz w:val="24"/>
        </w:rPr>
        <w:t>/a。</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则矿山服务年限为：n=</w:t>
      </w:r>
      <w:r>
        <w:rPr>
          <w:rFonts w:ascii="宋体" w:hAnsi="宋体" w:cs="宋体"/>
          <w:spacing w:val="-2"/>
          <w:sz w:val="24"/>
        </w:rPr>
        <w:t>111.815</w:t>
      </w:r>
      <w:r>
        <w:rPr>
          <w:rFonts w:ascii="宋体" w:hAnsi="宋体" w:cs="宋体" w:hint="eastAsia"/>
          <w:spacing w:val="-2"/>
          <w:sz w:val="24"/>
        </w:rPr>
        <w:t>×10</w:t>
      </w:r>
      <w:r>
        <w:rPr>
          <w:rFonts w:ascii="宋体" w:hAnsi="宋体" w:cs="宋体" w:hint="eastAsia"/>
          <w:spacing w:val="-2"/>
          <w:sz w:val="24"/>
          <w:vertAlign w:val="superscript"/>
        </w:rPr>
        <w:t>4</w:t>
      </w:r>
      <w:r>
        <w:rPr>
          <w:rFonts w:ascii="宋体" w:hAnsi="宋体" w:cs="宋体" w:hint="eastAsia"/>
          <w:sz w:val="24"/>
        </w:rPr>
        <w:t>m</w:t>
      </w:r>
      <w:r>
        <w:rPr>
          <w:rFonts w:ascii="宋体" w:hAnsi="宋体" w:cs="宋体" w:hint="eastAsia"/>
          <w:sz w:val="24"/>
          <w:vertAlign w:val="superscript"/>
        </w:rPr>
        <w:t>3</w:t>
      </w:r>
      <w:r>
        <w:rPr>
          <w:rFonts w:ascii="宋体" w:hAnsi="宋体" w:cs="宋体" w:hint="eastAsia"/>
          <w:sz w:val="24"/>
        </w:rPr>
        <w:t>÷</w:t>
      </w:r>
      <w:r>
        <w:rPr>
          <w:rFonts w:ascii="宋体" w:hAnsi="宋体" w:cs="宋体"/>
          <w:sz w:val="24"/>
        </w:rPr>
        <w:t>10</w:t>
      </w:r>
      <w:r>
        <w:rPr>
          <w:rFonts w:ascii="Arial" w:hAnsi="Arial" w:cs="Arial"/>
          <w:sz w:val="24"/>
        </w:rPr>
        <w:t>×</w:t>
      </w:r>
      <w:r>
        <w:rPr>
          <w:rFonts w:ascii="宋体" w:hAnsi="宋体" w:cs="宋体" w:hint="eastAsia"/>
          <w:sz w:val="24"/>
        </w:rPr>
        <w:t>10</w:t>
      </w:r>
      <w:r>
        <w:rPr>
          <w:rFonts w:ascii="宋体" w:hAnsi="宋体" w:cs="宋体" w:hint="eastAsia"/>
          <w:sz w:val="24"/>
          <w:vertAlign w:val="superscript"/>
        </w:rPr>
        <w:t>4</w:t>
      </w:r>
      <w:r>
        <w:rPr>
          <w:rFonts w:ascii="宋体" w:hAnsi="宋体" w:cs="宋体" w:hint="eastAsia"/>
          <w:sz w:val="24"/>
        </w:rPr>
        <w:t>m</w:t>
      </w:r>
      <w:r>
        <w:rPr>
          <w:rFonts w:ascii="宋体" w:hAnsi="宋体" w:cs="宋体" w:hint="eastAsia"/>
          <w:sz w:val="24"/>
          <w:vertAlign w:val="superscript"/>
        </w:rPr>
        <w:t>3</w:t>
      </w:r>
      <w:r>
        <w:rPr>
          <w:rFonts w:ascii="宋体" w:hAnsi="宋体" w:cs="宋体" w:hint="eastAsia"/>
          <w:sz w:val="24"/>
        </w:rPr>
        <w:t>/a≈</w:t>
      </w:r>
      <w:r>
        <w:rPr>
          <w:rFonts w:ascii="宋体" w:hAnsi="宋体" w:cs="宋体"/>
          <w:sz w:val="24"/>
        </w:rPr>
        <w:t>11</w:t>
      </w:r>
      <w:r>
        <w:rPr>
          <w:rFonts w:ascii="宋体" w:hAnsi="宋体" w:cs="宋体" w:hint="eastAsia"/>
          <w:sz w:val="24"/>
        </w:rPr>
        <w:t>a（不包含基建期）。</w:t>
      </w:r>
    </w:p>
    <w:p w:rsidR="009C5C1F" w:rsidRDefault="004D2E0D">
      <w:pPr>
        <w:pStyle w:val="2"/>
        <w:spacing w:beforeLines="100" w:before="360" w:line="500" w:lineRule="atLeast"/>
        <w:ind w:firstLine="482"/>
        <w:rPr>
          <w:rFonts w:ascii="宋体" w:eastAsia="宋体" w:hAnsi="宋体" w:cs="宋体"/>
          <w:sz w:val="24"/>
          <w:szCs w:val="24"/>
        </w:rPr>
      </w:pPr>
      <w:bookmarkStart w:id="423" w:name="_Toc70589751"/>
      <w:bookmarkStart w:id="424" w:name="_Toc153130726"/>
      <w:bookmarkStart w:id="425" w:name="_Toc282308068"/>
      <w:bookmarkStart w:id="426" w:name="_Toc502783453"/>
      <w:bookmarkStart w:id="427" w:name="_Toc511226421"/>
      <w:bookmarkStart w:id="428" w:name="_Toc211070091"/>
      <w:bookmarkStart w:id="429" w:name="_Toc213683062"/>
      <w:bookmarkStart w:id="430" w:name="_Toc214407013"/>
      <w:bookmarkEnd w:id="420"/>
      <w:bookmarkEnd w:id="421"/>
      <w:bookmarkEnd w:id="422"/>
      <w:r>
        <w:rPr>
          <w:rFonts w:ascii="宋体" w:eastAsia="宋体" w:hAnsi="宋体" w:cs="宋体" w:hint="eastAsia"/>
          <w:sz w:val="24"/>
          <w:szCs w:val="24"/>
        </w:rPr>
        <w:t>5.4剥采比与剥离量</w:t>
      </w:r>
      <w:bookmarkEnd w:id="423"/>
      <w:bookmarkEnd w:id="424"/>
      <w:bookmarkEnd w:id="425"/>
      <w:bookmarkEnd w:id="426"/>
      <w:bookmarkEnd w:id="427"/>
    </w:p>
    <w:p w:rsidR="009C5C1F" w:rsidRDefault="004D2E0D">
      <w:pPr>
        <w:pStyle w:val="3"/>
        <w:spacing w:beforeLines="100" w:before="360" w:after="0" w:line="500" w:lineRule="exact"/>
        <w:ind w:firstLineChars="200" w:firstLine="482"/>
        <w:rPr>
          <w:rFonts w:ascii="宋体" w:hAnsi="宋体" w:cs="宋体"/>
        </w:rPr>
      </w:pPr>
      <w:bookmarkStart w:id="431" w:name="_Toc70589752"/>
      <w:bookmarkStart w:id="432" w:name="_Toc220208097"/>
      <w:bookmarkStart w:id="433" w:name="_Toc282308069"/>
      <w:bookmarkStart w:id="434" w:name="_Toc502783454"/>
      <w:bookmarkStart w:id="435" w:name="_Toc395519191"/>
      <w:r>
        <w:rPr>
          <w:rFonts w:ascii="宋体" w:hAnsi="宋体" w:cs="宋体" w:hint="eastAsia"/>
        </w:rPr>
        <w:t>5.4.1经济合理剥采比的确定</w:t>
      </w:r>
      <w:bookmarkEnd w:id="431"/>
      <w:bookmarkEnd w:id="432"/>
      <w:bookmarkEnd w:id="433"/>
      <w:bookmarkEnd w:id="434"/>
      <w:bookmarkEnd w:id="435"/>
    </w:p>
    <w:p w:rsidR="009C5C1F" w:rsidRDefault="004D2E0D">
      <w:pPr>
        <w:spacing w:line="500" w:lineRule="exact"/>
        <w:ind w:firstLineChars="200" w:firstLine="480"/>
        <w:rPr>
          <w:rFonts w:ascii="宋体" w:hAnsi="宋体" w:cs="宋体"/>
          <w:sz w:val="24"/>
        </w:rPr>
      </w:pPr>
      <w:r>
        <w:rPr>
          <w:rFonts w:ascii="宋体" w:hAnsi="宋体" w:cs="宋体" w:hint="eastAsia"/>
          <w:sz w:val="24"/>
        </w:rPr>
        <w:t>矿山采用露天开采方式。根据目前该矿建筑用砂矿的市场价格，结合开挖围岩的成本等，采用原矿价格法计算该矿区露天开采的经济合理剥采比如下：</w:t>
      </w:r>
    </w:p>
    <w:p w:rsidR="009C5C1F" w:rsidRDefault="004D2E0D">
      <w:pPr>
        <w:snapToGrid w:val="0"/>
        <w:spacing w:line="500" w:lineRule="exact"/>
        <w:ind w:firstLineChars="200" w:firstLine="480"/>
        <w:rPr>
          <w:rFonts w:ascii="宋体" w:hAnsi="宋体" w:cs="宋体"/>
          <w:sz w:val="24"/>
        </w:rPr>
      </w:pPr>
      <w:r>
        <w:rPr>
          <w:rFonts w:ascii="宋体" w:hAnsi="宋体" w:cs="宋体" w:hint="eastAsia"/>
          <w:sz w:val="24"/>
        </w:rPr>
        <w:t>价格法计算经济合理剥采比的原则是，露天开采的单位产品成本不高于产品的销售价格。当露天开采的最终产品为原矿时，根据价格法原则：</w:t>
      </w:r>
    </w:p>
    <w:p w:rsidR="009C5C1F" w:rsidRDefault="004D2E0D">
      <w:pPr>
        <w:snapToGrid w:val="0"/>
        <w:spacing w:line="500" w:lineRule="exact"/>
        <w:ind w:firstLineChars="1250" w:firstLine="3000"/>
        <w:rPr>
          <w:rFonts w:ascii="宋体" w:hAnsi="宋体" w:cs="宋体"/>
          <w:sz w:val="24"/>
        </w:rPr>
      </w:pPr>
      <w:r>
        <w:rPr>
          <w:rFonts w:ascii="宋体" w:hAnsi="宋体" w:cs="宋体" w:hint="eastAsia"/>
          <w:position w:val="-14"/>
          <w:sz w:val="24"/>
        </w:rPr>
        <w:object w:dxaOrig="1740"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2.5pt" o:ole="">
            <v:imagedata r:id="rId20" o:title=""/>
          </v:shape>
          <o:OLEObject Type="Embed" ProgID="Equation.3" ShapeID="_x0000_i1025" DrawAspect="Content" ObjectID="_1772264704" r:id="rId21"/>
        </w:object>
      </w:r>
    </w:p>
    <w:p w:rsidR="009C5C1F" w:rsidRDefault="004D2E0D">
      <w:pPr>
        <w:snapToGrid w:val="0"/>
        <w:spacing w:afterLines="50" w:after="180" w:line="500" w:lineRule="exact"/>
        <w:ind w:firstLineChars="200" w:firstLine="480"/>
        <w:rPr>
          <w:rFonts w:ascii="宋体" w:hAnsi="宋体" w:cs="宋体"/>
          <w:sz w:val="24"/>
        </w:rPr>
      </w:pPr>
      <w:r>
        <w:rPr>
          <w:rFonts w:ascii="宋体" w:hAnsi="宋体" w:cs="宋体" w:hint="eastAsia"/>
          <w:sz w:val="24"/>
        </w:rPr>
        <w:t xml:space="preserve">故                   </w:t>
      </w:r>
      <w:r>
        <w:rPr>
          <w:rFonts w:ascii="宋体" w:hAnsi="宋体" w:cs="宋体" w:hint="eastAsia"/>
          <w:position w:val="-24"/>
          <w:sz w:val="24"/>
        </w:rPr>
        <w:object w:dxaOrig="1750" w:dyaOrig="690">
          <v:shape id="_x0000_i1026" type="#_x0000_t75" style="width:87.5pt;height:34.5pt" o:ole="">
            <v:imagedata r:id="rId22" o:title=""/>
          </v:shape>
          <o:OLEObject Type="Embed" ProgID="Equation.3" ShapeID="_x0000_i1026" DrawAspect="Content" ObjectID="_1772264705" r:id="rId23"/>
        </w:object>
      </w:r>
      <w:r>
        <w:rPr>
          <w:rFonts w:ascii="宋体" w:hAnsi="宋体" w:cs="宋体" w:hint="eastAsia"/>
          <w:sz w:val="24"/>
        </w:rPr>
        <w:t xml:space="preserve"> </w:t>
      </w:r>
    </w:p>
    <w:p w:rsidR="009C5C1F" w:rsidRDefault="004D2E0D">
      <w:pPr>
        <w:snapToGrid w:val="0"/>
        <w:spacing w:line="500" w:lineRule="exact"/>
        <w:ind w:firstLineChars="200" w:firstLine="480"/>
        <w:rPr>
          <w:rFonts w:ascii="宋体" w:hAnsi="宋体" w:cs="宋体"/>
          <w:sz w:val="24"/>
        </w:rPr>
      </w:pPr>
      <w:r>
        <w:rPr>
          <w:rFonts w:ascii="宋体" w:hAnsi="宋体" w:cs="宋体" w:hint="eastAsia"/>
          <w:sz w:val="24"/>
        </w:rPr>
        <w:t>式中  P</w:t>
      </w:r>
      <w:r>
        <w:rPr>
          <w:rFonts w:ascii="宋体" w:hAnsi="宋体" w:cs="宋体" w:hint="eastAsia"/>
          <w:sz w:val="24"/>
          <w:vertAlign w:val="subscript"/>
        </w:rPr>
        <w:t>0</w:t>
      </w:r>
      <w:r>
        <w:rPr>
          <w:rFonts w:ascii="宋体" w:hAnsi="宋体" w:cs="宋体" w:hint="eastAsia"/>
          <w:sz w:val="24"/>
        </w:rPr>
        <w:t>——矿石矿点的价格（目前价格为60元/</w:t>
      </w:r>
      <w:r>
        <w:rPr>
          <w:rFonts w:ascii="宋体" w:hAnsi="宋体" w:hint="eastAsia"/>
          <w:sz w:val="28"/>
          <w:szCs w:val="28"/>
        </w:rPr>
        <w:t>m</w:t>
      </w:r>
      <w:r>
        <w:rPr>
          <w:rFonts w:ascii="宋体" w:hAnsi="宋体" w:hint="eastAsia"/>
          <w:sz w:val="28"/>
          <w:szCs w:val="28"/>
          <w:vertAlign w:val="superscript"/>
        </w:rPr>
        <w:t>3</w:t>
      </w:r>
      <w:r>
        <w:rPr>
          <w:rFonts w:ascii="宋体" w:hAnsi="宋体" w:cs="宋体" w:hint="eastAsia"/>
          <w:sz w:val="24"/>
        </w:rPr>
        <w:t>）。</w:t>
      </w:r>
    </w:p>
    <w:p w:rsidR="009C5C1F" w:rsidRDefault="004D2E0D">
      <w:pPr>
        <w:snapToGrid w:val="0"/>
        <w:spacing w:line="500" w:lineRule="exact"/>
        <w:ind w:firstLineChars="200" w:firstLine="480"/>
        <w:rPr>
          <w:rFonts w:ascii="宋体" w:hAnsi="宋体" w:cs="宋体"/>
          <w:sz w:val="24"/>
        </w:rPr>
      </w:pPr>
      <w:r>
        <w:rPr>
          <w:rFonts w:ascii="宋体" w:hAnsi="宋体" w:cs="宋体" w:hint="eastAsia"/>
          <w:sz w:val="24"/>
        </w:rPr>
        <w:t>a——露天开采的纯采矿成本（不包括剥离，当地成本价35元/</w:t>
      </w:r>
      <w:r>
        <w:rPr>
          <w:rFonts w:ascii="宋体" w:hAnsi="宋体" w:hint="eastAsia"/>
          <w:sz w:val="28"/>
          <w:szCs w:val="28"/>
        </w:rPr>
        <w:t>m</w:t>
      </w:r>
      <w:r>
        <w:rPr>
          <w:rFonts w:ascii="宋体" w:hAnsi="宋体" w:hint="eastAsia"/>
          <w:sz w:val="28"/>
          <w:szCs w:val="28"/>
          <w:vertAlign w:val="superscript"/>
        </w:rPr>
        <w:t>3</w:t>
      </w:r>
      <w:r>
        <w:rPr>
          <w:rFonts w:ascii="宋体" w:hAnsi="宋体" w:cs="宋体" w:hint="eastAsia"/>
          <w:sz w:val="24"/>
        </w:rPr>
        <w:t>）；</w:t>
      </w:r>
    </w:p>
    <w:p w:rsidR="009C5C1F" w:rsidRDefault="004D2E0D">
      <w:pPr>
        <w:snapToGrid w:val="0"/>
        <w:spacing w:line="500" w:lineRule="exact"/>
        <w:ind w:firstLineChars="200" w:firstLine="480"/>
        <w:rPr>
          <w:rFonts w:ascii="宋体" w:hAnsi="宋体" w:cs="宋体"/>
          <w:sz w:val="24"/>
        </w:rPr>
      </w:pPr>
      <w:r>
        <w:rPr>
          <w:rFonts w:ascii="宋体" w:hAnsi="宋体" w:cs="宋体" w:hint="eastAsia"/>
          <w:sz w:val="24"/>
        </w:rPr>
        <w:t>b——露天开采的剥离成本（当地剥离成本为20元/</w:t>
      </w:r>
      <w:r>
        <w:rPr>
          <w:rFonts w:ascii="宋体" w:hAnsi="宋体" w:hint="eastAsia"/>
          <w:sz w:val="28"/>
          <w:szCs w:val="28"/>
        </w:rPr>
        <w:t>m</w:t>
      </w:r>
      <w:r>
        <w:rPr>
          <w:rFonts w:ascii="宋体" w:hAnsi="宋体" w:hint="eastAsia"/>
          <w:sz w:val="28"/>
          <w:szCs w:val="28"/>
          <w:vertAlign w:val="superscript"/>
        </w:rPr>
        <w:t>3</w:t>
      </w:r>
      <w:r>
        <w:rPr>
          <w:rFonts w:ascii="宋体" w:hAnsi="宋体" w:cs="宋体" w:hint="eastAsia"/>
          <w:sz w:val="24"/>
        </w:rPr>
        <w:t>）；</w:t>
      </w:r>
    </w:p>
    <w:p w:rsidR="009C5C1F" w:rsidRDefault="004D2E0D">
      <w:pPr>
        <w:snapToGrid w:val="0"/>
        <w:spacing w:line="500" w:lineRule="exact"/>
        <w:ind w:firstLineChars="200" w:firstLine="480"/>
        <w:rPr>
          <w:rFonts w:ascii="宋体" w:hAnsi="宋体" w:cs="宋体"/>
          <w:sz w:val="24"/>
        </w:rPr>
      </w:pPr>
      <w:r>
        <w:rPr>
          <w:rFonts w:ascii="宋体" w:hAnsi="宋体" w:cs="宋体" w:hint="eastAsia"/>
          <w:position w:val="-14"/>
          <w:sz w:val="24"/>
        </w:rPr>
        <w:object w:dxaOrig="350" w:dyaOrig="370">
          <v:shape id="_x0000_i1027" type="#_x0000_t75" style="width:17.5pt;height:18.5pt" o:ole="">
            <v:imagedata r:id="rId24" o:title=""/>
          </v:shape>
          <o:OLEObject Type="Embed" ProgID="Equation.3" ShapeID="_x0000_i1027" DrawAspect="Content" ObjectID="_1772264706" r:id="rId25"/>
        </w:object>
      </w:r>
      <w:r>
        <w:rPr>
          <w:rFonts w:ascii="宋体" w:hAnsi="宋体" w:cs="宋体" w:hint="eastAsia"/>
          <w:sz w:val="24"/>
        </w:rPr>
        <w:t>——剥采比，m</w:t>
      </w:r>
      <w:r>
        <w:rPr>
          <w:rFonts w:ascii="宋体" w:hAnsi="宋体" w:cs="宋体" w:hint="eastAsia"/>
          <w:sz w:val="24"/>
          <w:vertAlign w:val="superscript"/>
        </w:rPr>
        <w:t>3</w:t>
      </w:r>
      <w:r>
        <w:rPr>
          <w:rFonts w:ascii="宋体" w:hAnsi="宋体" w:cs="宋体" w:hint="eastAsia"/>
          <w:sz w:val="24"/>
        </w:rPr>
        <w:t>/m</w:t>
      </w:r>
      <w:r>
        <w:rPr>
          <w:rFonts w:ascii="宋体" w:hAnsi="宋体" w:cs="宋体" w:hint="eastAsia"/>
          <w:sz w:val="24"/>
          <w:vertAlign w:val="superscript"/>
        </w:rPr>
        <w:t>3</w:t>
      </w:r>
      <w:r>
        <w:rPr>
          <w:rFonts w:ascii="宋体" w:hAnsi="宋体" w:cs="宋体" w:hint="eastAsia"/>
          <w:sz w:val="24"/>
        </w:rPr>
        <w:t>。</w:t>
      </w:r>
    </w:p>
    <w:p w:rsidR="009C5C1F" w:rsidRDefault="004D2E0D">
      <w:pPr>
        <w:snapToGrid w:val="0"/>
        <w:spacing w:line="500" w:lineRule="exact"/>
        <w:ind w:firstLineChars="200" w:firstLine="480"/>
        <w:rPr>
          <w:rFonts w:ascii="宋体" w:hAnsi="宋体" w:cs="宋体"/>
          <w:sz w:val="24"/>
        </w:rPr>
      </w:pPr>
      <w:r>
        <w:rPr>
          <w:rFonts w:ascii="宋体" w:hAnsi="宋体" w:cs="宋体" w:hint="eastAsia"/>
          <w:sz w:val="24"/>
        </w:rPr>
        <w:lastRenderedPageBreak/>
        <w:t>若按照保证露天开采的产品能获得预定的最低利润的原则来计算经济合理剥采比的方法，称最低利润法。当露天开采最终产品为原矿时</w:t>
      </w:r>
    </w:p>
    <w:p w:rsidR="009C5C1F" w:rsidRDefault="004D2E0D">
      <w:pPr>
        <w:snapToGrid w:val="0"/>
        <w:spacing w:afterLines="50" w:after="180" w:line="500" w:lineRule="exact"/>
        <w:ind w:firstLineChars="200" w:firstLine="480"/>
        <w:jc w:val="center"/>
        <w:rPr>
          <w:rFonts w:ascii="宋体" w:hAnsi="宋体" w:cs="宋体"/>
          <w:sz w:val="24"/>
        </w:rPr>
      </w:pPr>
      <w:r>
        <w:rPr>
          <w:rFonts w:ascii="宋体" w:hAnsi="宋体" w:cs="宋体" w:hint="eastAsia"/>
          <w:position w:val="-24"/>
          <w:sz w:val="24"/>
        </w:rPr>
        <w:object w:dxaOrig="1911" w:dyaOrig="670">
          <v:shape id="_x0000_i1028" type="#_x0000_t75" style="width:95.55pt;height:33.5pt" o:ole="">
            <v:imagedata r:id="rId26" o:title=""/>
          </v:shape>
          <o:OLEObject Type="Embed" ProgID="Equation.3" ShapeID="_x0000_i1028" DrawAspect="Content" ObjectID="_1772264707" r:id="rId27"/>
        </w:object>
      </w:r>
      <w:r>
        <w:rPr>
          <w:rFonts w:ascii="宋体" w:hAnsi="宋体" w:cs="宋体" w:hint="eastAsia"/>
          <w:sz w:val="24"/>
        </w:rPr>
        <w:t xml:space="preserve"> </w:t>
      </w:r>
    </w:p>
    <w:p w:rsidR="009C5C1F" w:rsidRDefault="004D2E0D">
      <w:pPr>
        <w:snapToGrid w:val="0"/>
        <w:spacing w:line="500" w:lineRule="exact"/>
        <w:ind w:firstLineChars="200" w:firstLine="480"/>
        <w:rPr>
          <w:rFonts w:ascii="宋体" w:hAnsi="宋体" w:cs="宋体"/>
          <w:sz w:val="24"/>
        </w:rPr>
      </w:pPr>
      <w:r>
        <w:rPr>
          <w:rFonts w:ascii="宋体" w:hAnsi="宋体" w:cs="宋体" w:hint="eastAsia"/>
          <w:sz w:val="24"/>
        </w:rPr>
        <w:t>式中  δ——利润率（取0.3）；</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 xml:space="preserve">      其余符号意义同前。</w:t>
      </w:r>
    </w:p>
    <w:p w:rsidR="009C5C1F" w:rsidRDefault="004D2E0D">
      <w:pPr>
        <w:snapToGrid w:val="0"/>
        <w:spacing w:line="500" w:lineRule="exact"/>
        <w:ind w:firstLineChars="200" w:firstLine="480"/>
        <w:rPr>
          <w:rFonts w:ascii="宋体" w:hAnsi="宋体" w:cs="宋体"/>
          <w:sz w:val="24"/>
        </w:rPr>
      </w:pPr>
      <w:r>
        <w:rPr>
          <w:rFonts w:ascii="宋体" w:hAnsi="宋体" w:cs="宋体" w:hint="eastAsia"/>
          <w:sz w:val="24"/>
        </w:rPr>
        <w:t>经过计算，该地区采用露天开采的经济合理剥采比为0.5:1。</w:t>
      </w:r>
    </w:p>
    <w:p w:rsidR="009C5C1F" w:rsidRDefault="004D2E0D">
      <w:pPr>
        <w:pStyle w:val="3"/>
        <w:spacing w:beforeLines="100" w:before="360" w:after="0" w:line="500" w:lineRule="exact"/>
        <w:ind w:firstLineChars="200" w:firstLine="482"/>
        <w:rPr>
          <w:rFonts w:ascii="宋体" w:hAnsi="宋体" w:cs="宋体"/>
        </w:rPr>
      </w:pPr>
      <w:bookmarkStart w:id="436" w:name="_Toc282308070"/>
      <w:bookmarkStart w:id="437" w:name="_Toc70589753"/>
      <w:bookmarkStart w:id="438" w:name="_Toc395519192"/>
      <w:bookmarkStart w:id="439" w:name="_Toc502783455"/>
      <w:r>
        <w:rPr>
          <w:rFonts w:ascii="宋体" w:hAnsi="宋体" w:cs="宋体" w:hint="eastAsia"/>
        </w:rPr>
        <w:t>5.4.2总剥采量</w:t>
      </w:r>
      <w:bookmarkEnd w:id="436"/>
      <w:bookmarkEnd w:id="437"/>
      <w:bookmarkEnd w:id="438"/>
      <w:bookmarkEnd w:id="439"/>
    </w:p>
    <w:p w:rsidR="009C5C1F" w:rsidRDefault="004D2E0D">
      <w:pPr>
        <w:spacing w:line="500" w:lineRule="exact"/>
        <w:ind w:firstLineChars="200" w:firstLine="480"/>
        <w:rPr>
          <w:rFonts w:ascii="宋体" w:hAnsi="宋体"/>
          <w:sz w:val="24"/>
        </w:rPr>
      </w:pPr>
      <w:bookmarkStart w:id="440" w:name="_Toc214407010"/>
      <w:r>
        <w:rPr>
          <w:rFonts w:ascii="宋体" w:hAnsi="宋体" w:cs="宋体" w:hint="eastAsia"/>
          <w:sz w:val="24"/>
        </w:rPr>
        <w:t>本方案所依据的资源量是原“普查报告”，由此资料可知：该矿为砖瓦用粘土矿，</w:t>
      </w:r>
      <w:r>
        <w:rPr>
          <w:sz w:val="24"/>
          <w:lang w:val="zh-TW"/>
        </w:rPr>
        <w:t>矿体</w:t>
      </w:r>
      <w:r>
        <w:rPr>
          <w:rFonts w:hint="eastAsia"/>
          <w:sz w:val="24"/>
          <w:lang w:val="zh-TW"/>
        </w:rPr>
        <w:t>基本出露</w:t>
      </w:r>
      <w:r>
        <w:rPr>
          <w:sz w:val="24"/>
          <w:lang w:val="zh-TW"/>
        </w:rPr>
        <w:t>于地表，几乎无覆盖层</w:t>
      </w:r>
      <w:r>
        <w:rPr>
          <w:rFonts w:hint="eastAsia"/>
          <w:sz w:val="24"/>
          <w:lang w:val="zh-TW"/>
        </w:rPr>
        <w:t>，矿体剥离量少，</w:t>
      </w:r>
      <w:r>
        <w:rPr>
          <w:sz w:val="24"/>
          <w:lang w:val="zh-TW"/>
        </w:rPr>
        <w:t>则</w:t>
      </w:r>
      <w:r>
        <w:rPr>
          <w:rFonts w:hint="eastAsia"/>
          <w:sz w:val="24"/>
          <w:lang w:val="zh-TW"/>
        </w:rPr>
        <w:t>计</w:t>
      </w:r>
      <w:r>
        <w:rPr>
          <w:sz w:val="24"/>
          <w:lang w:val="zh-TW"/>
        </w:rPr>
        <w:t>矿体剥离量为</w:t>
      </w:r>
      <w:r>
        <w:rPr>
          <w:rFonts w:hint="eastAsia"/>
          <w:sz w:val="24"/>
          <w:lang w:val="zh-TW"/>
        </w:rPr>
        <w:t>0</w:t>
      </w:r>
      <w:r>
        <w:rPr>
          <w:rFonts w:ascii="宋体" w:hAnsi="宋体" w:hint="eastAsia"/>
          <w:sz w:val="24"/>
        </w:rPr>
        <w:t>。</w:t>
      </w:r>
    </w:p>
    <w:p w:rsidR="009C5C1F" w:rsidRDefault="004D2E0D">
      <w:pPr>
        <w:pStyle w:val="3"/>
        <w:spacing w:beforeLines="100" w:before="360" w:after="0" w:line="500" w:lineRule="exact"/>
        <w:ind w:firstLineChars="200" w:firstLine="482"/>
        <w:rPr>
          <w:rFonts w:ascii="宋体" w:hAnsi="宋体" w:cs="宋体"/>
        </w:rPr>
      </w:pPr>
      <w:bookmarkStart w:id="441" w:name="_Toc395519193"/>
      <w:bookmarkStart w:id="442" w:name="_Toc70589754"/>
      <w:bookmarkStart w:id="443" w:name="_Toc502783456"/>
      <w:r>
        <w:rPr>
          <w:rFonts w:ascii="宋体" w:hAnsi="宋体" w:cs="宋体" w:hint="eastAsia"/>
        </w:rPr>
        <w:t>5.4.3矿床开采综述</w:t>
      </w:r>
      <w:bookmarkEnd w:id="441"/>
      <w:bookmarkEnd w:id="442"/>
      <w:bookmarkEnd w:id="443"/>
    </w:p>
    <w:p w:rsidR="009C5C1F" w:rsidRDefault="004D2E0D">
      <w:pPr>
        <w:tabs>
          <w:tab w:val="left" w:pos="2895"/>
        </w:tabs>
        <w:spacing w:line="500" w:lineRule="exact"/>
        <w:ind w:firstLineChars="200" w:firstLine="480"/>
        <w:rPr>
          <w:rFonts w:ascii="宋体" w:hAnsi="宋体" w:cs="宋体"/>
          <w:sz w:val="24"/>
        </w:rPr>
      </w:pPr>
      <w:r>
        <w:rPr>
          <w:rFonts w:ascii="宋体" w:hAnsi="宋体" w:cs="宋体" w:hint="eastAsia"/>
          <w:sz w:val="24"/>
        </w:rPr>
        <w:t>根据矿山地质地形条件、矿体赋存特征，由于</w:t>
      </w:r>
      <w:proofErr w:type="gramStart"/>
      <w:r>
        <w:rPr>
          <w:rFonts w:ascii="宋体" w:hAnsi="宋体" w:cs="宋体" w:hint="eastAsia"/>
          <w:sz w:val="24"/>
        </w:rPr>
        <w:t>粘土矿易采掘</w:t>
      </w:r>
      <w:proofErr w:type="gramEnd"/>
      <w:r>
        <w:rPr>
          <w:rFonts w:ascii="宋体" w:hAnsi="宋体" w:cs="宋体" w:hint="eastAsia"/>
          <w:sz w:val="24"/>
        </w:rPr>
        <w:t>，该矿开采主要以机械为主、人工配合的采矿方法。即采用装载机配合挖掘机沿采场走向分一层直接开采，自卸运输车运输方式进行开采。</w:t>
      </w:r>
    </w:p>
    <w:p w:rsidR="009C5C1F" w:rsidRDefault="004D2E0D">
      <w:pPr>
        <w:pStyle w:val="1"/>
        <w:rPr>
          <w:rStyle w:val="1Char"/>
          <w:b/>
          <w:bCs/>
          <w:sz w:val="24"/>
          <w:szCs w:val="24"/>
        </w:rPr>
      </w:pPr>
      <w:r>
        <w:rPr>
          <w:rFonts w:ascii="宋体" w:hAnsi="宋体" w:hint="eastAsia"/>
          <w:kern w:val="2"/>
          <w:sz w:val="24"/>
          <w:szCs w:val="24"/>
        </w:rPr>
        <w:br w:type="page"/>
      </w:r>
      <w:bookmarkStart w:id="444" w:name="_Toc502783457"/>
      <w:bookmarkStart w:id="445" w:name="_Toc511226422"/>
      <w:bookmarkStart w:id="446" w:name="_Toc214407014"/>
      <w:bookmarkStart w:id="447" w:name="_Toc153130727"/>
      <w:bookmarkStart w:id="448" w:name="_Toc70589755"/>
      <w:bookmarkEnd w:id="428"/>
      <w:bookmarkEnd w:id="429"/>
      <w:bookmarkEnd w:id="430"/>
      <w:bookmarkEnd w:id="440"/>
      <w:r>
        <w:rPr>
          <w:rStyle w:val="1Char"/>
          <w:rFonts w:hint="eastAsia"/>
          <w:b/>
          <w:bCs/>
          <w:sz w:val="24"/>
          <w:szCs w:val="24"/>
        </w:rPr>
        <w:lastRenderedPageBreak/>
        <w:t xml:space="preserve">6  </w:t>
      </w:r>
      <w:bookmarkEnd w:id="444"/>
      <w:bookmarkEnd w:id="445"/>
      <w:bookmarkEnd w:id="446"/>
      <w:r>
        <w:rPr>
          <w:rStyle w:val="1Char"/>
          <w:rFonts w:hint="eastAsia"/>
          <w:b/>
          <w:bCs/>
          <w:sz w:val="24"/>
          <w:szCs w:val="24"/>
        </w:rPr>
        <w:t>总图运输</w:t>
      </w:r>
      <w:bookmarkEnd w:id="447"/>
      <w:bookmarkEnd w:id="448"/>
    </w:p>
    <w:p w:rsidR="009C5C1F" w:rsidRDefault="004D2E0D">
      <w:pPr>
        <w:pStyle w:val="2"/>
        <w:spacing w:beforeLines="100" w:before="360" w:line="500" w:lineRule="atLeast"/>
        <w:ind w:firstLine="482"/>
        <w:rPr>
          <w:rFonts w:ascii="宋体" w:eastAsia="宋体" w:hAnsi="宋体" w:cs="宋体"/>
          <w:sz w:val="24"/>
          <w:szCs w:val="24"/>
        </w:rPr>
      </w:pPr>
      <w:bookmarkStart w:id="449" w:name="_Toc159414560"/>
      <w:bookmarkStart w:id="450" w:name="_Toc171306655"/>
      <w:bookmarkStart w:id="451" w:name="_Toc109462176"/>
      <w:bookmarkStart w:id="452" w:name="_Toc147742395"/>
      <w:bookmarkStart w:id="453" w:name="_Toc171247207"/>
      <w:bookmarkStart w:id="454" w:name="_Toc187743368"/>
      <w:bookmarkStart w:id="455" w:name="_Toc159416147"/>
      <w:bookmarkStart w:id="456" w:name="_Toc171306439"/>
      <w:bookmarkStart w:id="457" w:name="_Toc171330229"/>
      <w:bookmarkStart w:id="458" w:name="_Toc107226788"/>
      <w:bookmarkStart w:id="459" w:name="_Toc187743479"/>
      <w:bookmarkStart w:id="460" w:name="_Toc195347941"/>
      <w:bookmarkStart w:id="461" w:name="_Toc171229371"/>
      <w:bookmarkStart w:id="462" w:name="_Toc186983547"/>
      <w:bookmarkStart w:id="463" w:name="_Toc286680785"/>
      <w:bookmarkStart w:id="464" w:name="_Toc187743286"/>
      <w:bookmarkStart w:id="465" w:name="_Toc381198411"/>
      <w:bookmarkStart w:id="466" w:name="_Toc187743700"/>
      <w:bookmarkStart w:id="467" w:name="_Toc171230894"/>
      <w:bookmarkStart w:id="468" w:name="_Toc186976799"/>
      <w:bookmarkStart w:id="469" w:name="_Toc286681300"/>
      <w:bookmarkStart w:id="470" w:name="_Toc187743813"/>
      <w:bookmarkStart w:id="471" w:name="_Toc286682871"/>
      <w:bookmarkStart w:id="472" w:name="_Toc159414653"/>
      <w:bookmarkStart w:id="473" w:name="_Toc58601622"/>
      <w:bookmarkStart w:id="474" w:name="_Toc194312895"/>
      <w:bookmarkStart w:id="475" w:name="_Toc70589756"/>
      <w:bookmarkStart w:id="476" w:name="_Toc153130728"/>
      <w:bookmarkStart w:id="477" w:name="_Toc286681441"/>
      <w:bookmarkStart w:id="478" w:name="_Toc171306579"/>
      <w:bookmarkStart w:id="479" w:name="_Toc109464072"/>
      <w:bookmarkStart w:id="480" w:name="_Toc195355272"/>
      <w:bookmarkStart w:id="481" w:name="_Toc286682710"/>
      <w:bookmarkStart w:id="482" w:name="_Toc109464277"/>
      <w:bookmarkStart w:id="483" w:name="_Toc159415824"/>
      <w:bookmarkStart w:id="484" w:name="_Toc107227140"/>
      <w:bookmarkStart w:id="485" w:name="_Toc159415574"/>
      <w:bookmarkStart w:id="486" w:name="_Toc194628141"/>
      <w:bookmarkStart w:id="487" w:name="_Toc381622783"/>
      <w:bookmarkStart w:id="488" w:name="_Toc286682370"/>
      <w:bookmarkStart w:id="489" w:name="_Toc171247399"/>
      <w:bookmarkStart w:id="490" w:name="_Toc147316832"/>
      <w:bookmarkStart w:id="491" w:name="_Toc347669328"/>
      <w:bookmarkStart w:id="492" w:name="_Toc187296260"/>
      <w:bookmarkStart w:id="493" w:name="_Toc212543879"/>
      <w:bookmarkStart w:id="494" w:name="_Toc214407017"/>
      <w:r>
        <w:rPr>
          <w:rFonts w:ascii="宋体" w:eastAsia="宋体" w:hAnsi="宋体" w:cs="宋体" w:hint="eastAsia"/>
          <w:sz w:val="24"/>
          <w:szCs w:val="24"/>
        </w:rPr>
        <w:t>6.1总平面布置范围</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9C5C1F" w:rsidRDefault="004D2E0D">
      <w:pPr>
        <w:tabs>
          <w:tab w:val="left" w:pos="2895"/>
        </w:tabs>
        <w:spacing w:line="500" w:lineRule="exact"/>
        <w:ind w:firstLineChars="200" w:firstLine="480"/>
        <w:rPr>
          <w:rFonts w:ascii="宋体" w:hAnsi="宋体" w:cs="宋体"/>
          <w:sz w:val="24"/>
        </w:rPr>
      </w:pPr>
      <w:r>
        <w:rPr>
          <w:rFonts w:ascii="宋体" w:hAnsi="宋体" w:cs="宋体" w:hint="eastAsia"/>
          <w:sz w:val="24"/>
        </w:rPr>
        <w:t>1、矿山主要组成部分：采场、生活区、堆料场。采场露天进行，生活区以封闭式板房为主，堆料场为露天场地。</w:t>
      </w:r>
    </w:p>
    <w:p w:rsidR="009C5C1F" w:rsidRDefault="004D2E0D">
      <w:pPr>
        <w:tabs>
          <w:tab w:val="left" w:pos="2895"/>
        </w:tabs>
        <w:spacing w:line="500" w:lineRule="exact"/>
        <w:ind w:firstLineChars="200" w:firstLine="480"/>
        <w:rPr>
          <w:rFonts w:ascii="宋体" w:hAnsi="宋体" w:cs="宋体"/>
          <w:sz w:val="24"/>
        </w:rPr>
      </w:pPr>
      <w:r>
        <w:rPr>
          <w:rFonts w:ascii="宋体" w:hAnsi="宋体" w:cs="宋体" w:hint="eastAsia"/>
          <w:sz w:val="24"/>
        </w:rPr>
        <w:t>2、矿山运输道路。</w:t>
      </w:r>
      <w:bookmarkStart w:id="495" w:name="_Toc171247211"/>
      <w:bookmarkStart w:id="496" w:name="_Toc186983551"/>
      <w:bookmarkStart w:id="497" w:name="_Toc159415828"/>
      <w:bookmarkStart w:id="498" w:name="_Toc171247403"/>
      <w:bookmarkStart w:id="499" w:name="_Toc159416151"/>
      <w:bookmarkStart w:id="500" w:name="_Toc147742399"/>
      <w:bookmarkStart w:id="501" w:name="_Toc159415578"/>
      <w:bookmarkStart w:id="502" w:name="_Toc171330233"/>
      <w:bookmarkStart w:id="503" w:name="_Toc186976803"/>
      <w:bookmarkStart w:id="504" w:name="_Toc171306659"/>
      <w:bookmarkStart w:id="505" w:name="_Toc107227144"/>
      <w:bookmarkStart w:id="506" w:name="_Toc171230898"/>
      <w:bookmarkStart w:id="507" w:name="_Toc187743704"/>
      <w:bookmarkStart w:id="508" w:name="_Toc147316836"/>
      <w:bookmarkStart w:id="509" w:name="_Toc194312899"/>
      <w:bookmarkStart w:id="510" w:name="_Toc159414657"/>
      <w:bookmarkStart w:id="511" w:name="_Toc107226792"/>
      <w:bookmarkStart w:id="512" w:name="_Toc171306443"/>
      <w:bookmarkStart w:id="513" w:name="_Toc109464281"/>
      <w:bookmarkStart w:id="514" w:name="_Toc159414564"/>
      <w:bookmarkStart w:id="515" w:name="_Toc187743817"/>
      <w:bookmarkStart w:id="516" w:name="_Toc171229375"/>
      <w:bookmarkStart w:id="517" w:name="_Toc171306583"/>
      <w:bookmarkStart w:id="518" w:name="_Toc187743483"/>
      <w:bookmarkStart w:id="519" w:name="_Toc109464076"/>
      <w:bookmarkStart w:id="520" w:name="_Toc187743372"/>
      <w:bookmarkStart w:id="521" w:name="_Toc109462180"/>
      <w:bookmarkStart w:id="522" w:name="_Toc187743290"/>
      <w:bookmarkStart w:id="523" w:name="_Toc187296264"/>
    </w:p>
    <w:p w:rsidR="009C5C1F" w:rsidRDefault="004D2E0D">
      <w:pPr>
        <w:keepNext/>
        <w:keepLines/>
        <w:suppressAutoHyphens/>
        <w:wordWrap w:val="0"/>
        <w:topLinePunct/>
        <w:adjustRightInd w:val="0"/>
        <w:snapToGrid w:val="0"/>
        <w:spacing w:beforeLines="100" w:before="360" w:line="500" w:lineRule="atLeast"/>
        <w:ind w:firstLineChars="200" w:firstLine="482"/>
        <w:jc w:val="left"/>
        <w:outlineLvl w:val="1"/>
        <w:rPr>
          <w:rFonts w:ascii="宋体" w:hAnsi="宋体" w:cs="宋体"/>
          <w:b/>
          <w:bCs/>
          <w:sz w:val="24"/>
        </w:rPr>
      </w:pPr>
      <w:bookmarkStart w:id="524" w:name="_Toc153130729"/>
      <w:bookmarkStart w:id="525" w:name="_Toc70589760"/>
      <w:r>
        <w:rPr>
          <w:rFonts w:ascii="宋体" w:hAnsi="宋体" w:cs="宋体" w:hint="eastAsia"/>
          <w:b/>
          <w:bCs/>
          <w:sz w:val="24"/>
        </w:rPr>
        <w:t>6.</w:t>
      </w:r>
      <w:r>
        <w:rPr>
          <w:rFonts w:ascii="宋体" w:hAnsi="宋体" w:cs="宋体"/>
          <w:b/>
          <w:bCs/>
          <w:sz w:val="24"/>
        </w:rPr>
        <w:t>2</w:t>
      </w:r>
      <w:r>
        <w:rPr>
          <w:rFonts w:ascii="宋体" w:hAnsi="宋体" w:cs="宋体" w:hint="eastAsia"/>
          <w:b/>
          <w:bCs/>
          <w:sz w:val="24"/>
        </w:rPr>
        <w:t>堆料场</w:t>
      </w:r>
      <w:bookmarkEnd w:id="524"/>
      <w:bookmarkEnd w:id="525"/>
    </w:p>
    <w:p w:rsidR="009C5C1F" w:rsidRDefault="004D2E0D">
      <w:pPr>
        <w:autoSpaceDE w:val="0"/>
        <w:autoSpaceDN w:val="0"/>
        <w:adjustRightInd w:val="0"/>
        <w:spacing w:line="500" w:lineRule="exact"/>
        <w:ind w:firstLineChars="200" w:firstLine="480"/>
        <w:rPr>
          <w:rFonts w:ascii="宋体" w:hAnsi="宋体" w:cs="宋体"/>
          <w:color w:val="000000"/>
          <w:sz w:val="24"/>
        </w:rPr>
      </w:pPr>
      <w:r>
        <w:rPr>
          <w:rFonts w:ascii="宋体" w:cs="宋体" w:hint="eastAsia"/>
          <w:kern w:val="0"/>
          <w:sz w:val="24"/>
        </w:rPr>
        <w:t>矿山开采产生的废渣量较小，且基本不含有害物质，属一般废弃物，一部分可用作道路铺垫和场地平整的原料，可回填矿坑。且该矿矿体赋存状态呈长条状，开采深度较低，部分废渣可</w:t>
      </w:r>
      <w:proofErr w:type="gramStart"/>
      <w:r>
        <w:rPr>
          <w:rFonts w:ascii="宋体" w:cs="宋体" w:hint="eastAsia"/>
          <w:kern w:val="0"/>
          <w:sz w:val="24"/>
        </w:rPr>
        <w:t>依靠边</w:t>
      </w:r>
      <w:proofErr w:type="gramEnd"/>
      <w:r>
        <w:rPr>
          <w:rFonts w:ascii="宋体" w:cs="宋体" w:hint="eastAsia"/>
          <w:kern w:val="0"/>
          <w:sz w:val="24"/>
        </w:rPr>
        <w:t>开采边回填的方法进行，剩余部分可直接由车辆拉运排放至指定堆料场堆放，堆料场为露天场地，暂定长约1</w:t>
      </w:r>
      <w:r>
        <w:rPr>
          <w:rFonts w:ascii="宋体" w:cs="宋体"/>
          <w:kern w:val="0"/>
          <w:sz w:val="24"/>
        </w:rPr>
        <w:t>30m,</w:t>
      </w:r>
      <w:r>
        <w:rPr>
          <w:rFonts w:ascii="宋体" w:cs="宋体" w:hint="eastAsia"/>
          <w:kern w:val="0"/>
          <w:sz w:val="24"/>
        </w:rPr>
        <w:t>宽约7</w:t>
      </w:r>
      <w:r>
        <w:rPr>
          <w:rFonts w:ascii="宋体" w:cs="宋体"/>
          <w:kern w:val="0"/>
          <w:sz w:val="24"/>
        </w:rPr>
        <w:t>2m</w:t>
      </w:r>
      <w:r>
        <w:rPr>
          <w:rFonts w:ascii="宋体" w:cs="宋体" w:hint="eastAsia"/>
          <w:kern w:val="0"/>
          <w:sz w:val="24"/>
        </w:rPr>
        <w:t>，根据实际产量进行堆放，堆放高度不可超过5</w:t>
      </w:r>
      <w:r>
        <w:rPr>
          <w:rFonts w:ascii="宋体" w:cs="宋体"/>
          <w:kern w:val="0"/>
          <w:sz w:val="24"/>
        </w:rPr>
        <w:t>m</w:t>
      </w:r>
      <w:r>
        <w:rPr>
          <w:rFonts w:ascii="宋体" w:cs="宋体" w:hint="eastAsia"/>
          <w:kern w:val="0"/>
          <w:sz w:val="24"/>
        </w:rPr>
        <w:t>。</w:t>
      </w:r>
      <w:bookmarkStart w:id="526" w:name="_Toc213683066"/>
      <w:bookmarkStart w:id="527" w:name="_Toc214407018"/>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rsidR="009C5C1F" w:rsidRDefault="004D2E0D">
      <w:pPr>
        <w:pStyle w:val="a0"/>
        <w:spacing w:line="500" w:lineRule="exact"/>
        <w:ind w:firstLine="210"/>
        <w:rPr>
          <w:sz w:val="24"/>
        </w:rPr>
      </w:pPr>
      <w:r>
        <w:rPr>
          <w:rFonts w:hint="eastAsia"/>
        </w:rPr>
        <w:t xml:space="preserve"> </w:t>
      </w:r>
      <w:r>
        <w:t xml:space="preserve"> </w:t>
      </w:r>
      <w:r>
        <w:rPr>
          <w:rFonts w:hint="eastAsia"/>
          <w:sz w:val="24"/>
        </w:rPr>
        <w:t>废弃物严禁乱堆乱倒，以防破坏矿区整体布局。堆料场不应该形成大面积的积水，发现大量积水应尽快排水并将其填平，否则会造成堆料场废弃物滑塌或形成泥石流，威胁人身安全。</w:t>
      </w:r>
    </w:p>
    <w:bookmarkEnd w:id="526"/>
    <w:p w:rsidR="009C5C1F" w:rsidRDefault="004D2E0D">
      <w:pPr>
        <w:pStyle w:val="1"/>
        <w:spacing w:beforeLines="100" w:before="360" w:after="0" w:line="500" w:lineRule="exact"/>
        <w:rPr>
          <w:color w:val="000000"/>
        </w:rPr>
      </w:pPr>
      <w:r>
        <w:rPr>
          <w:rFonts w:ascii="宋体" w:hAnsi="宋体" w:cs="宋体" w:hint="eastAsia"/>
          <w:color w:val="FF0000"/>
          <w:sz w:val="24"/>
        </w:rPr>
        <w:br w:type="page"/>
      </w:r>
      <w:bookmarkStart w:id="528" w:name="_Toc502783460"/>
      <w:bookmarkStart w:id="529" w:name="_Toc70589761"/>
      <w:bookmarkStart w:id="530" w:name="_Toc153130730"/>
      <w:bookmarkStart w:id="531" w:name="_Toc511226425"/>
      <w:r>
        <w:rPr>
          <w:rStyle w:val="1Char"/>
          <w:rFonts w:hint="eastAsia"/>
          <w:b/>
          <w:bCs/>
          <w:sz w:val="24"/>
          <w:szCs w:val="24"/>
        </w:rPr>
        <w:lastRenderedPageBreak/>
        <w:t xml:space="preserve">7   </w:t>
      </w:r>
      <w:r>
        <w:rPr>
          <w:rStyle w:val="1Char"/>
          <w:rFonts w:hint="eastAsia"/>
          <w:b/>
          <w:bCs/>
          <w:sz w:val="24"/>
          <w:szCs w:val="24"/>
        </w:rPr>
        <w:t>矿区道路</w:t>
      </w:r>
      <w:bookmarkEnd w:id="527"/>
      <w:bookmarkEnd w:id="528"/>
      <w:bookmarkEnd w:id="529"/>
      <w:bookmarkEnd w:id="530"/>
      <w:bookmarkEnd w:id="531"/>
    </w:p>
    <w:p w:rsidR="009C5C1F" w:rsidRDefault="004D2E0D">
      <w:pPr>
        <w:pStyle w:val="2"/>
        <w:spacing w:beforeLines="100" w:before="360" w:line="500" w:lineRule="atLeast"/>
        <w:ind w:firstLine="482"/>
        <w:rPr>
          <w:rFonts w:ascii="宋体" w:eastAsia="宋体" w:hAnsi="宋体" w:cs="宋体"/>
          <w:sz w:val="24"/>
          <w:szCs w:val="24"/>
        </w:rPr>
      </w:pPr>
      <w:bookmarkStart w:id="532" w:name="_Toc153130731"/>
      <w:bookmarkStart w:id="533" w:name="_Toc70589762"/>
      <w:bookmarkStart w:id="534" w:name="_Toc511226426"/>
      <w:bookmarkStart w:id="535" w:name="_Toc214407019"/>
      <w:bookmarkStart w:id="536" w:name="_Toc502783461"/>
      <w:r>
        <w:rPr>
          <w:rFonts w:ascii="宋体" w:eastAsia="宋体" w:hAnsi="宋体" w:cs="宋体" w:hint="eastAsia"/>
          <w:sz w:val="24"/>
          <w:szCs w:val="24"/>
        </w:rPr>
        <w:t>7.1 布线方式及道路标准</w:t>
      </w:r>
      <w:bookmarkEnd w:id="532"/>
      <w:bookmarkEnd w:id="533"/>
      <w:bookmarkEnd w:id="534"/>
      <w:bookmarkEnd w:id="535"/>
      <w:bookmarkEnd w:id="536"/>
    </w:p>
    <w:p w:rsidR="009C5C1F" w:rsidRDefault="004D2E0D">
      <w:pPr>
        <w:adjustRightInd w:val="0"/>
        <w:snapToGrid w:val="0"/>
        <w:spacing w:line="500" w:lineRule="exact"/>
        <w:ind w:firstLineChars="200" w:firstLine="480"/>
        <w:rPr>
          <w:rFonts w:ascii="宋体" w:hAnsi="宋体" w:cs="宋体"/>
          <w:color w:val="000000"/>
          <w:sz w:val="24"/>
        </w:rPr>
      </w:pPr>
      <w:bookmarkStart w:id="537" w:name="_Toc211070096"/>
      <w:bookmarkStart w:id="538" w:name="_Toc214407020"/>
      <w:bookmarkStart w:id="539" w:name="_Toc213683068"/>
      <w:r>
        <w:rPr>
          <w:rFonts w:ascii="宋体" w:hAnsi="宋体" w:cs="宋体" w:hint="eastAsia"/>
          <w:color w:val="000000"/>
          <w:kern w:val="0"/>
          <w:sz w:val="24"/>
        </w:rPr>
        <w:t>因该矿是新建矿山，经实地勘察，在矿区生活办公区采场之间已经有简易道路。</w:t>
      </w:r>
      <w:r>
        <w:rPr>
          <w:rFonts w:ascii="宋体" w:hAnsi="宋体" w:cs="宋体" w:hint="eastAsia"/>
          <w:sz w:val="24"/>
        </w:rPr>
        <w:t>根据矿山地质地形条件、矿体赋存特征，设计采用装载机配合挖掘机进行采挖。</w:t>
      </w:r>
      <w:r>
        <w:rPr>
          <w:rFonts w:ascii="宋体" w:hAnsi="宋体" w:cs="宋体" w:hint="eastAsia"/>
          <w:color w:val="000000"/>
          <w:sz w:val="24"/>
        </w:rPr>
        <w:t>为使设备能到达矿体，</w:t>
      </w:r>
      <w:r>
        <w:rPr>
          <w:rFonts w:ascii="宋体" w:hAnsi="宋体" w:cs="宋体" w:hint="eastAsia"/>
          <w:kern w:val="0"/>
          <w:sz w:val="24"/>
        </w:rPr>
        <w:t>根据实际地形修建道路到</w:t>
      </w:r>
      <w:proofErr w:type="gramStart"/>
      <w:r>
        <w:rPr>
          <w:rFonts w:ascii="宋体" w:hAnsi="宋体" w:cs="宋体" w:hint="eastAsia"/>
          <w:kern w:val="0"/>
          <w:sz w:val="24"/>
        </w:rPr>
        <w:t>指定首采作业</w:t>
      </w:r>
      <w:proofErr w:type="gramEnd"/>
      <w:r>
        <w:rPr>
          <w:rFonts w:ascii="宋体" w:hAnsi="宋体" w:cs="宋体" w:hint="eastAsia"/>
          <w:kern w:val="0"/>
          <w:sz w:val="24"/>
        </w:rPr>
        <w:t>面，</w:t>
      </w:r>
      <w:r>
        <w:rPr>
          <w:rFonts w:ascii="宋体" w:hAnsi="宋体" w:cs="宋体" w:hint="eastAsia"/>
          <w:sz w:val="24"/>
        </w:rPr>
        <w:t>路面的宽度约4～6m，</w:t>
      </w:r>
      <w:r>
        <w:rPr>
          <w:rFonts w:ascii="宋体" w:hAnsi="宋体" w:cs="宋体" w:hint="eastAsia"/>
          <w:kern w:val="0"/>
          <w:sz w:val="24"/>
        </w:rPr>
        <w:t>设计要求新增的矿山道路</w:t>
      </w:r>
      <w:r>
        <w:rPr>
          <w:rFonts w:ascii="宋体" w:hAnsi="宋体" w:cs="宋体" w:hint="eastAsia"/>
          <w:sz w:val="24"/>
        </w:rPr>
        <w:t>应符合简易行车要求</w:t>
      </w:r>
      <w:r>
        <w:rPr>
          <w:rFonts w:ascii="宋体" w:hAnsi="宋体" w:cs="宋体" w:hint="eastAsia"/>
          <w:color w:val="000000"/>
          <w:sz w:val="24"/>
        </w:rPr>
        <w:t>，具体要求如下：</w:t>
      </w:r>
    </w:p>
    <w:p w:rsidR="009C5C1F" w:rsidRDefault="004D2E0D">
      <w:pPr>
        <w:adjustRightInd w:val="0"/>
        <w:snapToGrid w:val="0"/>
        <w:spacing w:line="500" w:lineRule="exact"/>
        <w:ind w:firstLineChars="200" w:firstLine="480"/>
        <w:rPr>
          <w:rFonts w:ascii="宋体" w:hAnsi="宋体" w:cs="宋体"/>
          <w:color w:val="000000"/>
          <w:sz w:val="24"/>
        </w:rPr>
      </w:pPr>
      <w:r>
        <w:rPr>
          <w:rFonts w:ascii="宋体" w:hAnsi="宋体" w:cs="宋体" w:hint="eastAsia"/>
          <w:color w:val="000000"/>
          <w:sz w:val="24"/>
        </w:rPr>
        <w:t>道路布线、展线遵循最小半径15m，一般控制在16～20m，展线沿等高线逐段爬升抬高，回头曲线设置在较缓的坡面上，采用</w:t>
      </w:r>
      <w:proofErr w:type="gramStart"/>
      <w:r>
        <w:rPr>
          <w:rFonts w:ascii="宋体" w:hAnsi="宋体" w:cs="宋体" w:hint="eastAsia"/>
          <w:color w:val="000000"/>
          <w:sz w:val="24"/>
        </w:rPr>
        <w:t>半填半挖</w:t>
      </w:r>
      <w:proofErr w:type="gramEnd"/>
      <w:r>
        <w:rPr>
          <w:rFonts w:ascii="宋体" w:hAnsi="宋体" w:cs="宋体" w:hint="eastAsia"/>
          <w:color w:val="000000"/>
          <w:sz w:val="24"/>
        </w:rPr>
        <w:t>的半路堑方式布线。路线如经过山谷地段均按过水路面考虑，不设置涵洞。</w:t>
      </w:r>
    </w:p>
    <w:p w:rsidR="009C5C1F" w:rsidRDefault="004D2E0D">
      <w:pPr>
        <w:adjustRightInd w:val="0"/>
        <w:snapToGrid w:val="0"/>
        <w:spacing w:line="500" w:lineRule="exact"/>
        <w:ind w:firstLineChars="200" w:firstLine="480"/>
        <w:rPr>
          <w:rFonts w:ascii="宋体" w:hAnsi="宋体" w:cs="宋体"/>
          <w:color w:val="000000"/>
          <w:sz w:val="24"/>
        </w:rPr>
      </w:pPr>
      <w:r>
        <w:rPr>
          <w:rFonts w:ascii="宋体" w:hAnsi="宋体" w:cs="宋体" w:hint="eastAsia"/>
          <w:color w:val="000000"/>
          <w:sz w:val="24"/>
        </w:rPr>
        <w:t>道路标准按简易行车要求设置，路面宽度4～6m，一般不设超高，但在回头曲线</w:t>
      </w:r>
      <w:proofErr w:type="gramStart"/>
      <w:r>
        <w:rPr>
          <w:rFonts w:ascii="宋体" w:hAnsi="宋体" w:cs="宋体" w:hint="eastAsia"/>
          <w:color w:val="000000"/>
          <w:sz w:val="24"/>
        </w:rPr>
        <w:t>段设置</w:t>
      </w:r>
      <w:proofErr w:type="gramEnd"/>
      <w:r>
        <w:rPr>
          <w:rFonts w:ascii="宋体" w:hAnsi="宋体" w:cs="宋体" w:hint="eastAsia"/>
          <w:color w:val="000000"/>
          <w:sz w:val="24"/>
        </w:rPr>
        <w:t>2～2.5%的超高，路线纵坡最大可达9%。纵坡大于8%时，路线长度控制在300m，然后选择50～100m的缓冲路段。</w:t>
      </w:r>
    </w:p>
    <w:p w:rsidR="009C5C1F" w:rsidRDefault="004D2E0D">
      <w:pPr>
        <w:adjustRightInd w:val="0"/>
        <w:snapToGrid w:val="0"/>
        <w:spacing w:line="500" w:lineRule="exact"/>
        <w:ind w:firstLineChars="200" w:firstLine="480"/>
        <w:rPr>
          <w:rFonts w:ascii="宋体" w:hAnsi="宋体" w:cs="宋体"/>
          <w:color w:val="000000"/>
          <w:sz w:val="24"/>
        </w:rPr>
      </w:pPr>
      <w:r>
        <w:rPr>
          <w:rFonts w:ascii="宋体" w:hAnsi="宋体" w:cs="宋体" w:hint="eastAsia"/>
          <w:color w:val="000000"/>
          <w:sz w:val="24"/>
        </w:rPr>
        <w:t>道路每隔400～600m设置一处错车段，长度15～20m，要求错车</w:t>
      </w:r>
      <w:proofErr w:type="gramStart"/>
      <w:r>
        <w:rPr>
          <w:rFonts w:ascii="宋体" w:hAnsi="宋体" w:cs="宋体" w:hint="eastAsia"/>
          <w:color w:val="000000"/>
          <w:sz w:val="24"/>
        </w:rPr>
        <w:t>段选择</w:t>
      </w:r>
      <w:proofErr w:type="gramEnd"/>
      <w:r>
        <w:rPr>
          <w:rFonts w:ascii="宋体" w:hAnsi="宋体" w:cs="宋体" w:hint="eastAsia"/>
          <w:color w:val="000000"/>
          <w:sz w:val="24"/>
        </w:rPr>
        <w:t>在视线条件好的地段，上下通视也可作为选择的依据。通视条件差时行车应鸣笛驾驶，避免无法错车。</w:t>
      </w:r>
    </w:p>
    <w:p w:rsidR="009C5C1F" w:rsidRDefault="004D2E0D">
      <w:pPr>
        <w:pStyle w:val="2"/>
        <w:spacing w:beforeLines="100" w:before="360" w:line="500" w:lineRule="atLeast"/>
        <w:ind w:firstLine="482"/>
        <w:rPr>
          <w:rFonts w:ascii="宋体" w:eastAsia="宋体" w:hAnsi="宋体" w:cs="宋体"/>
          <w:sz w:val="24"/>
          <w:szCs w:val="24"/>
        </w:rPr>
      </w:pPr>
      <w:bookmarkStart w:id="540" w:name="_Toc502783462"/>
      <w:bookmarkStart w:id="541" w:name="_Toc511226427"/>
      <w:bookmarkStart w:id="542" w:name="_Toc70589763"/>
      <w:bookmarkStart w:id="543" w:name="_Toc153130732"/>
      <w:r>
        <w:rPr>
          <w:rFonts w:ascii="宋体" w:eastAsia="宋体" w:hAnsi="宋体" w:cs="宋体" w:hint="eastAsia"/>
          <w:sz w:val="24"/>
          <w:szCs w:val="24"/>
        </w:rPr>
        <w:t>7.2 道路工程量</w:t>
      </w:r>
      <w:bookmarkEnd w:id="537"/>
      <w:bookmarkEnd w:id="538"/>
      <w:bookmarkEnd w:id="539"/>
      <w:bookmarkEnd w:id="540"/>
      <w:bookmarkEnd w:id="541"/>
      <w:bookmarkEnd w:id="542"/>
      <w:bookmarkEnd w:id="543"/>
    </w:p>
    <w:p w:rsidR="009C5C1F" w:rsidRDefault="004D2E0D">
      <w:pPr>
        <w:adjustRightInd w:val="0"/>
        <w:snapToGrid w:val="0"/>
        <w:spacing w:line="500" w:lineRule="exact"/>
        <w:ind w:firstLineChars="200" w:firstLine="480"/>
        <w:rPr>
          <w:rFonts w:ascii="宋体" w:hAnsi="宋体" w:cs="宋体"/>
          <w:sz w:val="24"/>
        </w:rPr>
      </w:pPr>
      <w:bookmarkStart w:id="544" w:name="_Toc214407021"/>
      <w:bookmarkStart w:id="545" w:name="_Toc213683069"/>
      <w:r>
        <w:rPr>
          <w:sz w:val="24"/>
        </w:rPr>
        <w:t>采场外固定线路为简易道路</w:t>
      </w:r>
      <w:r>
        <w:rPr>
          <w:rFonts w:hint="eastAsia"/>
          <w:sz w:val="24"/>
        </w:rPr>
        <w:t>，</w:t>
      </w:r>
      <w:r>
        <w:rPr>
          <w:rFonts w:ascii="宋体" w:hAnsi="宋体" w:cs="宋体" w:hint="eastAsia"/>
          <w:sz w:val="24"/>
        </w:rPr>
        <w:t>矿区道路施工应采取多段平行作业的方式，尽可能地利用开挖方量填筑路基，最大限度地做到</w:t>
      </w:r>
      <w:proofErr w:type="gramStart"/>
      <w:r>
        <w:rPr>
          <w:rFonts w:ascii="宋体" w:hAnsi="宋体" w:cs="宋体" w:hint="eastAsia"/>
          <w:sz w:val="24"/>
        </w:rPr>
        <w:t>半挖半填</w:t>
      </w:r>
      <w:proofErr w:type="gramEnd"/>
      <w:r>
        <w:rPr>
          <w:rFonts w:ascii="宋体" w:hAnsi="宋体" w:cs="宋体" w:hint="eastAsia"/>
          <w:sz w:val="24"/>
        </w:rPr>
        <w:t>，设计建议：因地制宜尽快修建矿山道路，部分地段可砌筑石块修建路肩墙，从而减少开挖量，干砌路肩墙就地取材，厚度适当加大，一般1.5～2.0m，其稳定性能满足行车要求即可，墙内填充破碎小块岩石。因采取路面平坦，汽车可直接到达所有采区，无需额外设计道路，增加工作量。</w:t>
      </w:r>
    </w:p>
    <w:p w:rsidR="009C5C1F" w:rsidRDefault="004D2E0D">
      <w:pPr>
        <w:pStyle w:val="1"/>
        <w:spacing w:beforeLines="100" w:before="360" w:after="0" w:line="500" w:lineRule="exact"/>
        <w:rPr>
          <w:color w:val="000000"/>
        </w:rPr>
      </w:pPr>
      <w:r>
        <w:rPr>
          <w:rFonts w:ascii="宋体" w:hAnsi="宋体" w:cs="宋体" w:hint="eastAsia"/>
          <w:color w:val="FF0000"/>
          <w:sz w:val="24"/>
        </w:rPr>
        <w:br w:type="page"/>
      </w:r>
      <w:bookmarkStart w:id="546" w:name="_Toc511226428"/>
      <w:bookmarkStart w:id="547" w:name="_Toc70589764"/>
      <w:bookmarkStart w:id="548" w:name="_Toc153130733"/>
      <w:bookmarkStart w:id="549" w:name="_Toc502783463"/>
      <w:r>
        <w:rPr>
          <w:rStyle w:val="1Char"/>
          <w:rFonts w:hint="eastAsia"/>
          <w:b/>
          <w:bCs/>
          <w:sz w:val="24"/>
          <w:szCs w:val="24"/>
        </w:rPr>
        <w:lastRenderedPageBreak/>
        <w:t xml:space="preserve">8  </w:t>
      </w:r>
      <w:r>
        <w:rPr>
          <w:rStyle w:val="1Char"/>
          <w:rFonts w:hint="eastAsia"/>
          <w:b/>
          <w:bCs/>
          <w:sz w:val="24"/>
          <w:szCs w:val="24"/>
        </w:rPr>
        <w:t>供配电及供水</w:t>
      </w:r>
      <w:bookmarkEnd w:id="544"/>
      <w:bookmarkEnd w:id="546"/>
      <w:bookmarkEnd w:id="547"/>
      <w:bookmarkEnd w:id="548"/>
      <w:bookmarkEnd w:id="549"/>
    </w:p>
    <w:p w:rsidR="009C5C1F" w:rsidRDefault="004D2E0D">
      <w:pPr>
        <w:pStyle w:val="2"/>
        <w:spacing w:beforeLines="100" w:before="360" w:line="500" w:lineRule="atLeast"/>
        <w:ind w:firstLine="482"/>
        <w:rPr>
          <w:rFonts w:ascii="宋体" w:eastAsia="宋体" w:hAnsi="宋体" w:cs="宋体"/>
          <w:sz w:val="24"/>
          <w:szCs w:val="24"/>
        </w:rPr>
      </w:pPr>
      <w:bookmarkStart w:id="550" w:name="_Toc214407022"/>
      <w:bookmarkStart w:id="551" w:name="_Toc511226429"/>
      <w:bookmarkStart w:id="552" w:name="_Toc70589765"/>
      <w:bookmarkStart w:id="553" w:name="_Toc502783464"/>
      <w:bookmarkStart w:id="554" w:name="_Toc153130734"/>
      <w:r>
        <w:rPr>
          <w:rFonts w:ascii="宋体" w:eastAsia="宋体" w:hAnsi="宋体" w:cs="宋体" w:hint="eastAsia"/>
          <w:sz w:val="24"/>
          <w:szCs w:val="24"/>
        </w:rPr>
        <w:t>8.1</w:t>
      </w:r>
      <w:bookmarkEnd w:id="550"/>
      <w:r>
        <w:rPr>
          <w:rFonts w:ascii="宋体" w:eastAsia="宋体" w:hAnsi="宋体" w:cs="宋体" w:hint="eastAsia"/>
          <w:sz w:val="24"/>
          <w:szCs w:val="24"/>
        </w:rPr>
        <w:t>供水</w:t>
      </w:r>
      <w:bookmarkEnd w:id="551"/>
      <w:bookmarkEnd w:id="552"/>
      <w:bookmarkEnd w:id="553"/>
      <w:bookmarkEnd w:id="554"/>
      <w:r>
        <w:rPr>
          <w:rFonts w:ascii="宋体" w:eastAsia="宋体" w:hAnsi="宋体" w:cs="宋体" w:hint="eastAsia"/>
          <w:sz w:val="24"/>
          <w:szCs w:val="24"/>
        </w:rPr>
        <w:t xml:space="preserve"> </w:t>
      </w:r>
    </w:p>
    <w:p w:rsidR="009C5C1F" w:rsidRDefault="004D2E0D">
      <w:pPr>
        <w:spacing w:line="500" w:lineRule="exact"/>
        <w:ind w:firstLineChars="200" w:firstLine="480"/>
        <w:rPr>
          <w:rFonts w:ascii="宋体" w:hAnsi="宋体" w:cs="宋体"/>
          <w:color w:val="000000"/>
          <w:kern w:val="0"/>
          <w:sz w:val="24"/>
        </w:rPr>
      </w:pPr>
      <w:bookmarkStart w:id="555" w:name="_Toc211070099"/>
      <w:bookmarkStart w:id="556" w:name="_Toc213683073"/>
      <w:bookmarkStart w:id="557" w:name="_Toc214407023"/>
      <w:bookmarkEnd w:id="545"/>
      <w:r>
        <w:rPr>
          <w:rFonts w:ascii="宋体" w:hAnsi="宋体" w:cs="宋体" w:hint="eastAsia"/>
          <w:color w:val="000000"/>
          <w:kern w:val="0"/>
          <w:sz w:val="24"/>
        </w:rPr>
        <w:t>矿区附近无直接饮用水源，经调查，矿区用水由附近的板桥镇自来水公司供水，供水管可通往矿区，完全能满足矿区生活用水和生产用水的需要。生产用水主要指路面洒水和生产过程中的降尘用水。</w:t>
      </w:r>
    </w:p>
    <w:p w:rsidR="009C5C1F" w:rsidRDefault="004D2E0D">
      <w:pPr>
        <w:widowControl/>
        <w:spacing w:line="500" w:lineRule="exact"/>
        <w:ind w:firstLineChars="200" w:firstLine="480"/>
        <w:rPr>
          <w:rFonts w:ascii="宋体" w:hAnsi="宋体" w:cs="宋体"/>
          <w:color w:val="000000"/>
          <w:kern w:val="0"/>
          <w:sz w:val="24"/>
        </w:rPr>
      </w:pPr>
      <w:r>
        <w:rPr>
          <w:rFonts w:ascii="宋体" w:hAnsi="宋体" w:cs="宋体" w:hint="eastAsia"/>
          <w:color w:val="000000"/>
          <w:kern w:val="0"/>
          <w:sz w:val="24"/>
        </w:rPr>
        <w:t>为保证用水安全，矿区生产用水的废弃排放，生活垃圾和剥离物均不得乱堆乱排，保护矿区环境。</w:t>
      </w:r>
    </w:p>
    <w:p w:rsidR="009C5C1F" w:rsidRDefault="004D2E0D">
      <w:pPr>
        <w:pStyle w:val="2"/>
        <w:ind w:firstLine="482"/>
      </w:pPr>
      <w:bookmarkStart w:id="558" w:name="_Toc502783465"/>
      <w:bookmarkStart w:id="559" w:name="_Toc70589766"/>
      <w:bookmarkStart w:id="560" w:name="_Toc511226430"/>
      <w:bookmarkStart w:id="561" w:name="_Toc153130735"/>
      <w:r>
        <w:rPr>
          <w:rFonts w:ascii="宋体" w:eastAsia="宋体" w:hAnsi="宋体" w:cs="宋体" w:hint="eastAsia"/>
          <w:sz w:val="24"/>
          <w:szCs w:val="24"/>
        </w:rPr>
        <w:t xml:space="preserve">8.2 </w:t>
      </w:r>
      <w:bookmarkEnd w:id="555"/>
      <w:bookmarkEnd w:id="556"/>
      <w:bookmarkEnd w:id="557"/>
      <w:r>
        <w:rPr>
          <w:rFonts w:ascii="宋体" w:eastAsia="宋体" w:hAnsi="宋体" w:cs="宋体" w:hint="eastAsia"/>
          <w:sz w:val="24"/>
          <w:szCs w:val="24"/>
        </w:rPr>
        <w:t>供电</w:t>
      </w:r>
      <w:bookmarkEnd w:id="558"/>
      <w:bookmarkEnd w:id="559"/>
      <w:bookmarkEnd w:id="560"/>
      <w:bookmarkEnd w:id="561"/>
      <w:r>
        <w:rPr>
          <w:rFonts w:hint="eastAsia"/>
        </w:rPr>
        <w:t xml:space="preserve"> </w:t>
      </w:r>
    </w:p>
    <w:p w:rsidR="009C5C1F" w:rsidRDefault="004D2E0D">
      <w:pPr>
        <w:spacing w:line="500" w:lineRule="exact"/>
        <w:ind w:firstLineChars="200" w:firstLine="480"/>
        <w:rPr>
          <w:rFonts w:ascii="宋体" w:hAnsi="宋体"/>
          <w:color w:val="000000"/>
          <w:sz w:val="24"/>
        </w:rPr>
      </w:pPr>
      <w:bookmarkStart w:id="562" w:name="_Toc214407024"/>
      <w:bookmarkStart w:id="563" w:name="_Toc213683075"/>
      <w:r>
        <w:rPr>
          <w:rFonts w:ascii="宋体" w:hAnsi="宋体" w:hint="eastAsia"/>
          <w:color w:val="000000"/>
          <w:sz w:val="24"/>
        </w:rPr>
        <w:t>矿区供电方案选择：</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方案</w:t>
      </w:r>
      <w:proofErr w:type="gramStart"/>
      <w:r>
        <w:rPr>
          <w:rFonts w:ascii="宋体" w:hAnsi="宋体" w:hint="eastAsia"/>
          <w:color w:val="000000"/>
          <w:sz w:val="24"/>
        </w:rPr>
        <w:t>一</w:t>
      </w:r>
      <w:proofErr w:type="gramEnd"/>
      <w:r>
        <w:rPr>
          <w:rFonts w:ascii="宋体" w:hAnsi="宋体" w:hint="eastAsia"/>
          <w:color w:val="000000"/>
          <w:sz w:val="24"/>
        </w:rPr>
        <w:t>：</w:t>
      </w:r>
      <w:r>
        <w:rPr>
          <w:rFonts w:ascii="宋体" w:hAnsi="宋体"/>
          <w:color w:val="000000"/>
          <w:sz w:val="24"/>
        </w:rPr>
        <w:t>选用</w:t>
      </w:r>
      <w:r>
        <w:rPr>
          <w:rFonts w:ascii="宋体" w:hAnsi="宋体" w:hint="eastAsia"/>
          <w:color w:val="000000"/>
          <w:sz w:val="24"/>
        </w:rPr>
        <w:t>2台250k</w:t>
      </w:r>
      <w:r>
        <w:rPr>
          <w:rFonts w:ascii="宋体" w:hAnsi="宋体"/>
          <w:color w:val="000000"/>
          <w:sz w:val="24"/>
        </w:rPr>
        <w:t>W柴油发电机</w:t>
      </w:r>
      <w:r>
        <w:rPr>
          <w:rFonts w:ascii="宋体" w:hAnsi="宋体" w:hint="eastAsia"/>
          <w:color w:val="000000"/>
          <w:sz w:val="24"/>
        </w:rPr>
        <w:t>（1台使用，1台备用）</w:t>
      </w:r>
      <w:r>
        <w:rPr>
          <w:rFonts w:ascii="宋体" w:hAnsi="宋体"/>
          <w:color w:val="000000"/>
          <w:sz w:val="24"/>
        </w:rPr>
        <w:t>可满足需要。</w:t>
      </w:r>
      <w:r>
        <w:rPr>
          <w:rFonts w:ascii="宋体" w:hAnsi="宋体" w:hint="eastAsia"/>
          <w:color w:val="000000"/>
          <w:sz w:val="24"/>
        </w:rPr>
        <w:t xml:space="preserve"> </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方案二：使用专用供电线路供电，同时满足矿山生产、生活用电。</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建议选择方案二：</w:t>
      </w:r>
      <w:r>
        <w:rPr>
          <w:rFonts w:ascii="宋体" w:hAnsi="宋体"/>
          <w:color w:val="000000"/>
          <w:sz w:val="24"/>
        </w:rPr>
        <w:t>矿区用电</w:t>
      </w:r>
      <w:r>
        <w:rPr>
          <w:rFonts w:ascii="宋体" w:hAnsi="宋体" w:hint="eastAsia"/>
          <w:color w:val="000000"/>
          <w:sz w:val="24"/>
        </w:rPr>
        <w:t>可</w:t>
      </w:r>
      <w:proofErr w:type="gramStart"/>
      <w:r>
        <w:rPr>
          <w:rFonts w:ascii="宋体" w:hAnsi="宋体"/>
          <w:color w:val="000000"/>
          <w:sz w:val="24"/>
        </w:rPr>
        <w:t>引自</w:t>
      </w:r>
      <w:r>
        <w:rPr>
          <w:rFonts w:ascii="宋体" w:hAnsi="宋体" w:hint="eastAsia"/>
          <w:color w:val="000000"/>
          <w:sz w:val="24"/>
        </w:rPr>
        <w:t>壕洼村</w:t>
      </w:r>
      <w:proofErr w:type="gramEnd"/>
      <w:r>
        <w:rPr>
          <w:rFonts w:ascii="宋体" w:hAnsi="宋体"/>
          <w:color w:val="000000"/>
          <w:sz w:val="24"/>
        </w:rPr>
        <w:t>变电站10KV 电线，经矿区</w:t>
      </w:r>
      <w:r>
        <w:rPr>
          <w:rFonts w:ascii="宋体" w:hAnsi="宋体" w:hint="eastAsia"/>
          <w:color w:val="000000"/>
          <w:sz w:val="24"/>
        </w:rPr>
        <w:t>1</w:t>
      </w:r>
      <w:r>
        <w:rPr>
          <w:rFonts w:ascii="宋体" w:hAnsi="宋体"/>
          <w:color w:val="000000"/>
          <w:sz w:val="24"/>
        </w:rPr>
        <w:t>65KVA</w:t>
      </w:r>
      <w:r>
        <w:rPr>
          <w:rFonts w:ascii="宋体" w:hAnsi="宋体" w:hint="eastAsia"/>
          <w:color w:val="000000"/>
          <w:sz w:val="24"/>
        </w:rPr>
        <w:t>、35</w:t>
      </w:r>
      <w:r>
        <w:rPr>
          <w:rFonts w:ascii="宋体" w:hAnsi="宋体"/>
          <w:color w:val="000000"/>
          <w:sz w:val="24"/>
        </w:rPr>
        <w:t>0KVA 变压器降压后送至各用电设备，供电条件完全满足矿山用电。</w:t>
      </w:r>
    </w:p>
    <w:p w:rsidR="009C5C1F" w:rsidRDefault="004D2E0D">
      <w:pPr>
        <w:pStyle w:val="1"/>
        <w:spacing w:beforeLines="100" w:before="360" w:after="0" w:line="500" w:lineRule="exact"/>
        <w:rPr>
          <w:color w:val="000000"/>
        </w:rPr>
      </w:pPr>
      <w:r>
        <w:rPr>
          <w:rFonts w:ascii="宋体" w:hAnsi="宋体" w:cs="宋体" w:hint="eastAsia"/>
          <w:color w:val="FF0000"/>
        </w:rPr>
        <w:br w:type="page"/>
      </w:r>
      <w:bookmarkStart w:id="564" w:name="_Toc511226431"/>
      <w:bookmarkStart w:id="565" w:name="_Toc70589767"/>
      <w:bookmarkStart w:id="566" w:name="_Toc502783466"/>
      <w:bookmarkStart w:id="567" w:name="_Toc153130736"/>
      <w:r>
        <w:rPr>
          <w:rStyle w:val="1Char"/>
          <w:rFonts w:hint="eastAsia"/>
          <w:b/>
          <w:bCs/>
          <w:sz w:val="24"/>
          <w:szCs w:val="24"/>
        </w:rPr>
        <w:lastRenderedPageBreak/>
        <w:t xml:space="preserve">9   </w:t>
      </w:r>
      <w:r>
        <w:rPr>
          <w:rStyle w:val="1Char"/>
          <w:rFonts w:hint="eastAsia"/>
          <w:b/>
          <w:bCs/>
          <w:sz w:val="24"/>
          <w:szCs w:val="24"/>
        </w:rPr>
        <w:t>环境保护</w:t>
      </w:r>
      <w:bookmarkEnd w:id="562"/>
      <w:bookmarkEnd w:id="564"/>
      <w:bookmarkEnd w:id="565"/>
      <w:bookmarkEnd w:id="566"/>
      <w:bookmarkEnd w:id="567"/>
    </w:p>
    <w:p w:rsidR="009C5C1F" w:rsidRDefault="004D2E0D">
      <w:pPr>
        <w:pStyle w:val="2"/>
        <w:spacing w:beforeLines="100" w:before="360" w:line="500" w:lineRule="atLeast"/>
        <w:ind w:firstLine="482"/>
        <w:rPr>
          <w:rFonts w:ascii="宋体" w:eastAsia="宋体" w:hAnsi="宋体" w:cs="宋体"/>
          <w:sz w:val="24"/>
          <w:szCs w:val="24"/>
        </w:rPr>
      </w:pPr>
      <w:bookmarkStart w:id="568" w:name="_Toc70589768"/>
      <w:bookmarkStart w:id="569" w:name="_Toc153130737"/>
      <w:bookmarkEnd w:id="563"/>
      <w:r>
        <w:rPr>
          <w:rFonts w:ascii="宋体" w:eastAsia="宋体" w:hAnsi="宋体" w:cs="宋体" w:hint="eastAsia"/>
          <w:sz w:val="24"/>
          <w:szCs w:val="24"/>
        </w:rPr>
        <w:t>9.1 环保标准</w:t>
      </w:r>
      <w:bookmarkEnd w:id="568"/>
      <w:bookmarkEnd w:id="569"/>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1．《环境空气质量标准》（GB3095－2012）；</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2．《地表水环境质量标准》（GB3838-2002）；</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3．《地下水质量标准》（(GB/T14848-2017）；</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4.《水土保持监测技术规程》(SL277—2002)；</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5．《声环境质量标准》（GB3096-2008）；</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6．《工业企业厂界环境噪声排放标准》（GB12348-2008）；</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7．《社会生活环境噪声排放标准》（GB22337－2008）；</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8．《土壤环境质量标准》(GB15618-2018)；</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9．《土壤侵蚀分类分级标准》（SL190－2008）；</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10．《生活垃圾填埋场污染控制标准》（GB16889－2008）；</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11．《生态环境状况评价技术规范（试行）》(HJ/T192-2015)；</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12．《一般工业固体废物贮存、处置场污染控制标准》（GB18599－2001）；</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13.《污水综合排放标准》（GB8978-1996）。</w:t>
      </w:r>
    </w:p>
    <w:p w:rsidR="009C5C1F" w:rsidRDefault="004D2E0D">
      <w:pPr>
        <w:pStyle w:val="2"/>
        <w:spacing w:beforeLines="100" w:before="360" w:line="500" w:lineRule="atLeast"/>
        <w:ind w:firstLine="482"/>
        <w:rPr>
          <w:rFonts w:ascii="宋体" w:eastAsia="宋体" w:hAnsi="宋体" w:cs="宋体"/>
          <w:sz w:val="24"/>
          <w:szCs w:val="24"/>
        </w:rPr>
      </w:pPr>
      <w:bookmarkStart w:id="570" w:name="_Toc70589769"/>
      <w:bookmarkStart w:id="571" w:name="_Toc153130738"/>
      <w:r>
        <w:rPr>
          <w:rFonts w:ascii="宋体" w:eastAsia="宋体" w:hAnsi="宋体" w:cs="宋体" w:hint="eastAsia"/>
          <w:sz w:val="24"/>
          <w:szCs w:val="24"/>
        </w:rPr>
        <w:t>9.2 环保法规</w:t>
      </w:r>
      <w:bookmarkEnd w:id="570"/>
      <w:bookmarkEnd w:id="571"/>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1.《中华人民共和国环境保护法》(2015 年 1 月 1 日)；</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2.《中华人民共和国水土保持法实施条例》(国务院 1993 年第 120 号令)；</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3.《建设项目环境保护管理条例》(国务院第 253 号令，1998 年 11 月)；</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4.《开发建设项目水土保持设施验收管理规定》(水利部第 16 号令)；</w:t>
      </w:r>
    </w:p>
    <w:p w:rsidR="009C5C1F" w:rsidRDefault="004D2E0D">
      <w:pPr>
        <w:spacing w:line="500" w:lineRule="exact"/>
        <w:ind w:firstLineChars="200" w:firstLine="480"/>
        <w:rPr>
          <w:rFonts w:ascii="宋体" w:hAnsi="宋体"/>
          <w:color w:val="000000"/>
          <w:sz w:val="24"/>
        </w:rPr>
      </w:pPr>
      <w:r>
        <w:rPr>
          <w:rFonts w:ascii="宋体" w:hAnsi="宋体" w:hint="eastAsia"/>
          <w:color w:val="000000"/>
          <w:sz w:val="24"/>
        </w:rPr>
        <w:t>5.《开发建设项目水土保持方案管理办法》(水保[1994]513 号文)。</w:t>
      </w:r>
    </w:p>
    <w:p w:rsidR="009C5C1F" w:rsidRDefault="004D2E0D">
      <w:pPr>
        <w:pStyle w:val="2"/>
        <w:spacing w:beforeLines="100" w:before="360" w:line="500" w:lineRule="atLeast"/>
        <w:ind w:firstLine="482"/>
        <w:rPr>
          <w:rFonts w:ascii="宋体" w:eastAsia="宋体" w:hAnsi="宋体" w:cs="宋体"/>
          <w:sz w:val="24"/>
          <w:szCs w:val="24"/>
        </w:rPr>
      </w:pPr>
      <w:bookmarkStart w:id="572" w:name="_bookmark30"/>
      <w:bookmarkStart w:id="573" w:name="_Toc153130739"/>
      <w:bookmarkStart w:id="574" w:name="_Toc70589770"/>
      <w:bookmarkEnd w:id="572"/>
      <w:r>
        <w:rPr>
          <w:rFonts w:ascii="宋体" w:eastAsia="宋体" w:hAnsi="宋体" w:cs="宋体" w:hint="eastAsia"/>
          <w:sz w:val="24"/>
          <w:szCs w:val="24"/>
        </w:rPr>
        <w:t>9.3 矿山主要污染物及治理措施</w:t>
      </w:r>
      <w:bookmarkEnd w:id="573"/>
      <w:bookmarkEnd w:id="574"/>
    </w:p>
    <w:p w:rsidR="009C5C1F" w:rsidRDefault="004D2E0D">
      <w:pPr>
        <w:pStyle w:val="3"/>
        <w:spacing w:beforeLines="100" w:before="360" w:after="0" w:line="500" w:lineRule="exact"/>
        <w:ind w:firstLineChars="200" w:firstLine="482"/>
        <w:rPr>
          <w:rFonts w:ascii="宋体" w:hAnsi="宋体" w:cs="宋体"/>
        </w:rPr>
      </w:pPr>
      <w:bookmarkStart w:id="575" w:name="_Toc70589771"/>
      <w:r>
        <w:rPr>
          <w:rFonts w:ascii="宋体" w:hAnsi="宋体" w:cs="宋体" w:hint="eastAsia"/>
        </w:rPr>
        <w:t>9.3.1 主要污染物</w:t>
      </w:r>
      <w:bookmarkEnd w:id="575"/>
    </w:p>
    <w:p w:rsidR="009C5C1F" w:rsidRDefault="004D2E0D">
      <w:pPr>
        <w:pStyle w:val="a7"/>
        <w:spacing w:line="500" w:lineRule="exact"/>
        <w:ind w:firstLineChars="200" w:firstLine="480"/>
        <w:jc w:val="left"/>
        <w:rPr>
          <w:sz w:val="24"/>
        </w:rPr>
      </w:pPr>
      <w:r>
        <w:rPr>
          <w:rFonts w:ascii="宋体" w:hAnsi="宋体" w:cs="宋体"/>
          <w:sz w:val="24"/>
        </w:rPr>
        <w:t>1.</w:t>
      </w:r>
      <w:r>
        <w:rPr>
          <w:sz w:val="24"/>
        </w:rPr>
        <w:t>露天采矿产生的废料、采矿废水、粉尘、噪声等；</w:t>
      </w:r>
    </w:p>
    <w:p w:rsidR="009C5C1F" w:rsidRDefault="004D2E0D">
      <w:pPr>
        <w:pStyle w:val="a7"/>
        <w:spacing w:before="26" w:line="500" w:lineRule="exact"/>
        <w:ind w:firstLineChars="200" w:firstLine="480"/>
        <w:jc w:val="left"/>
        <w:rPr>
          <w:sz w:val="24"/>
        </w:rPr>
      </w:pPr>
      <w:r>
        <w:rPr>
          <w:rFonts w:ascii="宋体" w:hAnsi="宋体" w:cs="宋体"/>
          <w:sz w:val="24"/>
        </w:rPr>
        <w:lastRenderedPageBreak/>
        <w:t>2.</w:t>
      </w:r>
      <w:r>
        <w:rPr>
          <w:sz w:val="24"/>
        </w:rPr>
        <w:t>废渣、生活污水和生活垃圾；</w:t>
      </w:r>
    </w:p>
    <w:p w:rsidR="009C5C1F" w:rsidRDefault="004D2E0D">
      <w:pPr>
        <w:pStyle w:val="a7"/>
        <w:spacing w:line="500" w:lineRule="exact"/>
        <w:ind w:firstLineChars="200" w:firstLine="480"/>
        <w:jc w:val="left"/>
        <w:rPr>
          <w:sz w:val="24"/>
        </w:rPr>
      </w:pPr>
      <w:r>
        <w:rPr>
          <w:rFonts w:ascii="宋体" w:hAnsi="宋体" w:cs="宋体"/>
          <w:sz w:val="24"/>
        </w:rPr>
        <w:t>3.</w:t>
      </w:r>
      <w:r>
        <w:rPr>
          <w:sz w:val="24"/>
        </w:rPr>
        <w:t>机械设备运行产生的烟尘等。</w:t>
      </w:r>
    </w:p>
    <w:p w:rsidR="009C5C1F" w:rsidRDefault="004D2E0D">
      <w:pPr>
        <w:pStyle w:val="3"/>
        <w:spacing w:beforeLines="100" w:before="360" w:after="0" w:line="500" w:lineRule="exact"/>
        <w:ind w:firstLineChars="200" w:firstLine="482"/>
        <w:rPr>
          <w:rFonts w:ascii="宋体" w:hAnsi="宋体" w:cs="宋体"/>
        </w:rPr>
      </w:pPr>
      <w:bookmarkStart w:id="576" w:name="_Toc70589772"/>
      <w:r>
        <w:rPr>
          <w:rFonts w:ascii="宋体" w:hAnsi="宋体" w:cs="宋体" w:hint="eastAsia"/>
        </w:rPr>
        <w:t>9.3.2 主要污染物的预防和治理措施</w:t>
      </w:r>
      <w:bookmarkEnd w:id="576"/>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1.废渣：矿山产生的废渣主要是采矿表土、围岩及生活垃圾。采矿剥离表土应集中堆放，可用于铺垫道路和回填采坑，有利于减少后续复垦的工作量。生活垃圾产生量小，采取集中堆放和掩，即可减小对环境的影响。</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2.废水：采矿产生的废水主要是喷雾降尘废水，此废水除浊度偏高外，受污染较轻，不含有害物质，且由于露天开采矿石，此水与采场少量涌水</w:t>
      </w:r>
      <w:proofErr w:type="gramStart"/>
      <w:r>
        <w:rPr>
          <w:rFonts w:ascii="宋体" w:hAnsi="宋体" w:cs="宋体" w:hint="eastAsia"/>
          <w:sz w:val="24"/>
        </w:rPr>
        <w:t>一并经</w:t>
      </w:r>
      <w:proofErr w:type="gramEnd"/>
      <w:r>
        <w:rPr>
          <w:rFonts w:ascii="宋体" w:hAnsi="宋体" w:cs="宋体" w:hint="eastAsia"/>
          <w:sz w:val="24"/>
        </w:rPr>
        <w:t>水沟自然沉淀后排放，用于采场及矿区道路的除尘或矿区植被的灌溉。</w:t>
      </w:r>
    </w:p>
    <w:p w:rsidR="009C5C1F" w:rsidRDefault="004D2E0D">
      <w:pPr>
        <w:pStyle w:val="a7"/>
        <w:spacing w:after="0" w:line="500" w:lineRule="exact"/>
        <w:ind w:right="153" w:firstLineChars="200" w:firstLine="480"/>
        <w:rPr>
          <w:rFonts w:ascii="宋体" w:hAnsi="宋体" w:cs="宋体"/>
          <w:sz w:val="24"/>
        </w:rPr>
      </w:pPr>
      <w:r>
        <w:rPr>
          <w:rFonts w:ascii="宋体" w:hAnsi="宋体" w:cs="宋体" w:hint="eastAsia"/>
          <w:sz w:val="24"/>
        </w:rPr>
        <w:t>3.防、降尘：作业的</w:t>
      </w:r>
      <w:proofErr w:type="gramStart"/>
      <w:r>
        <w:rPr>
          <w:rFonts w:ascii="宋体" w:hAnsi="宋体" w:cs="宋体" w:hint="eastAsia"/>
          <w:sz w:val="24"/>
        </w:rPr>
        <w:t>主要产尘地点</w:t>
      </w:r>
      <w:proofErr w:type="gramEnd"/>
      <w:r>
        <w:rPr>
          <w:rFonts w:ascii="宋体" w:hAnsi="宋体" w:cs="宋体" w:hint="eastAsia"/>
          <w:sz w:val="24"/>
        </w:rPr>
        <w:t>有采场装卸、筛选以及有关的运输车辆环节等。为使采场空气含尘量小于</w:t>
      </w:r>
      <w:r>
        <w:rPr>
          <w:rFonts w:ascii="宋体" w:hAnsi="宋体" w:cs="宋体" w:hint="eastAsia"/>
          <w:spacing w:val="-61"/>
          <w:sz w:val="24"/>
        </w:rPr>
        <w:t xml:space="preserve"> </w:t>
      </w:r>
      <w:r>
        <w:rPr>
          <w:rFonts w:ascii="宋体" w:hAnsi="宋体" w:cs="宋体" w:hint="eastAsia"/>
          <w:sz w:val="24"/>
        </w:rPr>
        <w:t>2mg/m</w:t>
      </w:r>
      <w:r>
        <w:rPr>
          <w:rFonts w:ascii="宋体" w:hAnsi="宋体" w:cs="宋体" w:hint="eastAsia"/>
          <w:position w:val="12"/>
          <w:sz w:val="24"/>
          <w:vertAlign w:val="superscript"/>
        </w:rPr>
        <w:t>3</w:t>
      </w:r>
      <w:r>
        <w:rPr>
          <w:rFonts w:ascii="宋体" w:hAnsi="宋体" w:cs="宋体" w:hint="eastAsia"/>
          <w:spacing w:val="-29"/>
          <w:position w:val="12"/>
          <w:sz w:val="24"/>
        </w:rPr>
        <w:t xml:space="preserve"> </w:t>
      </w:r>
      <w:r>
        <w:rPr>
          <w:rFonts w:ascii="宋体" w:hAnsi="宋体" w:cs="宋体" w:hint="eastAsia"/>
          <w:sz w:val="24"/>
        </w:rPr>
        <w:t>以下。设计采取了以下防尘措施：</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①对各</w:t>
      </w:r>
      <w:proofErr w:type="gramStart"/>
      <w:r>
        <w:rPr>
          <w:rFonts w:ascii="宋体" w:hAnsi="宋体" w:cs="宋体" w:hint="eastAsia"/>
          <w:sz w:val="24"/>
        </w:rPr>
        <w:t>产尘点</w:t>
      </w:r>
      <w:proofErr w:type="gramEnd"/>
      <w:r>
        <w:rPr>
          <w:rFonts w:ascii="宋体" w:hAnsi="宋体" w:cs="宋体" w:hint="eastAsia"/>
          <w:sz w:val="24"/>
        </w:rPr>
        <w:t>进行喷雾洒水，定期对露天坑壁和道路进行洒水冲洗；</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②地表矿石堆放点覆盖降尘；</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③拉运过程中，给运输车辆准备盖顶或篷布，对于装载机操作手在装卸过程中要求其规范作业，避免由于装车的散乱而在成运输中的矿体粉尘遗撒和扬尘；</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④严格要求运输人员在运输过程中不能超速行驶，避免造成车辆颠簸而导致的矿石遗撒和扬尘；</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⑤由于运输设备产生的燃油废气及生活燃煤废气的总产生量不大，又不集中，故对环境影响不大；</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⑥加强个人防护，佩戴防尘口罩等。</w:t>
      </w:r>
    </w:p>
    <w:p w:rsidR="009C5C1F" w:rsidRDefault="004D2E0D">
      <w:pPr>
        <w:pStyle w:val="a7"/>
        <w:spacing w:after="0" w:line="500" w:lineRule="exact"/>
        <w:ind w:right="4263" w:firstLineChars="200" w:firstLine="480"/>
        <w:jc w:val="left"/>
        <w:rPr>
          <w:rFonts w:ascii="宋体" w:hAnsi="宋体" w:cs="宋体"/>
          <w:sz w:val="24"/>
        </w:rPr>
      </w:pPr>
      <w:r>
        <w:rPr>
          <w:rFonts w:ascii="宋体" w:hAnsi="宋体" w:cs="宋体" w:hint="eastAsia"/>
          <w:sz w:val="24"/>
        </w:rPr>
        <w:t>4.噪声</w:t>
      </w:r>
    </w:p>
    <w:p w:rsidR="009C5C1F" w:rsidRDefault="004D2E0D">
      <w:pPr>
        <w:pStyle w:val="a7"/>
        <w:spacing w:line="500" w:lineRule="exact"/>
        <w:ind w:right="151" w:firstLine="479"/>
        <w:rPr>
          <w:rFonts w:ascii="宋体" w:hAnsi="宋体" w:cs="宋体"/>
          <w:sz w:val="24"/>
        </w:rPr>
      </w:pPr>
      <w:r>
        <w:rPr>
          <w:rFonts w:ascii="宋体" w:hAnsi="宋体" w:cs="宋体" w:hint="eastAsia"/>
          <w:sz w:val="24"/>
        </w:rPr>
        <w:t>该砂石矿噪音主要来源于装载机和露天采场装运等作业产生的噪音，由于是露天开采，适当采取个体防护措施后（可采用耳塞、</w:t>
      </w:r>
      <w:proofErr w:type="gramStart"/>
      <w:r>
        <w:rPr>
          <w:rFonts w:ascii="宋体" w:hAnsi="宋体" w:cs="宋体" w:hint="eastAsia"/>
          <w:sz w:val="24"/>
        </w:rPr>
        <w:t>防声棉等</w:t>
      </w:r>
      <w:proofErr w:type="gramEnd"/>
      <w:r>
        <w:rPr>
          <w:rFonts w:ascii="宋体" w:hAnsi="宋体" w:cs="宋体" w:hint="eastAsia"/>
          <w:sz w:val="24"/>
        </w:rPr>
        <w:t>），可将噪声控制在《工业企业</w:t>
      </w:r>
      <w:r>
        <w:rPr>
          <w:rFonts w:ascii="宋体" w:hAnsi="宋体" w:cs="宋体" w:hint="eastAsia"/>
          <w:spacing w:val="-115"/>
          <w:sz w:val="24"/>
        </w:rPr>
        <w:t xml:space="preserve"> </w:t>
      </w:r>
      <w:r>
        <w:rPr>
          <w:rFonts w:ascii="宋体" w:hAnsi="宋体" w:cs="宋体" w:hint="eastAsia"/>
          <w:sz w:val="24"/>
        </w:rPr>
        <w:t>噪声卫生标准》规定的范围之内。设计采取了以下防、降噪声措施。</w:t>
      </w:r>
    </w:p>
    <w:p w:rsidR="009C5C1F" w:rsidRDefault="004D2E0D">
      <w:pPr>
        <w:pStyle w:val="a7"/>
        <w:spacing w:line="500" w:lineRule="exact"/>
        <w:ind w:firstLineChars="200" w:firstLine="480"/>
        <w:jc w:val="left"/>
        <w:rPr>
          <w:rFonts w:ascii="宋体" w:hAnsi="宋体" w:cs="宋体"/>
          <w:sz w:val="24"/>
        </w:rPr>
      </w:pPr>
      <w:r>
        <w:rPr>
          <w:rFonts w:ascii="宋体" w:hAnsi="宋体" w:cs="宋体" w:hint="eastAsia"/>
          <w:sz w:val="24"/>
        </w:rPr>
        <w:t>①机械加装消声装置；</w:t>
      </w:r>
    </w:p>
    <w:p w:rsidR="009C5C1F" w:rsidRDefault="004D2E0D">
      <w:pPr>
        <w:pStyle w:val="a7"/>
        <w:spacing w:line="500" w:lineRule="exact"/>
        <w:ind w:firstLineChars="200" w:firstLine="480"/>
        <w:jc w:val="left"/>
        <w:rPr>
          <w:rFonts w:ascii="宋体" w:hAnsi="宋体" w:cs="宋体"/>
          <w:sz w:val="24"/>
        </w:rPr>
      </w:pPr>
      <w:r>
        <w:rPr>
          <w:rFonts w:ascii="宋体" w:hAnsi="宋体" w:cs="宋体" w:hint="eastAsia"/>
          <w:sz w:val="24"/>
        </w:rPr>
        <w:lastRenderedPageBreak/>
        <w:t>②将生活区与采矿场分隔布置；</w:t>
      </w:r>
    </w:p>
    <w:p w:rsidR="009C5C1F" w:rsidRDefault="004D2E0D">
      <w:pPr>
        <w:pStyle w:val="a7"/>
        <w:spacing w:line="500" w:lineRule="exact"/>
        <w:ind w:right="151" w:firstLineChars="200" w:firstLine="480"/>
        <w:rPr>
          <w:rFonts w:ascii="宋体" w:hAnsi="宋体" w:cs="宋体"/>
          <w:sz w:val="24"/>
        </w:rPr>
      </w:pPr>
      <w:r>
        <w:rPr>
          <w:rFonts w:ascii="宋体" w:hAnsi="宋体" w:cs="宋体" w:hint="eastAsia"/>
          <w:sz w:val="24"/>
        </w:rPr>
        <w:t>③对操作工人加强劳动保护和个人防护措施。</w:t>
      </w:r>
    </w:p>
    <w:p w:rsidR="009C5C1F" w:rsidRDefault="004D2E0D">
      <w:pPr>
        <w:pStyle w:val="3"/>
        <w:spacing w:beforeLines="100" w:before="360" w:after="0" w:line="500" w:lineRule="exact"/>
        <w:ind w:firstLineChars="200" w:firstLine="482"/>
        <w:rPr>
          <w:rFonts w:ascii="宋体" w:hAnsi="宋体" w:cs="宋体"/>
        </w:rPr>
      </w:pPr>
      <w:bookmarkStart w:id="577" w:name="_Toc70589773"/>
      <w:r>
        <w:rPr>
          <w:rFonts w:ascii="宋体" w:hAnsi="宋体" w:cs="宋体" w:hint="eastAsia"/>
        </w:rPr>
        <w:t>9.3.3 其它环境保护措施</w:t>
      </w:r>
      <w:bookmarkEnd w:id="577"/>
    </w:p>
    <w:p w:rsidR="009C5C1F" w:rsidRDefault="004D2E0D">
      <w:pPr>
        <w:pStyle w:val="a7"/>
        <w:spacing w:after="0" w:line="500" w:lineRule="exact"/>
        <w:ind w:firstLine="476"/>
        <w:jc w:val="left"/>
        <w:rPr>
          <w:sz w:val="24"/>
        </w:rPr>
      </w:pPr>
      <w:r>
        <w:rPr>
          <w:spacing w:val="-4"/>
          <w:sz w:val="24"/>
        </w:rPr>
        <w:t>方案总体布局时，根据矿区自然条件及生产特点，对生产区、生活区进行合理布置，</w:t>
      </w:r>
      <w:r>
        <w:rPr>
          <w:sz w:val="24"/>
        </w:rPr>
        <w:t>保证相互之间的安全防护距离。另绿化是保护和改善环境的一项有效措施，企业建成后</w:t>
      </w:r>
      <w:r>
        <w:rPr>
          <w:spacing w:val="-115"/>
          <w:sz w:val="24"/>
        </w:rPr>
        <w:t xml:space="preserve"> </w:t>
      </w:r>
      <w:r>
        <w:rPr>
          <w:sz w:val="24"/>
        </w:rPr>
        <w:t>应利用当地自然条件，在生活区适当区域可种草植树，美化环境，减少环境污染。矿山</w:t>
      </w:r>
      <w:r>
        <w:rPr>
          <w:spacing w:val="-114"/>
          <w:sz w:val="24"/>
        </w:rPr>
        <w:t xml:space="preserve"> </w:t>
      </w:r>
      <w:r>
        <w:rPr>
          <w:sz w:val="24"/>
        </w:rPr>
        <w:t>闭坑后地表应基本恢复到采矿前的状态，对存在的地质灾害隐患应采取相应防治措施，</w:t>
      </w:r>
      <w:r>
        <w:rPr>
          <w:spacing w:val="-115"/>
          <w:sz w:val="24"/>
        </w:rPr>
        <w:t xml:space="preserve"> </w:t>
      </w:r>
      <w:r>
        <w:rPr>
          <w:sz w:val="24"/>
        </w:rPr>
        <w:t>使矿山地质环境问题得到有效治理，保证矿区经济社会发展和周围居民生命财产安全。</w:t>
      </w:r>
    </w:p>
    <w:p w:rsidR="009C5C1F" w:rsidRDefault="004D2E0D">
      <w:pPr>
        <w:pStyle w:val="3"/>
        <w:spacing w:beforeLines="100" w:before="360" w:after="0" w:line="500" w:lineRule="exact"/>
        <w:ind w:firstLineChars="200" w:firstLine="482"/>
        <w:rPr>
          <w:rFonts w:ascii="宋体" w:hAnsi="宋体" w:cs="宋体"/>
        </w:rPr>
      </w:pPr>
      <w:bookmarkStart w:id="578" w:name="_Toc70589774"/>
      <w:r>
        <w:rPr>
          <w:rFonts w:ascii="宋体" w:hAnsi="宋体" w:cs="宋体" w:hint="eastAsia"/>
        </w:rPr>
        <w:t>9.3.4 环境影响评价分析</w:t>
      </w:r>
      <w:bookmarkEnd w:id="578"/>
    </w:p>
    <w:p w:rsidR="009C5C1F" w:rsidRDefault="004D2E0D">
      <w:pPr>
        <w:pStyle w:val="a7"/>
        <w:spacing w:after="0" w:line="500" w:lineRule="exact"/>
        <w:ind w:firstLine="476"/>
        <w:jc w:val="left"/>
        <w:rPr>
          <w:spacing w:val="-4"/>
          <w:sz w:val="24"/>
        </w:rPr>
      </w:pPr>
      <w:r>
        <w:rPr>
          <w:spacing w:val="-4"/>
          <w:sz w:val="24"/>
        </w:rPr>
        <w:t>方案编制中，对企业废水排放、废渣及噪音等污染物均提出了有效的治理措施，只要认真落实这些措施，并加强环保监测工作，企业建成后不会对环境造成大的影响。</w:t>
      </w:r>
    </w:p>
    <w:p w:rsidR="009C5C1F" w:rsidRDefault="004D2E0D">
      <w:pPr>
        <w:pStyle w:val="2"/>
        <w:spacing w:beforeLines="100" w:before="360" w:line="500" w:lineRule="atLeast"/>
        <w:ind w:firstLine="482"/>
        <w:rPr>
          <w:rFonts w:ascii="宋体" w:eastAsia="宋体" w:hAnsi="宋体" w:cs="宋体"/>
          <w:sz w:val="24"/>
          <w:szCs w:val="24"/>
        </w:rPr>
      </w:pPr>
      <w:bookmarkStart w:id="579" w:name="_Toc70589775"/>
      <w:bookmarkStart w:id="580" w:name="_Toc153130740"/>
      <w:bookmarkStart w:id="581" w:name="_Toc502783477"/>
      <w:bookmarkStart w:id="582" w:name="_Toc214407033"/>
      <w:bookmarkStart w:id="583" w:name="_Toc511226436"/>
      <w:bookmarkStart w:id="584" w:name="_Toc213683098"/>
      <w:r>
        <w:rPr>
          <w:rFonts w:ascii="宋体" w:eastAsia="宋体" w:hAnsi="宋体" w:cs="宋体" w:hint="eastAsia"/>
          <w:sz w:val="24"/>
          <w:szCs w:val="24"/>
        </w:rPr>
        <w:t>9.4 水土保持与恢复环境技术措施</w:t>
      </w:r>
      <w:bookmarkEnd w:id="579"/>
      <w:bookmarkEnd w:id="580"/>
    </w:p>
    <w:p w:rsidR="009C5C1F" w:rsidRDefault="004D2E0D">
      <w:pPr>
        <w:pStyle w:val="3"/>
        <w:spacing w:beforeLines="100" w:before="360" w:after="0" w:line="500" w:lineRule="exact"/>
        <w:ind w:firstLineChars="200" w:firstLine="482"/>
        <w:rPr>
          <w:rFonts w:ascii="宋体" w:hAnsi="宋体" w:cs="宋体"/>
        </w:rPr>
      </w:pPr>
      <w:bookmarkStart w:id="585" w:name="_Toc70589776"/>
      <w:r>
        <w:rPr>
          <w:rFonts w:ascii="宋体" w:hAnsi="宋体" w:cs="宋体" w:hint="eastAsia"/>
        </w:rPr>
        <w:t>9.4.1 水土保持</w:t>
      </w:r>
      <w:bookmarkEnd w:id="585"/>
      <w:r>
        <w:rPr>
          <w:rFonts w:ascii="宋体" w:hAnsi="宋体" w:cs="宋体" w:hint="eastAsia"/>
        </w:rPr>
        <w:t xml:space="preserve"> </w:t>
      </w:r>
    </w:p>
    <w:p w:rsidR="009C5C1F" w:rsidRDefault="004D2E0D">
      <w:pPr>
        <w:pStyle w:val="a7"/>
        <w:spacing w:after="0" w:line="500" w:lineRule="exact"/>
        <w:ind w:firstLine="476"/>
        <w:jc w:val="left"/>
        <w:rPr>
          <w:spacing w:val="-4"/>
          <w:sz w:val="24"/>
        </w:rPr>
      </w:pPr>
      <w:r>
        <w:rPr>
          <w:rFonts w:hint="eastAsia"/>
          <w:spacing w:val="-4"/>
          <w:sz w:val="24"/>
        </w:rPr>
        <w:t>由于该矿属于新建矿山，</w:t>
      </w:r>
      <w:r>
        <w:rPr>
          <w:spacing w:val="-4"/>
          <w:sz w:val="24"/>
        </w:rPr>
        <w:t>矿山的建设由于修建公路、办公房屋、生活设施和选矿废渣堆放等，不可避免地破坏了原有的地表状况，公路的建设、场地的平整，造成许多边坡开挖。</w:t>
      </w:r>
      <w:r>
        <w:rPr>
          <w:rFonts w:hint="eastAsia"/>
          <w:spacing w:val="-4"/>
          <w:sz w:val="24"/>
        </w:rPr>
        <w:t>为此，设计中制定的具体预防水土流失的措施如下：</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1</w:t>
      </w:r>
      <w:r>
        <w:rPr>
          <w:rFonts w:hint="eastAsia"/>
          <w:spacing w:val="-4"/>
          <w:sz w:val="24"/>
        </w:rPr>
        <w:t>）在粘土矿区建立防护栏设施；对施工中形成的新生面采取截水沟、排水沟，使水土流失有效控制；同时对施工场地进行土地的平整、改造。对于道路施工，在施工过程中要尽量做到挖填平衡，在高边坡做好排水措施；在道路两侧种树种草进行绿化。依据</w:t>
      </w:r>
      <w:r>
        <w:rPr>
          <w:rFonts w:hint="eastAsia"/>
          <w:spacing w:val="-4"/>
          <w:sz w:val="24"/>
        </w:rPr>
        <w:t>2</w:t>
      </w:r>
      <w:r>
        <w:rPr>
          <w:spacing w:val="-4"/>
          <w:sz w:val="24"/>
        </w:rPr>
        <w:t>0</w:t>
      </w:r>
      <w:r>
        <w:rPr>
          <w:rFonts w:hint="eastAsia"/>
          <w:spacing w:val="-4"/>
          <w:sz w:val="24"/>
        </w:rPr>
        <w:t>年一遇多年平均降水产生的坡面径流大小，结合地形地貌，考虑经济因素，设计公路排洪沟。</w:t>
      </w:r>
    </w:p>
    <w:p w:rsidR="009C5C1F" w:rsidRDefault="004D2E0D">
      <w:pPr>
        <w:pStyle w:val="a7"/>
        <w:spacing w:after="0" w:line="500" w:lineRule="exact"/>
        <w:ind w:firstLine="476"/>
        <w:jc w:val="left"/>
        <w:rPr>
          <w:spacing w:val="-4"/>
          <w:sz w:val="24"/>
        </w:rPr>
      </w:pPr>
      <w:r>
        <w:rPr>
          <w:rFonts w:hint="eastAsia"/>
          <w:spacing w:val="-4"/>
          <w:sz w:val="24"/>
        </w:rPr>
        <w:t>（</w:t>
      </w:r>
      <w:r>
        <w:rPr>
          <w:rFonts w:hint="eastAsia"/>
          <w:spacing w:val="-4"/>
          <w:sz w:val="24"/>
        </w:rPr>
        <w:t>2</w:t>
      </w:r>
      <w:r>
        <w:rPr>
          <w:rFonts w:hint="eastAsia"/>
          <w:spacing w:val="-4"/>
          <w:sz w:val="24"/>
        </w:rPr>
        <w:t>）粘土矿区生产运行期，取土前要完善周边排水系统，在矿区顶部布设截</w:t>
      </w:r>
      <w:r>
        <w:rPr>
          <w:rFonts w:hint="eastAsia"/>
          <w:spacing w:val="-4"/>
          <w:sz w:val="24"/>
        </w:rPr>
        <w:lastRenderedPageBreak/>
        <w:t>水沟，防止暴雨径流冲刷采面。根据需要，采场附近设置临时堆放表层腐殖土的堆场，并采用拦护措施，以利于开采后表层腐殖土回填，防止施工中由于降水冲刷造成临时堆土场的土壤流失；取土过程中要分区开挖，做到挖完一片覆土恢复一片，复垦一片，防止开挖造成大面积裸露面，导致水土流失。开挖坡面须严格按设计边坡要求，</w:t>
      </w:r>
      <w:proofErr w:type="gramStart"/>
      <w:r>
        <w:rPr>
          <w:rFonts w:hint="eastAsia"/>
          <w:spacing w:val="-4"/>
          <w:sz w:val="24"/>
        </w:rPr>
        <w:t>不得陡于土</w:t>
      </w:r>
      <w:proofErr w:type="gramEnd"/>
      <w:r>
        <w:rPr>
          <w:rFonts w:hint="eastAsia"/>
          <w:spacing w:val="-4"/>
          <w:sz w:val="24"/>
        </w:rPr>
        <w:t>体自然稳定边坡，最终边坡角确定小于</w:t>
      </w:r>
      <w:r>
        <w:rPr>
          <w:rFonts w:hint="eastAsia"/>
          <w:spacing w:val="-4"/>
          <w:sz w:val="24"/>
        </w:rPr>
        <w:t>4</w:t>
      </w:r>
      <w:r>
        <w:rPr>
          <w:spacing w:val="-4"/>
          <w:sz w:val="24"/>
        </w:rPr>
        <w:t>5</w:t>
      </w:r>
      <w:r>
        <w:rPr>
          <w:rFonts w:hint="eastAsia"/>
          <w:spacing w:val="-4"/>
          <w:sz w:val="24"/>
        </w:rPr>
        <w:t>°；</w:t>
      </w:r>
    </w:p>
    <w:p w:rsidR="009C5C1F" w:rsidRDefault="004D2E0D">
      <w:pPr>
        <w:pStyle w:val="a7"/>
        <w:spacing w:after="0" w:line="500" w:lineRule="exact"/>
        <w:ind w:firstLine="476"/>
        <w:jc w:val="left"/>
        <w:rPr>
          <w:spacing w:val="-4"/>
          <w:sz w:val="24"/>
        </w:rPr>
      </w:pPr>
      <w:r>
        <w:rPr>
          <w:rFonts w:hint="eastAsia"/>
          <w:spacing w:val="-4"/>
          <w:sz w:val="24"/>
        </w:rPr>
        <w:t>（</w:t>
      </w:r>
      <w:r>
        <w:rPr>
          <w:rFonts w:hint="eastAsia"/>
          <w:spacing w:val="-4"/>
          <w:sz w:val="24"/>
        </w:rPr>
        <w:t>3</w:t>
      </w:r>
      <w:r>
        <w:rPr>
          <w:rFonts w:hint="eastAsia"/>
          <w:spacing w:val="-4"/>
          <w:sz w:val="24"/>
        </w:rPr>
        <w:t>）在矿山工业场地内部、边坡及周围的空地、缓坡等地带，稳定边坡，以防止水土流失。</w:t>
      </w:r>
    </w:p>
    <w:p w:rsidR="009C5C1F" w:rsidRDefault="004D2E0D">
      <w:pPr>
        <w:pStyle w:val="3"/>
        <w:spacing w:beforeLines="100" w:before="360" w:after="0" w:line="500" w:lineRule="exact"/>
        <w:ind w:firstLineChars="200" w:firstLine="482"/>
        <w:rPr>
          <w:rFonts w:ascii="宋体" w:hAnsi="宋体" w:cs="宋体"/>
        </w:rPr>
      </w:pPr>
      <w:bookmarkStart w:id="586" w:name="_Toc70589777"/>
      <w:r>
        <w:rPr>
          <w:rFonts w:ascii="宋体" w:hAnsi="宋体" w:cs="宋体" w:hint="eastAsia"/>
        </w:rPr>
        <w:t xml:space="preserve">9.4.2 </w:t>
      </w:r>
      <w:bookmarkEnd w:id="586"/>
      <w:r>
        <w:rPr>
          <w:rFonts w:ascii="宋体" w:hAnsi="宋体" w:cs="宋体" w:hint="eastAsia"/>
        </w:rPr>
        <w:t>复垦</w:t>
      </w:r>
    </w:p>
    <w:p w:rsidR="009C5C1F" w:rsidRDefault="004D2E0D">
      <w:pPr>
        <w:pStyle w:val="a7"/>
        <w:spacing w:after="0" w:line="500" w:lineRule="exact"/>
        <w:ind w:firstLine="476"/>
        <w:rPr>
          <w:spacing w:val="-4"/>
          <w:sz w:val="24"/>
        </w:rPr>
      </w:pPr>
      <w:r>
        <w:rPr>
          <w:rFonts w:hint="eastAsia"/>
          <w:spacing w:val="-4"/>
          <w:sz w:val="24"/>
        </w:rPr>
        <w:t>复垦的对象主要为废弃场地，在矿山开采完毕后，应将露天</w:t>
      </w:r>
      <w:proofErr w:type="gramStart"/>
      <w:r>
        <w:rPr>
          <w:rFonts w:hint="eastAsia"/>
          <w:spacing w:val="-4"/>
          <w:sz w:val="24"/>
        </w:rPr>
        <w:t>坑予以</w:t>
      </w:r>
      <w:proofErr w:type="gramEnd"/>
      <w:r>
        <w:rPr>
          <w:rFonts w:hint="eastAsia"/>
          <w:spacing w:val="-4"/>
          <w:sz w:val="24"/>
        </w:rPr>
        <w:t>关闭并首先采取措施以保证其边坡的稳定，然后对其进行复垦，由于该矿周围水资源匮乏，生态环境较恶劣，植被稀少，若考虑复垦后种草种树、覆土绿化基本无法达到要求，所以本次设计根据该矿的实际情况，建议该矿开采完毕后</w:t>
      </w:r>
      <w:proofErr w:type="gramStart"/>
      <w:r>
        <w:rPr>
          <w:rFonts w:hint="eastAsia"/>
          <w:spacing w:val="-4"/>
          <w:sz w:val="24"/>
        </w:rPr>
        <w:t>对采坑进行</w:t>
      </w:r>
      <w:proofErr w:type="gramEnd"/>
      <w:r>
        <w:rPr>
          <w:rFonts w:hint="eastAsia"/>
          <w:spacing w:val="-4"/>
          <w:sz w:val="24"/>
        </w:rPr>
        <w:t>回填，然后进行平整压实，自然恢复，最终达到水土保持的要求。</w:t>
      </w:r>
    </w:p>
    <w:p w:rsidR="009C5C1F" w:rsidRDefault="004D2E0D">
      <w:pPr>
        <w:pStyle w:val="3"/>
        <w:spacing w:beforeLines="100" w:before="360" w:after="0" w:line="500" w:lineRule="exact"/>
        <w:ind w:firstLineChars="200" w:firstLine="482"/>
        <w:rPr>
          <w:rFonts w:ascii="宋体" w:hAnsi="宋体" w:cs="宋体"/>
        </w:rPr>
      </w:pPr>
      <w:bookmarkStart w:id="587" w:name="_Toc70589778"/>
      <w:r>
        <w:rPr>
          <w:rFonts w:ascii="宋体" w:hAnsi="宋体" w:cs="宋体" w:hint="eastAsia"/>
        </w:rPr>
        <w:t>9.4.3 闭坑后的矿山管理</w:t>
      </w:r>
      <w:bookmarkEnd w:id="587"/>
      <w:r>
        <w:rPr>
          <w:rFonts w:ascii="宋体" w:hAnsi="宋体" w:cs="宋体" w:hint="eastAsia"/>
        </w:rPr>
        <w:t xml:space="preserve"> </w:t>
      </w:r>
    </w:p>
    <w:p w:rsidR="009C5C1F" w:rsidRDefault="004D2E0D">
      <w:pPr>
        <w:pStyle w:val="a7"/>
        <w:spacing w:after="0" w:line="500" w:lineRule="exact"/>
        <w:ind w:firstLine="476"/>
        <w:jc w:val="left"/>
        <w:rPr>
          <w:spacing w:val="-4"/>
          <w:sz w:val="24"/>
        </w:rPr>
      </w:pPr>
      <w:r>
        <w:rPr>
          <w:rFonts w:hint="eastAsia"/>
          <w:spacing w:val="-4"/>
          <w:sz w:val="24"/>
        </w:rPr>
        <w:t>矿山开采完毕，应及时提出闭坑报告及有关采剥工程、不安全隐患、土地复垦利用、环境保护的资料，并按规定报请上级主管部门审查批准。</w:t>
      </w:r>
    </w:p>
    <w:p w:rsidR="009C5C1F" w:rsidRDefault="004D2E0D">
      <w:pPr>
        <w:pStyle w:val="a7"/>
        <w:spacing w:after="0" w:line="500" w:lineRule="exact"/>
        <w:ind w:firstLine="476"/>
        <w:jc w:val="left"/>
        <w:rPr>
          <w:spacing w:val="-4"/>
          <w:sz w:val="24"/>
        </w:rPr>
      </w:pPr>
      <w:r>
        <w:rPr>
          <w:rFonts w:hint="eastAsia"/>
          <w:spacing w:val="-4"/>
          <w:sz w:val="24"/>
        </w:rPr>
        <w:t>1.</w:t>
      </w:r>
      <w:r>
        <w:rPr>
          <w:rFonts w:hint="eastAsia"/>
          <w:spacing w:val="-4"/>
          <w:sz w:val="24"/>
        </w:rPr>
        <w:t>对地表采空区、塌陷区进行回填治理；</w:t>
      </w:r>
    </w:p>
    <w:p w:rsidR="009C5C1F" w:rsidRDefault="004D2E0D">
      <w:pPr>
        <w:pStyle w:val="a7"/>
        <w:spacing w:after="0" w:line="500" w:lineRule="exact"/>
        <w:ind w:firstLine="476"/>
        <w:jc w:val="left"/>
        <w:rPr>
          <w:spacing w:val="-4"/>
          <w:sz w:val="24"/>
        </w:rPr>
      </w:pPr>
      <w:r>
        <w:rPr>
          <w:rFonts w:hint="eastAsia"/>
          <w:spacing w:val="-4"/>
          <w:sz w:val="24"/>
        </w:rPr>
        <w:t>2.</w:t>
      </w:r>
      <w:r>
        <w:rPr>
          <w:rFonts w:hint="eastAsia"/>
          <w:spacing w:val="-4"/>
          <w:sz w:val="24"/>
        </w:rPr>
        <w:t>对废弃场地平整；</w:t>
      </w:r>
    </w:p>
    <w:p w:rsidR="009C5C1F" w:rsidRDefault="004D2E0D">
      <w:pPr>
        <w:pStyle w:val="a7"/>
        <w:spacing w:after="0" w:line="500" w:lineRule="exact"/>
        <w:ind w:firstLine="476"/>
        <w:jc w:val="left"/>
        <w:rPr>
          <w:spacing w:val="-4"/>
          <w:sz w:val="24"/>
        </w:rPr>
      </w:pPr>
      <w:r>
        <w:rPr>
          <w:rFonts w:hint="eastAsia"/>
          <w:spacing w:val="-4"/>
          <w:sz w:val="24"/>
        </w:rPr>
        <w:t>3.</w:t>
      </w:r>
      <w:r>
        <w:rPr>
          <w:rFonts w:hint="eastAsia"/>
          <w:spacing w:val="-4"/>
          <w:sz w:val="24"/>
        </w:rPr>
        <w:t>回填、清除建筑及生活垃圾。</w:t>
      </w:r>
    </w:p>
    <w:p w:rsidR="009C5C1F" w:rsidRDefault="004D2E0D">
      <w:pPr>
        <w:pStyle w:val="2"/>
        <w:spacing w:beforeLines="100" w:before="360" w:line="500" w:lineRule="atLeast"/>
        <w:ind w:firstLine="482"/>
        <w:rPr>
          <w:rFonts w:ascii="宋体" w:eastAsia="宋体" w:hAnsi="宋体" w:cs="宋体"/>
          <w:sz w:val="24"/>
          <w:szCs w:val="24"/>
        </w:rPr>
      </w:pPr>
      <w:bookmarkStart w:id="588" w:name="_bookmark32"/>
      <w:bookmarkStart w:id="589" w:name="_Toc153130741"/>
      <w:bookmarkStart w:id="590" w:name="_Toc70589779"/>
      <w:bookmarkEnd w:id="588"/>
      <w:r>
        <w:rPr>
          <w:rFonts w:ascii="宋体" w:eastAsia="宋体" w:hAnsi="宋体" w:cs="宋体" w:hint="eastAsia"/>
          <w:sz w:val="24"/>
          <w:szCs w:val="24"/>
        </w:rPr>
        <w:t>9.5 环境管理</w:t>
      </w:r>
      <w:bookmarkEnd w:id="589"/>
      <w:bookmarkEnd w:id="590"/>
    </w:p>
    <w:p w:rsidR="009C5C1F" w:rsidRDefault="004D2E0D">
      <w:pPr>
        <w:pStyle w:val="a7"/>
        <w:spacing w:after="0" w:line="500" w:lineRule="exact"/>
        <w:ind w:firstLine="476"/>
        <w:jc w:val="left"/>
        <w:rPr>
          <w:spacing w:val="-4"/>
          <w:sz w:val="24"/>
        </w:rPr>
      </w:pPr>
      <w:r>
        <w:rPr>
          <w:rFonts w:hint="eastAsia"/>
          <w:spacing w:val="-4"/>
          <w:sz w:val="24"/>
        </w:rPr>
        <w:t>为保证项目建设及运行期对生态环境的影响程度达到最小，必须严格生态环境管理制度，成立总经理任组长的环保领导小组，设置环保办公室，配备人员负责生态环境保</w:t>
      </w:r>
      <w:r>
        <w:rPr>
          <w:rFonts w:hint="eastAsia"/>
          <w:spacing w:val="-4"/>
          <w:sz w:val="24"/>
        </w:rPr>
        <w:t xml:space="preserve"> </w:t>
      </w:r>
      <w:r>
        <w:rPr>
          <w:rFonts w:hint="eastAsia"/>
          <w:spacing w:val="-4"/>
          <w:sz w:val="24"/>
        </w:rPr>
        <w:t>护工作。加强管理及监督检查，以确保各项措施落实，对出现的问题及时采取有效处理措施，以减少对生态环境的不利影响。</w:t>
      </w:r>
    </w:p>
    <w:p w:rsidR="009C5C1F" w:rsidRDefault="004D2E0D">
      <w:pPr>
        <w:pStyle w:val="2"/>
        <w:spacing w:beforeLines="100" w:before="360" w:line="500" w:lineRule="atLeast"/>
        <w:ind w:firstLine="466"/>
        <w:rPr>
          <w:spacing w:val="-4"/>
          <w:sz w:val="24"/>
        </w:rPr>
      </w:pPr>
      <w:bookmarkStart w:id="591" w:name="_Toc153130742"/>
      <w:r>
        <w:rPr>
          <w:rFonts w:hint="eastAsia"/>
          <w:spacing w:val="-4"/>
          <w:sz w:val="24"/>
        </w:rPr>
        <w:lastRenderedPageBreak/>
        <w:t xml:space="preserve">9.6 </w:t>
      </w:r>
      <w:r>
        <w:rPr>
          <w:rFonts w:hint="eastAsia"/>
          <w:spacing w:val="-4"/>
          <w:sz w:val="24"/>
        </w:rPr>
        <w:t>估算环保投资</w:t>
      </w:r>
      <w:bookmarkEnd w:id="591"/>
    </w:p>
    <w:p w:rsidR="009C5C1F" w:rsidRDefault="004D2E0D">
      <w:pPr>
        <w:pStyle w:val="a7"/>
        <w:spacing w:after="0" w:line="500" w:lineRule="exact"/>
        <w:ind w:firstLine="476"/>
        <w:jc w:val="left"/>
        <w:rPr>
          <w:spacing w:val="-4"/>
          <w:sz w:val="24"/>
        </w:rPr>
      </w:pPr>
      <w:r>
        <w:rPr>
          <w:rFonts w:hint="eastAsia"/>
          <w:spacing w:val="-4"/>
          <w:sz w:val="24"/>
        </w:rPr>
        <w:t>本矿估算环保投资为</w:t>
      </w:r>
      <w:r>
        <w:rPr>
          <w:spacing w:val="-4"/>
          <w:sz w:val="24"/>
        </w:rPr>
        <w:t>21.63</w:t>
      </w:r>
      <w:r>
        <w:rPr>
          <w:rFonts w:hint="eastAsia"/>
          <w:spacing w:val="-4"/>
          <w:sz w:val="24"/>
        </w:rPr>
        <w:t>万元，企业应委托有资质的环境影响评价机构编制项目环境影响评价报告，并报有关主管部门审批。企业生产只要严格按照环境影响报告及审批意见提出的有关要求采取相应措施，就完全可以达到国家对小矿点采矿生产的环保要求，详细的环保投资估算见下表所示。</w:t>
      </w:r>
    </w:p>
    <w:p w:rsidR="009C5C1F" w:rsidRDefault="004D2E0D">
      <w:pPr>
        <w:pStyle w:val="a7"/>
        <w:spacing w:after="0" w:line="500" w:lineRule="exact"/>
        <w:ind w:firstLine="476"/>
        <w:jc w:val="center"/>
        <w:rPr>
          <w:spacing w:val="-4"/>
          <w:sz w:val="24"/>
        </w:rPr>
      </w:pPr>
      <w:r>
        <w:rPr>
          <w:rFonts w:hint="eastAsia"/>
          <w:spacing w:val="-4"/>
          <w:sz w:val="24"/>
        </w:rPr>
        <w:t>表</w:t>
      </w:r>
      <w:r>
        <w:rPr>
          <w:rFonts w:hint="eastAsia"/>
          <w:spacing w:val="-4"/>
          <w:sz w:val="24"/>
        </w:rPr>
        <w:t>9</w:t>
      </w:r>
      <w:r>
        <w:rPr>
          <w:rFonts w:hint="eastAsia"/>
          <w:spacing w:val="-4"/>
          <w:sz w:val="24"/>
        </w:rPr>
        <w:t>—</w:t>
      </w:r>
      <w:r>
        <w:rPr>
          <w:rFonts w:hint="eastAsia"/>
          <w:spacing w:val="-4"/>
          <w:sz w:val="24"/>
        </w:rPr>
        <w:t>1</w:t>
      </w:r>
      <w:r>
        <w:rPr>
          <w:spacing w:val="-4"/>
          <w:sz w:val="24"/>
        </w:rPr>
        <w:t xml:space="preserve">                </w:t>
      </w:r>
      <w:r>
        <w:rPr>
          <w:rFonts w:hint="eastAsia"/>
          <w:spacing w:val="-4"/>
          <w:sz w:val="24"/>
        </w:rPr>
        <w:t xml:space="preserve">   </w:t>
      </w:r>
      <w:r>
        <w:rPr>
          <w:rFonts w:hint="eastAsia"/>
          <w:spacing w:val="-4"/>
          <w:sz w:val="24"/>
        </w:rPr>
        <w:t>环保投资估算表</w:t>
      </w:r>
    </w:p>
    <w:tbl>
      <w:tblPr>
        <w:tblStyle w:val="af2"/>
        <w:tblW w:w="8816" w:type="dxa"/>
        <w:jc w:val="center"/>
        <w:tblLook w:val="04A0" w:firstRow="1" w:lastRow="0" w:firstColumn="1" w:lastColumn="0" w:noHBand="0" w:noVBand="1"/>
      </w:tblPr>
      <w:tblGrid>
        <w:gridCol w:w="819"/>
        <w:gridCol w:w="1701"/>
        <w:gridCol w:w="1418"/>
        <w:gridCol w:w="1417"/>
        <w:gridCol w:w="1418"/>
        <w:gridCol w:w="2043"/>
      </w:tblGrid>
      <w:tr w:rsidR="009C5C1F">
        <w:trPr>
          <w:trHeight w:val="494"/>
          <w:jc w:val="center"/>
        </w:trPr>
        <w:tc>
          <w:tcPr>
            <w:tcW w:w="819" w:type="dxa"/>
            <w:vAlign w:val="center"/>
          </w:tcPr>
          <w:p w:rsidR="009C5C1F" w:rsidRDefault="004D2E0D">
            <w:pPr>
              <w:pStyle w:val="a7"/>
              <w:spacing w:after="0"/>
              <w:jc w:val="center"/>
              <w:rPr>
                <w:spacing w:val="-4"/>
                <w:sz w:val="24"/>
              </w:rPr>
            </w:pPr>
            <w:r>
              <w:rPr>
                <w:rFonts w:hint="eastAsia"/>
              </w:rPr>
              <w:t>序号</w:t>
            </w:r>
          </w:p>
        </w:tc>
        <w:tc>
          <w:tcPr>
            <w:tcW w:w="1701" w:type="dxa"/>
            <w:vAlign w:val="center"/>
          </w:tcPr>
          <w:p w:rsidR="009C5C1F" w:rsidRDefault="004D2E0D">
            <w:pPr>
              <w:pStyle w:val="a7"/>
              <w:spacing w:after="0"/>
              <w:jc w:val="center"/>
              <w:rPr>
                <w:spacing w:val="-4"/>
                <w:sz w:val="24"/>
              </w:rPr>
            </w:pPr>
            <w:r>
              <w:rPr>
                <w:rFonts w:hint="eastAsia"/>
              </w:rPr>
              <w:t>名称</w:t>
            </w:r>
          </w:p>
        </w:tc>
        <w:tc>
          <w:tcPr>
            <w:tcW w:w="1418" w:type="dxa"/>
            <w:vAlign w:val="center"/>
          </w:tcPr>
          <w:p w:rsidR="009C5C1F" w:rsidRDefault="004D2E0D">
            <w:pPr>
              <w:pStyle w:val="a7"/>
              <w:spacing w:after="0"/>
              <w:jc w:val="center"/>
              <w:rPr>
                <w:spacing w:val="-4"/>
                <w:sz w:val="24"/>
              </w:rPr>
            </w:pPr>
            <w:r>
              <w:rPr>
                <w:rFonts w:hint="eastAsia"/>
              </w:rPr>
              <w:t>数量</w:t>
            </w:r>
          </w:p>
        </w:tc>
        <w:tc>
          <w:tcPr>
            <w:tcW w:w="1417" w:type="dxa"/>
            <w:vAlign w:val="center"/>
          </w:tcPr>
          <w:p w:rsidR="009C5C1F" w:rsidRDefault="004D2E0D">
            <w:pPr>
              <w:pStyle w:val="a7"/>
              <w:spacing w:after="0"/>
              <w:jc w:val="center"/>
              <w:rPr>
                <w:spacing w:val="-4"/>
                <w:sz w:val="24"/>
              </w:rPr>
            </w:pPr>
            <w:r>
              <w:rPr>
                <w:rFonts w:hint="eastAsia"/>
              </w:rPr>
              <w:t>成本</w:t>
            </w:r>
          </w:p>
        </w:tc>
        <w:tc>
          <w:tcPr>
            <w:tcW w:w="1418" w:type="dxa"/>
            <w:vAlign w:val="center"/>
          </w:tcPr>
          <w:p w:rsidR="009C5C1F" w:rsidRDefault="004D2E0D">
            <w:pPr>
              <w:pStyle w:val="a7"/>
              <w:spacing w:after="0"/>
              <w:jc w:val="center"/>
              <w:rPr>
                <w:spacing w:val="-4"/>
                <w:sz w:val="24"/>
              </w:rPr>
            </w:pPr>
            <w:r>
              <w:rPr>
                <w:rFonts w:hint="eastAsia"/>
              </w:rPr>
              <w:t>费用（万元）</w:t>
            </w:r>
          </w:p>
        </w:tc>
        <w:tc>
          <w:tcPr>
            <w:tcW w:w="2043" w:type="dxa"/>
            <w:vAlign w:val="center"/>
          </w:tcPr>
          <w:p w:rsidR="009C5C1F" w:rsidRDefault="004D2E0D">
            <w:pPr>
              <w:pStyle w:val="a7"/>
              <w:spacing w:after="0"/>
              <w:jc w:val="center"/>
              <w:rPr>
                <w:spacing w:val="-4"/>
                <w:sz w:val="24"/>
              </w:rPr>
            </w:pPr>
            <w:r>
              <w:rPr>
                <w:rFonts w:hint="eastAsia"/>
              </w:rPr>
              <w:t>备注</w:t>
            </w:r>
          </w:p>
        </w:tc>
      </w:tr>
      <w:tr w:rsidR="009C5C1F">
        <w:trPr>
          <w:trHeight w:val="402"/>
          <w:jc w:val="center"/>
        </w:trPr>
        <w:tc>
          <w:tcPr>
            <w:tcW w:w="819" w:type="dxa"/>
            <w:vAlign w:val="center"/>
          </w:tcPr>
          <w:p w:rsidR="009C5C1F" w:rsidRDefault="004D2E0D">
            <w:pPr>
              <w:pStyle w:val="a7"/>
              <w:spacing w:after="0"/>
              <w:jc w:val="center"/>
              <w:rPr>
                <w:spacing w:val="-4"/>
                <w:sz w:val="24"/>
              </w:rPr>
            </w:pPr>
            <w:r>
              <w:rPr>
                <w:rFonts w:hint="eastAsia"/>
              </w:rPr>
              <w:t>1</w:t>
            </w:r>
          </w:p>
        </w:tc>
        <w:tc>
          <w:tcPr>
            <w:tcW w:w="1701" w:type="dxa"/>
            <w:vAlign w:val="center"/>
          </w:tcPr>
          <w:p w:rsidR="009C5C1F" w:rsidRDefault="004D2E0D">
            <w:pPr>
              <w:pStyle w:val="a7"/>
              <w:spacing w:after="0"/>
              <w:jc w:val="center"/>
              <w:rPr>
                <w:spacing w:val="-4"/>
                <w:sz w:val="24"/>
              </w:rPr>
            </w:pPr>
            <w:r>
              <w:rPr>
                <w:rFonts w:hint="eastAsia"/>
              </w:rPr>
              <w:t>边坡修理</w:t>
            </w:r>
          </w:p>
        </w:tc>
        <w:tc>
          <w:tcPr>
            <w:tcW w:w="1418" w:type="dxa"/>
            <w:vAlign w:val="center"/>
          </w:tcPr>
          <w:p w:rsidR="009C5C1F" w:rsidRDefault="004D2E0D">
            <w:pPr>
              <w:pStyle w:val="a7"/>
              <w:spacing w:after="0"/>
              <w:jc w:val="center"/>
              <w:rPr>
                <w:spacing w:val="-4"/>
                <w:sz w:val="24"/>
              </w:rPr>
            </w:pPr>
            <w:r>
              <w:t>80</w:t>
            </w:r>
            <w:r>
              <w:rPr>
                <w:rFonts w:hint="eastAsia"/>
              </w:rPr>
              <w:t>m</w:t>
            </w:r>
            <w:r>
              <w:rPr>
                <w:rFonts w:hint="eastAsia"/>
                <w:vertAlign w:val="superscript"/>
              </w:rPr>
              <w:t>3</w:t>
            </w:r>
          </w:p>
        </w:tc>
        <w:tc>
          <w:tcPr>
            <w:tcW w:w="1417" w:type="dxa"/>
            <w:vAlign w:val="center"/>
          </w:tcPr>
          <w:p w:rsidR="009C5C1F" w:rsidRDefault="004D2E0D">
            <w:pPr>
              <w:pStyle w:val="a7"/>
              <w:spacing w:after="0"/>
              <w:jc w:val="center"/>
              <w:rPr>
                <w:spacing w:val="-4"/>
                <w:sz w:val="24"/>
              </w:rPr>
            </w:pPr>
            <w:r>
              <w:rPr>
                <w:rFonts w:hint="eastAsia"/>
              </w:rPr>
              <w:t>35</w:t>
            </w:r>
            <w:r>
              <w:rPr>
                <w:rFonts w:hint="eastAsia"/>
              </w:rPr>
              <w:t>元</w:t>
            </w:r>
            <w:r>
              <w:rPr>
                <w:rFonts w:hint="eastAsia"/>
              </w:rPr>
              <w:t>/m3</w:t>
            </w:r>
          </w:p>
        </w:tc>
        <w:tc>
          <w:tcPr>
            <w:tcW w:w="1418" w:type="dxa"/>
            <w:vAlign w:val="center"/>
          </w:tcPr>
          <w:p w:rsidR="009C5C1F" w:rsidRDefault="004D2E0D">
            <w:pPr>
              <w:pStyle w:val="a7"/>
              <w:spacing w:after="0"/>
              <w:jc w:val="center"/>
              <w:rPr>
                <w:spacing w:val="-4"/>
                <w:sz w:val="24"/>
              </w:rPr>
            </w:pPr>
            <w:r>
              <w:rPr>
                <w:rFonts w:hint="eastAsia"/>
                <w:spacing w:val="-4"/>
              </w:rPr>
              <w:t>0</w:t>
            </w:r>
            <w:r>
              <w:rPr>
                <w:spacing w:val="-4"/>
              </w:rPr>
              <w:t>.28</w:t>
            </w:r>
          </w:p>
        </w:tc>
        <w:tc>
          <w:tcPr>
            <w:tcW w:w="2043" w:type="dxa"/>
            <w:vAlign w:val="center"/>
          </w:tcPr>
          <w:p w:rsidR="009C5C1F" w:rsidRDefault="004D2E0D">
            <w:pPr>
              <w:pStyle w:val="a7"/>
              <w:spacing w:after="0"/>
              <w:jc w:val="center"/>
              <w:rPr>
                <w:spacing w:val="-4"/>
                <w:sz w:val="24"/>
              </w:rPr>
            </w:pPr>
            <w:r>
              <w:rPr>
                <w:rFonts w:hint="eastAsia"/>
              </w:rPr>
              <w:t>边坡角</w:t>
            </w:r>
            <w:r>
              <w:rPr>
                <w:rFonts w:hint="eastAsia"/>
              </w:rPr>
              <w:t>4</w:t>
            </w:r>
            <w:r>
              <w:t>5</w:t>
            </w:r>
            <w:r>
              <w:rPr>
                <w:rFonts w:hint="eastAsia"/>
              </w:rPr>
              <w:t>°以下</w:t>
            </w:r>
          </w:p>
        </w:tc>
      </w:tr>
      <w:tr w:rsidR="009C5C1F">
        <w:trPr>
          <w:trHeight w:val="378"/>
          <w:jc w:val="center"/>
        </w:trPr>
        <w:tc>
          <w:tcPr>
            <w:tcW w:w="819" w:type="dxa"/>
            <w:vAlign w:val="center"/>
          </w:tcPr>
          <w:p w:rsidR="009C5C1F" w:rsidRDefault="004D2E0D">
            <w:pPr>
              <w:pStyle w:val="a7"/>
              <w:spacing w:after="0"/>
              <w:jc w:val="center"/>
              <w:rPr>
                <w:spacing w:val="-4"/>
                <w:sz w:val="24"/>
              </w:rPr>
            </w:pPr>
            <w:r>
              <w:rPr>
                <w:rFonts w:hint="eastAsia"/>
              </w:rPr>
              <w:t>2</w:t>
            </w:r>
          </w:p>
        </w:tc>
        <w:tc>
          <w:tcPr>
            <w:tcW w:w="1701" w:type="dxa"/>
            <w:vAlign w:val="center"/>
          </w:tcPr>
          <w:p w:rsidR="009C5C1F" w:rsidRDefault="004D2E0D">
            <w:pPr>
              <w:pStyle w:val="a7"/>
              <w:spacing w:after="0"/>
              <w:jc w:val="center"/>
              <w:rPr>
                <w:spacing w:val="-4"/>
                <w:sz w:val="24"/>
              </w:rPr>
            </w:pPr>
            <w:proofErr w:type="gramStart"/>
            <w:r>
              <w:rPr>
                <w:rFonts w:hint="eastAsia"/>
              </w:rPr>
              <w:t>采坑回填</w:t>
            </w:r>
            <w:proofErr w:type="gramEnd"/>
          </w:p>
        </w:tc>
        <w:tc>
          <w:tcPr>
            <w:tcW w:w="1418" w:type="dxa"/>
            <w:vAlign w:val="center"/>
          </w:tcPr>
          <w:p w:rsidR="009C5C1F" w:rsidRDefault="004D2E0D">
            <w:pPr>
              <w:pStyle w:val="a7"/>
              <w:spacing w:after="0"/>
              <w:jc w:val="center"/>
              <w:rPr>
                <w:spacing w:val="-4"/>
                <w:sz w:val="24"/>
              </w:rPr>
            </w:pPr>
            <w:r>
              <w:t>3500</w:t>
            </w:r>
            <w:r>
              <w:rPr>
                <w:rFonts w:hint="eastAsia"/>
              </w:rPr>
              <w:t>m</w:t>
            </w:r>
            <w:r>
              <w:rPr>
                <w:rFonts w:hint="eastAsia"/>
                <w:vertAlign w:val="superscript"/>
              </w:rPr>
              <w:t>3</w:t>
            </w:r>
          </w:p>
        </w:tc>
        <w:tc>
          <w:tcPr>
            <w:tcW w:w="1417" w:type="dxa"/>
            <w:vAlign w:val="center"/>
          </w:tcPr>
          <w:p w:rsidR="009C5C1F" w:rsidRDefault="004D2E0D">
            <w:pPr>
              <w:pStyle w:val="a7"/>
              <w:spacing w:after="0"/>
              <w:jc w:val="center"/>
              <w:rPr>
                <w:spacing w:val="-4"/>
                <w:sz w:val="24"/>
              </w:rPr>
            </w:pPr>
            <w:r>
              <w:rPr>
                <w:rFonts w:hint="eastAsia"/>
              </w:rPr>
              <w:t>15</w:t>
            </w:r>
            <w:r>
              <w:rPr>
                <w:rFonts w:hint="eastAsia"/>
              </w:rPr>
              <w:t>元</w:t>
            </w:r>
            <w:r>
              <w:rPr>
                <w:rFonts w:hint="eastAsia"/>
              </w:rPr>
              <w:t>/m3</w:t>
            </w:r>
          </w:p>
        </w:tc>
        <w:tc>
          <w:tcPr>
            <w:tcW w:w="1418" w:type="dxa"/>
            <w:vAlign w:val="center"/>
          </w:tcPr>
          <w:p w:rsidR="009C5C1F" w:rsidRDefault="004D2E0D">
            <w:pPr>
              <w:pStyle w:val="a7"/>
              <w:spacing w:after="0"/>
              <w:jc w:val="center"/>
              <w:rPr>
                <w:spacing w:val="-4"/>
                <w:sz w:val="24"/>
              </w:rPr>
            </w:pPr>
            <w:r>
              <w:rPr>
                <w:spacing w:val="-4"/>
              </w:rPr>
              <w:t>5.25</w:t>
            </w:r>
          </w:p>
        </w:tc>
        <w:tc>
          <w:tcPr>
            <w:tcW w:w="2043" w:type="dxa"/>
            <w:vAlign w:val="center"/>
          </w:tcPr>
          <w:p w:rsidR="009C5C1F" w:rsidRDefault="009C5C1F">
            <w:pPr>
              <w:pStyle w:val="a7"/>
              <w:spacing w:after="0"/>
              <w:jc w:val="center"/>
              <w:rPr>
                <w:spacing w:val="-4"/>
                <w:sz w:val="24"/>
              </w:rPr>
            </w:pPr>
          </w:p>
        </w:tc>
      </w:tr>
      <w:tr w:rsidR="009C5C1F">
        <w:trPr>
          <w:trHeight w:val="395"/>
          <w:jc w:val="center"/>
        </w:trPr>
        <w:tc>
          <w:tcPr>
            <w:tcW w:w="819" w:type="dxa"/>
            <w:vAlign w:val="center"/>
          </w:tcPr>
          <w:p w:rsidR="009C5C1F" w:rsidRDefault="004D2E0D">
            <w:pPr>
              <w:pStyle w:val="a7"/>
              <w:spacing w:after="0"/>
              <w:jc w:val="center"/>
              <w:rPr>
                <w:spacing w:val="-4"/>
                <w:sz w:val="24"/>
              </w:rPr>
            </w:pPr>
            <w:r>
              <w:rPr>
                <w:rFonts w:hint="eastAsia"/>
              </w:rPr>
              <w:t>3</w:t>
            </w:r>
          </w:p>
        </w:tc>
        <w:tc>
          <w:tcPr>
            <w:tcW w:w="1701" w:type="dxa"/>
            <w:vAlign w:val="center"/>
          </w:tcPr>
          <w:p w:rsidR="009C5C1F" w:rsidRDefault="004D2E0D">
            <w:pPr>
              <w:pStyle w:val="a7"/>
              <w:spacing w:after="0"/>
              <w:jc w:val="center"/>
              <w:rPr>
                <w:spacing w:val="-4"/>
                <w:sz w:val="24"/>
              </w:rPr>
            </w:pPr>
            <w:r>
              <w:rPr>
                <w:rFonts w:hint="eastAsia"/>
              </w:rPr>
              <w:t>土地平整</w:t>
            </w:r>
          </w:p>
        </w:tc>
        <w:tc>
          <w:tcPr>
            <w:tcW w:w="1418" w:type="dxa"/>
            <w:vAlign w:val="center"/>
          </w:tcPr>
          <w:p w:rsidR="009C5C1F" w:rsidRDefault="004D2E0D">
            <w:pPr>
              <w:pStyle w:val="a7"/>
              <w:spacing w:after="0"/>
              <w:jc w:val="center"/>
              <w:rPr>
                <w:spacing w:val="-4"/>
                <w:sz w:val="24"/>
              </w:rPr>
            </w:pPr>
            <w:r>
              <w:t>53720</w:t>
            </w:r>
            <w:r>
              <w:rPr>
                <w:rFonts w:hint="eastAsia"/>
              </w:rPr>
              <w:t>m</w:t>
            </w:r>
            <w:r>
              <w:rPr>
                <w:rFonts w:hint="eastAsia"/>
                <w:vertAlign w:val="superscript"/>
              </w:rPr>
              <w:t>3</w:t>
            </w:r>
          </w:p>
        </w:tc>
        <w:tc>
          <w:tcPr>
            <w:tcW w:w="1417" w:type="dxa"/>
            <w:vAlign w:val="center"/>
          </w:tcPr>
          <w:p w:rsidR="009C5C1F" w:rsidRDefault="004D2E0D">
            <w:pPr>
              <w:pStyle w:val="a7"/>
              <w:spacing w:after="0"/>
              <w:jc w:val="center"/>
              <w:rPr>
                <w:spacing w:val="-4"/>
                <w:sz w:val="24"/>
              </w:rPr>
            </w:pPr>
            <w:r>
              <w:rPr>
                <w:rFonts w:hint="eastAsia"/>
              </w:rPr>
              <w:t>1.5</w:t>
            </w:r>
            <w:r>
              <w:rPr>
                <w:rFonts w:hint="eastAsia"/>
              </w:rPr>
              <w:t>元</w:t>
            </w:r>
            <w:r>
              <w:rPr>
                <w:rFonts w:hint="eastAsia"/>
              </w:rPr>
              <w:t>/m3</w:t>
            </w:r>
          </w:p>
        </w:tc>
        <w:tc>
          <w:tcPr>
            <w:tcW w:w="1418" w:type="dxa"/>
            <w:vAlign w:val="center"/>
          </w:tcPr>
          <w:p w:rsidR="009C5C1F" w:rsidRDefault="004D2E0D">
            <w:pPr>
              <w:pStyle w:val="a7"/>
              <w:spacing w:after="0"/>
              <w:jc w:val="center"/>
              <w:rPr>
                <w:spacing w:val="-4"/>
                <w:sz w:val="24"/>
              </w:rPr>
            </w:pPr>
            <w:r>
              <w:rPr>
                <w:spacing w:val="-4"/>
                <w:sz w:val="24"/>
              </w:rPr>
              <w:t>8.1</w:t>
            </w:r>
          </w:p>
        </w:tc>
        <w:tc>
          <w:tcPr>
            <w:tcW w:w="2043" w:type="dxa"/>
            <w:vAlign w:val="center"/>
          </w:tcPr>
          <w:p w:rsidR="009C5C1F" w:rsidRDefault="009C5C1F">
            <w:pPr>
              <w:pStyle w:val="a7"/>
              <w:spacing w:after="0"/>
              <w:jc w:val="center"/>
              <w:rPr>
                <w:spacing w:val="-4"/>
                <w:sz w:val="24"/>
              </w:rPr>
            </w:pPr>
          </w:p>
        </w:tc>
      </w:tr>
      <w:tr w:rsidR="009C5C1F">
        <w:trPr>
          <w:trHeight w:val="313"/>
          <w:jc w:val="center"/>
        </w:trPr>
        <w:tc>
          <w:tcPr>
            <w:tcW w:w="819" w:type="dxa"/>
            <w:vAlign w:val="center"/>
          </w:tcPr>
          <w:p w:rsidR="009C5C1F" w:rsidRDefault="004D2E0D">
            <w:pPr>
              <w:pStyle w:val="a7"/>
              <w:spacing w:after="0"/>
              <w:jc w:val="center"/>
              <w:rPr>
                <w:spacing w:val="-4"/>
                <w:sz w:val="24"/>
              </w:rPr>
            </w:pPr>
            <w:r>
              <w:rPr>
                <w:rFonts w:hint="eastAsia"/>
              </w:rPr>
              <w:t>4</w:t>
            </w:r>
          </w:p>
        </w:tc>
        <w:tc>
          <w:tcPr>
            <w:tcW w:w="1701" w:type="dxa"/>
            <w:vAlign w:val="center"/>
          </w:tcPr>
          <w:p w:rsidR="009C5C1F" w:rsidRDefault="004D2E0D">
            <w:pPr>
              <w:pStyle w:val="a7"/>
              <w:spacing w:after="0"/>
              <w:jc w:val="center"/>
              <w:rPr>
                <w:spacing w:val="-4"/>
                <w:sz w:val="24"/>
              </w:rPr>
            </w:pPr>
            <w:r>
              <w:rPr>
                <w:rFonts w:hint="eastAsia"/>
                <w:spacing w:val="-4"/>
              </w:rPr>
              <w:t>报告编制</w:t>
            </w:r>
          </w:p>
        </w:tc>
        <w:tc>
          <w:tcPr>
            <w:tcW w:w="1418" w:type="dxa"/>
            <w:vAlign w:val="center"/>
          </w:tcPr>
          <w:p w:rsidR="009C5C1F" w:rsidRDefault="004D2E0D">
            <w:pPr>
              <w:pStyle w:val="a7"/>
              <w:spacing w:after="0"/>
              <w:jc w:val="center"/>
              <w:rPr>
                <w:spacing w:val="-4"/>
                <w:sz w:val="24"/>
              </w:rPr>
            </w:pPr>
            <w:r>
              <w:rPr>
                <w:rFonts w:hint="eastAsia"/>
                <w:spacing w:val="-4"/>
              </w:rPr>
              <w:t>1</w:t>
            </w:r>
          </w:p>
        </w:tc>
        <w:tc>
          <w:tcPr>
            <w:tcW w:w="1417" w:type="dxa"/>
            <w:vAlign w:val="center"/>
          </w:tcPr>
          <w:p w:rsidR="009C5C1F" w:rsidRDefault="009C5C1F">
            <w:pPr>
              <w:pStyle w:val="a7"/>
              <w:spacing w:after="0"/>
              <w:jc w:val="center"/>
              <w:rPr>
                <w:spacing w:val="-4"/>
                <w:sz w:val="24"/>
              </w:rPr>
            </w:pPr>
          </w:p>
        </w:tc>
        <w:tc>
          <w:tcPr>
            <w:tcW w:w="1418" w:type="dxa"/>
            <w:vAlign w:val="center"/>
          </w:tcPr>
          <w:p w:rsidR="009C5C1F" w:rsidRDefault="004D2E0D">
            <w:pPr>
              <w:pStyle w:val="a7"/>
              <w:spacing w:after="0"/>
              <w:jc w:val="center"/>
              <w:rPr>
                <w:spacing w:val="-4"/>
                <w:sz w:val="24"/>
              </w:rPr>
            </w:pPr>
            <w:r>
              <w:t>8</w:t>
            </w:r>
            <w:r>
              <w:rPr>
                <w:rFonts w:hint="eastAsia"/>
              </w:rPr>
              <w:t>.0</w:t>
            </w:r>
          </w:p>
        </w:tc>
        <w:tc>
          <w:tcPr>
            <w:tcW w:w="2043" w:type="dxa"/>
            <w:vAlign w:val="center"/>
          </w:tcPr>
          <w:p w:rsidR="009C5C1F" w:rsidRDefault="009C5C1F">
            <w:pPr>
              <w:pStyle w:val="a7"/>
              <w:spacing w:after="0"/>
              <w:jc w:val="center"/>
              <w:rPr>
                <w:spacing w:val="-4"/>
                <w:sz w:val="24"/>
              </w:rPr>
            </w:pPr>
          </w:p>
        </w:tc>
      </w:tr>
      <w:tr w:rsidR="009C5C1F">
        <w:trPr>
          <w:trHeight w:val="191"/>
          <w:jc w:val="center"/>
        </w:trPr>
        <w:tc>
          <w:tcPr>
            <w:tcW w:w="5355" w:type="dxa"/>
            <w:gridSpan w:val="4"/>
            <w:vAlign w:val="center"/>
          </w:tcPr>
          <w:p w:rsidR="009C5C1F" w:rsidRDefault="004D2E0D">
            <w:pPr>
              <w:pStyle w:val="a7"/>
              <w:spacing w:after="0"/>
              <w:jc w:val="center"/>
            </w:pPr>
            <w:r>
              <w:rPr>
                <w:rFonts w:hint="eastAsia"/>
              </w:rPr>
              <w:t>合计</w:t>
            </w:r>
          </w:p>
        </w:tc>
        <w:tc>
          <w:tcPr>
            <w:tcW w:w="1418" w:type="dxa"/>
            <w:vAlign w:val="center"/>
          </w:tcPr>
          <w:p w:rsidR="009C5C1F" w:rsidRDefault="004D2E0D">
            <w:pPr>
              <w:pStyle w:val="a7"/>
              <w:spacing w:after="0"/>
              <w:jc w:val="center"/>
            </w:pPr>
            <w:r>
              <w:t>21.63</w:t>
            </w:r>
          </w:p>
        </w:tc>
        <w:tc>
          <w:tcPr>
            <w:tcW w:w="2043" w:type="dxa"/>
            <w:vAlign w:val="center"/>
          </w:tcPr>
          <w:p w:rsidR="009C5C1F" w:rsidRDefault="009C5C1F">
            <w:pPr>
              <w:pStyle w:val="a7"/>
              <w:spacing w:after="0"/>
              <w:jc w:val="center"/>
            </w:pPr>
          </w:p>
        </w:tc>
      </w:tr>
    </w:tbl>
    <w:p w:rsidR="009C5C1F" w:rsidRDefault="004D2E0D">
      <w:pPr>
        <w:pStyle w:val="2"/>
        <w:spacing w:beforeLines="100" w:before="360" w:line="500" w:lineRule="atLeast"/>
        <w:ind w:firstLine="482"/>
        <w:rPr>
          <w:rFonts w:ascii="宋体" w:eastAsia="宋体" w:hAnsi="宋体" w:cs="宋体"/>
          <w:sz w:val="24"/>
          <w:szCs w:val="24"/>
        </w:rPr>
      </w:pPr>
      <w:bookmarkStart w:id="592" w:name="_Toc153130743"/>
      <w:bookmarkStart w:id="593" w:name="_Toc70589780"/>
      <w:r>
        <w:rPr>
          <w:rFonts w:ascii="宋体" w:eastAsia="宋体" w:hAnsi="宋体" w:cs="宋体" w:hint="eastAsia"/>
          <w:sz w:val="24"/>
          <w:szCs w:val="24"/>
        </w:rPr>
        <w:t>9.7 绿色矿山建设</w:t>
      </w:r>
      <w:bookmarkEnd w:id="592"/>
      <w:bookmarkEnd w:id="593"/>
    </w:p>
    <w:p w:rsidR="009C5C1F" w:rsidRDefault="004D2E0D">
      <w:pPr>
        <w:pStyle w:val="a7"/>
        <w:spacing w:after="0" w:line="500" w:lineRule="exact"/>
        <w:ind w:firstLine="476"/>
        <w:jc w:val="left"/>
        <w:rPr>
          <w:spacing w:val="-4"/>
          <w:sz w:val="24"/>
        </w:rPr>
      </w:pPr>
      <w:r>
        <w:rPr>
          <w:rFonts w:hint="eastAsia"/>
          <w:spacing w:val="-4"/>
          <w:sz w:val="24"/>
        </w:rPr>
        <w:t>矿产资源高效开发与综合利用是建设绿色矿山的整体要求。建设绿色矿山应将绿色矿业的理念贯穿于矿产资源开发利用的全过程，强调开采方法科学化、资源利用高效化、企业管理规范化、生产工艺环保化、矿山环境生态化，实现矿产资源开发利用的经济效益、生态效益和社会效益最大化。</w:t>
      </w:r>
    </w:p>
    <w:p w:rsidR="009C5C1F" w:rsidRDefault="004D2E0D">
      <w:pPr>
        <w:pStyle w:val="a7"/>
        <w:spacing w:after="0" w:line="500" w:lineRule="exact"/>
        <w:ind w:firstLine="476"/>
        <w:jc w:val="left"/>
        <w:rPr>
          <w:spacing w:val="-4"/>
          <w:sz w:val="24"/>
        </w:rPr>
      </w:pPr>
      <w:r>
        <w:rPr>
          <w:rFonts w:hint="eastAsia"/>
          <w:spacing w:val="-4"/>
          <w:sz w:val="24"/>
        </w:rPr>
        <w:t>矿山在开采过程中应坚持以保护环境、资源利用和社区和谐作为绿色矿山建设的工作核心，坚持可持续发展的经营理念，高效开发利用矿山资源，合理有效保护周边生态环境，积极主动的与地方政府、设计科研单位等进行项目合作和沟通往来，在依法办矿、规范管理、科技创新、节能减排、环境保护、土地复垦、社区和谐和企业文化等方面进行合作及建设。主要表现在如下几方面：</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1</w:t>
      </w:r>
      <w:r>
        <w:rPr>
          <w:rFonts w:hint="eastAsia"/>
          <w:spacing w:val="-4"/>
          <w:sz w:val="24"/>
        </w:rPr>
        <w:t>）依法办矿，规范管理</w:t>
      </w:r>
    </w:p>
    <w:p w:rsidR="009C5C1F" w:rsidRDefault="004D2E0D">
      <w:pPr>
        <w:pStyle w:val="a7"/>
        <w:spacing w:after="0" w:line="500" w:lineRule="exact"/>
        <w:ind w:firstLine="476"/>
        <w:jc w:val="left"/>
        <w:rPr>
          <w:spacing w:val="-4"/>
          <w:sz w:val="24"/>
        </w:rPr>
      </w:pPr>
      <w:r>
        <w:rPr>
          <w:rFonts w:hint="eastAsia"/>
          <w:spacing w:val="-4"/>
          <w:sz w:val="24"/>
        </w:rPr>
        <w:t>①矿山应根据国家统一规划和产业布局合理进行开发建设，在运营发展过程中，始终坚持依法办矿的经营理念。严格遵守国家制定的各项法律法规。矿山自觉接受各级监督审查，足额缴纳采矿权使用费、矿产资源补偿费和矿产资源税等相关税费，使公司的生产经营管理处在法律、法规许可范围内，真正做到了依法办矿，合法经营。</w:t>
      </w:r>
    </w:p>
    <w:p w:rsidR="009C5C1F" w:rsidRDefault="004D2E0D">
      <w:pPr>
        <w:pStyle w:val="a7"/>
        <w:spacing w:after="0" w:line="500" w:lineRule="exact"/>
        <w:ind w:firstLine="476"/>
        <w:jc w:val="left"/>
        <w:rPr>
          <w:spacing w:val="-4"/>
          <w:sz w:val="24"/>
        </w:rPr>
      </w:pPr>
      <w:r>
        <w:rPr>
          <w:rFonts w:hint="eastAsia"/>
          <w:spacing w:val="-4"/>
          <w:sz w:val="24"/>
        </w:rPr>
        <w:lastRenderedPageBreak/>
        <w:t>②认真贯彻执行国家相关技术政策，始终坚持合理的采掘顺序。对此，矿山精心准备，组织地、测、采等各方技术力量，认真编写年度采掘技术计划和长远采掘技术规划。在实际管理中，积极协调，加强管理，确保每年年度计划得以保质保量地完成。同时，按照自然资源部、甘肃省自然资源厅要求，全面开展矿山储量动态管理工作。</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2</w:t>
      </w:r>
      <w:r>
        <w:rPr>
          <w:rFonts w:hint="eastAsia"/>
          <w:spacing w:val="-4"/>
          <w:sz w:val="24"/>
        </w:rPr>
        <w:t>）走矿山绿色开发道路，搞好矿区绿化工作</w:t>
      </w:r>
    </w:p>
    <w:p w:rsidR="009C5C1F" w:rsidRDefault="004D2E0D">
      <w:pPr>
        <w:pStyle w:val="a7"/>
        <w:spacing w:after="0" w:line="500" w:lineRule="exact"/>
        <w:ind w:firstLine="476"/>
        <w:jc w:val="left"/>
        <w:rPr>
          <w:spacing w:val="-4"/>
          <w:sz w:val="24"/>
        </w:rPr>
      </w:pPr>
      <w:r>
        <w:rPr>
          <w:rFonts w:hint="eastAsia"/>
          <w:spacing w:val="-4"/>
          <w:sz w:val="24"/>
        </w:rPr>
        <w:t>矿山开发过程中，要始终坚持建设绿色矿山的理念，美化环境，在矿山生活区开展植树活动，将矿山生活办公区开辟成绿色、和谐的办公环境。</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3</w:t>
      </w:r>
      <w:r>
        <w:rPr>
          <w:rFonts w:hint="eastAsia"/>
          <w:spacing w:val="-4"/>
          <w:sz w:val="24"/>
        </w:rPr>
        <w:t>）创建企业文化，彰</w:t>
      </w:r>
      <w:proofErr w:type="gramStart"/>
      <w:r>
        <w:rPr>
          <w:rFonts w:hint="eastAsia"/>
          <w:spacing w:val="-4"/>
          <w:sz w:val="24"/>
        </w:rPr>
        <w:t>显企业</w:t>
      </w:r>
      <w:proofErr w:type="gramEnd"/>
      <w:r>
        <w:rPr>
          <w:rFonts w:hint="eastAsia"/>
          <w:spacing w:val="-4"/>
          <w:sz w:val="24"/>
        </w:rPr>
        <w:t>魅力</w:t>
      </w:r>
    </w:p>
    <w:p w:rsidR="009C5C1F" w:rsidRDefault="004D2E0D">
      <w:pPr>
        <w:pStyle w:val="a7"/>
        <w:spacing w:after="0" w:line="500" w:lineRule="exact"/>
        <w:ind w:firstLine="476"/>
        <w:jc w:val="left"/>
        <w:rPr>
          <w:spacing w:val="-4"/>
          <w:sz w:val="24"/>
        </w:rPr>
      </w:pPr>
      <w:r>
        <w:rPr>
          <w:rFonts w:hint="eastAsia"/>
          <w:spacing w:val="-4"/>
          <w:sz w:val="24"/>
        </w:rPr>
        <w:t>矿山应坚持以人为本的管理理念，深入开展企业文化建设，着力打造具有企业精神的企业文化。积极宣传国家的方针政策、各级党代会精神、安全生产和环境保护理念，进一步提高矿区的美化、亮化档次，宣传企业文化、廉政文化、传统文化及习</w:t>
      </w:r>
      <w:r w:rsidR="009135C6">
        <w:rPr>
          <w:rFonts w:hint="eastAsia"/>
          <w:spacing w:val="-4"/>
          <w:sz w:val="24"/>
        </w:rPr>
        <w:t>近平</w:t>
      </w:r>
      <w:r>
        <w:rPr>
          <w:rFonts w:hint="eastAsia"/>
          <w:spacing w:val="-4"/>
          <w:sz w:val="24"/>
        </w:rPr>
        <w:t>总书记系列</w:t>
      </w:r>
      <w:r w:rsidR="00322E5F">
        <w:rPr>
          <w:rFonts w:hint="eastAsia"/>
          <w:spacing w:val="-4"/>
          <w:sz w:val="24"/>
        </w:rPr>
        <w:t>重要</w:t>
      </w:r>
      <w:r>
        <w:rPr>
          <w:rFonts w:hint="eastAsia"/>
          <w:spacing w:val="-4"/>
          <w:sz w:val="24"/>
        </w:rPr>
        <w:t>讲话精神。形成“爱岗敬业、主动作为、开放自信、感恩奉献、担当创新、追求卓越”的工作精神。</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4</w:t>
      </w:r>
      <w:r>
        <w:rPr>
          <w:rFonts w:hint="eastAsia"/>
          <w:spacing w:val="-4"/>
          <w:sz w:val="24"/>
        </w:rPr>
        <w:t>）履行社会责任，造福社会</w:t>
      </w:r>
    </w:p>
    <w:p w:rsidR="009C5C1F" w:rsidRDefault="004D2E0D">
      <w:pPr>
        <w:pStyle w:val="a7"/>
        <w:spacing w:after="0" w:line="500" w:lineRule="exact"/>
        <w:ind w:firstLine="476"/>
        <w:jc w:val="left"/>
        <w:rPr>
          <w:spacing w:val="-4"/>
          <w:sz w:val="24"/>
        </w:rPr>
      </w:pPr>
      <w:r>
        <w:rPr>
          <w:rFonts w:hint="eastAsia"/>
          <w:spacing w:val="-4"/>
          <w:sz w:val="24"/>
        </w:rPr>
        <w:t>矿山应主动履行企业的社会责任，本着办实事、办真事，办好事的原则，尽最大努力履行社会责任，创造工作岗位，积极带动当地人民就业，造福社会。为切实巩固保障矿山的矿产资源基础，全面提高矿产资源对矿山持续发展的保障能力。充分发挥矿山的规模、技术和管理优势，落实企业做大做强的发展方针，坚持“以依法办矿为前提，以安全生产为保障，以科技创新为先导，以综合利用为突破，以资源高效开发为中心，以节能环保为重点，以数字化矿山建设为契机，以夯实管理基础为手段”。以绿色矿山建设为目标，在污染物防治、矿山环境恢复治理、土地复垦、科技创新、社区和谐和企业文化建设等方面做更大的引导与投入，努力探寻满足矿山开发的资源效益、环境效益、经济效益、社会效益四者相统一的矿山发展模式。</w:t>
      </w:r>
    </w:p>
    <w:p w:rsidR="009C5C1F" w:rsidRDefault="004D2E0D">
      <w:pPr>
        <w:pStyle w:val="a7"/>
        <w:spacing w:after="0" w:line="500" w:lineRule="exact"/>
        <w:ind w:firstLine="476"/>
        <w:jc w:val="left"/>
        <w:rPr>
          <w:spacing w:val="-4"/>
          <w:sz w:val="24"/>
        </w:rPr>
      </w:pPr>
      <w:r>
        <w:rPr>
          <w:rFonts w:hint="eastAsia"/>
          <w:spacing w:val="-4"/>
          <w:sz w:val="24"/>
        </w:rPr>
        <w:t>近些年坚持绿色矿山道路，在本次矿山活动与完工建设中，要实现资源效益、环境效益、经济效益、社会效益相和谐统一的作业模式，应特别注意一下几点的建</w:t>
      </w:r>
      <w:r>
        <w:rPr>
          <w:rFonts w:hint="eastAsia"/>
          <w:spacing w:val="-4"/>
          <w:sz w:val="24"/>
        </w:rPr>
        <w:lastRenderedPageBreak/>
        <w:t>设工作：</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1</w:t>
      </w:r>
      <w:r>
        <w:rPr>
          <w:rFonts w:hint="eastAsia"/>
          <w:spacing w:val="-4"/>
          <w:sz w:val="24"/>
        </w:rPr>
        <w:t>）矿区功能布局合理，标识、标牌规范统一、清晰美观；</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2</w:t>
      </w:r>
      <w:r>
        <w:rPr>
          <w:rFonts w:hint="eastAsia"/>
          <w:spacing w:val="-4"/>
          <w:sz w:val="24"/>
        </w:rPr>
        <w:t>）生产、运输、储存过程中采取封闭、洒水喷雾降尘、加设除尘装置等措施做好防尘保洁；</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3</w:t>
      </w:r>
      <w:r>
        <w:rPr>
          <w:rFonts w:hint="eastAsia"/>
          <w:spacing w:val="-4"/>
          <w:sz w:val="24"/>
        </w:rPr>
        <w:t>）矿山生产区、运输系统、办公区和生活区实现洁化、绿化、美化，矿区主要运输道路实现硬化、绿化覆盖率达到可绿化面积的</w:t>
      </w:r>
      <w:r>
        <w:rPr>
          <w:spacing w:val="-4"/>
          <w:sz w:val="24"/>
        </w:rPr>
        <w:t>20%</w:t>
      </w:r>
      <w:r>
        <w:rPr>
          <w:rFonts w:hint="eastAsia"/>
          <w:spacing w:val="-4"/>
          <w:sz w:val="24"/>
        </w:rPr>
        <w:t>；</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4</w:t>
      </w:r>
      <w:r>
        <w:rPr>
          <w:rFonts w:hint="eastAsia"/>
          <w:spacing w:val="-4"/>
          <w:sz w:val="24"/>
        </w:rPr>
        <w:t>）符合安全、环保、安监等相关规定；</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5</w:t>
      </w:r>
      <w:r>
        <w:rPr>
          <w:rFonts w:hint="eastAsia"/>
          <w:spacing w:val="-4"/>
          <w:sz w:val="24"/>
        </w:rPr>
        <w:t>）办公区、生活区具有完善的生活污水和垃圾处置设施；</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6</w:t>
      </w:r>
      <w:r>
        <w:rPr>
          <w:rFonts w:hint="eastAsia"/>
          <w:spacing w:val="-4"/>
          <w:sz w:val="24"/>
        </w:rPr>
        <w:t>）各种完善的资料、规章制度、培训等等符合相关规定；</w:t>
      </w:r>
    </w:p>
    <w:p w:rsidR="009C5C1F" w:rsidRDefault="004D2E0D">
      <w:pPr>
        <w:pStyle w:val="a7"/>
        <w:spacing w:after="0" w:line="500" w:lineRule="exact"/>
        <w:ind w:firstLine="476"/>
        <w:jc w:val="left"/>
        <w:rPr>
          <w:spacing w:val="-4"/>
          <w:sz w:val="24"/>
        </w:rPr>
      </w:pPr>
      <w:r>
        <w:rPr>
          <w:rFonts w:hint="eastAsia"/>
          <w:spacing w:val="-4"/>
          <w:sz w:val="24"/>
        </w:rPr>
        <w:t>（</w:t>
      </w:r>
      <w:r>
        <w:rPr>
          <w:spacing w:val="-4"/>
          <w:sz w:val="24"/>
        </w:rPr>
        <w:t>7</w:t>
      </w:r>
      <w:r>
        <w:rPr>
          <w:rFonts w:hint="eastAsia"/>
          <w:spacing w:val="-4"/>
          <w:sz w:val="24"/>
        </w:rPr>
        <w:t>）绿化范围包括进场道路两侧、生活区、采矿区、生产空闲区及周边扰动区，重视绿化过程，定期监管，保证高存活率。</w:t>
      </w:r>
    </w:p>
    <w:p w:rsidR="009C5C1F" w:rsidRDefault="004D2E0D">
      <w:pPr>
        <w:pStyle w:val="2"/>
        <w:spacing w:beforeLines="100" w:before="360" w:line="500" w:lineRule="atLeast"/>
        <w:ind w:firstLine="482"/>
        <w:rPr>
          <w:rFonts w:ascii="宋体" w:eastAsia="宋体" w:hAnsi="宋体" w:cs="宋体"/>
          <w:sz w:val="24"/>
          <w:szCs w:val="24"/>
        </w:rPr>
      </w:pPr>
      <w:bookmarkStart w:id="594" w:name="_bookmark33"/>
      <w:bookmarkStart w:id="595" w:name="_Toc70589781"/>
      <w:bookmarkStart w:id="596" w:name="_Toc153130744"/>
      <w:bookmarkEnd w:id="594"/>
      <w:r>
        <w:rPr>
          <w:rFonts w:ascii="宋体" w:eastAsia="宋体" w:hAnsi="宋体" w:cs="宋体" w:hint="eastAsia"/>
          <w:sz w:val="24"/>
          <w:szCs w:val="24"/>
        </w:rPr>
        <w:t>9.8 环境影响评述</w:t>
      </w:r>
      <w:bookmarkEnd w:id="595"/>
      <w:bookmarkEnd w:id="596"/>
    </w:p>
    <w:p w:rsidR="009C5C1F" w:rsidRDefault="004D2E0D">
      <w:pPr>
        <w:pStyle w:val="a7"/>
        <w:spacing w:after="0" w:line="500" w:lineRule="exact"/>
        <w:ind w:firstLine="476"/>
        <w:jc w:val="left"/>
        <w:rPr>
          <w:spacing w:val="-4"/>
          <w:sz w:val="24"/>
        </w:rPr>
      </w:pPr>
      <w:r>
        <w:rPr>
          <w:rFonts w:hint="eastAsia"/>
          <w:spacing w:val="-4"/>
          <w:sz w:val="24"/>
        </w:rPr>
        <w:t>针对采矿工艺污染物进行分析，采取有效的治理措施。矿山采用露天开采，对自然</w:t>
      </w:r>
      <w:r>
        <w:rPr>
          <w:rFonts w:hint="eastAsia"/>
          <w:spacing w:val="-4"/>
          <w:sz w:val="24"/>
        </w:rPr>
        <w:t xml:space="preserve"> </w:t>
      </w:r>
      <w:r>
        <w:rPr>
          <w:rFonts w:hint="eastAsia"/>
          <w:spacing w:val="-4"/>
          <w:sz w:val="24"/>
        </w:rPr>
        <w:t>环境破坏较小。生活污水经处理达标后排放。采矿挖土产生的粉尘均采取了有效的除尘、</w:t>
      </w:r>
      <w:r>
        <w:rPr>
          <w:rFonts w:hint="eastAsia"/>
          <w:spacing w:val="-4"/>
          <w:sz w:val="24"/>
        </w:rPr>
        <w:t xml:space="preserve"> </w:t>
      </w:r>
      <w:r>
        <w:rPr>
          <w:rFonts w:hint="eastAsia"/>
          <w:spacing w:val="-4"/>
          <w:sz w:val="24"/>
        </w:rPr>
        <w:t>通风措施。噪声采取了减振防噪及个体防护措施。针对基建和生产中的水土流失因素采</w:t>
      </w:r>
      <w:r>
        <w:rPr>
          <w:rFonts w:hint="eastAsia"/>
          <w:spacing w:val="-4"/>
          <w:sz w:val="24"/>
        </w:rPr>
        <w:t xml:space="preserve"> </w:t>
      </w:r>
      <w:r>
        <w:rPr>
          <w:rFonts w:hint="eastAsia"/>
          <w:spacing w:val="-4"/>
          <w:sz w:val="24"/>
        </w:rPr>
        <w:t>取了防治措施，安排了复垦工作。企业应当成立环保领导小组，并设置环保办公室。因此，项目在基建和生产过程中不会对生态环境造成明显危害。</w:t>
      </w:r>
    </w:p>
    <w:p w:rsidR="009C5C1F" w:rsidRDefault="004D2E0D">
      <w:pPr>
        <w:pStyle w:val="1"/>
        <w:spacing w:beforeLines="100" w:before="360" w:after="0" w:line="500" w:lineRule="exact"/>
        <w:rPr>
          <w:color w:val="FF0000"/>
        </w:rPr>
      </w:pPr>
      <w:r>
        <w:br w:type="page"/>
      </w:r>
      <w:bookmarkStart w:id="597" w:name="_Toc153130745"/>
      <w:bookmarkStart w:id="598" w:name="_Toc70589782"/>
      <w:r>
        <w:rPr>
          <w:rStyle w:val="1Char"/>
          <w:rFonts w:hint="eastAsia"/>
          <w:b/>
          <w:bCs/>
          <w:sz w:val="24"/>
          <w:szCs w:val="24"/>
        </w:rPr>
        <w:lastRenderedPageBreak/>
        <w:t xml:space="preserve">10  </w:t>
      </w:r>
      <w:r>
        <w:rPr>
          <w:rStyle w:val="1Char"/>
          <w:rFonts w:hint="eastAsia"/>
          <w:b/>
          <w:bCs/>
          <w:sz w:val="24"/>
          <w:szCs w:val="24"/>
        </w:rPr>
        <w:t>投资估算及技术经济评价</w:t>
      </w:r>
      <w:bookmarkEnd w:id="581"/>
      <w:bookmarkEnd w:id="582"/>
      <w:bookmarkEnd w:id="583"/>
      <w:bookmarkEnd w:id="597"/>
      <w:bookmarkEnd w:id="598"/>
    </w:p>
    <w:p w:rsidR="009C5C1F" w:rsidRDefault="004D2E0D">
      <w:pPr>
        <w:pStyle w:val="2"/>
        <w:spacing w:beforeLines="100" w:before="360" w:line="500" w:lineRule="atLeast"/>
        <w:ind w:firstLine="482"/>
        <w:rPr>
          <w:rFonts w:ascii="宋体" w:eastAsia="宋体" w:hAnsi="宋体" w:cs="宋体"/>
          <w:sz w:val="24"/>
          <w:szCs w:val="24"/>
        </w:rPr>
      </w:pPr>
      <w:bookmarkStart w:id="599" w:name="_Toc70589783"/>
      <w:bookmarkStart w:id="600" w:name="_Toc511226437"/>
      <w:bookmarkStart w:id="601" w:name="_Toc214407034"/>
      <w:bookmarkStart w:id="602" w:name="_Toc153130746"/>
      <w:bookmarkStart w:id="603" w:name="_Toc502783478"/>
      <w:r>
        <w:rPr>
          <w:rFonts w:ascii="宋体" w:eastAsia="宋体" w:hAnsi="宋体" w:cs="宋体" w:hint="eastAsia"/>
          <w:sz w:val="24"/>
          <w:szCs w:val="24"/>
        </w:rPr>
        <w:t>10.1生产规模及产品销售</w:t>
      </w:r>
      <w:bookmarkEnd w:id="599"/>
      <w:bookmarkEnd w:id="600"/>
      <w:bookmarkEnd w:id="601"/>
      <w:bookmarkEnd w:id="602"/>
      <w:bookmarkEnd w:id="603"/>
    </w:p>
    <w:p w:rsidR="009C5C1F" w:rsidRDefault="004D2E0D">
      <w:pPr>
        <w:pStyle w:val="3"/>
        <w:spacing w:beforeLines="100" w:before="360" w:after="0" w:line="500" w:lineRule="exact"/>
        <w:ind w:firstLineChars="200" w:firstLine="482"/>
        <w:rPr>
          <w:rFonts w:ascii="宋体" w:hAnsi="宋体" w:cs="宋体"/>
        </w:rPr>
      </w:pPr>
      <w:bookmarkStart w:id="604" w:name="_Toc70589784"/>
      <w:bookmarkStart w:id="605" w:name="_Toc214407035"/>
      <w:bookmarkStart w:id="606" w:name="_Toc502783479"/>
      <w:bookmarkStart w:id="607" w:name="_Toc395519217"/>
      <w:bookmarkStart w:id="608" w:name="_Toc211070121"/>
      <w:bookmarkEnd w:id="584"/>
      <w:r>
        <w:rPr>
          <w:rFonts w:ascii="宋体" w:hAnsi="宋体" w:cs="宋体" w:hint="eastAsia"/>
        </w:rPr>
        <w:t>10.1.1生产规模</w:t>
      </w:r>
      <w:bookmarkEnd w:id="604"/>
      <w:bookmarkEnd w:id="605"/>
      <w:bookmarkEnd w:id="606"/>
      <w:bookmarkEnd w:id="607"/>
    </w:p>
    <w:p w:rsidR="009C5C1F" w:rsidRDefault="004D2E0D">
      <w:pPr>
        <w:adjustRightInd w:val="0"/>
        <w:snapToGrid w:val="0"/>
        <w:spacing w:line="500" w:lineRule="exact"/>
        <w:ind w:firstLineChars="200" w:firstLine="480"/>
        <w:rPr>
          <w:rFonts w:ascii="宋体" w:hAnsi="宋体" w:cs="宋体"/>
          <w:color w:val="000000"/>
          <w:sz w:val="24"/>
        </w:rPr>
      </w:pPr>
      <w:bookmarkStart w:id="609" w:name="_Toc213683101"/>
      <w:bookmarkStart w:id="610" w:name="_Toc211070123"/>
      <w:bookmarkStart w:id="611" w:name="_Toc214407036"/>
      <w:bookmarkEnd w:id="608"/>
      <w:r>
        <w:rPr>
          <w:rFonts w:ascii="宋体" w:hAnsi="宋体" w:cs="宋体" w:hint="eastAsia"/>
          <w:color w:val="000000"/>
          <w:sz w:val="24"/>
        </w:rPr>
        <w:t>日采量：3</w:t>
      </w:r>
      <w:r>
        <w:rPr>
          <w:rFonts w:ascii="宋体" w:hAnsi="宋体" w:cs="宋体"/>
          <w:color w:val="000000"/>
          <w:sz w:val="24"/>
        </w:rPr>
        <w:t>33.3m</w:t>
      </w:r>
      <w:r>
        <w:rPr>
          <w:rFonts w:ascii="宋体" w:hAnsi="宋体" w:cs="宋体"/>
          <w:color w:val="000000"/>
          <w:sz w:val="24"/>
          <w:vertAlign w:val="superscript"/>
        </w:rPr>
        <w:t>3</w:t>
      </w:r>
      <w:r>
        <w:rPr>
          <w:rFonts w:ascii="宋体" w:hAnsi="宋体" w:cs="宋体" w:hint="eastAsia"/>
          <w:color w:val="000000"/>
          <w:sz w:val="24"/>
        </w:rPr>
        <w:t>；年采粘土矿</w:t>
      </w:r>
      <w:r>
        <w:rPr>
          <w:rFonts w:ascii="宋体" w:hAnsi="宋体" w:cs="宋体"/>
          <w:color w:val="000000"/>
          <w:sz w:val="24"/>
        </w:rPr>
        <w:t>10</w:t>
      </w:r>
      <w:r>
        <w:rPr>
          <w:rFonts w:ascii="Arial" w:hAnsi="Arial" w:cs="Arial"/>
          <w:color w:val="000000"/>
          <w:sz w:val="24"/>
        </w:rPr>
        <w:t>×</w:t>
      </w:r>
      <w:r>
        <w:rPr>
          <w:rFonts w:ascii="宋体" w:hAnsi="宋体" w:cs="宋体" w:hint="eastAsia"/>
          <w:color w:val="000000"/>
          <w:sz w:val="24"/>
        </w:rPr>
        <w:t>10</w:t>
      </w:r>
      <w:r>
        <w:rPr>
          <w:rFonts w:ascii="宋体" w:hAnsi="宋体" w:cs="宋体" w:hint="eastAsia"/>
          <w:color w:val="000000"/>
          <w:sz w:val="24"/>
          <w:vertAlign w:val="superscript"/>
        </w:rPr>
        <w:t>4</w:t>
      </w:r>
      <w:r>
        <w:rPr>
          <w:rFonts w:ascii="宋体" w:hAnsi="宋体" w:cs="宋体" w:hint="eastAsia"/>
          <w:color w:val="000000"/>
          <w:sz w:val="24"/>
        </w:rPr>
        <w:t>m</w:t>
      </w:r>
      <w:r>
        <w:rPr>
          <w:rFonts w:ascii="宋体" w:hAnsi="宋体" w:cs="宋体" w:hint="eastAsia"/>
          <w:color w:val="000000"/>
          <w:sz w:val="24"/>
          <w:vertAlign w:val="superscript"/>
        </w:rPr>
        <w:t>3</w:t>
      </w:r>
      <w:r>
        <w:rPr>
          <w:rFonts w:ascii="宋体" w:hAnsi="宋体" w:cs="宋体" w:hint="eastAsia"/>
          <w:color w:val="000000"/>
          <w:sz w:val="24"/>
        </w:rPr>
        <w:t>。</w:t>
      </w:r>
    </w:p>
    <w:p w:rsidR="009C5C1F" w:rsidRDefault="004D2E0D">
      <w:pPr>
        <w:pStyle w:val="3"/>
        <w:spacing w:beforeLines="100" w:before="360" w:after="0" w:line="500" w:lineRule="exact"/>
        <w:ind w:firstLineChars="200" w:firstLine="482"/>
        <w:rPr>
          <w:rFonts w:ascii="宋体" w:hAnsi="宋体" w:cs="宋体"/>
        </w:rPr>
      </w:pPr>
      <w:bookmarkStart w:id="612" w:name="_Toc502783480"/>
      <w:bookmarkStart w:id="613" w:name="_Toc70589785"/>
      <w:bookmarkStart w:id="614" w:name="_Toc395519218"/>
      <w:r>
        <w:rPr>
          <w:rFonts w:ascii="宋体" w:hAnsi="宋体" w:cs="宋体" w:hint="eastAsia"/>
        </w:rPr>
        <w:t>10.1.2 产品方案</w:t>
      </w:r>
      <w:bookmarkEnd w:id="609"/>
      <w:bookmarkEnd w:id="610"/>
      <w:bookmarkEnd w:id="611"/>
      <w:bookmarkEnd w:id="612"/>
      <w:bookmarkEnd w:id="613"/>
      <w:bookmarkEnd w:id="614"/>
    </w:p>
    <w:p w:rsidR="009C5C1F" w:rsidRDefault="004D2E0D">
      <w:pPr>
        <w:adjustRightInd w:val="0"/>
        <w:snapToGrid w:val="0"/>
        <w:spacing w:line="500" w:lineRule="exact"/>
        <w:ind w:firstLineChars="200" w:firstLine="480"/>
        <w:rPr>
          <w:rFonts w:ascii="宋体" w:hAnsi="宋体" w:cs="宋体"/>
          <w:color w:val="000000"/>
          <w:sz w:val="24"/>
        </w:rPr>
      </w:pPr>
      <w:r>
        <w:rPr>
          <w:rFonts w:ascii="宋体" w:hAnsi="宋体" w:cs="宋体" w:hint="eastAsia"/>
          <w:color w:val="000000"/>
          <w:sz w:val="24"/>
        </w:rPr>
        <w:t>项目的产品方案为：粘土矿。</w:t>
      </w:r>
    </w:p>
    <w:p w:rsidR="009C5C1F" w:rsidRDefault="004D2E0D">
      <w:pPr>
        <w:pStyle w:val="3"/>
        <w:spacing w:beforeLines="100" w:before="360" w:after="0" w:line="500" w:lineRule="exact"/>
        <w:ind w:firstLineChars="200" w:firstLine="482"/>
        <w:rPr>
          <w:rFonts w:ascii="宋体" w:hAnsi="宋体" w:cs="宋体"/>
        </w:rPr>
      </w:pPr>
      <w:bookmarkStart w:id="615" w:name="_Toc211070124"/>
      <w:bookmarkStart w:id="616" w:name="_Toc214407037"/>
      <w:bookmarkStart w:id="617" w:name="_Toc213683102"/>
      <w:bookmarkStart w:id="618" w:name="_Toc395519219"/>
      <w:bookmarkStart w:id="619" w:name="_Toc70589786"/>
      <w:bookmarkStart w:id="620" w:name="_Toc502783481"/>
      <w:r>
        <w:rPr>
          <w:rFonts w:ascii="宋体" w:hAnsi="宋体" w:cs="宋体" w:hint="eastAsia"/>
        </w:rPr>
        <w:t>10.1.3 产品销售</w:t>
      </w:r>
      <w:bookmarkEnd w:id="615"/>
      <w:bookmarkEnd w:id="616"/>
      <w:bookmarkEnd w:id="617"/>
      <w:bookmarkEnd w:id="618"/>
      <w:bookmarkEnd w:id="619"/>
      <w:bookmarkEnd w:id="620"/>
    </w:p>
    <w:p w:rsidR="009C5C1F" w:rsidRDefault="004D2E0D">
      <w:pPr>
        <w:adjustRightInd w:val="0"/>
        <w:snapToGrid w:val="0"/>
        <w:spacing w:line="500" w:lineRule="exact"/>
        <w:ind w:firstLineChars="200" w:firstLine="480"/>
        <w:rPr>
          <w:rFonts w:ascii="宋体" w:hAnsi="宋体" w:cs="宋体"/>
          <w:color w:val="000000"/>
          <w:sz w:val="24"/>
        </w:rPr>
      </w:pPr>
      <w:bookmarkStart w:id="621" w:name="_Toc211070125"/>
      <w:bookmarkStart w:id="622" w:name="_Toc213683103"/>
      <w:bookmarkStart w:id="623" w:name="_Toc214407038"/>
      <w:r>
        <w:rPr>
          <w:rFonts w:ascii="宋体" w:hAnsi="宋体" w:cs="宋体" w:hint="eastAsia"/>
          <w:color w:val="000000"/>
          <w:sz w:val="24"/>
        </w:rPr>
        <w:t>项目每年生产的粘土矿开采后，经过加工再进行销售。</w:t>
      </w:r>
    </w:p>
    <w:p w:rsidR="009C5C1F" w:rsidRDefault="004D2E0D">
      <w:pPr>
        <w:pStyle w:val="3"/>
        <w:spacing w:beforeLines="100" w:before="360" w:after="0" w:line="500" w:lineRule="exact"/>
        <w:ind w:firstLineChars="200" w:firstLine="482"/>
        <w:rPr>
          <w:rFonts w:ascii="宋体" w:hAnsi="宋体" w:cs="宋体"/>
        </w:rPr>
      </w:pPr>
      <w:bookmarkStart w:id="624" w:name="_Toc395519220"/>
      <w:bookmarkStart w:id="625" w:name="_Toc70589787"/>
      <w:bookmarkStart w:id="626" w:name="_Toc502783482"/>
      <w:r>
        <w:rPr>
          <w:rFonts w:ascii="宋体" w:hAnsi="宋体" w:cs="宋体" w:hint="eastAsia"/>
        </w:rPr>
        <w:t>10.1.4 产品销售价格</w:t>
      </w:r>
      <w:bookmarkEnd w:id="621"/>
      <w:bookmarkEnd w:id="622"/>
      <w:bookmarkEnd w:id="623"/>
      <w:bookmarkEnd w:id="624"/>
      <w:bookmarkEnd w:id="625"/>
      <w:bookmarkEnd w:id="626"/>
    </w:p>
    <w:p w:rsidR="009C5C1F" w:rsidRDefault="004D2E0D">
      <w:pPr>
        <w:adjustRightInd w:val="0"/>
        <w:snapToGrid w:val="0"/>
        <w:spacing w:line="500" w:lineRule="exact"/>
        <w:ind w:firstLineChars="200" w:firstLine="480"/>
        <w:rPr>
          <w:rFonts w:ascii="宋体" w:hAnsi="宋体" w:cs="宋体"/>
          <w:color w:val="000000"/>
          <w:sz w:val="24"/>
        </w:rPr>
      </w:pPr>
      <w:bookmarkStart w:id="627" w:name="_Toc213683104"/>
      <w:bookmarkStart w:id="628" w:name="_Toc214407039"/>
      <w:bookmarkStart w:id="629" w:name="_Toc211070126"/>
      <w:r>
        <w:rPr>
          <w:rFonts w:ascii="宋体" w:hAnsi="宋体" w:cs="宋体" w:hint="eastAsia"/>
          <w:color w:val="000000"/>
          <w:sz w:val="24"/>
        </w:rPr>
        <w:t>临泽县板桥</w:t>
      </w:r>
      <w:proofErr w:type="gramStart"/>
      <w:r>
        <w:rPr>
          <w:rFonts w:ascii="宋体" w:hAnsi="宋体" w:cs="宋体" w:hint="eastAsia"/>
          <w:color w:val="000000"/>
          <w:sz w:val="24"/>
        </w:rPr>
        <w:t>镇壕洼村</w:t>
      </w:r>
      <w:proofErr w:type="gramEnd"/>
      <w:r>
        <w:rPr>
          <w:rFonts w:hint="eastAsia"/>
          <w:sz w:val="24"/>
        </w:rPr>
        <w:t>正北山西侧砖瓦用粘土矿</w:t>
      </w:r>
      <w:r>
        <w:rPr>
          <w:rFonts w:ascii="宋体" w:hAnsi="宋体" w:cs="宋体" w:hint="eastAsia"/>
          <w:color w:val="000000"/>
          <w:sz w:val="24"/>
        </w:rPr>
        <w:t>粘土颗粒较细，具粘性及塑性，优点多，用途较广，因此市场价格高于一般普通粘土的价格，平均售价约3</w:t>
      </w:r>
      <w:r>
        <w:rPr>
          <w:rFonts w:ascii="宋体" w:hAnsi="宋体" w:cs="宋体"/>
          <w:color w:val="000000"/>
          <w:sz w:val="24"/>
        </w:rPr>
        <w:t>5</w:t>
      </w:r>
      <w:r>
        <w:rPr>
          <w:rFonts w:ascii="宋体" w:hAnsi="宋体" w:cs="宋体" w:hint="eastAsia"/>
          <w:color w:val="000000"/>
          <w:sz w:val="24"/>
        </w:rPr>
        <w:t>元/m</w:t>
      </w:r>
      <w:r>
        <w:rPr>
          <w:rFonts w:ascii="宋体" w:hAnsi="宋体" w:cs="宋体" w:hint="eastAsia"/>
          <w:color w:val="000000"/>
          <w:sz w:val="24"/>
          <w:vertAlign w:val="superscript"/>
        </w:rPr>
        <w:t>3</w:t>
      </w:r>
      <w:r>
        <w:rPr>
          <w:rFonts w:ascii="宋体" w:hAnsi="宋体" w:cs="宋体" w:hint="eastAsia"/>
          <w:color w:val="000000"/>
          <w:sz w:val="24"/>
        </w:rPr>
        <w:t>左右，本矿开采成本约</w:t>
      </w:r>
      <w:r>
        <w:rPr>
          <w:rFonts w:ascii="宋体" w:hAnsi="宋体" w:cs="宋体" w:hint="eastAsia"/>
          <w:sz w:val="24"/>
        </w:rPr>
        <w:t>1</w:t>
      </w:r>
      <w:r>
        <w:rPr>
          <w:rFonts w:ascii="宋体" w:hAnsi="宋体" w:cs="宋体"/>
          <w:sz w:val="24"/>
        </w:rPr>
        <w:t>8</w:t>
      </w:r>
      <w:r>
        <w:rPr>
          <w:rFonts w:ascii="宋体" w:hAnsi="宋体" w:cs="宋体" w:hint="eastAsia"/>
          <w:color w:val="000000"/>
          <w:sz w:val="24"/>
        </w:rPr>
        <w:t>元/m</w:t>
      </w:r>
      <w:r>
        <w:rPr>
          <w:rFonts w:ascii="宋体" w:hAnsi="宋体" w:cs="宋体" w:hint="eastAsia"/>
          <w:color w:val="000000"/>
          <w:sz w:val="24"/>
          <w:vertAlign w:val="superscript"/>
        </w:rPr>
        <w:t>3</w:t>
      </w:r>
      <w:r>
        <w:rPr>
          <w:rFonts w:ascii="宋体" w:hAnsi="宋体" w:cs="宋体" w:hint="eastAsia"/>
          <w:color w:val="000000"/>
          <w:sz w:val="24"/>
        </w:rPr>
        <w:t>。</w:t>
      </w:r>
    </w:p>
    <w:p w:rsidR="009C5C1F" w:rsidRDefault="004D2E0D">
      <w:pPr>
        <w:pStyle w:val="2"/>
        <w:spacing w:beforeLines="100" w:before="360" w:line="500" w:lineRule="atLeast"/>
        <w:ind w:firstLine="482"/>
        <w:rPr>
          <w:rFonts w:ascii="宋体" w:eastAsia="宋体" w:hAnsi="宋体" w:cs="宋体"/>
          <w:sz w:val="24"/>
          <w:szCs w:val="24"/>
        </w:rPr>
      </w:pPr>
      <w:bookmarkStart w:id="630" w:name="_Toc153130747"/>
      <w:bookmarkStart w:id="631" w:name="_Toc502783483"/>
      <w:bookmarkStart w:id="632" w:name="_Toc511226438"/>
      <w:bookmarkStart w:id="633" w:name="_Toc70589788"/>
      <w:r>
        <w:rPr>
          <w:rFonts w:ascii="宋体" w:eastAsia="宋体" w:hAnsi="宋体" w:cs="宋体" w:hint="eastAsia"/>
          <w:sz w:val="24"/>
          <w:szCs w:val="24"/>
        </w:rPr>
        <w:t>10.2 劳动组织及定员</w:t>
      </w:r>
      <w:bookmarkEnd w:id="627"/>
      <w:bookmarkEnd w:id="628"/>
      <w:bookmarkEnd w:id="629"/>
      <w:bookmarkEnd w:id="630"/>
      <w:bookmarkEnd w:id="631"/>
      <w:bookmarkEnd w:id="632"/>
      <w:bookmarkEnd w:id="633"/>
    </w:p>
    <w:p w:rsidR="009C5C1F" w:rsidRDefault="004D2E0D">
      <w:pPr>
        <w:pStyle w:val="3"/>
        <w:spacing w:beforeLines="100" w:before="360" w:after="0" w:line="500" w:lineRule="exact"/>
        <w:ind w:firstLineChars="200" w:firstLine="482"/>
        <w:rPr>
          <w:rFonts w:ascii="宋体" w:hAnsi="宋体" w:cs="宋体"/>
        </w:rPr>
      </w:pPr>
      <w:bookmarkStart w:id="634" w:name="_Toc395519222"/>
      <w:bookmarkStart w:id="635" w:name="_Toc214407040"/>
      <w:bookmarkStart w:id="636" w:name="_Toc211070127"/>
      <w:bookmarkStart w:id="637" w:name="_Toc70589789"/>
      <w:bookmarkStart w:id="638" w:name="_Toc213683105"/>
      <w:bookmarkStart w:id="639" w:name="_Toc502783484"/>
      <w:r>
        <w:rPr>
          <w:rFonts w:ascii="宋体" w:hAnsi="宋体" w:cs="宋体" w:hint="eastAsia"/>
        </w:rPr>
        <w:t>10.2.1 组织机构及工作制度</w:t>
      </w:r>
      <w:bookmarkEnd w:id="634"/>
      <w:bookmarkEnd w:id="635"/>
      <w:bookmarkEnd w:id="636"/>
      <w:bookmarkEnd w:id="637"/>
      <w:bookmarkEnd w:id="638"/>
      <w:bookmarkEnd w:id="639"/>
    </w:p>
    <w:p w:rsidR="009C5C1F" w:rsidRDefault="004D2E0D">
      <w:pPr>
        <w:adjustRightInd w:val="0"/>
        <w:snapToGrid w:val="0"/>
        <w:spacing w:line="500" w:lineRule="exact"/>
        <w:ind w:firstLineChars="200" w:firstLine="480"/>
        <w:rPr>
          <w:rFonts w:ascii="宋体" w:hAnsi="宋体" w:cs="宋体"/>
          <w:color w:val="000000"/>
          <w:sz w:val="24"/>
        </w:rPr>
      </w:pPr>
      <w:r>
        <w:rPr>
          <w:rFonts w:ascii="宋体" w:hAnsi="宋体" w:cs="宋体" w:hint="eastAsia"/>
          <w:color w:val="000000"/>
          <w:sz w:val="24"/>
        </w:rPr>
        <w:t>该矿按矿山采场一级设置管理机构，年工作日300天，每天一班生产，每班工作8小时。</w:t>
      </w:r>
    </w:p>
    <w:p w:rsidR="009C5C1F" w:rsidRDefault="004D2E0D">
      <w:pPr>
        <w:pStyle w:val="3"/>
        <w:spacing w:beforeLines="100" w:before="360" w:after="0" w:line="500" w:lineRule="exact"/>
        <w:ind w:firstLineChars="200" w:firstLine="482"/>
        <w:rPr>
          <w:rFonts w:ascii="宋体" w:hAnsi="宋体" w:cs="宋体"/>
        </w:rPr>
      </w:pPr>
      <w:bookmarkStart w:id="640" w:name="_Toc213683106"/>
      <w:bookmarkStart w:id="641" w:name="_Toc214407041"/>
      <w:bookmarkStart w:id="642" w:name="_Toc395519223"/>
      <w:bookmarkStart w:id="643" w:name="_Toc211070128"/>
      <w:bookmarkStart w:id="644" w:name="_Toc502783485"/>
      <w:bookmarkStart w:id="645" w:name="_Toc70589790"/>
      <w:r>
        <w:rPr>
          <w:rFonts w:ascii="宋体" w:hAnsi="宋体" w:cs="宋体" w:hint="eastAsia"/>
        </w:rPr>
        <w:t>10.2.2 定岗人数</w:t>
      </w:r>
      <w:bookmarkEnd w:id="640"/>
      <w:bookmarkEnd w:id="641"/>
      <w:bookmarkEnd w:id="642"/>
      <w:bookmarkEnd w:id="643"/>
      <w:bookmarkEnd w:id="644"/>
      <w:bookmarkEnd w:id="645"/>
    </w:p>
    <w:p w:rsidR="009C5C1F" w:rsidRDefault="004D2E0D">
      <w:pPr>
        <w:adjustRightInd w:val="0"/>
        <w:snapToGrid w:val="0"/>
        <w:spacing w:line="500" w:lineRule="exact"/>
        <w:ind w:firstLineChars="200" w:firstLine="480"/>
        <w:rPr>
          <w:rFonts w:ascii="宋体" w:hAnsi="宋体" w:cs="宋体"/>
          <w:color w:val="000000"/>
          <w:sz w:val="24"/>
        </w:rPr>
      </w:pPr>
      <w:r>
        <w:rPr>
          <w:rFonts w:ascii="宋体" w:hAnsi="宋体" w:cs="宋体" w:hint="eastAsia"/>
          <w:color w:val="000000"/>
          <w:sz w:val="24"/>
        </w:rPr>
        <w:t>该矿根据矿山开采需要，共配备</w:t>
      </w:r>
      <w:r>
        <w:rPr>
          <w:rFonts w:ascii="宋体" w:hAnsi="宋体" w:cs="宋体"/>
          <w:color w:val="000000"/>
          <w:sz w:val="24"/>
        </w:rPr>
        <w:t>6</w:t>
      </w:r>
      <w:r>
        <w:rPr>
          <w:rFonts w:ascii="宋体" w:hAnsi="宋体" w:cs="宋体" w:hint="eastAsia"/>
          <w:color w:val="000000"/>
          <w:sz w:val="24"/>
        </w:rPr>
        <w:t>人，其中需设置专门的安全持证管理人员</w:t>
      </w:r>
      <w:r>
        <w:rPr>
          <w:rFonts w:ascii="宋体" w:hAnsi="宋体" w:cs="宋体"/>
          <w:color w:val="000000"/>
          <w:sz w:val="24"/>
        </w:rPr>
        <w:t>1</w:t>
      </w:r>
      <w:r>
        <w:rPr>
          <w:rFonts w:ascii="宋体" w:hAnsi="宋体" w:cs="宋体" w:hint="eastAsia"/>
          <w:color w:val="000000"/>
          <w:sz w:val="24"/>
        </w:rPr>
        <w:t>人，见表10-1。</w:t>
      </w:r>
    </w:p>
    <w:p w:rsidR="009C5C1F" w:rsidRDefault="009C5C1F">
      <w:pPr>
        <w:pStyle w:val="A-0"/>
        <w:spacing w:line="500" w:lineRule="exact"/>
        <w:ind w:firstLineChars="200" w:firstLine="422"/>
        <w:jc w:val="both"/>
        <w:rPr>
          <w:rFonts w:ascii="宋体" w:eastAsia="宋体" w:hAnsi="宋体" w:cs="宋体"/>
          <w:b/>
          <w:color w:val="000000"/>
          <w:sz w:val="21"/>
          <w:szCs w:val="21"/>
        </w:rPr>
      </w:pPr>
    </w:p>
    <w:p w:rsidR="009C5C1F" w:rsidRDefault="009C5C1F">
      <w:pPr>
        <w:pStyle w:val="A-0"/>
        <w:spacing w:line="500" w:lineRule="exact"/>
        <w:ind w:firstLineChars="200" w:firstLine="422"/>
        <w:jc w:val="both"/>
        <w:rPr>
          <w:rFonts w:ascii="宋体" w:eastAsia="宋体" w:hAnsi="宋体" w:cs="宋体"/>
          <w:b/>
          <w:color w:val="000000"/>
          <w:sz w:val="21"/>
          <w:szCs w:val="21"/>
        </w:rPr>
      </w:pPr>
    </w:p>
    <w:p w:rsidR="009C5C1F" w:rsidRDefault="009C5C1F">
      <w:pPr>
        <w:pStyle w:val="A-0"/>
        <w:spacing w:line="500" w:lineRule="exact"/>
        <w:ind w:firstLineChars="200" w:firstLine="422"/>
        <w:jc w:val="both"/>
        <w:rPr>
          <w:rFonts w:ascii="宋体" w:eastAsia="宋体" w:hAnsi="宋体" w:cs="宋体"/>
          <w:b/>
          <w:color w:val="000000"/>
          <w:sz w:val="21"/>
          <w:szCs w:val="21"/>
        </w:rPr>
      </w:pPr>
    </w:p>
    <w:p w:rsidR="009C5C1F" w:rsidRDefault="004D2E0D">
      <w:pPr>
        <w:pStyle w:val="A-0"/>
        <w:spacing w:line="500" w:lineRule="exact"/>
        <w:ind w:firstLineChars="200" w:firstLine="422"/>
        <w:jc w:val="both"/>
        <w:rPr>
          <w:rFonts w:ascii="宋体" w:eastAsia="宋体" w:hAnsi="宋体" w:cs="宋体"/>
          <w:b/>
          <w:color w:val="000000"/>
          <w:sz w:val="21"/>
          <w:szCs w:val="21"/>
        </w:rPr>
      </w:pPr>
      <w:r>
        <w:rPr>
          <w:rFonts w:ascii="宋体" w:eastAsia="宋体" w:hAnsi="宋体" w:cs="宋体" w:hint="eastAsia"/>
          <w:b/>
          <w:color w:val="000000"/>
          <w:sz w:val="21"/>
          <w:szCs w:val="21"/>
        </w:rPr>
        <w:t>表10-1               甘肃省临泽县板桥镇</w:t>
      </w:r>
      <w:r>
        <w:rPr>
          <w:rFonts w:hint="eastAsia"/>
          <w:b/>
          <w:bCs/>
        </w:rPr>
        <w:t>正北山西侧砖瓦用粘土矿</w:t>
      </w:r>
      <w:r>
        <w:rPr>
          <w:rFonts w:ascii="宋体" w:eastAsia="宋体" w:hAnsi="宋体" w:cs="宋体" w:hint="eastAsia"/>
          <w:b/>
          <w:color w:val="000000"/>
          <w:sz w:val="21"/>
          <w:szCs w:val="21"/>
        </w:rPr>
        <w:t xml:space="preserve">作业人员一览表  </w:t>
      </w:r>
    </w:p>
    <w:tbl>
      <w:tblPr>
        <w:tblW w:w="8403" w:type="dxa"/>
        <w:tblInd w:w="112" w:type="dxa"/>
        <w:tblLayout w:type="fixed"/>
        <w:tblCellMar>
          <w:left w:w="0" w:type="dxa"/>
          <w:right w:w="0" w:type="dxa"/>
        </w:tblCellMar>
        <w:tblLook w:val="04A0" w:firstRow="1" w:lastRow="0" w:firstColumn="1" w:lastColumn="0" w:noHBand="0" w:noVBand="1"/>
      </w:tblPr>
      <w:tblGrid>
        <w:gridCol w:w="1032"/>
        <w:gridCol w:w="2977"/>
        <w:gridCol w:w="2552"/>
        <w:gridCol w:w="1842"/>
      </w:tblGrid>
      <w:tr w:rsidR="009C5C1F">
        <w:trPr>
          <w:trHeight w:hRule="exact" w:val="485"/>
        </w:trPr>
        <w:tc>
          <w:tcPr>
            <w:tcW w:w="1032" w:type="dxa"/>
            <w:tcBorders>
              <w:top w:val="single" w:sz="8" w:space="0" w:color="000000"/>
              <w:left w:val="single" w:sz="8" w:space="0" w:color="000000"/>
              <w:bottom w:val="single" w:sz="6" w:space="0" w:color="000000"/>
              <w:right w:val="single" w:sz="6" w:space="0" w:color="000000"/>
            </w:tcBorders>
            <w:shd w:val="clear" w:color="auto" w:fill="CCE8CF"/>
          </w:tcPr>
          <w:p w:rsidR="009C5C1F" w:rsidRDefault="004D2E0D">
            <w:pPr>
              <w:pStyle w:val="TableParagraph"/>
              <w:spacing w:before="64"/>
              <w:ind w:left="2"/>
              <w:jc w:val="center"/>
              <w:rPr>
                <w:rFonts w:ascii="宋体" w:hAnsi="宋体" w:cs="宋体"/>
                <w:color w:val="000000"/>
                <w:szCs w:val="21"/>
              </w:rPr>
            </w:pPr>
            <w:bookmarkStart w:id="646" w:name="_Toc211070129"/>
            <w:bookmarkStart w:id="647" w:name="_Toc213683107"/>
            <w:bookmarkStart w:id="648" w:name="_Toc214407042"/>
            <w:bookmarkStart w:id="649" w:name="_Toc511226439"/>
            <w:bookmarkStart w:id="650" w:name="_Toc502783486"/>
            <w:r>
              <w:rPr>
                <w:rFonts w:ascii="宋体" w:hAnsi="宋体" w:cs="宋体" w:hint="eastAsia"/>
                <w:color w:val="000000"/>
                <w:szCs w:val="21"/>
              </w:rPr>
              <w:t>序号</w:t>
            </w:r>
          </w:p>
        </w:tc>
        <w:tc>
          <w:tcPr>
            <w:tcW w:w="2977" w:type="dxa"/>
            <w:tcBorders>
              <w:top w:val="single" w:sz="8"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4"/>
              <w:ind w:left="2"/>
              <w:jc w:val="center"/>
              <w:rPr>
                <w:rFonts w:ascii="宋体" w:hAnsi="宋体" w:cs="宋体"/>
                <w:color w:val="000000"/>
                <w:szCs w:val="21"/>
              </w:rPr>
            </w:pPr>
            <w:r>
              <w:rPr>
                <w:rFonts w:ascii="宋体" w:hAnsi="宋体" w:cs="宋体" w:hint="eastAsia"/>
                <w:color w:val="000000"/>
                <w:szCs w:val="21"/>
              </w:rPr>
              <w:t>工程名称</w:t>
            </w:r>
          </w:p>
        </w:tc>
        <w:tc>
          <w:tcPr>
            <w:tcW w:w="2552" w:type="dxa"/>
            <w:tcBorders>
              <w:top w:val="single" w:sz="8"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4"/>
              <w:ind w:left="458"/>
              <w:jc w:val="left"/>
              <w:rPr>
                <w:rFonts w:ascii="宋体" w:hAnsi="宋体" w:cs="宋体"/>
                <w:color w:val="000000"/>
                <w:szCs w:val="21"/>
              </w:rPr>
            </w:pPr>
            <w:r>
              <w:rPr>
                <w:rFonts w:ascii="宋体" w:hAnsi="宋体" w:cs="宋体" w:hint="eastAsia"/>
                <w:color w:val="000000"/>
                <w:szCs w:val="21"/>
              </w:rPr>
              <w:t>人数（人）</w:t>
            </w:r>
          </w:p>
        </w:tc>
        <w:tc>
          <w:tcPr>
            <w:tcW w:w="1842" w:type="dxa"/>
            <w:tcBorders>
              <w:top w:val="single" w:sz="8" w:space="0" w:color="000000"/>
              <w:left w:val="single" w:sz="6" w:space="0" w:color="000000"/>
              <w:bottom w:val="single" w:sz="6" w:space="0" w:color="000000"/>
              <w:right w:val="single" w:sz="8" w:space="0" w:color="000000"/>
            </w:tcBorders>
            <w:shd w:val="clear" w:color="auto" w:fill="CCE8CF"/>
          </w:tcPr>
          <w:p w:rsidR="009C5C1F" w:rsidRDefault="004D2E0D">
            <w:pPr>
              <w:pStyle w:val="TableParagraph"/>
              <w:spacing w:before="64"/>
              <w:ind w:left="7"/>
              <w:jc w:val="center"/>
              <w:rPr>
                <w:rFonts w:ascii="宋体" w:hAnsi="宋体" w:cs="宋体"/>
                <w:color w:val="000000"/>
                <w:szCs w:val="21"/>
              </w:rPr>
            </w:pPr>
            <w:r>
              <w:rPr>
                <w:rFonts w:ascii="宋体" w:hAnsi="宋体" w:cs="宋体" w:hint="eastAsia"/>
                <w:color w:val="000000"/>
                <w:szCs w:val="21"/>
              </w:rPr>
              <w:t>备注</w:t>
            </w:r>
          </w:p>
        </w:tc>
      </w:tr>
      <w:tr w:rsidR="009C5C1F">
        <w:trPr>
          <w:trHeight w:hRule="exact" w:val="485"/>
        </w:trPr>
        <w:tc>
          <w:tcPr>
            <w:tcW w:w="1032" w:type="dxa"/>
            <w:tcBorders>
              <w:top w:val="single" w:sz="6" w:space="0" w:color="000000"/>
              <w:left w:val="single" w:sz="8" w:space="0" w:color="000000"/>
              <w:bottom w:val="single" w:sz="6" w:space="0" w:color="000000"/>
              <w:right w:val="single" w:sz="6" w:space="0" w:color="000000"/>
            </w:tcBorders>
            <w:shd w:val="clear" w:color="auto" w:fill="CCE8CF"/>
          </w:tcPr>
          <w:p w:rsidR="009C5C1F" w:rsidRDefault="004D2E0D">
            <w:pPr>
              <w:pStyle w:val="TableParagraph"/>
              <w:spacing w:before="66"/>
              <w:ind w:left="2"/>
              <w:jc w:val="center"/>
              <w:rPr>
                <w:rFonts w:ascii="宋体" w:hAnsi="宋体" w:cs="宋体"/>
                <w:color w:val="000000"/>
                <w:szCs w:val="21"/>
              </w:rPr>
            </w:pPr>
            <w:r>
              <w:rPr>
                <w:rFonts w:ascii="宋体" w:hAnsi="宋体" w:cs="宋体" w:hint="eastAsia"/>
                <w:color w:val="000000"/>
              </w:rPr>
              <w:t>1</w:t>
            </w:r>
          </w:p>
        </w:tc>
        <w:tc>
          <w:tcPr>
            <w:tcW w:w="2977" w:type="dxa"/>
            <w:tcBorders>
              <w:top w:val="single" w:sz="6"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6"/>
              <w:ind w:left="571"/>
              <w:jc w:val="left"/>
              <w:rPr>
                <w:rFonts w:ascii="宋体" w:hAnsi="宋体" w:cs="宋体"/>
                <w:color w:val="000000"/>
                <w:szCs w:val="21"/>
              </w:rPr>
            </w:pPr>
            <w:r>
              <w:rPr>
                <w:rFonts w:ascii="宋体" w:hAnsi="宋体" w:cs="宋体" w:hint="eastAsia"/>
                <w:color w:val="000000"/>
                <w:szCs w:val="21"/>
              </w:rPr>
              <w:t>管理及专职安全员</w:t>
            </w:r>
          </w:p>
        </w:tc>
        <w:tc>
          <w:tcPr>
            <w:tcW w:w="2552" w:type="dxa"/>
            <w:tcBorders>
              <w:top w:val="single" w:sz="6"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6"/>
              <w:jc w:val="center"/>
              <w:rPr>
                <w:rFonts w:ascii="宋体" w:hAnsi="宋体" w:cs="宋体"/>
                <w:color w:val="000000"/>
                <w:szCs w:val="21"/>
              </w:rPr>
            </w:pPr>
            <w:r>
              <w:rPr>
                <w:rFonts w:ascii="宋体" w:hAnsi="宋体" w:cs="宋体"/>
                <w:color w:val="000000"/>
              </w:rPr>
              <w:t>1</w:t>
            </w:r>
          </w:p>
        </w:tc>
        <w:tc>
          <w:tcPr>
            <w:tcW w:w="1842" w:type="dxa"/>
            <w:tcBorders>
              <w:top w:val="single" w:sz="6" w:space="0" w:color="000000"/>
              <w:left w:val="single" w:sz="6" w:space="0" w:color="000000"/>
              <w:bottom w:val="single" w:sz="6" w:space="0" w:color="000000"/>
              <w:right w:val="single" w:sz="8" w:space="0" w:color="000000"/>
            </w:tcBorders>
            <w:shd w:val="clear" w:color="auto" w:fill="CCE8CF"/>
          </w:tcPr>
          <w:p w:rsidR="009C5C1F" w:rsidRDefault="009C5C1F">
            <w:pPr>
              <w:pStyle w:val="TableParagraph"/>
              <w:spacing w:before="66"/>
              <w:ind w:firstLineChars="200" w:firstLine="420"/>
              <w:jc w:val="left"/>
              <w:rPr>
                <w:rFonts w:ascii="宋体" w:hAnsi="宋体" w:cs="宋体"/>
                <w:color w:val="000000"/>
                <w:szCs w:val="21"/>
              </w:rPr>
            </w:pPr>
          </w:p>
        </w:tc>
      </w:tr>
      <w:tr w:rsidR="009C5C1F">
        <w:trPr>
          <w:trHeight w:hRule="exact" w:val="482"/>
        </w:trPr>
        <w:tc>
          <w:tcPr>
            <w:tcW w:w="1032" w:type="dxa"/>
            <w:tcBorders>
              <w:top w:val="single" w:sz="6" w:space="0" w:color="000000"/>
              <w:left w:val="single" w:sz="8" w:space="0" w:color="000000"/>
              <w:bottom w:val="single" w:sz="6" w:space="0" w:color="000000"/>
              <w:right w:val="single" w:sz="6" w:space="0" w:color="000000"/>
            </w:tcBorders>
            <w:shd w:val="clear" w:color="auto" w:fill="CCE8CF"/>
          </w:tcPr>
          <w:p w:rsidR="009C5C1F" w:rsidRDefault="004D2E0D">
            <w:pPr>
              <w:pStyle w:val="TableParagraph"/>
              <w:spacing w:before="64"/>
              <w:ind w:left="2"/>
              <w:jc w:val="center"/>
              <w:rPr>
                <w:rFonts w:ascii="宋体" w:hAnsi="宋体" w:cs="宋体"/>
                <w:color w:val="000000"/>
                <w:szCs w:val="21"/>
              </w:rPr>
            </w:pPr>
            <w:r>
              <w:rPr>
                <w:rFonts w:ascii="宋体" w:hAnsi="宋体" w:cs="宋体" w:hint="eastAsia"/>
                <w:color w:val="000000"/>
              </w:rPr>
              <w:t>2</w:t>
            </w:r>
          </w:p>
        </w:tc>
        <w:tc>
          <w:tcPr>
            <w:tcW w:w="2977" w:type="dxa"/>
            <w:tcBorders>
              <w:top w:val="single" w:sz="6"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4"/>
              <w:ind w:left="4"/>
              <w:jc w:val="center"/>
              <w:rPr>
                <w:rFonts w:ascii="宋体" w:hAnsi="宋体" w:cs="宋体"/>
                <w:color w:val="000000"/>
                <w:szCs w:val="21"/>
              </w:rPr>
            </w:pPr>
            <w:r>
              <w:rPr>
                <w:rFonts w:ascii="宋体" w:hAnsi="宋体" w:cs="宋体" w:hint="eastAsia"/>
                <w:color w:val="000000"/>
                <w:szCs w:val="21"/>
              </w:rPr>
              <w:t>装载机</w:t>
            </w:r>
          </w:p>
        </w:tc>
        <w:tc>
          <w:tcPr>
            <w:tcW w:w="2552" w:type="dxa"/>
            <w:tcBorders>
              <w:top w:val="single" w:sz="6"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4"/>
              <w:jc w:val="center"/>
              <w:rPr>
                <w:rFonts w:ascii="宋体" w:hAnsi="宋体" w:cs="宋体"/>
                <w:color w:val="000000"/>
                <w:szCs w:val="21"/>
              </w:rPr>
            </w:pPr>
            <w:r>
              <w:rPr>
                <w:rFonts w:ascii="宋体" w:hAnsi="宋体" w:cs="宋体"/>
                <w:color w:val="000000"/>
              </w:rPr>
              <w:t>2</w:t>
            </w:r>
          </w:p>
        </w:tc>
        <w:tc>
          <w:tcPr>
            <w:tcW w:w="1842" w:type="dxa"/>
            <w:tcBorders>
              <w:top w:val="single" w:sz="6" w:space="0" w:color="000000"/>
              <w:left w:val="single" w:sz="6" w:space="0" w:color="000000"/>
              <w:bottom w:val="single" w:sz="6" w:space="0" w:color="000000"/>
              <w:right w:val="single" w:sz="8" w:space="0" w:color="000000"/>
            </w:tcBorders>
            <w:shd w:val="clear" w:color="auto" w:fill="CCE8CF"/>
          </w:tcPr>
          <w:p w:rsidR="009C5C1F" w:rsidRDefault="009C5C1F">
            <w:pPr>
              <w:ind w:firstLineChars="100" w:firstLine="210"/>
              <w:rPr>
                <w:rFonts w:ascii="宋体" w:hAnsi="宋体" w:cs="宋体"/>
                <w:color w:val="000000"/>
              </w:rPr>
            </w:pPr>
          </w:p>
        </w:tc>
      </w:tr>
      <w:tr w:rsidR="009C5C1F">
        <w:trPr>
          <w:trHeight w:hRule="exact" w:val="482"/>
        </w:trPr>
        <w:tc>
          <w:tcPr>
            <w:tcW w:w="1032" w:type="dxa"/>
            <w:tcBorders>
              <w:top w:val="single" w:sz="6" w:space="0" w:color="000000"/>
              <w:left w:val="single" w:sz="8" w:space="0" w:color="000000"/>
              <w:bottom w:val="single" w:sz="6" w:space="0" w:color="000000"/>
              <w:right w:val="single" w:sz="6" w:space="0" w:color="000000"/>
            </w:tcBorders>
            <w:shd w:val="clear" w:color="auto" w:fill="CCE8CF"/>
          </w:tcPr>
          <w:p w:rsidR="009C5C1F" w:rsidRDefault="004D2E0D">
            <w:pPr>
              <w:pStyle w:val="TableParagraph"/>
              <w:spacing w:before="64"/>
              <w:ind w:left="2"/>
              <w:jc w:val="center"/>
              <w:rPr>
                <w:rFonts w:ascii="宋体" w:hAnsi="宋体" w:cs="宋体"/>
                <w:color w:val="000000"/>
              </w:rPr>
            </w:pPr>
            <w:r>
              <w:rPr>
                <w:rFonts w:ascii="宋体" w:hAnsi="宋体" w:cs="宋体" w:hint="eastAsia"/>
                <w:color w:val="000000"/>
              </w:rPr>
              <w:t>3</w:t>
            </w:r>
          </w:p>
        </w:tc>
        <w:tc>
          <w:tcPr>
            <w:tcW w:w="2977" w:type="dxa"/>
            <w:tcBorders>
              <w:top w:val="single" w:sz="6"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4"/>
              <w:ind w:left="2"/>
              <w:jc w:val="center"/>
              <w:rPr>
                <w:rFonts w:ascii="宋体" w:hAnsi="宋体" w:cs="宋体"/>
                <w:color w:val="000000"/>
                <w:szCs w:val="21"/>
              </w:rPr>
            </w:pPr>
            <w:r>
              <w:rPr>
                <w:rFonts w:ascii="宋体" w:hAnsi="宋体" w:cs="宋体" w:hint="eastAsia"/>
                <w:color w:val="000000"/>
                <w:szCs w:val="21"/>
              </w:rPr>
              <w:t>挖掘机</w:t>
            </w:r>
          </w:p>
        </w:tc>
        <w:tc>
          <w:tcPr>
            <w:tcW w:w="2552" w:type="dxa"/>
            <w:tcBorders>
              <w:top w:val="single" w:sz="6"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4"/>
              <w:jc w:val="center"/>
              <w:rPr>
                <w:rFonts w:ascii="宋体" w:hAnsi="宋体" w:cs="宋体"/>
                <w:color w:val="000000"/>
              </w:rPr>
            </w:pPr>
            <w:r>
              <w:rPr>
                <w:rFonts w:ascii="宋体" w:hAnsi="宋体" w:cs="宋体"/>
                <w:color w:val="000000"/>
              </w:rPr>
              <w:t>1</w:t>
            </w:r>
          </w:p>
        </w:tc>
        <w:tc>
          <w:tcPr>
            <w:tcW w:w="1842" w:type="dxa"/>
            <w:tcBorders>
              <w:top w:val="single" w:sz="6" w:space="0" w:color="000000"/>
              <w:left w:val="single" w:sz="6" w:space="0" w:color="000000"/>
              <w:bottom w:val="single" w:sz="6" w:space="0" w:color="000000"/>
              <w:right w:val="single" w:sz="8" w:space="0" w:color="000000"/>
            </w:tcBorders>
            <w:shd w:val="clear" w:color="auto" w:fill="CCE8CF"/>
          </w:tcPr>
          <w:p w:rsidR="009C5C1F" w:rsidRDefault="009C5C1F">
            <w:pPr>
              <w:ind w:firstLineChars="100" w:firstLine="210"/>
              <w:rPr>
                <w:rFonts w:ascii="宋体" w:hAnsi="宋体" w:cs="宋体"/>
                <w:color w:val="000000"/>
              </w:rPr>
            </w:pPr>
          </w:p>
        </w:tc>
      </w:tr>
      <w:tr w:rsidR="009C5C1F">
        <w:trPr>
          <w:trHeight w:hRule="exact" w:val="482"/>
        </w:trPr>
        <w:tc>
          <w:tcPr>
            <w:tcW w:w="1032" w:type="dxa"/>
            <w:tcBorders>
              <w:top w:val="single" w:sz="6" w:space="0" w:color="000000"/>
              <w:left w:val="single" w:sz="8" w:space="0" w:color="000000"/>
              <w:bottom w:val="single" w:sz="6" w:space="0" w:color="000000"/>
              <w:right w:val="single" w:sz="6" w:space="0" w:color="000000"/>
            </w:tcBorders>
            <w:shd w:val="clear" w:color="auto" w:fill="CCE8CF"/>
          </w:tcPr>
          <w:p w:rsidR="009C5C1F" w:rsidRDefault="004D2E0D">
            <w:pPr>
              <w:pStyle w:val="TableParagraph"/>
              <w:spacing w:before="64"/>
              <w:ind w:left="2"/>
              <w:jc w:val="center"/>
              <w:rPr>
                <w:rFonts w:ascii="宋体" w:hAnsi="宋体" w:cs="宋体"/>
                <w:color w:val="000000"/>
                <w:szCs w:val="21"/>
              </w:rPr>
            </w:pPr>
            <w:r>
              <w:rPr>
                <w:rFonts w:ascii="宋体" w:hAnsi="宋体" w:cs="宋体" w:hint="eastAsia"/>
                <w:color w:val="000000"/>
              </w:rPr>
              <w:t>4</w:t>
            </w:r>
          </w:p>
        </w:tc>
        <w:tc>
          <w:tcPr>
            <w:tcW w:w="2977" w:type="dxa"/>
            <w:tcBorders>
              <w:top w:val="single" w:sz="6"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4"/>
              <w:ind w:left="2"/>
              <w:jc w:val="center"/>
              <w:rPr>
                <w:rFonts w:ascii="宋体" w:hAnsi="宋体" w:cs="宋体"/>
                <w:color w:val="000000"/>
                <w:szCs w:val="21"/>
              </w:rPr>
            </w:pPr>
            <w:r>
              <w:rPr>
                <w:rFonts w:ascii="宋体" w:hAnsi="宋体" w:cs="宋体" w:hint="eastAsia"/>
                <w:color w:val="000000"/>
                <w:szCs w:val="21"/>
              </w:rPr>
              <w:t>自卸汽车</w:t>
            </w:r>
          </w:p>
        </w:tc>
        <w:tc>
          <w:tcPr>
            <w:tcW w:w="2552" w:type="dxa"/>
            <w:tcBorders>
              <w:top w:val="single" w:sz="6"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4"/>
              <w:jc w:val="center"/>
              <w:rPr>
                <w:rFonts w:ascii="宋体" w:hAnsi="宋体" w:cs="宋体"/>
                <w:color w:val="000000"/>
                <w:szCs w:val="21"/>
              </w:rPr>
            </w:pPr>
            <w:r>
              <w:rPr>
                <w:rFonts w:ascii="宋体" w:hAnsi="宋体" w:cs="宋体"/>
                <w:color w:val="000000"/>
              </w:rPr>
              <w:t>1</w:t>
            </w:r>
          </w:p>
        </w:tc>
        <w:tc>
          <w:tcPr>
            <w:tcW w:w="1842" w:type="dxa"/>
            <w:tcBorders>
              <w:top w:val="single" w:sz="6" w:space="0" w:color="000000"/>
              <w:left w:val="single" w:sz="6" w:space="0" w:color="000000"/>
              <w:bottom w:val="single" w:sz="6" w:space="0" w:color="000000"/>
              <w:right w:val="single" w:sz="8" w:space="0" w:color="000000"/>
            </w:tcBorders>
            <w:shd w:val="clear" w:color="auto" w:fill="CCE8CF"/>
          </w:tcPr>
          <w:p w:rsidR="009C5C1F" w:rsidRDefault="009C5C1F">
            <w:pPr>
              <w:ind w:firstLineChars="100" w:firstLine="210"/>
              <w:rPr>
                <w:rFonts w:ascii="宋体" w:hAnsi="宋体" w:cs="宋体"/>
                <w:color w:val="000000"/>
              </w:rPr>
            </w:pPr>
          </w:p>
        </w:tc>
      </w:tr>
      <w:tr w:rsidR="009C5C1F">
        <w:trPr>
          <w:trHeight w:hRule="exact" w:val="603"/>
        </w:trPr>
        <w:tc>
          <w:tcPr>
            <w:tcW w:w="1032" w:type="dxa"/>
            <w:tcBorders>
              <w:top w:val="single" w:sz="6" w:space="0" w:color="000000"/>
              <w:left w:val="single" w:sz="8" w:space="0" w:color="000000"/>
              <w:bottom w:val="single" w:sz="6" w:space="0" w:color="000000"/>
              <w:right w:val="single" w:sz="6" w:space="0" w:color="000000"/>
            </w:tcBorders>
            <w:shd w:val="clear" w:color="auto" w:fill="CCE8CF"/>
          </w:tcPr>
          <w:p w:rsidR="009C5C1F" w:rsidRDefault="004D2E0D">
            <w:pPr>
              <w:pStyle w:val="TableParagraph"/>
              <w:spacing w:before="65"/>
              <w:ind w:left="2"/>
              <w:jc w:val="center"/>
              <w:rPr>
                <w:rFonts w:ascii="宋体" w:hAnsi="宋体" w:cs="宋体"/>
                <w:color w:val="000000"/>
                <w:szCs w:val="21"/>
              </w:rPr>
            </w:pPr>
            <w:r>
              <w:rPr>
                <w:rFonts w:ascii="宋体" w:hAnsi="宋体" w:cs="宋体" w:hint="eastAsia"/>
                <w:color w:val="000000"/>
              </w:rPr>
              <w:t>5</w:t>
            </w:r>
          </w:p>
        </w:tc>
        <w:tc>
          <w:tcPr>
            <w:tcW w:w="2977" w:type="dxa"/>
            <w:tcBorders>
              <w:top w:val="single" w:sz="6"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5"/>
              <w:ind w:left="782" w:firstLineChars="200" w:firstLine="420"/>
              <w:jc w:val="left"/>
              <w:rPr>
                <w:rFonts w:ascii="宋体" w:hAnsi="宋体" w:cs="宋体"/>
                <w:color w:val="000000"/>
                <w:szCs w:val="21"/>
              </w:rPr>
            </w:pPr>
            <w:r>
              <w:rPr>
                <w:rFonts w:ascii="宋体" w:hAnsi="宋体" w:cs="宋体" w:hint="eastAsia"/>
                <w:color w:val="000000"/>
                <w:szCs w:val="21"/>
              </w:rPr>
              <w:t>洒水车</w:t>
            </w:r>
          </w:p>
        </w:tc>
        <w:tc>
          <w:tcPr>
            <w:tcW w:w="2552" w:type="dxa"/>
            <w:tcBorders>
              <w:top w:val="single" w:sz="6" w:space="0" w:color="000000"/>
              <w:left w:val="single" w:sz="6" w:space="0" w:color="000000"/>
              <w:bottom w:val="single" w:sz="6" w:space="0" w:color="000000"/>
              <w:right w:val="single" w:sz="6" w:space="0" w:color="000000"/>
            </w:tcBorders>
            <w:shd w:val="clear" w:color="auto" w:fill="CCE8CF"/>
          </w:tcPr>
          <w:p w:rsidR="009C5C1F" w:rsidRDefault="004D2E0D">
            <w:pPr>
              <w:pStyle w:val="TableParagraph"/>
              <w:spacing w:before="65"/>
              <w:jc w:val="center"/>
              <w:rPr>
                <w:rFonts w:ascii="宋体" w:hAnsi="宋体" w:cs="宋体"/>
                <w:color w:val="000000"/>
                <w:szCs w:val="21"/>
              </w:rPr>
            </w:pPr>
            <w:r>
              <w:rPr>
                <w:rFonts w:ascii="宋体" w:hAnsi="宋体" w:cs="宋体"/>
                <w:color w:val="000000"/>
              </w:rPr>
              <w:t>1</w:t>
            </w:r>
          </w:p>
        </w:tc>
        <w:tc>
          <w:tcPr>
            <w:tcW w:w="1842" w:type="dxa"/>
            <w:tcBorders>
              <w:top w:val="single" w:sz="6" w:space="0" w:color="000000"/>
              <w:left w:val="single" w:sz="6" w:space="0" w:color="000000"/>
              <w:bottom w:val="single" w:sz="6" w:space="0" w:color="000000"/>
              <w:right w:val="single" w:sz="8" w:space="0" w:color="000000"/>
            </w:tcBorders>
            <w:shd w:val="clear" w:color="auto" w:fill="CCE8CF"/>
          </w:tcPr>
          <w:p w:rsidR="009C5C1F" w:rsidRDefault="009C5C1F">
            <w:pPr>
              <w:ind w:firstLineChars="100" w:firstLine="210"/>
              <w:rPr>
                <w:rFonts w:ascii="宋体" w:hAnsi="宋体" w:cs="宋体"/>
                <w:color w:val="000000"/>
              </w:rPr>
            </w:pPr>
          </w:p>
        </w:tc>
      </w:tr>
      <w:tr w:rsidR="009C5C1F">
        <w:trPr>
          <w:trHeight w:hRule="exact" w:val="487"/>
        </w:trPr>
        <w:tc>
          <w:tcPr>
            <w:tcW w:w="1032" w:type="dxa"/>
            <w:tcBorders>
              <w:top w:val="single" w:sz="6" w:space="0" w:color="000000"/>
              <w:left w:val="single" w:sz="8" w:space="0" w:color="000000"/>
              <w:bottom w:val="single" w:sz="8" w:space="0" w:color="000000"/>
              <w:right w:val="single" w:sz="6" w:space="0" w:color="000000"/>
            </w:tcBorders>
            <w:shd w:val="clear" w:color="auto" w:fill="CCE8CF"/>
          </w:tcPr>
          <w:p w:rsidR="009C5C1F" w:rsidRDefault="004D2E0D">
            <w:pPr>
              <w:pStyle w:val="TableParagraph"/>
              <w:spacing w:before="66"/>
              <w:ind w:left="2"/>
              <w:jc w:val="center"/>
              <w:rPr>
                <w:rFonts w:ascii="宋体" w:hAnsi="宋体" w:cs="宋体"/>
                <w:color w:val="000000"/>
                <w:szCs w:val="21"/>
              </w:rPr>
            </w:pPr>
            <w:r>
              <w:rPr>
                <w:rFonts w:ascii="宋体" w:hAnsi="宋体" w:cs="宋体" w:hint="eastAsia"/>
                <w:color w:val="000000"/>
                <w:szCs w:val="21"/>
              </w:rPr>
              <w:t>合计</w:t>
            </w:r>
          </w:p>
        </w:tc>
        <w:tc>
          <w:tcPr>
            <w:tcW w:w="2977" w:type="dxa"/>
            <w:tcBorders>
              <w:top w:val="single" w:sz="6" w:space="0" w:color="000000"/>
              <w:left w:val="single" w:sz="6" w:space="0" w:color="000000"/>
              <w:bottom w:val="single" w:sz="8" w:space="0" w:color="000000"/>
              <w:right w:val="single" w:sz="6" w:space="0" w:color="000000"/>
            </w:tcBorders>
            <w:shd w:val="clear" w:color="auto" w:fill="CCE8CF"/>
          </w:tcPr>
          <w:p w:rsidR="009C5C1F" w:rsidRDefault="009C5C1F">
            <w:pPr>
              <w:rPr>
                <w:rFonts w:ascii="宋体" w:hAnsi="宋体" w:cs="宋体"/>
                <w:color w:val="000000"/>
              </w:rPr>
            </w:pPr>
          </w:p>
        </w:tc>
        <w:tc>
          <w:tcPr>
            <w:tcW w:w="2552" w:type="dxa"/>
            <w:tcBorders>
              <w:top w:val="single" w:sz="6" w:space="0" w:color="000000"/>
              <w:left w:val="single" w:sz="6" w:space="0" w:color="000000"/>
              <w:bottom w:val="single" w:sz="8" w:space="0" w:color="000000"/>
              <w:right w:val="single" w:sz="6" w:space="0" w:color="000000"/>
            </w:tcBorders>
            <w:shd w:val="clear" w:color="auto" w:fill="CCE8CF"/>
          </w:tcPr>
          <w:p w:rsidR="009C5C1F" w:rsidRDefault="004D2E0D">
            <w:pPr>
              <w:pStyle w:val="TableParagraph"/>
              <w:spacing w:before="66"/>
              <w:jc w:val="center"/>
              <w:rPr>
                <w:rFonts w:ascii="宋体" w:hAnsi="宋体" w:cs="宋体"/>
                <w:color w:val="000000"/>
                <w:szCs w:val="21"/>
              </w:rPr>
            </w:pPr>
            <w:r>
              <w:rPr>
                <w:rFonts w:ascii="宋体" w:hAnsi="宋体" w:cs="宋体"/>
                <w:color w:val="000000"/>
              </w:rPr>
              <w:t>6</w:t>
            </w:r>
          </w:p>
        </w:tc>
        <w:tc>
          <w:tcPr>
            <w:tcW w:w="1842" w:type="dxa"/>
            <w:tcBorders>
              <w:top w:val="single" w:sz="6" w:space="0" w:color="000000"/>
              <w:left w:val="single" w:sz="6" w:space="0" w:color="000000"/>
              <w:bottom w:val="single" w:sz="8" w:space="0" w:color="000000"/>
              <w:right w:val="single" w:sz="8" w:space="0" w:color="000000"/>
            </w:tcBorders>
            <w:shd w:val="clear" w:color="auto" w:fill="CCE8CF"/>
          </w:tcPr>
          <w:p w:rsidR="009C5C1F" w:rsidRDefault="009C5C1F">
            <w:pPr>
              <w:rPr>
                <w:rFonts w:ascii="宋体" w:hAnsi="宋体" w:cs="宋体"/>
                <w:color w:val="000000"/>
              </w:rPr>
            </w:pPr>
          </w:p>
        </w:tc>
      </w:tr>
    </w:tbl>
    <w:p w:rsidR="009C5C1F" w:rsidRDefault="004D2E0D">
      <w:pPr>
        <w:pStyle w:val="2"/>
        <w:ind w:firstLine="482"/>
      </w:pPr>
      <w:bookmarkStart w:id="651" w:name="_Toc70589791"/>
      <w:bookmarkStart w:id="652" w:name="_Toc153130748"/>
      <w:r>
        <w:rPr>
          <w:rFonts w:ascii="宋体" w:eastAsia="宋体" w:hAnsi="宋体" w:cs="宋体" w:hint="eastAsia"/>
          <w:sz w:val="24"/>
          <w:szCs w:val="24"/>
        </w:rPr>
        <w:t>10.3 建设资金及资金来源</w:t>
      </w:r>
      <w:bookmarkEnd w:id="646"/>
      <w:bookmarkEnd w:id="647"/>
      <w:bookmarkEnd w:id="648"/>
      <w:bookmarkEnd w:id="649"/>
      <w:bookmarkEnd w:id="650"/>
      <w:bookmarkEnd w:id="651"/>
      <w:bookmarkEnd w:id="652"/>
      <w:r>
        <w:rPr>
          <w:rFonts w:hint="eastAsia"/>
        </w:rPr>
        <w:tab/>
      </w:r>
    </w:p>
    <w:p w:rsidR="009C5C1F" w:rsidRDefault="004D2E0D">
      <w:pPr>
        <w:spacing w:line="500" w:lineRule="exact"/>
        <w:ind w:firstLineChars="200" w:firstLine="480"/>
        <w:rPr>
          <w:rFonts w:ascii="宋体" w:hAnsi="宋体" w:cs="宋体"/>
          <w:color w:val="000000"/>
          <w:sz w:val="24"/>
        </w:rPr>
      </w:pPr>
      <w:r>
        <w:rPr>
          <w:rFonts w:ascii="宋体" w:hAnsi="宋体" w:cs="宋体" w:hint="eastAsia"/>
          <w:color w:val="000000"/>
          <w:sz w:val="24"/>
        </w:rPr>
        <w:t>该矿为新建矿山，设备及土建设施全部购置，在今后的开采过程中该矿的投资投入主要包括：矿山开采的剥采工程、采矿设备购置、运输、供电等辅助设施以及不可预见费，投资2</w:t>
      </w:r>
      <w:r>
        <w:rPr>
          <w:rFonts w:ascii="宋体" w:hAnsi="宋体" w:cs="宋体"/>
          <w:color w:val="000000"/>
          <w:sz w:val="24"/>
        </w:rPr>
        <w:t>50.5</w:t>
      </w:r>
      <w:r>
        <w:rPr>
          <w:rFonts w:ascii="宋体" w:hAnsi="宋体" w:cs="宋体" w:hint="eastAsia"/>
          <w:color w:val="000000"/>
          <w:sz w:val="24"/>
        </w:rPr>
        <w:t>万元。具体</w:t>
      </w:r>
      <w:proofErr w:type="gramStart"/>
      <w:r>
        <w:rPr>
          <w:rFonts w:ascii="宋体" w:hAnsi="宋体" w:cs="宋体" w:hint="eastAsia"/>
          <w:color w:val="000000"/>
          <w:sz w:val="24"/>
        </w:rPr>
        <w:t>见项目</w:t>
      </w:r>
      <w:proofErr w:type="gramEnd"/>
      <w:r>
        <w:rPr>
          <w:rFonts w:ascii="宋体" w:hAnsi="宋体" w:cs="宋体" w:hint="eastAsia"/>
          <w:color w:val="000000"/>
          <w:sz w:val="24"/>
        </w:rPr>
        <w:t>工程投资估算表10-</w:t>
      </w:r>
      <w:r>
        <w:rPr>
          <w:rFonts w:ascii="宋体" w:hAnsi="宋体" w:cs="宋体"/>
          <w:color w:val="000000"/>
          <w:sz w:val="24"/>
        </w:rPr>
        <w:t>2</w:t>
      </w:r>
      <w:r>
        <w:rPr>
          <w:rFonts w:ascii="宋体" w:hAnsi="宋体" w:cs="宋体" w:hint="eastAsia"/>
          <w:color w:val="000000"/>
          <w:sz w:val="24"/>
        </w:rPr>
        <w:t>。</w:t>
      </w:r>
    </w:p>
    <w:p w:rsidR="009C5C1F" w:rsidRDefault="004D2E0D">
      <w:pPr>
        <w:pStyle w:val="A-0"/>
        <w:spacing w:line="500" w:lineRule="exact"/>
        <w:ind w:firstLineChars="200" w:firstLine="422"/>
        <w:jc w:val="both"/>
        <w:rPr>
          <w:rFonts w:ascii="宋体" w:eastAsia="宋体" w:hAnsi="宋体" w:cs="宋体"/>
          <w:b/>
          <w:color w:val="000000"/>
          <w:sz w:val="21"/>
          <w:szCs w:val="21"/>
        </w:rPr>
      </w:pPr>
      <w:r>
        <w:rPr>
          <w:rFonts w:ascii="宋体" w:eastAsia="宋体" w:hAnsi="宋体" w:cs="宋体" w:hint="eastAsia"/>
          <w:b/>
          <w:color w:val="000000"/>
          <w:sz w:val="21"/>
          <w:szCs w:val="21"/>
        </w:rPr>
        <w:t>表10-2</w:t>
      </w:r>
      <w:r>
        <w:rPr>
          <w:rFonts w:ascii="宋体" w:eastAsia="宋体" w:hAnsi="宋体" w:cs="宋体" w:hint="eastAsia"/>
          <w:b/>
          <w:color w:val="000000"/>
          <w:sz w:val="21"/>
          <w:szCs w:val="21"/>
        </w:rPr>
        <w:tab/>
        <w:t xml:space="preserve">                        项目工程投资估算表</w:t>
      </w:r>
    </w:p>
    <w:tbl>
      <w:tblPr>
        <w:tblW w:w="9077" w:type="dxa"/>
        <w:jc w:val="center"/>
        <w:tblLayout w:type="fixed"/>
        <w:tblCellMar>
          <w:left w:w="0" w:type="dxa"/>
          <w:right w:w="0" w:type="dxa"/>
        </w:tblCellMar>
        <w:tblLook w:val="04A0" w:firstRow="1" w:lastRow="0" w:firstColumn="1" w:lastColumn="0" w:noHBand="0" w:noVBand="1"/>
      </w:tblPr>
      <w:tblGrid>
        <w:gridCol w:w="667"/>
        <w:gridCol w:w="1728"/>
        <w:gridCol w:w="1390"/>
        <w:gridCol w:w="851"/>
        <w:gridCol w:w="709"/>
        <w:gridCol w:w="992"/>
        <w:gridCol w:w="1134"/>
        <w:gridCol w:w="1606"/>
      </w:tblGrid>
      <w:tr w:rsidR="009C5C1F">
        <w:trPr>
          <w:trHeight w:hRule="exact" w:val="425"/>
          <w:jc w:val="center"/>
        </w:trPr>
        <w:tc>
          <w:tcPr>
            <w:tcW w:w="667" w:type="dxa"/>
            <w:tcBorders>
              <w:top w:val="single" w:sz="12"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110"/>
              <w:jc w:val="center"/>
              <w:rPr>
                <w:rFonts w:ascii="宋体" w:hAnsi="宋体" w:cs="宋体"/>
                <w:color w:val="000000"/>
                <w:szCs w:val="21"/>
              </w:rPr>
            </w:pPr>
            <w:r>
              <w:rPr>
                <w:rFonts w:ascii="宋体" w:hAnsi="宋体" w:cs="宋体"/>
                <w:b/>
                <w:bCs/>
                <w:color w:val="000000"/>
                <w:szCs w:val="21"/>
              </w:rPr>
              <w:t>序号</w:t>
            </w:r>
          </w:p>
        </w:tc>
        <w:tc>
          <w:tcPr>
            <w:tcW w:w="1728" w:type="dxa"/>
            <w:tcBorders>
              <w:top w:val="single" w:sz="12"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220"/>
              <w:jc w:val="center"/>
              <w:rPr>
                <w:rFonts w:ascii="宋体" w:hAnsi="宋体" w:cs="宋体"/>
                <w:color w:val="000000"/>
                <w:szCs w:val="21"/>
              </w:rPr>
            </w:pPr>
            <w:r>
              <w:rPr>
                <w:rFonts w:ascii="宋体" w:hAnsi="宋体" w:cs="宋体"/>
                <w:b/>
                <w:bCs/>
                <w:color w:val="000000"/>
                <w:szCs w:val="21"/>
              </w:rPr>
              <w:t>工程项目名称</w:t>
            </w:r>
          </w:p>
        </w:tc>
        <w:tc>
          <w:tcPr>
            <w:tcW w:w="1390" w:type="dxa"/>
            <w:tcBorders>
              <w:top w:val="single" w:sz="12"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276"/>
              <w:jc w:val="center"/>
              <w:rPr>
                <w:rFonts w:ascii="宋体" w:hAnsi="宋体" w:cs="宋体"/>
                <w:color w:val="000000"/>
                <w:szCs w:val="21"/>
              </w:rPr>
            </w:pPr>
            <w:r>
              <w:rPr>
                <w:rFonts w:ascii="宋体" w:hAnsi="宋体" w:cs="宋体"/>
                <w:b/>
                <w:bCs/>
                <w:color w:val="000000"/>
                <w:szCs w:val="21"/>
              </w:rPr>
              <w:t>技术规格</w:t>
            </w:r>
          </w:p>
        </w:tc>
        <w:tc>
          <w:tcPr>
            <w:tcW w:w="851" w:type="dxa"/>
            <w:tcBorders>
              <w:top w:val="single" w:sz="12"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141"/>
              <w:jc w:val="center"/>
              <w:rPr>
                <w:rFonts w:ascii="宋体" w:hAnsi="宋体" w:cs="宋体"/>
                <w:color w:val="000000"/>
                <w:szCs w:val="21"/>
              </w:rPr>
            </w:pPr>
            <w:r>
              <w:rPr>
                <w:rFonts w:ascii="宋体" w:hAnsi="宋体" w:cs="宋体"/>
                <w:b/>
                <w:bCs/>
                <w:color w:val="000000"/>
                <w:szCs w:val="21"/>
              </w:rPr>
              <w:t>单位</w:t>
            </w:r>
          </w:p>
        </w:tc>
        <w:tc>
          <w:tcPr>
            <w:tcW w:w="709" w:type="dxa"/>
            <w:tcBorders>
              <w:top w:val="single" w:sz="12"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278"/>
              <w:jc w:val="center"/>
              <w:rPr>
                <w:rFonts w:ascii="宋体" w:hAnsi="宋体" w:cs="宋体"/>
                <w:color w:val="000000"/>
                <w:szCs w:val="21"/>
              </w:rPr>
            </w:pPr>
            <w:r>
              <w:rPr>
                <w:rFonts w:ascii="宋体" w:hAnsi="宋体" w:cs="宋体"/>
                <w:b/>
                <w:bCs/>
                <w:color w:val="000000"/>
                <w:szCs w:val="21"/>
              </w:rPr>
              <w:t>数量</w:t>
            </w:r>
          </w:p>
        </w:tc>
        <w:tc>
          <w:tcPr>
            <w:tcW w:w="992" w:type="dxa"/>
            <w:tcBorders>
              <w:top w:val="single" w:sz="12"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100" w:right="-8"/>
              <w:jc w:val="center"/>
              <w:rPr>
                <w:rFonts w:ascii="宋体" w:hAnsi="宋体" w:cs="宋体"/>
                <w:color w:val="000000"/>
                <w:szCs w:val="21"/>
              </w:rPr>
            </w:pPr>
            <w:r>
              <w:rPr>
                <w:rFonts w:ascii="宋体" w:hAnsi="宋体" w:cs="宋体"/>
                <w:b/>
                <w:bCs/>
                <w:color w:val="000000"/>
                <w:spacing w:val="-7"/>
                <w:szCs w:val="21"/>
              </w:rPr>
              <w:t>单价（元）</w:t>
            </w:r>
          </w:p>
        </w:tc>
        <w:tc>
          <w:tcPr>
            <w:tcW w:w="1134" w:type="dxa"/>
            <w:tcBorders>
              <w:top w:val="single" w:sz="12"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103" w:right="-10"/>
              <w:jc w:val="center"/>
              <w:rPr>
                <w:rFonts w:ascii="宋体" w:hAnsi="宋体" w:cs="宋体"/>
                <w:color w:val="000000"/>
                <w:szCs w:val="21"/>
              </w:rPr>
            </w:pPr>
            <w:r>
              <w:rPr>
                <w:rFonts w:ascii="宋体" w:hAnsi="宋体" w:cs="宋体"/>
                <w:b/>
                <w:bCs/>
                <w:color w:val="000000"/>
                <w:spacing w:val="-15"/>
                <w:szCs w:val="21"/>
              </w:rPr>
              <w:t>总额（万元）</w:t>
            </w:r>
          </w:p>
        </w:tc>
        <w:tc>
          <w:tcPr>
            <w:tcW w:w="1606" w:type="dxa"/>
            <w:tcBorders>
              <w:top w:val="single" w:sz="12" w:space="0" w:color="000000"/>
              <w:left w:val="single" w:sz="6" w:space="0" w:color="000000"/>
              <w:bottom w:val="single" w:sz="6" w:space="0" w:color="000000"/>
              <w:right w:val="single" w:sz="12" w:space="0" w:color="000000"/>
            </w:tcBorders>
            <w:shd w:val="clear" w:color="auto" w:fill="CCE8CF"/>
            <w:vAlign w:val="center"/>
          </w:tcPr>
          <w:p w:rsidR="009C5C1F" w:rsidRDefault="004D2E0D">
            <w:pPr>
              <w:pStyle w:val="TableParagraph"/>
              <w:spacing w:before="45"/>
              <w:ind w:left="350"/>
              <w:jc w:val="center"/>
              <w:rPr>
                <w:rFonts w:ascii="宋体" w:hAnsi="宋体" w:cs="宋体"/>
                <w:color w:val="000000"/>
                <w:szCs w:val="21"/>
              </w:rPr>
            </w:pPr>
            <w:r>
              <w:rPr>
                <w:rFonts w:ascii="宋体" w:hAnsi="宋体" w:cs="宋体"/>
                <w:b/>
                <w:bCs/>
                <w:color w:val="000000"/>
                <w:szCs w:val="21"/>
              </w:rPr>
              <w:t>备注</w:t>
            </w:r>
          </w:p>
        </w:tc>
      </w:tr>
      <w:tr w:rsidR="009C5C1F">
        <w:trPr>
          <w:trHeight w:hRule="exact" w:val="418"/>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216"/>
              <w:jc w:val="center"/>
              <w:rPr>
                <w:rFonts w:ascii="宋体" w:hAnsi="宋体" w:cs="宋体"/>
                <w:color w:val="000000"/>
                <w:szCs w:val="21"/>
              </w:rPr>
            </w:pPr>
            <w:proofErr w:type="gramStart"/>
            <w:r>
              <w:rPr>
                <w:rFonts w:ascii="宋体" w:hAnsi="宋体" w:cs="宋体"/>
                <w:color w:val="000000"/>
                <w:szCs w:val="21"/>
              </w:rPr>
              <w:t>一</w:t>
            </w:r>
            <w:proofErr w:type="gramEnd"/>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firstLineChars="150" w:firstLine="315"/>
              <w:jc w:val="center"/>
              <w:rPr>
                <w:rFonts w:ascii="宋体" w:hAnsi="宋体" w:cs="宋体"/>
                <w:color w:val="000000"/>
                <w:szCs w:val="21"/>
              </w:rPr>
            </w:pPr>
            <w:r>
              <w:rPr>
                <w:rFonts w:ascii="宋体" w:hAnsi="宋体" w:cs="宋体"/>
                <w:color w:val="000000"/>
                <w:szCs w:val="21"/>
              </w:rPr>
              <w:t>土建工程</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color w:val="000000"/>
              </w:rPr>
            </w:pP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color w:val="000000"/>
              </w:rPr>
            </w:pP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color w:val="000000"/>
              </w:rPr>
            </w:pP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color w:val="000000"/>
              </w:rPr>
            </w:pP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jc w:val="center"/>
              <w:rPr>
                <w:rFonts w:ascii="宋体" w:hAnsi="宋体" w:cs="宋体"/>
                <w:b/>
                <w:color w:val="000000"/>
                <w:szCs w:val="21"/>
              </w:rPr>
            </w:pPr>
            <w:r>
              <w:rPr>
                <w:rFonts w:ascii="宋体" w:hAnsi="宋体" w:cs="宋体"/>
                <w:b/>
                <w:color w:val="000000"/>
                <w:szCs w:val="21"/>
              </w:rPr>
              <w:t>15</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jc w:val="center"/>
              <w:rPr>
                <w:color w:val="000000"/>
              </w:rPr>
            </w:pPr>
          </w:p>
        </w:tc>
      </w:tr>
      <w:tr w:rsidR="009C5C1F">
        <w:trPr>
          <w:trHeight w:hRule="exact" w:val="418"/>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right="7"/>
              <w:jc w:val="center"/>
              <w:rPr>
                <w:rFonts w:ascii="宋体" w:hAnsi="宋体" w:cs="宋体"/>
                <w:color w:val="000000"/>
                <w:szCs w:val="21"/>
              </w:rPr>
            </w:pPr>
            <w:r>
              <w:rPr>
                <w:rFonts w:ascii="宋体"/>
                <w:color w:val="000000"/>
              </w:rPr>
              <w:t>1</w:t>
            </w:r>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328"/>
              <w:jc w:val="center"/>
              <w:rPr>
                <w:rFonts w:ascii="宋体" w:hAnsi="宋体" w:cs="宋体"/>
                <w:color w:val="000000"/>
                <w:szCs w:val="21"/>
              </w:rPr>
            </w:pPr>
            <w:r>
              <w:rPr>
                <w:rFonts w:ascii="宋体" w:hAnsi="宋体" w:cs="宋体" w:hint="eastAsia"/>
                <w:color w:val="000000"/>
                <w:szCs w:val="21"/>
              </w:rPr>
              <w:t>运输道路</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color w:val="000000"/>
              </w:rPr>
            </w:pP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hAnsi="宋体" w:cs="宋体"/>
                <w:color w:val="000000"/>
                <w:szCs w:val="21"/>
              </w:rPr>
            </w:pPr>
            <w:r>
              <w:rPr>
                <w:rFonts w:ascii="宋体"/>
                <w:color w:val="000000"/>
              </w:rPr>
              <w:t>m</w:t>
            </w: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pStyle w:val="TableParagraph"/>
              <w:spacing w:before="42"/>
              <w:ind w:left="5"/>
              <w:jc w:val="center"/>
              <w:rPr>
                <w:rFonts w:ascii="宋体" w:hAnsi="宋体" w:cs="宋体"/>
                <w:color w:val="000000"/>
                <w:szCs w:val="21"/>
              </w:rPr>
            </w:pP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hAnsi="宋体" w:cs="宋体"/>
                <w:color w:val="000000"/>
                <w:szCs w:val="21"/>
              </w:rPr>
            </w:pPr>
            <w:r>
              <w:rPr>
                <w:rFonts w:ascii="宋体" w:hAnsi="宋体" w:cs="宋体" w:hint="eastAsia"/>
                <w:color w:val="000000"/>
                <w:szCs w:val="21"/>
              </w:rPr>
              <w:t>1</w:t>
            </w:r>
            <w:r>
              <w:rPr>
                <w:rFonts w:ascii="宋体" w:hAnsi="宋体" w:cs="宋体"/>
                <w:color w:val="000000"/>
                <w:szCs w:val="21"/>
              </w:rPr>
              <w:t>5</w:t>
            </w: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427"/>
              <w:rPr>
                <w:rFonts w:ascii="宋体" w:hAnsi="宋体" w:cs="宋体"/>
                <w:color w:val="000000"/>
                <w:szCs w:val="21"/>
              </w:rPr>
            </w:pPr>
            <w:r>
              <w:rPr>
                <w:rFonts w:ascii="宋体" w:hAnsi="宋体" w:cs="宋体" w:hint="eastAsia"/>
                <w:color w:val="000000"/>
                <w:szCs w:val="21"/>
              </w:rPr>
              <w:t>2</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jc w:val="center"/>
              <w:rPr>
                <w:color w:val="000000"/>
              </w:rPr>
            </w:pPr>
          </w:p>
        </w:tc>
      </w:tr>
      <w:tr w:rsidR="009C5C1F">
        <w:trPr>
          <w:trHeight w:hRule="exact" w:val="415"/>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right="7"/>
              <w:jc w:val="center"/>
              <w:rPr>
                <w:rFonts w:ascii="宋体" w:hAnsi="宋体" w:cs="宋体"/>
                <w:color w:val="000000"/>
                <w:szCs w:val="21"/>
              </w:rPr>
            </w:pPr>
            <w:r>
              <w:rPr>
                <w:rFonts w:ascii="宋体"/>
                <w:color w:val="000000"/>
              </w:rPr>
              <w:t>2</w:t>
            </w:r>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117"/>
              <w:jc w:val="center"/>
              <w:rPr>
                <w:rFonts w:ascii="宋体" w:hAnsi="宋体" w:cs="宋体"/>
                <w:color w:val="000000"/>
                <w:szCs w:val="21"/>
              </w:rPr>
            </w:pPr>
            <w:r>
              <w:rPr>
                <w:rFonts w:ascii="宋体" w:hAnsi="宋体" w:cs="宋体" w:hint="eastAsia"/>
                <w:color w:val="000000"/>
                <w:szCs w:val="21"/>
              </w:rPr>
              <w:t>生活区</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pStyle w:val="TableParagraph"/>
              <w:spacing w:before="42"/>
              <w:ind w:left="276"/>
              <w:jc w:val="center"/>
              <w:rPr>
                <w:rFonts w:ascii="宋体" w:hAnsi="宋体" w:cs="宋体"/>
                <w:color w:val="000000"/>
                <w:szCs w:val="21"/>
              </w:rPr>
            </w:pP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hAnsi="宋体" w:cs="宋体"/>
                <w:color w:val="000000"/>
                <w:sz w:val="11"/>
                <w:szCs w:val="11"/>
              </w:rPr>
            </w:pPr>
            <w:r>
              <w:rPr>
                <w:rFonts w:ascii="宋体"/>
                <w:color w:val="000000"/>
                <w:position w:val="-10"/>
              </w:rPr>
              <w:t>m</w:t>
            </w:r>
            <w:r>
              <w:rPr>
                <w:rFonts w:ascii="宋体"/>
                <w:color w:val="000000"/>
                <w:sz w:val="11"/>
              </w:rPr>
              <w:t>2</w:t>
            </w: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pStyle w:val="TableParagraph"/>
              <w:spacing w:before="42"/>
              <w:ind w:left="5"/>
              <w:jc w:val="center"/>
              <w:rPr>
                <w:rFonts w:ascii="宋体" w:hAnsi="宋体" w:cs="宋体"/>
                <w:color w:val="000000"/>
                <w:szCs w:val="21"/>
              </w:rPr>
            </w:pP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hAnsi="宋体" w:cs="宋体"/>
                <w:color w:val="000000"/>
                <w:szCs w:val="21"/>
              </w:rPr>
            </w:pPr>
            <w:r>
              <w:rPr>
                <w:rFonts w:ascii="宋体" w:hAnsi="宋体" w:cs="宋体"/>
                <w:color w:val="000000"/>
                <w:szCs w:val="21"/>
              </w:rPr>
              <w:t>200</w:t>
            </w: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427"/>
              <w:rPr>
                <w:rFonts w:ascii="宋体" w:hAnsi="宋体" w:cs="宋体"/>
                <w:color w:val="000000"/>
                <w:szCs w:val="21"/>
              </w:rPr>
            </w:pPr>
            <w:r>
              <w:rPr>
                <w:rFonts w:ascii="宋体" w:hAnsi="宋体" w:cs="宋体"/>
                <w:color w:val="000000"/>
                <w:szCs w:val="21"/>
              </w:rPr>
              <w:t>8.25</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jc w:val="center"/>
              <w:rPr>
                <w:color w:val="000000"/>
              </w:rPr>
            </w:pPr>
          </w:p>
        </w:tc>
      </w:tr>
      <w:tr w:rsidR="009C5C1F">
        <w:trPr>
          <w:trHeight w:hRule="exact" w:val="415"/>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right="7"/>
              <w:jc w:val="center"/>
              <w:rPr>
                <w:rFonts w:ascii="宋体"/>
                <w:color w:val="000000"/>
              </w:rPr>
            </w:pPr>
            <w:r>
              <w:rPr>
                <w:rFonts w:ascii="宋体" w:hint="eastAsia"/>
                <w:color w:val="000000"/>
              </w:rPr>
              <w:t>3</w:t>
            </w:r>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117"/>
              <w:jc w:val="center"/>
              <w:rPr>
                <w:rFonts w:ascii="宋体" w:hAnsi="宋体" w:cs="宋体"/>
                <w:color w:val="000000"/>
                <w:szCs w:val="21"/>
              </w:rPr>
            </w:pPr>
            <w:r>
              <w:rPr>
                <w:rFonts w:ascii="宋体" w:hAnsi="宋体" w:cs="宋体" w:hint="eastAsia"/>
                <w:color w:val="000000"/>
                <w:szCs w:val="21"/>
              </w:rPr>
              <w:t>工业场地</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pStyle w:val="TableParagraph"/>
              <w:spacing w:before="42"/>
              <w:ind w:left="276"/>
              <w:jc w:val="center"/>
              <w:rPr>
                <w:rFonts w:ascii="宋体" w:hAnsi="宋体" w:cs="宋体"/>
                <w:color w:val="000000"/>
                <w:szCs w:val="21"/>
              </w:rPr>
            </w:pP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color w:val="000000"/>
                <w:position w:val="-10"/>
                <w:vertAlign w:val="superscript"/>
              </w:rPr>
            </w:pPr>
            <w:r>
              <w:rPr>
                <w:rFonts w:ascii="宋体"/>
                <w:color w:val="000000"/>
                <w:position w:val="-10"/>
              </w:rPr>
              <w:t>m</w:t>
            </w:r>
            <w:r>
              <w:rPr>
                <w:rFonts w:ascii="宋体"/>
                <w:color w:val="000000"/>
                <w:position w:val="-10"/>
                <w:vertAlign w:val="superscript"/>
              </w:rPr>
              <w:t>2</w:t>
            </w: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pStyle w:val="TableParagraph"/>
              <w:spacing w:before="42"/>
              <w:ind w:left="5"/>
              <w:jc w:val="center"/>
              <w:rPr>
                <w:rFonts w:ascii="宋体" w:hAnsi="宋体" w:cs="宋体"/>
                <w:color w:val="000000"/>
                <w:szCs w:val="21"/>
              </w:rPr>
            </w:pP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hAnsi="宋体" w:cs="宋体"/>
                <w:color w:val="000000"/>
                <w:szCs w:val="21"/>
              </w:rPr>
            </w:pPr>
            <w:r>
              <w:rPr>
                <w:rFonts w:ascii="宋体" w:hAnsi="宋体" w:cs="宋体" w:hint="eastAsia"/>
                <w:color w:val="000000"/>
                <w:szCs w:val="21"/>
              </w:rPr>
              <w:t>5</w:t>
            </w:r>
            <w:r>
              <w:rPr>
                <w:rFonts w:ascii="宋体" w:hAnsi="宋体" w:cs="宋体"/>
                <w:color w:val="000000"/>
                <w:szCs w:val="21"/>
              </w:rPr>
              <w:t>000</w:t>
            </w: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427"/>
              <w:rPr>
                <w:rFonts w:ascii="宋体" w:hAnsi="宋体" w:cs="宋体"/>
                <w:color w:val="000000"/>
                <w:szCs w:val="21"/>
              </w:rPr>
            </w:pPr>
            <w:r>
              <w:rPr>
                <w:rFonts w:ascii="宋体" w:hAnsi="宋体" w:cs="宋体" w:hint="eastAsia"/>
                <w:color w:val="000000"/>
                <w:szCs w:val="21"/>
              </w:rPr>
              <w:t>4</w:t>
            </w:r>
            <w:r>
              <w:rPr>
                <w:rFonts w:ascii="宋体" w:hAnsi="宋体" w:cs="宋体"/>
                <w:color w:val="000000"/>
                <w:szCs w:val="21"/>
              </w:rPr>
              <w:t>.75</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jc w:val="center"/>
              <w:rPr>
                <w:color w:val="000000"/>
              </w:rPr>
            </w:pPr>
          </w:p>
        </w:tc>
      </w:tr>
      <w:tr w:rsidR="009C5C1F">
        <w:trPr>
          <w:trHeight w:hRule="exact" w:val="418"/>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216"/>
              <w:jc w:val="center"/>
              <w:rPr>
                <w:rFonts w:ascii="宋体" w:hAnsi="宋体" w:cs="宋体"/>
                <w:b/>
                <w:bCs/>
                <w:color w:val="000000"/>
                <w:szCs w:val="21"/>
              </w:rPr>
            </w:pPr>
            <w:r>
              <w:rPr>
                <w:rFonts w:ascii="宋体" w:hAnsi="宋体" w:cs="宋体"/>
                <w:b/>
                <w:bCs/>
                <w:color w:val="000000"/>
                <w:szCs w:val="21"/>
              </w:rPr>
              <w:t>二</w:t>
            </w:r>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223"/>
              <w:jc w:val="center"/>
              <w:rPr>
                <w:rFonts w:ascii="宋体" w:hAnsi="宋体" w:cs="宋体"/>
                <w:b/>
                <w:bCs/>
                <w:color w:val="000000"/>
                <w:szCs w:val="21"/>
              </w:rPr>
            </w:pPr>
            <w:r>
              <w:rPr>
                <w:rFonts w:ascii="宋体" w:hAnsi="宋体" w:cs="宋体"/>
                <w:b/>
                <w:bCs/>
                <w:color w:val="000000"/>
                <w:szCs w:val="21"/>
              </w:rPr>
              <w:t>设备购置安装</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b/>
                <w:bCs/>
                <w:color w:val="000000"/>
              </w:rPr>
            </w:pP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b/>
                <w:bCs/>
                <w:color w:val="000000"/>
              </w:rPr>
            </w:pP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b/>
                <w:bCs/>
                <w:color w:val="000000"/>
              </w:rPr>
            </w:pP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b/>
                <w:bCs/>
                <w:color w:val="000000"/>
              </w:rPr>
            </w:pP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firstLineChars="150" w:firstLine="316"/>
              <w:rPr>
                <w:rFonts w:ascii="宋体" w:hAnsi="宋体" w:cs="宋体"/>
                <w:b/>
                <w:bCs/>
                <w:color w:val="000000"/>
                <w:szCs w:val="21"/>
              </w:rPr>
            </w:pPr>
            <w:r>
              <w:rPr>
                <w:rFonts w:ascii="宋体" w:hAnsi="宋体" w:cs="宋体"/>
                <w:b/>
                <w:bCs/>
                <w:color w:val="000000"/>
                <w:szCs w:val="21"/>
              </w:rPr>
              <w:t>175.5</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jc w:val="center"/>
              <w:rPr>
                <w:color w:val="000000"/>
              </w:rPr>
            </w:pPr>
          </w:p>
        </w:tc>
      </w:tr>
      <w:tr w:rsidR="009C5C1F">
        <w:trPr>
          <w:trHeight w:hRule="exact" w:val="418"/>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right="7"/>
              <w:jc w:val="center"/>
              <w:rPr>
                <w:rFonts w:ascii="宋体" w:hAnsi="宋体" w:cs="宋体"/>
                <w:color w:val="000000"/>
                <w:szCs w:val="21"/>
              </w:rPr>
            </w:pPr>
            <w:r>
              <w:rPr>
                <w:rFonts w:ascii="宋体"/>
                <w:color w:val="000000"/>
              </w:rPr>
              <w:t>1</w:t>
            </w:r>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434"/>
              <w:rPr>
                <w:rFonts w:ascii="宋体" w:hAnsi="宋体" w:cs="宋体"/>
                <w:color w:val="000000"/>
                <w:szCs w:val="21"/>
              </w:rPr>
            </w:pPr>
            <w:r>
              <w:rPr>
                <w:rFonts w:ascii="宋体" w:hAnsi="宋体" w:cs="宋体"/>
                <w:color w:val="000000"/>
                <w:szCs w:val="21"/>
              </w:rPr>
              <w:t>自卸汽车</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460"/>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0吨</w:t>
            </w: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hAnsi="宋体" w:cs="宋体"/>
                <w:color w:val="000000"/>
                <w:szCs w:val="21"/>
              </w:rPr>
            </w:pPr>
            <w:r>
              <w:rPr>
                <w:rFonts w:ascii="宋体" w:hAnsi="宋体" w:cs="宋体"/>
                <w:color w:val="000000"/>
                <w:szCs w:val="21"/>
              </w:rPr>
              <w:t>辆</w:t>
            </w: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hAnsi="宋体" w:cs="宋体"/>
                <w:color w:val="000000"/>
                <w:szCs w:val="21"/>
              </w:rPr>
            </w:pPr>
            <w:r>
              <w:rPr>
                <w:rFonts w:ascii="宋体"/>
                <w:color w:val="000000"/>
              </w:rPr>
              <w:t>1</w:t>
            </w: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color w:val="000000"/>
              </w:rPr>
            </w:pPr>
            <w:r>
              <w:rPr>
                <w:rFonts w:ascii="宋体"/>
                <w:color w:val="000000"/>
              </w:rPr>
              <w:t>150000</w:t>
            </w: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color w:val="000000"/>
              </w:rPr>
            </w:pPr>
            <w:r>
              <w:rPr>
                <w:rFonts w:ascii="宋体"/>
                <w:color w:val="000000"/>
              </w:rPr>
              <w:t>15</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pStyle w:val="TableParagraph"/>
              <w:spacing w:before="42"/>
              <w:rPr>
                <w:rFonts w:ascii="宋体" w:hAnsi="宋体" w:cs="宋体"/>
                <w:color w:val="000000"/>
                <w:szCs w:val="21"/>
              </w:rPr>
            </w:pPr>
          </w:p>
        </w:tc>
      </w:tr>
      <w:tr w:rsidR="009C5C1F">
        <w:trPr>
          <w:trHeight w:hRule="exact" w:val="415"/>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right="7"/>
              <w:jc w:val="center"/>
              <w:rPr>
                <w:rFonts w:ascii="宋体" w:hAnsi="宋体" w:cs="宋体"/>
                <w:color w:val="000000"/>
                <w:szCs w:val="21"/>
              </w:rPr>
            </w:pPr>
            <w:r>
              <w:rPr>
                <w:rFonts w:ascii="宋体" w:hAnsi="宋体" w:cs="宋体"/>
                <w:color w:val="000000"/>
                <w:szCs w:val="21"/>
              </w:rPr>
              <w:t>2</w:t>
            </w:r>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537"/>
              <w:rPr>
                <w:rFonts w:ascii="宋体" w:hAnsi="宋体" w:cs="宋体"/>
                <w:color w:val="000000"/>
                <w:szCs w:val="21"/>
              </w:rPr>
            </w:pPr>
            <w:r>
              <w:rPr>
                <w:rFonts w:ascii="宋体" w:hAnsi="宋体" w:cs="宋体"/>
                <w:color w:val="000000"/>
                <w:szCs w:val="21"/>
              </w:rPr>
              <w:t>装载机</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223" w:firstLineChars="50" w:firstLine="105"/>
              <w:rPr>
                <w:rFonts w:ascii="宋体" w:hAnsi="宋体" w:cs="宋体"/>
                <w:color w:val="000000"/>
                <w:szCs w:val="21"/>
              </w:rPr>
            </w:pPr>
            <w:r>
              <w:rPr>
                <w:rFonts w:ascii="宋体" w:hAnsi="宋体" w:cs="宋体"/>
                <w:color w:val="000000"/>
                <w:szCs w:val="21"/>
              </w:rPr>
              <w:t>Z</w:t>
            </w:r>
            <w:r>
              <w:rPr>
                <w:rFonts w:ascii="宋体" w:hAnsi="宋体" w:cs="宋体" w:hint="eastAsia"/>
                <w:color w:val="000000"/>
                <w:szCs w:val="21"/>
              </w:rPr>
              <w:t>L</w:t>
            </w:r>
            <w:r>
              <w:rPr>
                <w:rFonts w:ascii="宋体" w:hAnsi="宋体" w:cs="宋体"/>
                <w:color w:val="000000"/>
                <w:spacing w:val="-53"/>
                <w:szCs w:val="21"/>
              </w:rPr>
              <w:t xml:space="preserve"> </w:t>
            </w:r>
            <w:r>
              <w:rPr>
                <w:rFonts w:ascii="宋体" w:hAnsi="宋体" w:cs="宋体"/>
                <w:color w:val="000000"/>
                <w:szCs w:val="21"/>
              </w:rPr>
              <w:t>50</w:t>
            </w:r>
            <w:r>
              <w:rPr>
                <w:rFonts w:ascii="宋体" w:hAnsi="宋体" w:cs="宋体"/>
                <w:color w:val="000000"/>
                <w:spacing w:val="-53"/>
                <w:szCs w:val="21"/>
              </w:rPr>
              <w:t xml:space="preserve"> </w:t>
            </w:r>
            <w:r>
              <w:rPr>
                <w:rFonts w:ascii="宋体" w:hAnsi="宋体" w:cs="宋体"/>
                <w:color w:val="000000"/>
                <w:szCs w:val="21"/>
              </w:rPr>
              <w:t>型</w:t>
            </w: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hAnsi="宋体" w:cs="宋体"/>
                <w:color w:val="000000"/>
                <w:szCs w:val="21"/>
              </w:rPr>
            </w:pPr>
            <w:r>
              <w:rPr>
                <w:rFonts w:ascii="宋体" w:hAnsi="宋体" w:cs="宋体"/>
                <w:color w:val="000000"/>
                <w:szCs w:val="21"/>
              </w:rPr>
              <w:t>台</w:t>
            </w: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hAnsi="宋体" w:cs="宋体"/>
                <w:color w:val="000000"/>
                <w:szCs w:val="21"/>
              </w:rPr>
            </w:pPr>
            <w:r>
              <w:rPr>
                <w:rFonts w:ascii="宋体"/>
                <w:color w:val="000000"/>
              </w:rPr>
              <w:t>2</w:t>
            </w: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color w:val="000000"/>
              </w:rPr>
            </w:pPr>
            <w:r>
              <w:rPr>
                <w:rFonts w:ascii="宋体"/>
                <w:color w:val="000000"/>
              </w:rPr>
              <w:t>500000</w:t>
            </w: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color w:val="000000"/>
              </w:rPr>
            </w:pPr>
            <w:r>
              <w:rPr>
                <w:rFonts w:ascii="宋体"/>
                <w:color w:val="000000"/>
              </w:rPr>
              <w:t>1</w:t>
            </w:r>
            <w:r>
              <w:rPr>
                <w:rFonts w:ascii="宋体" w:hint="eastAsia"/>
                <w:color w:val="000000"/>
              </w:rPr>
              <w:t>0</w:t>
            </w:r>
            <w:r>
              <w:rPr>
                <w:rFonts w:ascii="宋体"/>
                <w:color w:val="000000"/>
              </w:rPr>
              <w:t>0</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pStyle w:val="TableParagraph"/>
              <w:spacing w:before="42"/>
              <w:rPr>
                <w:rFonts w:ascii="宋体" w:hAnsi="宋体" w:cs="宋体"/>
                <w:color w:val="000000"/>
                <w:szCs w:val="21"/>
              </w:rPr>
            </w:pPr>
          </w:p>
        </w:tc>
      </w:tr>
      <w:tr w:rsidR="009C5C1F">
        <w:trPr>
          <w:trHeight w:hRule="exact" w:val="418"/>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right="7"/>
              <w:jc w:val="center"/>
              <w:rPr>
                <w:rFonts w:ascii="宋体"/>
                <w:color w:val="000000"/>
              </w:rPr>
            </w:pPr>
            <w:r>
              <w:rPr>
                <w:rFonts w:ascii="宋体" w:hint="eastAsia"/>
                <w:color w:val="000000"/>
              </w:rPr>
              <w:t>3</w:t>
            </w:r>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223"/>
              <w:jc w:val="center"/>
              <w:rPr>
                <w:rFonts w:ascii="宋体" w:hAnsi="宋体" w:cs="宋体"/>
                <w:color w:val="000000"/>
                <w:szCs w:val="21"/>
              </w:rPr>
            </w:pPr>
            <w:r>
              <w:rPr>
                <w:rFonts w:ascii="宋体" w:hAnsi="宋体" w:cs="宋体" w:hint="eastAsia"/>
                <w:color w:val="000000"/>
                <w:szCs w:val="21"/>
              </w:rPr>
              <w:t>挖掘机</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7"/>
              <w:jc w:val="center"/>
              <w:rPr>
                <w:rFonts w:ascii="宋体"/>
                <w:color w:val="000000"/>
              </w:rPr>
            </w:pPr>
            <w:r>
              <w:rPr>
                <w:rFonts w:ascii="宋体"/>
                <w:color w:val="000000"/>
              </w:rPr>
              <w:t>F-120</w:t>
            </w:r>
            <w:r>
              <w:rPr>
                <w:rFonts w:ascii="宋体" w:hint="eastAsia"/>
                <w:color w:val="000000"/>
              </w:rPr>
              <w:t>型</w:t>
            </w: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jc w:val="center"/>
              <w:rPr>
                <w:rFonts w:ascii="宋体" w:hAnsi="宋体" w:cs="宋体"/>
                <w:color w:val="000000"/>
                <w:szCs w:val="21"/>
              </w:rPr>
            </w:pPr>
            <w:r>
              <w:rPr>
                <w:rFonts w:ascii="宋体" w:hAnsi="宋体" w:cs="宋体" w:hint="eastAsia"/>
                <w:color w:val="000000"/>
                <w:szCs w:val="21"/>
              </w:rPr>
              <w:t>台</w:t>
            </w: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jc w:val="center"/>
              <w:rPr>
                <w:rFonts w:ascii="宋体"/>
                <w:color w:val="000000"/>
              </w:rPr>
            </w:pPr>
            <w:r>
              <w:rPr>
                <w:rFonts w:ascii="宋体"/>
                <w:color w:val="000000"/>
              </w:rPr>
              <w:t>1</w:t>
            </w: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color w:val="000000"/>
              </w:rPr>
            </w:pPr>
            <w:r>
              <w:rPr>
                <w:rFonts w:ascii="宋体"/>
                <w:color w:val="000000"/>
              </w:rPr>
              <w:t>58</w:t>
            </w:r>
            <w:r>
              <w:rPr>
                <w:rFonts w:ascii="宋体" w:hint="eastAsia"/>
                <w:color w:val="000000"/>
              </w:rPr>
              <w:t>0000</w:t>
            </w: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color w:val="000000"/>
              </w:rPr>
            </w:pPr>
            <w:r>
              <w:rPr>
                <w:rFonts w:ascii="宋体"/>
                <w:color w:val="000000"/>
              </w:rPr>
              <w:t>58</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rPr>
                <w:color w:val="000000"/>
              </w:rPr>
            </w:pPr>
          </w:p>
        </w:tc>
      </w:tr>
      <w:tr w:rsidR="009C5C1F">
        <w:trPr>
          <w:trHeight w:hRule="exact" w:val="418"/>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right="7"/>
              <w:jc w:val="center"/>
              <w:rPr>
                <w:rFonts w:ascii="宋体" w:hAnsi="宋体" w:cs="宋体"/>
                <w:color w:val="000000"/>
                <w:szCs w:val="21"/>
              </w:rPr>
            </w:pPr>
            <w:r>
              <w:rPr>
                <w:rFonts w:ascii="宋体" w:hint="eastAsia"/>
                <w:color w:val="000000"/>
              </w:rPr>
              <w:t>4</w:t>
            </w:r>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firstLineChars="250" w:firstLine="525"/>
              <w:rPr>
                <w:rFonts w:ascii="宋体" w:hAnsi="宋体" w:cs="宋体"/>
                <w:color w:val="000000"/>
                <w:szCs w:val="21"/>
              </w:rPr>
            </w:pPr>
            <w:r>
              <w:rPr>
                <w:rFonts w:ascii="宋体" w:hAnsi="宋体" w:cs="宋体" w:hint="eastAsia"/>
                <w:color w:val="000000"/>
                <w:szCs w:val="21"/>
              </w:rPr>
              <w:t>洒水车</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ind w:left="7"/>
              <w:jc w:val="center"/>
              <w:rPr>
                <w:rFonts w:ascii="宋体" w:hAnsi="宋体" w:cs="宋体"/>
                <w:color w:val="000000"/>
                <w:szCs w:val="21"/>
              </w:rPr>
            </w:pPr>
            <w:r>
              <w:rPr>
                <w:rFonts w:ascii="宋体" w:hAnsi="宋体" w:cs="宋体" w:hint="eastAsia"/>
                <w:color w:val="000000"/>
                <w:szCs w:val="21"/>
              </w:rPr>
              <w:t>5吨</w:t>
            </w: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jc w:val="center"/>
              <w:rPr>
                <w:rFonts w:ascii="宋体" w:hAnsi="宋体" w:cs="宋体"/>
                <w:color w:val="000000"/>
                <w:szCs w:val="21"/>
              </w:rPr>
            </w:pPr>
            <w:r>
              <w:rPr>
                <w:rFonts w:ascii="宋体" w:hAnsi="宋体" w:cs="宋体"/>
                <w:color w:val="000000"/>
                <w:szCs w:val="21"/>
              </w:rPr>
              <w:t>台</w:t>
            </w: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5"/>
              <w:jc w:val="center"/>
              <w:rPr>
                <w:rFonts w:ascii="宋体" w:hAnsi="宋体" w:cs="宋体"/>
                <w:color w:val="000000"/>
                <w:szCs w:val="21"/>
              </w:rPr>
            </w:pPr>
            <w:r>
              <w:rPr>
                <w:rFonts w:ascii="宋体"/>
                <w:color w:val="000000"/>
              </w:rPr>
              <w:t>1</w:t>
            </w: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color w:val="000000"/>
              </w:rPr>
            </w:pPr>
            <w:r>
              <w:rPr>
                <w:rFonts w:ascii="宋体"/>
                <w:color w:val="000000"/>
              </w:rPr>
              <w:t>20000</w:t>
            </w: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color w:val="000000"/>
              </w:rPr>
            </w:pPr>
            <w:r>
              <w:rPr>
                <w:rFonts w:ascii="宋体"/>
                <w:color w:val="000000"/>
              </w:rPr>
              <w:t>2.0</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jc w:val="center"/>
              <w:rPr>
                <w:color w:val="000000"/>
              </w:rPr>
            </w:pPr>
          </w:p>
        </w:tc>
      </w:tr>
      <w:tr w:rsidR="009C5C1F">
        <w:trPr>
          <w:trHeight w:hRule="exact" w:val="418"/>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right="7"/>
              <w:jc w:val="center"/>
              <w:rPr>
                <w:rFonts w:ascii="宋体" w:hAnsi="宋体" w:cs="宋体"/>
                <w:color w:val="000000"/>
                <w:szCs w:val="21"/>
              </w:rPr>
            </w:pPr>
            <w:r>
              <w:rPr>
                <w:rFonts w:ascii="宋体" w:hint="eastAsia"/>
                <w:color w:val="000000"/>
              </w:rPr>
              <w:t>5</w:t>
            </w:r>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144"/>
              <w:jc w:val="center"/>
              <w:rPr>
                <w:rFonts w:ascii="宋体" w:hAnsi="宋体" w:cs="宋体"/>
                <w:color w:val="000000"/>
                <w:szCs w:val="21"/>
              </w:rPr>
            </w:pPr>
            <w:r>
              <w:rPr>
                <w:rFonts w:ascii="宋体" w:hAnsi="宋体" w:cs="宋体"/>
                <w:color w:val="000000"/>
                <w:szCs w:val="21"/>
              </w:rPr>
              <w:t>V2200-A</w:t>
            </w:r>
            <w:r>
              <w:rPr>
                <w:rFonts w:ascii="宋体" w:hAnsi="宋体" w:cs="宋体"/>
                <w:color w:val="000000"/>
                <w:spacing w:val="-52"/>
                <w:szCs w:val="21"/>
              </w:rPr>
              <w:t xml:space="preserve"> </w:t>
            </w:r>
            <w:r>
              <w:rPr>
                <w:rFonts w:ascii="宋体" w:hAnsi="宋体" w:cs="宋体"/>
                <w:color w:val="000000"/>
                <w:szCs w:val="21"/>
              </w:rPr>
              <w:t>抽水泵</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434"/>
              <w:rPr>
                <w:rFonts w:ascii="宋体" w:hAnsi="宋体" w:cs="宋体"/>
                <w:color w:val="000000"/>
                <w:szCs w:val="21"/>
              </w:rPr>
            </w:pPr>
            <w:r>
              <w:rPr>
                <w:rFonts w:ascii="宋体"/>
                <w:color w:val="000000"/>
              </w:rPr>
              <w:t>2.2KW</w:t>
            </w: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hAnsi="宋体" w:cs="宋体"/>
                <w:color w:val="000000"/>
                <w:szCs w:val="21"/>
              </w:rPr>
            </w:pPr>
            <w:r>
              <w:rPr>
                <w:rFonts w:ascii="宋体" w:hAnsi="宋体" w:cs="宋体"/>
                <w:color w:val="000000"/>
                <w:szCs w:val="21"/>
              </w:rPr>
              <w:t>台</w:t>
            </w: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hAnsi="宋体" w:cs="宋体"/>
                <w:color w:val="000000"/>
                <w:szCs w:val="21"/>
              </w:rPr>
            </w:pPr>
            <w:r>
              <w:rPr>
                <w:rFonts w:ascii="宋体" w:hint="eastAsia"/>
                <w:color w:val="000000"/>
              </w:rPr>
              <w:t>2</w:t>
            </w: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color w:val="000000"/>
              </w:rPr>
            </w:pPr>
            <w:r>
              <w:rPr>
                <w:rFonts w:ascii="宋体"/>
                <w:color w:val="000000"/>
              </w:rPr>
              <w:t>2500</w:t>
            </w: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jc w:val="center"/>
              <w:rPr>
                <w:rFonts w:ascii="宋体"/>
                <w:color w:val="000000"/>
              </w:rPr>
            </w:pPr>
            <w:r>
              <w:rPr>
                <w:rFonts w:ascii="宋体"/>
                <w:color w:val="000000"/>
              </w:rPr>
              <w:t>0.5</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jc w:val="center"/>
              <w:rPr>
                <w:color w:val="000000"/>
              </w:rPr>
            </w:pPr>
          </w:p>
        </w:tc>
      </w:tr>
      <w:tr w:rsidR="009C5C1F">
        <w:trPr>
          <w:trHeight w:hRule="exact" w:val="1162"/>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9C5C1F">
            <w:pPr>
              <w:pStyle w:val="TableParagraph"/>
              <w:spacing w:before="7"/>
              <w:jc w:val="center"/>
              <w:rPr>
                <w:rFonts w:ascii="宋体" w:hAnsi="宋体" w:cs="宋体"/>
                <w:b/>
                <w:bCs/>
                <w:color w:val="000000"/>
                <w:sz w:val="22"/>
                <w:szCs w:val="22"/>
              </w:rPr>
            </w:pPr>
          </w:p>
          <w:p w:rsidR="009C5C1F" w:rsidRDefault="004D2E0D">
            <w:pPr>
              <w:pStyle w:val="TableParagraph"/>
              <w:ind w:left="216"/>
              <w:jc w:val="center"/>
              <w:rPr>
                <w:rFonts w:ascii="宋体" w:hAnsi="宋体" w:cs="宋体"/>
                <w:b/>
                <w:bCs/>
                <w:color w:val="000000"/>
                <w:szCs w:val="21"/>
              </w:rPr>
            </w:pPr>
            <w:r>
              <w:rPr>
                <w:rFonts w:ascii="宋体" w:hAnsi="宋体" w:cs="宋体" w:hint="eastAsia"/>
                <w:b/>
                <w:bCs/>
                <w:color w:val="000000"/>
                <w:szCs w:val="21"/>
              </w:rPr>
              <w:t>三</w:t>
            </w:r>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pStyle w:val="TableParagraph"/>
              <w:spacing w:before="7"/>
              <w:jc w:val="center"/>
              <w:rPr>
                <w:rFonts w:ascii="宋体" w:hAnsi="宋体" w:cs="宋体"/>
                <w:b/>
                <w:bCs/>
                <w:color w:val="000000"/>
                <w:sz w:val="22"/>
                <w:szCs w:val="22"/>
              </w:rPr>
            </w:pPr>
          </w:p>
          <w:p w:rsidR="009C5C1F" w:rsidRDefault="004D2E0D">
            <w:pPr>
              <w:pStyle w:val="TableParagraph"/>
              <w:ind w:left="223"/>
              <w:jc w:val="center"/>
              <w:rPr>
                <w:rFonts w:ascii="宋体" w:hAnsi="宋体" w:cs="宋体"/>
                <w:b/>
                <w:bCs/>
                <w:color w:val="000000"/>
                <w:szCs w:val="21"/>
              </w:rPr>
            </w:pPr>
            <w:r>
              <w:rPr>
                <w:rFonts w:ascii="宋体" w:hAnsi="宋体" w:cs="宋体"/>
                <w:b/>
                <w:bCs/>
                <w:color w:val="000000"/>
                <w:szCs w:val="21"/>
              </w:rPr>
              <w:t>其他工程费用</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line="240" w:lineRule="atLeast"/>
              <w:ind w:left="102" w:right="23"/>
              <w:jc w:val="left"/>
              <w:rPr>
                <w:rFonts w:ascii="宋体" w:hAnsi="宋体" w:cs="宋体"/>
                <w:bCs/>
                <w:color w:val="000000"/>
                <w:szCs w:val="21"/>
              </w:rPr>
            </w:pPr>
            <w:r>
              <w:rPr>
                <w:rFonts w:ascii="宋体" w:hAnsi="宋体" w:cs="宋体"/>
                <w:bCs/>
                <w:color w:val="000000"/>
                <w:spacing w:val="-1"/>
                <w:szCs w:val="21"/>
              </w:rPr>
              <w:t>安全及环保、</w:t>
            </w:r>
            <w:r>
              <w:rPr>
                <w:rFonts w:ascii="宋体" w:hAnsi="宋体" w:cs="宋体"/>
                <w:bCs/>
                <w:color w:val="000000"/>
                <w:szCs w:val="21"/>
              </w:rPr>
              <w:t>防汛工程设计、</w:t>
            </w:r>
            <w:r>
              <w:rPr>
                <w:rFonts w:ascii="宋体" w:hAnsi="宋体" w:cs="宋体" w:hint="eastAsia"/>
                <w:bCs/>
                <w:color w:val="000000"/>
                <w:szCs w:val="21"/>
              </w:rPr>
              <w:t>施工等</w:t>
            </w: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b/>
                <w:bCs/>
                <w:color w:val="000000"/>
              </w:rPr>
            </w:pP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b/>
                <w:bCs/>
                <w:color w:val="000000"/>
              </w:rPr>
            </w:pP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jc w:val="center"/>
              <w:rPr>
                <w:b/>
                <w:bCs/>
                <w:color w:val="000000"/>
              </w:rPr>
            </w:pPr>
            <w:r>
              <w:rPr>
                <w:rFonts w:hint="eastAsia"/>
                <w:b/>
                <w:bCs/>
                <w:color w:val="000000"/>
              </w:rPr>
              <w:t>不可预见费</w:t>
            </w: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pStyle w:val="TableParagraph"/>
              <w:spacing w:before="7"/>
              <w:jc w:val="center"/>
              <w:rPr>
                <w:rFonts w:ascii="宋体" w:hAnsi="宋体" w:cs="宋体"/>
                <w:b/>
                <w:bCs/>
                <w:color w:val="000000"/>
                <w:sz w:val="22"/>
                <w:szCs w:val="22"/>
              </w:rPr>
            </w:pPr>
          </w:p>
          <w:p w:rsidR="009C5C1F" w:rsidRDefault="004D2E0D">
            <w:pPr>
              <w:pStyle w:val="TableParagraph"/>
              <w:ind w:left="374"/>
              <w:jc w:val="center"/>
              <w:rPr>
                <w:rFonts w:ascii="宋体" w:hAnsi="宋体" w:cs="宋体"/>
                <w:b/>
                <w:bCs/>
                <w:color w:val="000000"/>
                <w:szCs w:val="21"/>
              </w:rPr>
            </w:pPr>
            <w:r>
              <w:rPr>
                <w:rFonts w:ascii="宋体"/>
                <w:b/>
                <w:bCs/>
                <w:color w:val="000000"/>
              </w:rPr>
              <w:t>10.00</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jc w:val="center"/>
              <w:rPr>
                <w:color w:val="000000"/>
              </w:rPr>
            </w:pPr>
          </w:p>
        </w:tc>
      </w:tr>
      <w:tr w:rsidR="009C5C1F">
        <w:trPr>
          <w:trHeight w:hRule="exact" w:val="415"/>
          <w:jc w:val="center"/>
        </w:trPr>
        <w:tc>
          <w:tcPr>
            <w:tcW w:w="667" w:type="dxa"/>
            <w:tcBorders>
              <w:top w:val="single" w:sz="6" w:space="0" w:color="000000"/>
              <w:left w:val="single" w:sz="12"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216"/>
              <w:jc w:val="center"/>
              <w:rPr>
                <w:rFonts w:ascii="宋体" w:hAnsi="宋体" w:cs="宋体"/>
                <w:b/>
                <w:bCs/>
                <w:color w:val="000000"/>
                <w:szCs w:val="21"/>
              </w:rPr>
            </w:pPr>
            <w:r>
              <w:rPr>
                <w:rFonts w:ascii="宋体" w:hAnsi="宋体" w:cs="宋体" w:hint="eastAsia"/>
                <w:b/>
                <w:bCs/>
                <w:color w:val="000000"/>
                <w:szCs w:val="21"/>
              </w:rPr>
              <w:lastRenderedPageBreak/>
              <w:t>四</w:t>
            </w:r>
          </w:p>
        </w:tc>
        <w:tc>
          <w:tcPr>
            <w:tcW w:w="1728"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434"/>
              <w:jc w:val="center"/>
              <w:rPr>
                <w:rFonts w:ascii="宋体" w:hAnsi="宋体" w:cs="宋体"/>
                <w:b/>
                <w:bCs/>
                <w:color w:val="000000"/>
                <w:szCs w:val="21"/>
              </w:rPr>
            </w:pPr>
            <w:r>
              <w:rPr>
                <w:rFonts w:ascii="宋体" w:hAnsi="宋体" w:cs="宋体"/>
                <w:b/>
                <w:bCs/>
                <w:color w:val="000000"/>
                <w:szCs w:val="21"/>
              </w:rPr>
              <w:t>流动资金</w:t>
            </w:r>
          </w:p>
        </w:tc>
        <w:tc>
          <w:tcPr>
            <w:tcW w:w="1390"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b/>
                <w:bCs/>
                <w:color w:val="000000"/>
              </w:rPr>
            </w:pPr>
          </w:p>
        </w:tc>
        <w:tc>
          <w:tcPr>
            <w:tcW w:w="851"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b/>
                <w:bCs/>
                <w:color w:val="000000"/>
              </w:rPr>
            </w:pPr>
          </w:p>
        </w:tc>
        <w:tc>
          <w:tcPr>
            <w:tcW w:w="709"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b/>
                <w:bCs/>
                <w:color w:val="000000"/>
              </w:rPr>
            </w:pPr>
          </w:p>
        </w:tc>
        <w:tc>
          <w:tcPr>
            <w:tcW w:w="992"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9C5C1F">
            <w:pPr>
              <w:jc w:val="center"/>
              <w:rPr>
                <w:b/>
                <w:bCs/>
                <w:color w:val="000000"/>
              </w:rPr>
            </w:pPr>
          </w:p>
        </w:tc>
        <w:tc>
          <w:tcPr>
            <w:tcW w:w="1134" w:type="dxa"/>
            <w:tcBorders>
              <w:top w:val="single" w:sz="6" w:space="0" w:color="000000"/>
              <w:left w:val="single" w:sz="6" w:space="0" w:color="000000"/>
              <w:bottom w:val="single" w:sz="6" w:space="0" w:color="000000"/>
              <w:right w:val="single" w:sz="6" w:space="0" w:color="000000"/>
            </w:tcBorders>
            <w:shd w:val="clear" w:color="auto" w:fill="CCE8CF"/>
            <w:vAlign w:val="center"/>
          </w:tcPr>
          <w:p w:rsidR="009C5C1F" w:rsidRDefault="004D2E0D">
            <w:pPr>
              <w:pStyle w:val="TableParagraph"/>
              <w:spacing w:before="42"/>
              <w:ind w:left="374"/>
              <w:jc w:val="center"/>
              <w:rPr>
                <w:rFonts w:ascii="宋体" w:hAnsi="宋体" w:cs="宋体"/>
                <w:b/>
                <w:bCs/>
                <w:color w:val="000000"/>
                <w:szCs w:val="21"/>
              </w:rPr>
            </w:pPr>
            <w:r>
              <w:rPr>
                <w:rFonts w:ascii="宋体"/>
                <w:b/>
                <w:bCs/>
                <w:color w:val="000000"/>
              </w:rPr>
              <w:t>50.00</w:t>
            </w:r>
          </w:p>
        </w:tc>
        <w:tc>
          <w:tcPr>
            <w:tcW w:w="1606" w:type="dxa"/>
            <w:tcBorders>
              <w:top w:val="single" w:sz="6" w:space="0" w:color="000000"/>
              <w:left w:val="single" w:sz="6" w:space="0" w:color="000000"/>
              <w:bottom w:val="single" w:sz="6" w:space="0" w:color="000000"/>
              <w:right w:val="single" w:sz="12" w:space="0" w:color="000000"/>
            </w:tcBorders>
            <w:shd w:val="clear" w:color="auto" w:fill="CCE8CF"/>
            <w:vAlign w:val="center"/>
          </w:tcPr>
          <w:p w:rsidR="009C5C1F" w:rsidRDefault="009C5C1F">
            <w:pPr>
              <w:jc w:val="center"/>
              <w:rPr>
                <w:color w:val="000000"/>
              </w:rPr>
            </w:pPr>
          </w:p>
        </w:tc>
      </w:tr>
      <w:tr w:rsidR="009C5C1F">
        <w:trPr>
          <w:trHeight w:hRule="exact" w:val="457"/>
          <w:jc w:val="center"/>
        </w:trPr>
        <w:tc>
          <w:tcPr>
            <w:tcW w:w="667" w:type="dxa"/>
            <w:tcBorders>
              <w:top w:val="single" w:sz="6" w:space="0" w:color="000000"/>
              <w:left w:val="single" w:sz="12" w:space="0" w:color="000000"/>
              <w:bottom w:val="single" w:sz="12" w:space="0" w:color="000000"/>
              <w:right w:val="single" w:sz="6" w:space="0" w:color="000000"/>
            </w:tcBorders>
            <w:shd w:val="clear" w:color="auto" w:fill="CCE8CF"/>
            <w:vAlign w:val="center"/>
          </w:tcPr>
          <w:p w:rsidR="009C5C1F" w:rsidRDefault="009C5C1F">
            <w:pPr>
              <w:jc w:val="center"/>
              <w:rPr>
                <w:b/>
                <w:bCs/>
                <w:color w:val="000000"/>
              </w:rPr>
            </w:pPr>
          </w:p>
        </w:tc>
        <w:tc>
          <w:tcPr>
            <w:tcW w:w="1728" w:type="dxa"/>
            <w:tcBorders>
              <w:top w:val="single" w:sz="6" w:space="0" w:color="000000"/>
              <w:left w:val="single" w:sz="6" w:space="0" w:color="000000"/>
              <w:bottom w:val="single" w:sz="12" w:space="0" w:color="000000"/>
              <w:right w:val="single" w:sz="6" w:space="0" w:color="000000"/>
            </w:tcBorders>
            <w:shd w:val="clear" w:color="auto" w:fill="CCE8CF"/>
            <w:vAlign w:val="center"/>
          </w:tcPr>
          <w:p w:rsidR="009C5C1F" w:rsidRDefault="004D2E0D">
            <w:pPr>
              <w:pStyle w:val="TableParagraph"/>
              <w:tabs>
                <w:tab w:val="left" w:pos="959"/>
              </w:tabs>
              <w:spacing w:before="45"/>
              <w:ind w:left="537"/>
              <w:jc w:val="center"/>
              <w:rPr>
                <w:rFonts w:ascii="宋体" w:hAnsi="宋体" w:cs="宋体"/>
                <w:b/>
                <w:bCs/>
                <w:color w:val="000000"/>
                <w:szCs w:val="21"/>
              </w:rPr>
            </w:pPr>
            <w:r>
              <w:rPr>
                <w:rFonts w:ascii="宋体" w:hAnsi="宋体" w:cs="宋体"/>
                <w:b/>
                <w:bCs/>
                <w:color w:val="000000"/>
                <w:szCs w:val="21"/>
              </w:rPr>
              <w:t>总</w:t>
            </w:r>
            <w:r>
              <w:rPr>
                <w:rFonts w:ascii="宋体" w:hAnsi="宋体" w:cs="宋体"/>
                <w:b/>
                <w:bCs/>
                <w:color w:val="000000"/>
                <w:szCs w:val="21"/>
              </w:rPr>
              <w:tab/>
              <w:t>计</w:t>
            </w:r>
          </w:p>
        </w:tc>
        <w:tc>
          <w:tcPr>
            <w:tcW w:w="1390" w:type="dxa"/>
            <w:tcBorders>
              <w:top w:val="single" w:sz="6" w:space="0" w:color="000000"/>
              <w:left w:val="single" w:sz="6" w:space="0" w:color="000000"/>
              <w:bottom w:val="single" w:sz="12" w:space="0" w:color="000000"/>
              <w:right w:val="single" w:sz="6" w:space="0" w:color="000000"/>
            </w:tcBorders>
            <w:shd w:val="clear" w:color="auto" w:fill="CCE8CF"/>
            <w:vAlign w:val="center"/>
          </w:tcPr>
          <w:p w:rsidR="009C5C1F" w:rsidRDefault="009C5C1F">
            <w:pPr>
              <w:jc w:val="center"/>
              <w:rPr>
                <w:b/>
                <w:bCs/>
                <w:color w:val="000000"/>
              </w:rPr>
            </w:pPr>
          </w:p>
        </w:tc>
        <w:tc>
          <w:tcPr>
            <w:tcW w:w="851" w:type="dxa"/>
            <w:tcBorders>
              <w:top w:val="single" w:sz="6" w:space="0" w:color="000000"/>
              <w:left w:val="single" w:sz="6" w:space="0" w:color="000000"/>
              <w:bottom w:val="single" w:sz="12" w:space="0" w:color="000000"/>
              <w:right w:val="single" w:sz="6" w:space="0" w:color="000000"/>
            </w:tcBorders>
            <w:shd w:val="clear" w:color="auto" w:fill="CCE8CF"/>
            <w:vAlign w:val="center"/>
          </w:tcPr>
          <w:p w:rsidR="009C5C1F" w:rsidRDefault="009C5C1F">
            <w:pPr>
              <w:jc w:val="center"/>
              <w:rPr>
                <w:b/>
                <w:bCs/>
                <w:color w:val="000000"/>
              </w:rPr>
            </w:pPr>
          </w:p>
        </w:tc>
        <w:tc>
          <w:tcPr>
            <w:tcW w:w="709" w:type="dxa"/>
            <w:tcBorders>
              <w:top w:val="single" w:sz="6" w:space="0" w:color="000000"/>
              <w:left w:val="single" w:sz="6" w:space="0" w:color="000000"/>
              <w:bottom w:val="single" w:sz="12" w:space="0" w:color="000000"/>
              <w:right w:val="single" w:sz="6" w:space="0" w:color="000000"/>
            </w:tcBorders>
            <w:shd w:val="clear" w:color="auto" w:fill="CCE8CF"/>
            <w:vAlign w:val="center"/>
          </w:tcPr>
          <w:p w:rsidR="009C5C1F" w:rsidRDefault="009C5C1F">
            <w:pPr>
              <w:jc w:val="center"/>
              <w:rPr>
                <w:b/>
                <w:bCs/>
                <w:color w:val="000000"/>
              </w:rPr>
            </w:pPr>
          </w:p>
        </w:tc>
        <w:tc>
          <w:tcPr>
            <w:tcW w:w="992" w:type="dxa"/>
            <w:tcBorders>
              <w:top w:val="single" w:sz="6" w:space="0" w:color="000000"/>
              <w:left w:val="single" w:sz="6" w:space="0" w:color="000000"/>
              <w:bottom w:val="single" w:sz="12" w:space="0" w:color="000000"/>
              <w:right w:val="single" w:sz="6" w:space="0" w:color="000000"/>
            </w:tcBorders>
            <w:shd w:val="clear" w:color="auto" w:fill="CCE8CF"/>
            <w:vAlign w:val="center"/>
          </w:tcPr>
          <w:p w:rsidR="009C5C1F" w:rsidRDefault="009C5C1F">
            <w:pPr>
              <w:jc w:val="center"/>
              <w:rPr>
                <w:b/>
                <w:bCs/>
                <w:color w:val="000000"/>
              </w:rPr>
            </w:pPr>
          </w:p>
        </w:tc>
        <w:tc>
          <w:tcPr>
            <w:tcW w:w="1134" w:type="dxa"/>
            <w:tcBorders>
              <w:top w:val="single" w:sz="6" w:space="0" w:color="000000"/>
              <w:left w:val="single" w:sz="6" w:space="0" w:color="000000"/>
              <w:bottom w:val="single" w:sz="12" w:space="0" w:color="000000"/>
              <w:right w:val="single" w:sz="6" w:space="0" w:color="000000"/>
            </w:tcBorders>
            <w:shd w:val="clear" w:color="auto" w:fill="CCE8CF"/>
            <w:vAlign w:val="center"/>
          </w:tcPr>
          <w:p w:rsidR="009C5C1F" w:rsidRDefault="004D2E0D">
            <w:pPr>
              <w:pStyle w:val="TableParagraph"/>
              <w:spacing w:before="45"/>
              <w:ind w:left="321"/>
              <w:jc w:val="center"/>
              <w:rPr>
                <w:rFonts w:ascii="宋体" w:hAnsi="宋体" w:cs="宋体"/>
                <w:b/>
                <w:bCs/>
                <w:color w:val="000000"/>
                <w:szCs w:val="21"/>
              </w:rPr>
            </w:pPr>
            <w:r>
              <w:rPr>
                <w:rFonts w:ascii="宋体" w:hAnsi="宋体" w:cs="宋体"/>
                <w:b/>
                <w:bCs/>
                <w:color w:val="000000"/>
                <w:szCs w:val="21"/>
              </w:rPr>
              <w:t>250.5</w:t>
            </w:r>
          </w:p>
        </w:tc>
        <w:tc>
          <w:tcPr>
            <w:tcW w:w="1606" w:type="dxa"/>
            <w:tcBorders>
              <w:top w:val="single" w:sz="6" w:space="0" w:color="000000"/>
              <w:left w:val="single" w:sz="6" w:space="0" w:color="000000"/>
              <w:bottom w:val="single" w:sz="12" w:space="0" w:color="000000"/>
              <w:right w:val="single" w:sz="12" w:space="0" w:color="000000"/>
            </w:tcBorders>
            <w:shd w:val="clear" w:color="auto" w:fill="CCE8CF"/>
            <w:vAlign w:val="center"/>
          </w:tcPr>
          <w:p w:rsidR="009C5C1F" w:rsidRDefault="009C5C1F">
            <w:pPr>
              <w:jc w:val="center"/>
              <w:rPr>
                <w:color w:val="000000"/>
              </w:rPr>
            </w:pPr>
          </w:p>
        </w:tc>
      </w:tr>
    </w:tbl>
    <w:p w:rsidR="009C5C1F" w:rsidRDefault="004D2E0D">
      <w:pPr>
        <w:pStyle w:val="2"/>
        <w:ind w:firstLine="482"/>
        <w:rPr>
          <w:rFonts w:ascii="宋体" w:eastAsia="宋体" w:hAnsi="宋体" w:cs="宋体"/>
          <w:sz w:val="24"/>
          <w:szCs w:val="24"/>
        </w:rPr>
      </w:pPr>
      <w:bookmarkStart w:id="653" w:name="_Toc511226440"/>
      <w:bookmarkStart w:id="654" w:name="_Toc70589792"/>
      <w:bookmarkStart w:id="655" w:name="_Toc214407043"/>
      <w:bookmarkStart w:id="656" w:name="_Toc153130749"/>
      <w:bookmarkStart w:id="657" w:name="_Toc502783487"/>
      <w:bookmarkStart w:id="658" w:name="_Toc211070130"/>
      <w:bookmarkStart w:id="659" w:name="_Toc213683108"/>
      <w:r>
        <w:rPr>
          <w:rFonts w:ascii="宋体" w:eastAsia="宋体" w:hAnsi="宋体" w:cs="宋体" w:hint="eastAsia"/>
          <w:sz w:val="24"/>
          <w:szCs w:val="24"/>
        </w:rPr>
        <w:t>10.4 财务分析</w:t>
      </w:r>
      <w:bookmarkEnd w:id="653"/>
      <w:bookmarkEnd w:id="654"/>
      <w:bookmarkEnd w:id="655"/>
      <w:bookmarkEnd w:id="656"/>
      <w:bookmarkEnd w:id="657"/>
    </w:p>
    <w:p w:rsidR="009C5C1F" w:rsidRDefault="004D2E0D">
      <w:pPr>
        <w:pStyle w:val="3"/>
        <w:spacing w:beforeLines="100" w:before="360" w:after="0" w:line="500" w:lineRule="exact"/>
        <w:ind w:firstLineChars="200" w:firstLine="482"/>
        <w:rPr>
          <w:rFonts w:ascii="宋体" w:hAnsi="宋体" w:cs="宋体"/>
        </w:rPr>
      </w:pPr>
      <w:bookmarkStart w:id="660" w:name="_Toc395519226"/>
      <w:bookmarkStart w:id="661" w:name="_Toc502783488"/>
      <w:bookmarkStart w:id="662" w:name="_Toc214407044"/>
      <w:bookmarkStart w:id="663" w:name="_Toc70589793"/>
      <w:r>
        <w:rPr>
          <w:rFonts w:ascii="宋体" w:hAnsi="宋体" w:cs="宋体" w:hint="eastAsia"/>
        </w:rPr>
        <w:t>10.4.1 销售收入及成本估算</w:t>
      </w:r>
      <w:bookmarkEnd w:id="660"/>
      <w:bookmarkEnd w:id="661"/>
      <w:bookmarkEnd w:id="662"/>
      <w:bookmarkEnd w:id="663"/>
    </w:p>
    <w:p w:rsidR="009C5C1F" w:rsidRDefault="004D2E0D">
      <w:pPr>
        <w:adjustRightInd w:val="0"/>
        <w:snapToGrid w:val="0"/>
        <w:spacing w:line="500" w:lineRule="exact"/>
        <w:ind w:firstLineChars="200" w:firstLine="480"/>
        <w:rPr>
          <w:rFonts w:ascii="宋体" w:hAnsi="宋体" w:cs="宋体"/>
          <w:kern w:val="0"/>
          <w:sz w:val="24"/>
        </w:rPr>
      </w:pPr>
      <w:bookmarkStart w:id="664" w:name="_Toc212543913"/>
      <w:bookmarkStart w:id="665" w:name="_Toc182318083"/>
      <w:bookmarkStart w:id="666" w:name="_Toc213683111"/>
      <w:bookmarkStart w:id="667" w:name="_Toc214407046"/>
      <w:bookmarkStart w:id="668" w:name="_Toc211070137"/>
      <w:bookmarkEnd w:id="658"/>
      <w:bookmarkEnd w:id="659"/>
      <w:r>
        <w:rPr>
          <w:rFonts w:ascii="宋体" w:hAnsi="宋体" w:cs="宋体" w:hint="eastAsia"/>
          <w:sz w:val="24"/>
        </w:rPr>
        <w:t>粘土矿产量为1</w:t>
      </w:r>
      <w:r>
        <w:rPr>
          <w:rFonts w:ascii="宋体" w:hAnsi="宋体" w:cs="宋体"/>
          <w:sz w:val="24"/>
        </w:rPr>
        <w:t>0</w:t>
      </w:r>
      <w:r>
        <w:rPr>
          <w:rFonts w:ascii="宋体" w:hAnsi="宋体" w:cs="宋体" w:hint="eastAsia"/>
          <w:sz w:val="24"/>
        </w:rPr>
        <w:t>万吨/年，粘土矿点售价</w:t>
      </w:r>
      <w:r>
        <w:rPr>
          <w:rFonts w:ascii="宋体" w:hAnsi="宋体" w:cs="宋体"/>
          <w:sz w:val="24"/>
        </w:rPr>
        <w:t>35</w:t>
      </w:r>
      <w:r>
        <w:rPr>
          <w:rFonts w:ascii="宋体" w:hAnsi="宋体" w:cs="宋体" w:hint="eastAsia"/>
          <w:sz w:val="24"/>
        </w:rPr>
        <w:t>元/吨，项目达年平均销售收入</w:t>
      </w:r>
      <w:r>
        <w:rPr>
          <w:rFonts w:ascii="宋体" w:hAnsi="宋体" w:cs="宋体"/>
          <w:sz w:val="24"/>
        </w:rPr>
        <w:t>350</w:t>
      </w:r>
      <w:r>
        <w:rPr>
          <w:rFonts w:ascii="宋体" w:hAnsi="宋体" w:cs="宋体" w:hint="eastAsia"/>
          <w:sz w:val="24"/>
        </w:rPr>
        <w:t>万元。开采粘土</w:t>
      </w:r>
      <w:proofErr w:type="gramStart"/>
      <w:r>
        <w:rPr>
          <w:rFonts w:ascii="宋体" w:hAnsi="宋体" w:cs="宋体" w:hint="eastAsia"/>
          <w:sz w:val="24"/>
        </w:rPr>
        <w:t>矿成本</w:t>
      </w:r>
      <w:proofErr w:type="gramEnd"/>
      <w:r>
        <w:rPr>
          <w:rFonts w:ascii="宋体" w:hAnsi="宋体" w:cs="宋体" w:hint="eastAsia"/>
          <w:sz w:val="24"/>
        </w:rPr>
        <w:t>1</w:t>
      </w:r>
      <w:r>
        <w:rPr>
          <w:rFonts w:ascii="宋体" w:hAnsi="宋体" w:cs="宋体"/>
          <w:sz w:val="24"/>
        </w:rPr>
        <w:t>8</w:t>
      </w:r>
      <w:r>
        <w:rPr>
          <w:rFonts w:ascii="宋体" w:hAnsi="宋体" w:cs="宋体" w:hint="eastAsia"/>
          <w:sz w:val="24"/>
        </w:rPr>
        <w:t>元/吨，其中材料、动力费8元，人工工资7元，维修费2元，安全生产费和环保费0</w:t>
      </w:r>
      <w:r>
        <w:rPr>
          <w:rFonts w:ascii="宋体" w:hAnsi="宋体" w:cs="宋体"/>
          <w:sz w:val="24"/>
        </w:rPr>
        <w:t>.5</w:t>
      </w:r>
      <w:r>
        <w:rPr>
          <w:rFonts w:ascii="宋体" w:hAnsi="宋体" w:cs="宋体" w:hint="eastAsia"/>
          <w:sz w:val="24"/>
        </w:rPr>
        <w:t>元，其它费用0</w:t>
      </w:r>
      <w:r>
        <w:rPr>
          <w:rFonts w:ascii="宋体" w:hAnsi="宋体" w:cs="宋体"/>
          <w:sz w:val="24"/>
        </w:rPr>
        <w:t>.5</w:t>
      </w:r>
      <w:r>
        <w:rPr>
          <w:rFonts w:ascii="宋体" w:hAnsi="宋体" w:cs="宋体" w:hint="eastAsia"/>
          <w:sz w:val="24"/>
        </w:rPr>
        <w:t>元，年生产成本</w:t>
      </w:r>
      <w:r>
        <w:rPr>
          <w:rFonts w:ascii="宋体" w:hAnsi="宋体" w:cs="宋体"/>
          <w:sz w:val="24"/>
        </w:rPr>
        <w:t>180</w:t>
      </w:r>
      <w:r>
        <w:rPr>
          <w:rFonts w:ascii="宋体" w:hAnsi="宋体" w:cs="宋体" w:hint="eastAsia"/>
          <w:sz w:val="24"/>
        </w:rPr>
        <w:t>万元</w:t>
      </w:r>
      <w:r>
        <w:rPr>
          <w:rFonts w:ascii="宋体" w:hAnsi="宋体" w:cs="宋体" w:hint="eastAsia"/>
          <w:kern w:val="0"/>
          <w:sz w:val="24"/>
        </w:rPr>
        <w:t>。</w:t>
      </w:r>
    </w:p>
    <w:p w:rsidR="009C5C1F" w:rsidRDefault="004D2E0D">
      <w:pPr>
        <w:pStyle w:val="3"/>
        <w:spacing w:beforeLines="100" w:before="360" w:after="0" w:line="500" w:lineRule="exact"/>
        <w:ind w:firstLineChars="200" w:firstLine="482"/>
        <w:rPr>
          <w:rFonts w:ascii="宋体" w:hAnsi="宋体" w:cs="宋体"/>
        </w:rPr>
      </w:pPr>
      <w:bookmarkStart w:id="669" w:name="_Toc502783489"/>
      <w:bookmarkStart w:id="670" w:name="_Toc70589794"/>
      <w:bookmarkStart w:id="671" w:name="_Toc395519227"/>
      <w:r>
        <w:rPr>
          <w:rFonts w:ascii="宋体" w:hAnsi="宋体" w:cs="宋体" w:hint="eastAsia"/>
        </w:rPr>
        <w:t>10.4.2 利润总额</w:t>
      </w:r>
      <w:bookmarkEnd w:id="664"/>
      <w:bookmarkEnd w:id="665"/>
      <w:bookmarkEnd w:id="666"/>
      <w:bookmarkEnd w:id="667"/>
      <w:bookmarkEnd w:id="669"/>
      <w:bookmarkEnd w:id="670"/>
      <w:bookmarkEnd w:id="671"/>
    </w:p>
    <w:p w:rsidR="009C5C1F" w:rsidRDefault="004D2E0D">
      <w:pPr>
        <w:adjustRightInd w:val="0"/>
        <w:snapToGrid w:val="0"/>
        <w:spacing w:line="500" w:lineRule="exact"/>
        <w:ind w:firstLineChars="200" w:firstLine="480"/>
        <w:rPr>
          <w:rFonts w:ascii="宋体" w:hAnsi="宋体" w:cs="宋体"/>
          <w:kern w:val="0"/>
          <w:sz w:val="24"/>
        </w:rPr>
      </w:pPr>
      <w:bookmarkStart w:id="672" w:name="_Toc182318084"/>
      <w:bookmarkStart w:id="673" w:name="_Toc212543914"/>
      <w:bookmarkStart w:id="674" w:name="_Toc214407047"/>
      <w:bookmarkStart w:id="675" w:name="_Toc213683112"/>
      <w:r>
        <w:rPr>
          <w:rFonts w:ascii="宋体" w:hAnsi="宋体" w:cs="宋体" w:hint="eastAsia"/>
          <w:kern w:val="0"/>
          <w:sz w:val="24"/>
        </w:rPr>
        <w:t>项目达产年平均利润总额（销售额-成本价）约为：</w:t>
      </w:r>
      <w:r>
        <w:rPr>
          <w:rFonts w:ascii="宋体" w:hAnsi="宋体" w:cs="宋体"/>
          <w:kern w:val="0"/>
          <w:sz w:val="24"/>
        </w:rPr>
        <w:t>170</w:t>
      </w:r>
      <w:r>
        <w:rPr>
          <w:rFonts w:ascii="宋体" w:hAnsi="宋体" w:cs="宋体" w:hint="eastAsia"/>
          <w:kern w:val="0"/>
          <w:sz w:val="24"/>
        </w:rPr>
        <w:t>万元。</w:t>
      </w:r>
    </w:p>
    <w:p w:rsidR="009C5C1F" w:rsidRDefault="004D2E0D">
      <w:pPr>
        <w:pStyle w:val="3"/>
        <w:spacing w:beforeLines="100" w:before="360" w:after="0" w:line="500" w:lineRule="exact"/>
        <w:ind w:firstLineChars="200" w:firstLine="482"/>
        <w:rPr>
          <w:rFonts w:ascii="宋体" w:hAnsi="宋体" w:cs="宋体"/>
        </w:rPr>
      </w:pPr>
      <w:bookmarkStart w:id="676" w:name="_Toc70589795"/>
      <w:r>
        <w:rPr>
          <w:rFonts w:ascii="宋体" w:hAnsi="宋体" w:cs="宋体" w:hint="eastAsia"/>
        </w:rPr>
        <w:t>10.4.3</w:t>
      </w:r>
      <w:proofErr w:type="gramStart"/>
      <w:r>
        <w:rPr>
          <w:rFonts w:ascii="宋体" w:hAnsi="宋体" w:cs="宋体" w:hint="eastAsia"/>
        </w:rPr>
        <w:t>各</w:t>
      </w:r>
      <w:proofErr w:type="gramEnd"/>
      <w:r>
        <w:rPr>
          <w:rFonts w:ascii="宋体" w:hAnsi="宋体" w:cs="宋体" w:hint="eastAsia"/>
        </w:rPr>
        <w:t>类税费</w:t>
      </w:r>
      <w:bookmarkEnd w:id="676"/>
    </w:p>
    <w:p w:rsidR="009C5C1F" w:rsidRDefault="004D2E0D">
      <w:pPr>
        <w:adjustRightInd w:val="0"/>
        <w:snapToGrid w:val="0"/>
        <w:spacing w:line="500" w:lineRule="exact"/>
        <w:ind w:firstLineChars="200" w:firstLine="480"/>
        <w:rPr>
          <w:rFonts w:ascii="宋体" w:hAnsi="宋体" w:cs="宋体"/>
          <w:kern w:val="0"/>
          <w:sz w:val="24"/>
        </w:rPr>
      </w:pPr>
      <w:r>
        <w:rPr>
          <w:rFonts w:ascii="宋体" w:hAnsi="宋体" w:cs="宋体" w:hint="eastAsia"/>
          <w:kern w:val="0"/>
          <w:sz w:val="24"/>
        </w:rPr>
        <w:t>增值税（</w:t>
      </w:r>
      <w:r>
        <w:rPr>
          <w:rFonts w:ascii="宋体" w:hAnsi="宋体" w:cs="宋体" w:hint="eastAsia"/>
          <w:sz w:val="24"/>
        </w:rPr>
        <w:t>年均销售收入</w:t>
      </w:r>
      <w:r>
        <w:rPr>
          <w:rFonts w:ascii="宋体" w:hAnsi="宋体" w:cs="宋体" w:hint="eastAsia"/>
          <w:kern w:val="0"/>
          <w:sz w:val="24"/>
        </w:rPr>
        <w:t>×</w:t>
      </w:r>
      <w:r>
        <w:rPr>
          <w:rFonts w:ascii="宋体" w:hAnsi="宋体" w:cs="宋体"/>
          <w:kern w:val="0"/>
          <w:sz w:val="24"/>
        </w:rPr>
        <w:t>10</w:t>
      </w:r>
      <w:r>
        <w:rPr>
          <w:rFonts w:ascii="宋体" w:hAnsi="宋体" w:cs="宋体" w:hint="eastAsia"/>
          <w:kern w:val="0"/>
          <w:sz w:val="24"/>
        </w:rPr>
        <w:t>%）：3</w:t>
      </w:r>
      <w:r>
        <w:rPr>
          <w:rFonts w:ascii="宋体" w:hAnsi="宋体" w:cs="宋体"/>
          <w:kern w:val="0"/>
          <w:sz w:val="24"/>
        </w:rPr>
        <w:t>5</w:t>
      </w:r>
      <w:r>
        <w:rPr>
          <w:rFonts w:ascii="宋体" w:hAnsi="宋体" w:cs="宋体" w:hint="eastAsia"/>
          <w:kern w:val="0"/>
          <w:sz w:val="24"/>
        </w:rPr>
        <w:t>万元</w:t>
      </w:r>
    </w:p>
    <w:p w:rsidR="009C5C1F" w:rsidRDefault="004D2E0D">
      <w:pPr>
        <w:adjustRightInd w:val="0"/>
        <w:snapToGrid w:val="0"/>
        <w:spacing w:line="500" w:lineRule="exact"/>
        <w:ind w:firstLineChars="200" w:firstLine="480"/>
        <w:rPr>
          <w:rFonts w:ascii="宋体" w:hAnsi="宋体" w:cs="宋体"/>
          <w:kern w:val="0"/>
          <w:sz w:val="24"/>
        </w:rPr>
      </w:pPr>
      <w:r>
        <w:rPr>
          <w:rFonts w:ascii="宋体" w:hAnsi="宋体" w:cs="宋体" w:hint="eastAsia"/>
          <w:kern w:val="0"/>
          <w:sz w:val="24"/>
        </w:rPr>
        <w:t>营业税+水利基建基金（增值税×</w:t>
      </w:r>
      <w:r>
        <w:rPr>
          <w:rFonts w:ascii="宋体" w:hAnsi="宋体" w:cs="宋体"/>
          <w:kern w:val="0"/>
          <w:sz w:val="24"/>
        </w:rPr>
        <w:t>5.1</w:t>
      </w:r>
      <w:r>
        <w:rPr>
          <w:rFonts w:ascii="宋体" w:hAnsi="宋体" w:cs="宋体" w:hint="eastAsia"/>
          <w:kern w:val="0"/>
          <w:sz w:val="24"/>
        </w:rPr>
        <w:t>%）：1</w:t>
      </w:r>
      <w:r>
        <w:rPr>
          <w:rFonts w:ascii="宋体" w:hAnsi="宋体" w:cs="宋体"/>
          <w:kern w:val="0"/>
          <w:sz w:val="24"/>
        </w:rPr>
        <w:t>.785</w:t>
      </w:r>
      <w:r>
        <w:rPr>
          <w:rFonts w:ascii="宋体" w:hAnsi="宋体" w:cs="宋体" w:hint="eastAsia"/>
          <w:kern w:val="0"/>
          <w:sz w:val="24"/>
        </w:rPr>
        <w:t>万元</w:t>
      </w:r>
    </w:p>
    <w:p w:rsidR="009C5C1F" w:rsidRDefault="004D2E0D">
      <w:pPr>
        <w:adjustRightInd w:val="0"/>
        <w:snapToGrid w:val="0"/>
        <w:spacing w:line="500" w:lineRule="exact"/>
        <w:ind w:firstLineChars="200" w:firstLine="480"/>
        <w:rPr>
          <w:rFonts w:ascii="宋体" w:hAnsi="宋体" w:cs="宋体"/>
          <w:kern w:val="0"/>
          <w:sz w:val="24"/>
        </w:rPr>
      </w:pPr>
      <w:r>
        <w:rPr>
          <w:rFonts w:ascii="宋体" w:hAnsi="宋体" w:cs="宋体" w:hint="eastAsia"/>
          <w:kern w:val="0"/>
          <w:sz w:val="24"/>
        </w:rPr>
        <w:t>城市维护建设税、教育费附加和地方税（营业税×</w:t>
      </w:r>
      <w:r>
        <w:rPr>
          <w:rFonts w:ascii="宋体" w:hAnsi="宋体" w:cs="宋体"/>
          <w:kern w:val="0"/>
          <w:sz w:val="24"/>
        </w:rPr>
        <w:t>9</w:t>
      </w:r>
      <w:r>
        <w:rPr>
          <w:rFonts w:ascii="宋体" w:hAnsi="宋体" w:cs="宋体" w:hint="eastAsia"/>
          <w:kern w:val="0"/>
          <w:sz w:val="24"/>
        </w:rPr>
        <w:t>%）：0</w:t>
      </w:r>
      <w:r>
        <w:rPr>
          <w:rFonts w:ascii="宋体" w:hAnsi="宋体" w:cs="宋体"/>
          <w:kern w:val="0"/>
          <w:sz w:val="24"/>
        </w:rPr>
        <w:t>.161</w:t>
      </w:r>
      <w:r>
        <w:rPr>
          <w:rFonts w:ascii="宋体" w:hAnsi="宋体" w:cs="宋体" w:hint="eastAsia"/>
          <w:kern w:val="0"/>
          <w:sz w:val="24"/>
        </w:rPr>
        <w:t>万元</w:t>
      </w:r>
    </w:p>
    <w:p w:rsidR="009C5C1F" w:rsidRDefault="004D2E0D">
      <w:pPr>
        <w:adjustRightInd w:val="0"/>
        <w:snapToGrid w:val="0"/>
        <w:spacing w:line="500" w:lineRule="exact"/>
        <w:ind w:firstLineChars="200" w:firstLine="480"/>
        <w:rPr>
          <w:rFonts w:ascii="宋体" w:hAnsi="宋体" w:cs="宋体"/>
          <w:kern w:val="0"/>
          <w:sz w:val="24"/>
        </w:rPr>
      </w:pPr>
      <w:r>
        <w:rPr>
          <w:rFonts w:ascii="宋体" w:hAnsi="宋体" w:cs="宋体" w:hint="eastAsia"/>
          <w:kern w:val="0"/>
          <w:sz w:val="24"/>
        </w:rPr>
        <w:t>矿产资源税（年产量×1.0元/吨）：1</w:t>
      </w:r>
      <w:r>
        <w:rPr>
          <w:rFonts w:ascii="宋体" w:hAnsi="宋体" w:cs="宋体"/>
          <w:kern w:val="0"/>
          <w:sz w:val="24"/>
        </w:rPr>
        <w:t>0</w:t>
      </w:r>
      <w:r>
        <w:rPr>
          <w:rFonts w:ascii="宋体" w:hAnsi="宋体" w:cs="宋体" w:hint="eastAsia"/>
          <w:kern w:val="0"/>
          <w:sz w:val="24"/>
        </w:rPr>
        <w:t>万元</w:t>
      </w:r>
    </w:p>
    <w:p w:rsidR="009C5C1F" w:rsidRDefault="004D2E0D">
      <w:pPr>
        <w:adjustRightInd w:val="0"/>
        <w:snapToGrid w:val="0"/>
        <w:spacing w:line="500" w:lineRule="exact"/>
        <w:ind w:firstLineChars="200" w:firstLine="480"/>
        <w:rPr>
          <w:rFonts w:ascii="宋体" w:hAnsi="宋体" w:cs="宋体"/>
          <w:kern w:val="0"/>
          <w:sz w:val="24"/>
        </w:rPr>
      </w:pPr>
      <w:r>
        <w:rPr>
          <w:rFonts w:ascii="宋体" w:hAnsi="宋体" w:cs="宋体" w:hint="eastAsia"/>
          <w:kern w:val="0"/>
          <w:sz w:val="24"/>
        </w:rPr>
        <w:t>管理、财务等其它税（</w:t>
      </w:r>
      <w:r>
        <w:rPr>
          <w:rFonts w:ascii="宋体" w:hAnsi="宋体" w:cs="宋体" w:hint="eastAsia"/>
          <w:sz w:val="24"/>
        </w:rPr>
        <w:t>年均销售收入</w:t>
      </w:r>
      <w:r>
        <w:rPr>
          <w:rFonts w:ascii="宋体" w:hAnsi="宋体" w:cs="宋体" w:hint="eastAsia"/>
          <w:kern w:val="0"/>
          <w:sz w:val="24"/>
        </w:rPr>
        <w:t>×2%）：</w:t>
      </w:r>
      <w:r>
        <w:rPr>
          <w:rFonts w:ascii="宋体" w:hAnsi="宋体" w:cs="宋体"/>
          <w:kern w:val="0"/>
          <w:sz w:val="24"/>
        </w:rPr>
        <w:t>7</w:t>
      </w:r>
      <w:r>
        <w:rPr>
          <w:rFonts w:ascii="宋体" w:hAnsi="宋体" w:cs="宋体" w:hint="eastAsia"/>
          <w:kern w:val="0"/>
          <w:sz w:val="24"/>
        </w:rPr>
        <w:t>万元</w:t>
      </w:r>
    </w:p>
    <w:p w:rsidR="009C5C1F" w:rsidRDefault="004D2E0D">
      <w:pPr>
        <w:pStyle w:val="3"/>
        <w:spacing w:beforeLines="100" w:before="360" w:after="0" w:line="500" w:lineRule="exact"/>
        <w:ind w:firstLineChars="200" w:firstLine="482"/>
        <w:rPr>
          <w:rFonts w:ascii="宋体" w:hAnsi="宋体" w:cs="宋体"/>
        </w:rPr>
      </w:pPr>
      <w:bookmarkStart w:id="677" w:name="_Toc395519228"/>
      <w:bookmarkStart w:id="678" w:name="_Toc502783490"/>
      <w:bookmarkStart w:id="679" w:name="_Toc70589796"/>
      <w:r>
        <w:rPr>
          <w:rFonts w:ascii="宋体" w:hAnsi="宋体" w:cs="宋体" w:hint="eastAsia"/>
        </w:rPr>
        <w:t>10.4.4企业所得税</w:t>
      </w:r>
      <w:bookmarkEnd w:id="672"/>
      <w:bookmarkEnd w:id="673"/>
      <w:bookmarkEnd w:id="674"/>
      <w:bookmarkEnd w:id="675"/>
      <w:bookmarkEnd w:id="677"/>
      <w:bookmarkEnd w:id="678"/>
      <w:bookmarkEnd w:id="679"/>
    </w:p>
    <w:p w:rsidR="009C5C1F" w:rsidRDefault="004D2E0D">
      <w:pPr>
        <w:adjustRightInd w:val="0"/>
        <w:snapToGrid w:val="0"/>
        <w:spacing w:line="500" w:lineRule="exact"/>
        <w:ind w:firstLineChars="200" w:firstLine="480"/>
        <w:rPr>
          <w:rFonts w:ascii="宋体" w:hAnsi="宋体" w:cs="宋体"/>
          <w:kern w:val="0"/>
          <w:sz w:val="24"/>
        </w:rPr>
      </w:pPr>
      <w:bookmarkStart w:id="680" w:name="_Toc182318085"/>
      <w:r>
        <w:rPr>
          <w:rFonts w:ascii="宋体" w:hAnsi="宋体" w:cs="宋体" w:hint="eastAsia"/>
          <w:kern w:val="0"/>
          <w:sz w:val="24"/>
        </w:rPr>
        <w:t>所得税税率25％</w:t>
      </w:r>
    </w:p>
    <w:p w:rsidR="009C5C1F" w:rsidRDefault="004D2E0D">
      <w:pPr>
        <w:adjustRightInd w:val="0"/>
        <w:snapToGrid w:val="0"/>
        <w:spacing w:line="500" w:lineRule="exact"/>
        <w:ind w:firstLineChars="300" w:firstLine="720"/>
        <w:rPr>
          <w:rFonts w:ascii="宋体" w:hAnsi="宋体" w:cs="宋体"/>
          <w:kern w:val="0"/>
          <w:sz w:val="24"/>
        </w:rPr>
      </w:pPr>
      <w:r>
        <w:rPr>
          <w:rFonts w:ascii="宋体" w:hAnsi="宋体" w:cs="宋体" w:hint="eastAsia"/>
          <w:kern w:val="0"/>
          <w:sz w:val="24"/>
        </w:rPr>
        <w:t>项目达产年平均企业所得税=（利润总额-各类税费）×25%</w:t>
      </w:r>
    </w:p>
    <w:p w:rsidR="009C5C1F" w:rsidRDefault="004D2E0D">
      <w:pPr>
        <w:adjustRightInd w:val="0"/>
        <w:snapToGrid w:val="0"/>
        <w:spacing w:line="500" w:lineRule="exact"/>
        <w:ind w:firstLineChars="300" w:firstLine="720"/>
        <w:rPr>
          <w:rFonts w:ascii="宋体" w:hAnsi="宋体" w:cs="宋体"/>
          <w:kern w:val="0"/>
          <w:sz w:val="24"/>
        </w:rPr>
      </w:pPr>
      <w:r>
        <w:rPr>
          <w:rFonts w:ascii="宋体" w:hAnsi="宋体" w:cs="宋体" w:hint="eastAsia"/>
          <w:kern w:val="0"/>
          <w:sz w:val="24"/>
        </w:rPr>
        <w:t xml:space="preserve">                            =(</w:t>
      </w:r>
      <w:r>
        <w:rPr>
          <w:rFonts w:ascii="宋体" w:hAnsi="宋体" w:cs="宋体"/>
          <w:kern w:val="0"/>
          <w:sz w:val="24"/>
        </w:rPr>
        <w:t>170</w:t>
      </w:r>
      <w:r>
        <w:rPr>
          <w:rFonts w:ascii="宋体" w:hAnsi="宋体" w:cs="宋体" w:hint="eastAsia"/>
          <w:kern w:val="0"/>
          <w:sz w:val="24"/>
        </w:rPr>
        <w:t>-</w:t>
      </w:r>
      <w:r>
        <w:rPr>
          <w:rFonts w:ascii="宋体" w:hAnsi="宋体" w:cs="宋体"/>
          <w:kern w:val="0"/>
          <w:sz w:val="24"/>
        </w:rPr>
        <w:t>35</w:t>
      </w:r>
      <w:r>
        <w:rPr>
          <w:rFonts w:ascii="宋体" w:hAnsi="宋体" w:cs="宋体" w:hint="eastAsia"/>
          <w:kern w:val="0"/>
          <w:sz w:val="24"/>
        </w:rPr>
        <w:t>-</w:t>
      </w:r>
      <w:r>
        <w:rPr>
          <w:rFonts w:ascii="宋体" w:hAnsi="宋体" w:cs="宋体"/>
          <w:kern w:val="0"/>
          <w:sz w:val="24"/>
        </w:rPr>
        <w:t>1.785</w:t>
      </w:r>
      <w:r>
        <w:rPr>
          <w:rFonts w:ascii="宋体" w:hAnsi="宋体" w:cs="宋体" w:hint="eastAsia"/>
          <w:kern w:val="0"/>
          <w:sz w:val="24"/>
        </w:rPr>
        <w:t>-</w:t>
      </w:r>
      <w:r>
        <w:rPr>
          <w:rFonts w:ascii="宋体" w:hAnsi="宋体" w:cs="宋体"/>
          <w:kern w:val="0"/>
          <w:sz w:val="24"/>
        </w:rPr>
        <w:t>0.161</w:t>
      </w:r>
      <w:r>
        <w:rPr>
          <w:rFonts w:ascii="宋体" w:hAnsi="宋体" w:cs="宋体" w:hint="eastAsia"/>
          <w:kern w:val="0"/>
          <w:sz w:val="24"/>
        </w:rPr>
        <w:t>-</w:t>
      </w:r>
      <w:r>
        <w:rPr>
          <w:rFonts w:ascii="宋体" w:hAnsi="宋体" w:cs="宋体"/>
          <w:kern w:val="0"/>
          <w:sz w:val="24"/>
        </w:rPr>
        <w:t>10-7</w:t>
      </w:r>
      <w:r>
        <w:rPr>
          <w:rFonts w:ascii="宋体" w:hAnsi="宋体" w:cs="宋体" w:hint="eastAsia"/>
          <w:kern w:val="0"/>
          <w:sz w:val="24"/>
        </w:rPr>
        <w:t>)×25%</w:t>
      </w:r>
    </w:p>
    <w:p w:rsidR="009C5C1F" w:rsidRDefault="004D2E0D">
      <w:pPr>
        <w:adjustRightInd w:val="0"/>
        <w:snapToGrid w:val="0"/>
        <w:spacing w:line="500" w:lineRule="exact"/>
        <w:ind w:firstLineChars="1700" w:firstLine="4080"/>
        <w:rPr>
          <w:rFonts w:ascii="宋体" w:hAnsi="宋体" w:cs="宋体"/>
          <w:kern w:val="0"/>
          <w:sz w:val="24"/>
        </w:rPr>
      </w:pPr>
      <w:r>
        <w:rPr>
          <w:rFonts w:ascii="宋体" w:hAnsi="宋体" w:cs="宋体" w:hint="eastAsia"/>
          <w:kern w:val="0"/>
          <w:sz w:val="24"/>
        </w:rPr>
        <w:t>≈</w:t>
      </w:r>
      <w:r>
        <w:rPr>
          <w:rFonts w:ascii="宋体" w:hAnsi="宋体" w:cs="宋体"/>
          <w:kern w:val="0"/>
          <w:sz w:val="24"/>
        </w:rPr>
        <w:t>29.01</w:t>
      </w:r>
      <w:r>
        <w:rPr>
          <w:rFonts w:ascii="宋体" w:hAnsi="宋体" w:cs="宋体" w:hint="eastAsia"/>
          <w:kern w:val="0"/>
          <w:sz w:val="24"/>
        </w:rPr>
        <w:t>万元。</w:t>
      </w:r>
    </w:p>
    <w:p w:rsidR="009C5C1F" w:rsidRDefault="004D2E0D">
      <w:pPr>
        <w:pStyle w:val="3"/>
        <w:spacing w:beforeLines="100" w:before="360" w:after="0" w:line="500" w:lineRule="exact"/>
        <w:ind w:firstLineChars="200" w:firstLine="482"/>
        <w:rPr>
          <w:rFonts w:ascii="宋体" w:hAnsi="宋体" w:cs="宋体"/>
        </w:rPr>
      </w:pPr>
      <w:bookmarkStart w:id="681" w:name="_Toc214407048"/>
      <w:bookmarkStart w:id="682" w:name="_Toc395519229"/>
      <w:bookmarkStart w:id="683" w:name="_Toc502783491"/>
      <w:bookmarkStart w:id="684" w:name="_Toc213683113"/>
      <w:bookmarkStart w:id="685" w:name="_Toc212543915"/>
      <w:bookmarkStart w:id="686" w:name="_Toc70589797"/>
      <w:r>
        <w:rPr>
          <w:rFonts w:ascii="宋体" w:hAnsi="宋体" w:cs="宋体" w:hint="eastAsia"/>
        </w:rPr>
        <w:t>10.4.5 税后利润</w:t>
      </w:r>
      <w:bookmarkEnd w:id="680"/>
      <w:bookmarkEnd w:id="681"/>
      <w:bookmarkEnd w:id="682"/>
      <w:bookmarkEnd w:id="683"/>
      <w:bookmarkEnd w:id="684"/>
      <w:bookmarkEnd w:id="685"/>
      <w:bookmarkEnd w:id="686"/>
    </w:p>
    <w:p w:rsidR="009C5C1F" w:rsidRDefault="004D2E0D">
      <w:pPr>
        <w:adjustRightInd w:val="0"/>
        <w:snapToGrid w:val="0"/>
        <w:spacing w:line="500" w:lineRule="exact"/>
        <w:ind w:firstLineChars="200" w:firstLine="480"/>
        <w:rPr>
          <w:rFonts w:ascii="宋体" w:hAnsi="宋体" w:cs="宋体"/>
          <w:kern w:val="0"/>
          <w:sz w:val="24"/>
        </w:rPr>
      </w:pPr>
      <w:bookmarkStart w:id="687" w:name="_Toc182318086"/>
      <w:r>
        <w:rPr>
          <w:rFonts w:ascii="宋体" w:hAnsi="宋体" w:cs="宋体" w:hint="eastAsia"/>
          <w:kern w:val="0"/>
          <w:sz w:val="24"/>
        </w:rPr>
        <w:t>项目达产年平均税后利润为：利润总额-各类税费-所得税</w:t>
      </w:r>
    </w:p>
    <w:p w:rsidR="009C5C1F" w:rsidRDefault="004D2E0D">
      <w:pPr>
        <w:adjustRightInd w:val="0"/>
        <w:snapToGrid w:val="0"/>
        <w:spacing w:line="500" w:lineRule="exact"/>
        <w:ind w:firstLineChars="1500" w:firstLine="3600"/>
        <w:rPr>
          <w:rFonts w:ascii="宋体" w:hAnsi="宋体" w:cs="宋体"/>
          <w:kern w:val="0"/>
          <w:sz w:val="24"/>
        </w:rPr>
      </w:pPr>
      <w:r>
        <w:rPr>
          <w:rFonts w:ascii="宋体" w:hAnsi="宋体" w:cs="宋体" w:hint="eastAsia"/>
          <w:kern w:val="0"/>
          <w:sz w:val="24"/>
        </w:rPr>
        <w:lastRenderedPageBreak/>
        <w:t>=</w:t>
      </w:r>
      <w:r>
        <w:rPr>
          <w:rFonts w:ascii="宋体" w:hAnsi="宋体" w:cs="宋体"/>
          <w:kern w:val="0"/>
          <w:sz w:val="24"/>
        </w:rPr>
        <w:t>170</w:t>
      </w:r>
      <w:r>
        <w:rPr>
          <w:rFonts w:ascii="宋体" w:hAnsi="宋体" w:cs="宋体" w:hint="eastAsia"/>
          <w:kern w:val="0"/>
          <w:sz w:val="24"/>
        </w:rPr>
        <w:t>-</w:t>
      </w:r>
      <w:r>
        <w:rPr>
          <w:rFonts w:ascii="宋体" w:hAnsi="宋体" w:cs="宋体"/>
          <w:kern w:val="0"/>
          <w:sz w:val="24"/>
        </w:rPr>
        <w:t>53.946</w:t>
      </w:r>
      <w:r>
        <w:rPr>
          <w:rFonts w:ascii="宋体" w:hAnsi="宋体" w:cs="宋体" w:hint="eastAsia"/>
          <w:kern w:val="0"/>
          <w:sz w:val="24"/>
        </w:rPr>
        <w:t>-</w:t>
      </w:r>
      <w:r>
        <w:rPr>
          <w:rFonts w:ascii="宋体" w:hAnsi="宋体" w:cs="宋体"/>
          <w:kern w:val="0"/>
          <w:sz w:val="24"/>
        </w:rPr>
        <w:t>29.01</w:t>
      </w:r>
      <w:r>
        <w:rPr>
          <w:rFonts w:ascii="宋体" w:hAnsi="宋体" w:cs="宋体" w:hint="eastAsia"/>
          <w:kern w:val="0"/>
          <w:sz w:val="24"/>
        </w:rPr>
        <w:t>=</w:t>
      </w:r>
      <w:r>
        <w:rPr>
          <w:rFonts w:ascii="宋体" w:hAnsi="宋体" w:cs="宋体"/>
          <w:kern w:val="0"/>
          <w:sz w:val="24"/>
        </w:rPr>
        <w:t>87.04</w:t>
      </w:r>
      <w:r>
        <w:rPr>
          <w:rFonts w:ascii="宋体" w:hAnsi="宋体" w:cs="宋体" w:hint="eastAsia"/>
          <w:kern w:val="0"/>
          <w:sz w:val="24"/>
        </w:rPr>
        <w:t>万元</w:t>
      </w:r>
    </w:p>
    <w:p w:rsidR="009C5C1F" w:rsidRDefault="009C5C1F">
      <w:pPr>
        <w:pStyle w:val="a0"/>
        <w:ind w:firstLine="210"/>
      </w:pPr>
    </w:p>
    <w:p w:rsidR="009C5C1F" w:rsidRDefault="004D2E0D">
      <w:pPr>
        <w:pStyle w:val="3"/>
        <w:spacing w:beforeLines="100" w:before="360" w:after="0" w:line="500" w:lineRule="exact"/>
        <w:ind w:firstLineChars="200" w:firstLine="482"/>
        <w:rPr>
          <w:rFonts w:ascii="宋体" w:hAnsi="宋体" w:cs="宋体"/>
        </w:rPr>
      </w:pPr>
      <w:bookmarkStart w:id="688" w:name="_Toc213683114"/>
      <w:bookmarkStart w:id="689" w:name="_Toc214407049"/>
      <w:bookmarkStart w:id="690" w:name="_Toc212543916"/>
      <w:bookmarkStart w:id="691" w:name="_Toc395519230"/>
      <w:bookmarkStart w:id="692" w:name="_Toc502783492"/>
      <w:bookmarkStart w:id="693" w:name="_Toc70589798"/>
      <w:r>
        <w:rPr>
          <w:rFonts w:ascii="宋体" w:hAnsi="宋体" w:cs="宋体" w:hint="eastAsia"/>
        </w:rPr>
        <w:t>10.4.</w:t>
      </w:r>
      <w:bookmarkEnd w:id="687"/>
      <w:bookmarkEnd w:id="688"/>
      <w:bookmarkEnd w:id="689"/>
      <w:bookmarkEnd w:id="690"/>
      <w:r>
        <w:rPr>
          <w:rFonts w:ascii="宋体" w:hAnsi="宋体" w:cs="宋体" w:hint="eastAsia"/>
        </w:rPr>
        <w:t>6 综合技术经济评价指标</w:t>
      </w:r>
      <w:bookmarkEnd w:id="691"/>
      <w:bookmarkEnd w:id="692"/>
      <w:bookmarkEnd w:id="693"/>
    </w:p>
    <w:bookmarkEnd w:id="668"/>
    <w:p w:rsidR="009C5C1F" w:rsidRDefault="004D2E0D">
      <w:pPr>
        <w:adjustRightInd w:val="0"/>
        <w:snapToGrid w:val="0"/>
        <w:spacing w:line="500" w:lineRule="exact"/>
        <w:ind w:firstLineChars="200" w:firstLine="480"/>
        <w:jc w:val="left"/>
        <w:rPr>
          <w:rFonts w:ascii="宋体" w:hAnsi="宋体" w:cs="宋体"/>
          <w:kern w:val="0"/>
          <w:sz w:val="24"/>
        </w:rPr>
      </w:pPr>
      <w:r>
        <w:rPr>
          <w:rFonts w:ascii="宋体" w:hAnsi="宋体" w:cs="宋体" w:hint="eastAsia"/>
          <w:kern w:val="0"/>
          <w:sz w:val="24"/>
        </w:rPr>
        <w:t>该矿后续生产投资回收期：</w:t>
      </w:r>
      <w:r>
        <w:rPr>
          <w:rFonts w:ascii="宋体" w:hAnsi="宋体" w:cs="宋体"/>
          <w:kern w:val="0"/>
          <w:sz w:val="24"/>
        </w:rPr>
        <w:t>250.5</w:t>
      </w:r>
      <w:r>
        <w:rPr>
          <w:rFonts w:ascii="宋体" w:hAnsi="宋体" w:cs="宋体" w:hint="eastAsia"/>
          <w:kern w:val="0"/>
          <w:sz w:val="24"/>
        </w:rPr>
        <w:t>/</w:t>
      </w:r>
      <w:r>
        <w:rPr>
          <w:rFonts w:ascii="宋体" w:hAnsi="宋体" w:cs="宋体"/>
          <w:kern w:val="0"/>
          <w:sz w:val="24"/>
        </w:rPr>
        <w:t>87.04=2.878</w:t>
      </w:r>
      <w:r>
        <w:rPr>
          <w:rFonts w:ascii="宋体" w:hAnsi="宋体" w:cs="宋体" w:hint="eastAsia"/>
          <w:kern w:val="0"/>
          <w:sz w:val="24"/>
        </w:rPr>
        <w:t>a；投资利润率：8</w:t>
      </w:r>
      <w:r>
        <w:rPr>
          <w:rFonts w:ascii="宋体" w:hAnsi="宋体" w:cs="宋体"/>
          <w:kern w:val="0"/>
          <w:sz w:val="24"/>
        </w:rPr>
        <w:t>7.04</w:t>
      </w:r>
      <w:r>
        <w:rPr>
          <w:rFonts w:ascii="宋体" w:hAnsi="宋体" w:cs="宋体" w:hint="eastAsia"/>
          <w:kern w:val="0"/>
          <w:sz w:val="24"/>
        </w:rPr>
        <w:t>/</w:t>
      </w:r>
      <w:r>
        <w:rPr>
          <w:rFonts w:ascii="宋体" w:hAnsi="宋体" w:cs="宋体"/>
          <w:kern w:val="0"/>
          <w:sz w:val="24"/>
        </w:rPr>
        <w:t>250.5</w:t>
      </w:r>
      <w:r>
        <w:rPr>
          <w:rFonts w:ascii="宋体" w:hAnsi="宋体" w:cs="宋体" w:hint="eastAsia"/>
          <w:kern w:val="0"/>
          <w:sz w:val="24"/>
        </w:rPr>
        <w:t>=</w:t>
      </w:r>
      <w:r>
        <w:rPr>
          <w:rFonts w:ascii="宋体" w:hAnsi="宋体" w:cs="宋体"/>
          <w:kern w:val="0"/>
          <w:sz w:val="24"/>
        </w:rPr>
        <w:t>34.75</w:t>
      </w:r>
      <w:r>
        <w:rPr>
          <w:rFonts w:ascii="宋体" w:hAnsi="宋体" w:cs="宋体" w:hint="eastAsia"/>
          <w:kern w:val="0"/>
          <w:sz w:val="24"/>
        </w:rPr>
        <w:t>％，该矿综合技术经济指标见表10-</w:t>
      </w:r>
      <w:r>
        <w:rPr>
          <w:rFonts w:ascii="宋体" w:hAnsi="宋体" w:cs="宋体"/>
          <w:kern w:val="0"/>
          <w:sz w:val="24"/>
        </w:rPr>
        <w:t>3</w:t>
      </w:r>
      <w:r>
        <w:rPr>
          <w:rFonts w:ascii="宋体" w:hAnsi="宋体" w:cs="宋体" w:hint="eastAsia"/>
          <w:kern w:val="0"/>
          <w:sz w:val="24"/>
        </w:rPr>
        <w:t>。</w:t>
      </w:r>
    </w:p>
    <w:p w:rsidR="009C5C1F" w:rsidRDefault="004D2E0D">
      <w:pPr>
        <w:pStyle w:val="A-0"/>
        <w:spacing w:line="500" w:lineRule="exact"/>
        <w:ind w:firstLineChars="800" w:firstLine="1687"/>
        <w:jc w:val="both"/>
        <w:rPr>
          <w:rFonts w:ascii="宋体" w:eastAsia="宋体" w:hAnsi="宋体" w:cs="宋体"/>
          <w:b/>
          <w:sz w:val="21"/>
          <w:szCs w:val="21"/>
        </w:rPr>
      </w:pPr>
      <w:r>
        <w:rPr>
          <w:rFonts w:ascii="宋体" w:eastAsia="宋体" w:hAnsi="宋体" w:cs="宋体" w:hint="eastAsia"/>
          <w:b/>
          <w:sz w:val="21"/>
          <w:szCs w:val="21"/>
        </w:rPr>
        <w:t xml:space="preserve">表10-3                        综合技术经济指标表   </w:t>
      </w:r>
    </w:p>
    <w:tbl>
      <w:tblPr>
        <w:tblW w:w="8937"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059"/>
        <w:gridCol w:w="3113"/>
        <w:gridCol w:w="1541"/>
        <w:gridCol w:w="1542"/>
        <w:gridCol w:w="1682"/>
      </w:tblGrid>
      <w:tr w:rsidR="009C5C1F">
        <w:trPr>
          <w:trHeight w:hRule="exact" w:val="426"/>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序  号</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指标名称</w:t>
            </w:r>
          </w:p>
        </w:tc>
        <w:tc>
          <w:tcPr>
            <w:tcW w:w="154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单位</w:t>
            </w:r>
          </w:p>
        </w:tc>
        <w:tc>
          <w:tcPr>
            <w:tcW w:w="1542"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数  量</w:t>
            </w:r>
          </w:p>
        </w:tc>
        <w:tc>
          <w:tcPr>
            <w:tcW w:w="1682"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备注</w:t>
            </w:r>
          </w:p>
        </w:tc>
      </w:tr>
      <w:tr w:rsidR="009C5C1F">
        <w:trPr>
          <w:trHeight w:hRule="exact" w:val="426"/>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1</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项目总投资</w:t>
            </w:r>
          </w:p>
        </w:tc>
        <w:tc>
          <w:tcPr>
            <w:tcW w:w="154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万元</w:t>
            </w:r>
          </w:p>
        </w:tc>
        <w:tc>
          <w:tcPr>
            <w:tcW w:w="1542" w:type="dxa"/>
            <w:vAlign w:val="center"/>
          </w:tcPr>
          <w:p w:rsidR="009C5C1F" w:rsidRDefault="004D2E0D">
            <w:pPr>
              <w:pStyle w:val="A-1"/>
              <w:spacing w:line="500" w:lineRule="exact"/>
              <w:rPr>
                <w:rFonts w:ascii="宋体" w:eastAsia="宋体" w:hAnsi="宋体" w:cs="宋体"/>
                <w:sz w:val="21"/>
                <w:szCs w:val="21"/>
                <w:lang w:val="en-US"/>
              </w:rPr>
            </w:pPr>
            <w:r>
              <w:rPr>
                <w:rFonts w:ascii="宋体" w:eastAsia="宋体" w:hAnsi="宋体" w:cs="宋体"/>
                <w:sz w:val="21"/>
                <w:szCs w:val="21"/>
                <w:lang w:val="en-US"/>
              </w:rPr>
              <w:t>250.5</w:t>
            </w:r>
          </w:p>
        </w:tc>
        <w:tc>
          <w:tcPr>
            <w:tcW w:w="1682" w:type="dxa"/>
            <w:vAlign w:val="center"/>
          </w:tcPr>
          <w:p w:rsidR="009C5C1F" w:rsidRDefault="009C5C1F">
            <w:pPr>
              <w:pStyle w:val="A-1"/>
              <w:spacing w:line="500" w:lineRule="exact"/>
              <w:rPr>
                <w:rFonts w:ascii="宋体" w:eastAsia="宋体" w:hAnsi="宋体" w:cs="宋体"/>
                <w:sz w:val="21"/>
                <w:szCs w:val="21"/>
              </w:rPr>
            </w:pPr>
          </w:p>
        </w:tc>
      </w:tr>
      <w:tr w:rsidR="009C5C1F">
        <w:trPr>
          <w:trHeight w:hRule="exact" w:val="426"/>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2</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财务指标</w:t>
            </w:r>
          </w:p>
        </w:tc>
        <w:tc>
          <w:tcPr>
            <w:tcW w:w="1541" w:type="dxa"/>
            <w:vAlign w:val="center"/>
          </w:tcPr>
          <w:p w:rsidR="009C5C1F" w:rsidRDefault="009C5C1F">
            <w:pPr>
              <w:pStyle w:val="A-1"/>
              <w:spacing w:line="500" w:lineRule="exact"/>
              <w:rPr>
                <w:rFonts w:ascii="宋体" w:eastAsia="宋体" w:hAnsi="宋体" w:cs="宋体"/>
                <w:sz w:val="21"/>
                <w:szCs w:val="21"/>
              </w:rPr>
            </w:pPr>
          </w:p>
        </w:tc>
        <w:tc>
          <w:tcPr>
            <w:tcW w:w="1542" w:type="dxa"/>
            <w:vAlign w:val="center"/>
          </w:tcPr>
          <w:p w:rsidR="009C5C1F" w:rsidRDefault="009C5C1F">
            <w:pPr>
              <w:pStyle w:val="A-1"/>
              <w:spacing w:line="500" w:lineRule="exact"/>
              <w:rPr>
                <w:rFonts w:ascii="宋体" w:eastAsia="宋体" w:hAnsi="宋体" w:cs="宋体"/>
                <w:sz w:val="21"/>
                <w:szCs w:val="21"/>
              </w:rPr>
            </w:pPr>
          </w:p>
        </w:tc>
        <w:tc>
          <w:tcPr>
            <w:tcW w:w="1682" w:type="dxa"/>
            <w:vAlign w:val="center"/>
          </w:tcPr>
          <w:p w:rsidR="009C5C1F" w:rsidRDefault="009C5C1F">
            <w:pPr>
              <w:pStyle w:val="A-1"/>
              <w:spacing w:line="500" w:lineRule="exact"/>
              <w:rPr>
                <w:rFonts w:ascii="宋体" w:eastAsia="宋体" w:hAnsi="宋体" w:cs="宋体"/>
                <w:sz w:val="21"/>
                <w:szCs w:val="21"/>
              </w:rPr>
            </w:pPr>
          </w:p>
        </w:tc>
      </w:tr>
      <w:tr w:rsidR="009C5C1F">
        <w:trPr>
          <w:trHeight w:hRule="exact" w:val="426"/>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2.1</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产品年销售收入</w:t>
            </w:r>
          </w:p>
        </w:tc>
        <w:tc>
          <w:tcPr>
            <w:tcW w:w="154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万元</w:t>
            </w:r>
          </w:p>
        </w:tc>
        <w:tc>
          <w:tcPr>
            <w:tcW w:w="1542" w:type="dxa"/>
            <w:vAlign w:val="center"/>
          </w:tcPr>
          <w:p w:rsidR="009C5C1F" w:rsidRDefault="004D2E0D">
            <w:pPr>
              <w:pStyle w:val="A-1"/>
              <w:spacing w:line="500" w:lineRule="exact"/>
              <w:rPr>
                <w:rFonts w:ascii="宋体" w:eastAsia="宋体" w:hAnsi="宋体" w:cs="宋体"/>
                <w:sz w:val="21"/>
                <w:szCs w:val="21"/>
                <w:lang w:val="en-US"/>
              </w:rPr>
            </w:pPr>
            <w:r>
              <w:rPr>
                <w:rFonts w:ascii="宋体" w:eastAsia="宋体" w:hAnsi="宋体" w:cs="宋体"/>
                <w:sz w:val="21"/>
                <w:szCs w:val="21"/>
                <w:lang w:val="en-US"/>
              </w:rPr>
              <w:t>350</w:t>
            </w:r>
          </w:p>
        </w:tc>
        <w:tc>
          <w:tcPr>
            <w:tcW w:w="1682" w:type="dxa"/>
            <w:vAlign w:val="center"/>
          </w:tcPr>
          <w:p w:rsidR="009C5C1F" w:rsidRDefault="009C5C1F">
            <w:pPr>
              <w:pStyle w:val="A-1"/>
              <w:spacing w:line="500" w:lineRule="exact"/>
              <w:rPr>
                <w:rFonts w:ascii="宋体" w:eastAsia="宋体" w:hAnsi="宋体" w:cs="宋体"/>
                <w:sz w:val="21"/>
                <w:szCs w:val="21"/>
              </w:rPr>
            </w:pPr>
          </w:p>
        </w:tc>
      </w:tr>
      <w:tr w:rsidR="009C5C1F">
        <w:trPr>
          <w:trHeight w:hRule="exact" w:val="426"/>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2.2</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年总生产成本费用</w:t>
            </w:r>
          </w:p>
        </w:tc>
        <w:tc>
          <w:tcPr>
            <w:tcW w:w="154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万元</w:t>
            </w:r>
          </w:p>
        </w:tc>
        <w:tc>
          <w:tcPr>
            <w:tcW w:w="1542" w:type="dxa"/>
            <w:vAlign w:val="center"/>
          </w:tcPr>
          <w:p w:rsidR="009C5C1F" w:rsidRDefault="004D2E0D">
            <w:pPr>
              <w:pStyle w:val="A-1"/>
              <w:spacing w:line="500" w:lineRule="exact"/>
              <w:rPr>
                <w:rFonts w:ascii="宋体" w:eastAsia="宋体" w:hAnsi="宋体" w:cs="宋体"/>
                <w:sz w:val="21"/>
                <w:szCs w:val="21"/>
                <w:lang w:val="en-US"/>
              </w:rPr>
            </w:pPr>
            <w:r>
              <w:rPr>
                <w:rFonts w:ascii="宋体" w:eastAsia="宋体" w:hAnsi="宋体" w:cs="宋体"/>
                <w:sz w:val="21"/>
                <w:szCs w:val="21"/>
                <w:lang w:val="en-US"/>
              </w:rPr>
              <w:t>180</w:t>
            </w:r>
          </w:p>
        </w:tc>
        <w:tc>
          <w:tcPr>
            <w:tcW w:w="1682" w:type="dxa"/>
            <w:vAlign w:val="center"/>
          </w:tcPr>
          <w:p w:rsidR="009C5C1F" w:rsidRDefault="009C5C1F">
            <w:pPr>
              <w:pStyle w:val="A-1"/>
              <w:spacing w:line="500" w:lineRule="exact"/>
              <w:rPr>
                <w:rFonts w:ascii="宋体" w:eastAsia="宋体" w:hAnsi="宋体" w:cs="宋体"/>
                <w:sz w:val="21"/>
                <w:szCs w:val="21"/>
              </w:rPr>
            </w:pPr>
          </w:p>
        </w:tc>
      </w:tr>
      <w:tr w:rsidR="009C5C1F">
        <w:trPr>
          <w:trHeight w:hRule="exact" w:val="426"/>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2.3</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年利润总额</w:t>
            </w:r>
          </w:p>
        </w:tc>
        <w:tc>
          <w:tcPr>
            <w:tcW w:w="154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万元</w:t>
            </w:r>
          </w:p>
        </w:tc>
        <w:tc>
          <w:tcPr>
            <w:tcW w:w="1542" w:type="dxa"/>
            <w:vAlign w:val="center"/>
          </w:tcPr>
          <w:p w:rsidR="009C5C1F" w:rsidRDefault="004D2E0D">
            <w:pPr>
              <w:pStyle w:val="A-1"/>
              <w:spacing w:line="500" w:lineRule="exact"/>
              <w:rPr>
                <w:rFonts w:ascii="宋体" w:eastAsia="宋体" w:hAnsi="宋体" w:cs="宋体"/>
                <w:sz w:val="21"/>
                <w:szCs w:val="21"/>
                <w:lang w:val="en-US"/>
              </w:rPr>
            </w:pPr>
            <w:r>
              <w:rPr>
                <w:rFonts w:ascii="宋体" w:eastAsia="宋体" w:hAnsi="宋体" w:cs="宋体"/>
                <w:sz w:val="21"/>
                <w:szCs w:val="21"/>
                <w:lang w:val="en-US"/>
              </w:rPr>
              <w:t>170</w:t>
            </w:r>
          </w:p>
        </w:tc>
        <w:tc>
          <w:tcPr>
            <w:tcW w:w="1682" w:type="dxa"/>
            <w:vAlign w:val="center"/>
          </w:tcPr>
          <w:p w:rsidR="009C5C1F" w:rsidRDefault="009C5C1F">
            <w:pPr>
              <w:pStyle w:val="A-1"/>
              <w:spacing w:line="500" w:lineRule="exact"/>
              <w:rPr>
                <w:rFonts w:ascii="宋体" w:eastAsia="宋体" w:hAnsi="宋体" w:cs="宋体"/>
                <w:sz w:val="21"/>
                <w:szCs w:val="21"/>
              </w:rPr>
            </w:pPr>
          </w:p>
        </w:tc>
      </w:tr>
      <w:tr w:rsidR="009C5C1F">
        <w:trPr>
          <w:trHeight w:hRule="exact" w:val="426"/>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2.4</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各类税费</w:t>
            </w:r>
          </w:p>
        </w:tc>
        <w:tc>
          <w:tcPr>
            <w:tcW w:w="154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万元</w:t>
            </w:r>
          </w:p>
        </w:tc>
        <w:tc>
          <w:tcPr>
            <w:tcW w:w="1542" w:type="dxa"/>
            <w:vAlign w:val="center"/>
          </w:tcPr>
          <w:p w:rsidR="009C5C1F" w:rsidRDefault="004D2E0D">
            <w:pPr>
              <w:pStyle w:val="A-1"/>
              <w:spacing w:line="500" w:lineRule="exact"/>
              <w:rPr>
                <w:rFonts w:ascii="宋体" w:eastAsia="宋体" w:hAnsi="宋体" w:cs="宋体"/>
                <w:sz w:val="21"/>
                <w:szCs w:val="21"/>
                <w:lang w:val="en-US"/>
              </w:rPr>
            </w:pPr>
            <w:r>
              <w:rPr>
                <w:rFonts w:ascii="宋体" w:eastAsia="宋体" w:hAnsi="宋体" w:cs="宋体"/>
                <w:sz w:val="21"/>
                <w:szCs w:val="21"/>
                <w:lang w:val="en-US"/>
              </w:rPr>
              <w:t>53.946</w:t>
            </w:r>
          </w:p>
        </w:tc>
        <w:tc>
          <w:tcPr>
            <w:tcW w:w="1682" w:type="dxa"/>
            <w:vAlign w:val="center"/>
          </w:tcPr>
          <w:p w:rsidR="009C5C1F" w:rsidRDefault="009C5C1F">
            <w:pPr>
              <w:pStyle w:val="A-1"/>
              <w:spacing w:line="500" w:lineRule="exact"/>
              <w:rPr>
                <w:rFonts w:ascii="宋体" w:eastAsia="宋体" w:hAnsi="宋体" w:cs="宋体"/>
                <w:sz w:val="21"/>
                <w:szCs w:val="21"/>
              </w:rPr>
            </w:pPr>
          </w:p>
        </w:tc>
      </w:tr>
      <w:tr w:rsidR="009C5C1F">
        <w:trPr>
          <w:trHeight w:hRule="exact" w:val="426"/>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2.5</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年缴纳所得税</w:t>
            </w:r>
          </w:p>
        </w:tc>
        <w:tc>
          <w:tcPr>
            <w:tcW w:w="154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万元</w:t>
            </w:r>
          </w:p>
        </w:tc>
        <w:tc>
          <w:tcPr>
            <w:tcW w:w="1542" w:type="dxa"/>
            <w:vAlign w:val="center"/>
          </w:tcPr>
          <w:p w:rsidR="009C5C1F" w:rsidRDefault="004D2E0D">
            <w:pPr>
              <w:pStyle w:val="A-1"/>
              <w:spacing w:line="500" w:lineRule="exact"/>
              <w:rPr>
                <w:rFonts w:ascii="宋体" w:eastAsia="宋体" w:hAnsi="宋体" w:cs="宋体"/>
                <w:sz w:val="21"/>
                <w:szCs w:val="21"/>
                <w:lang w:val="en-US"/>
              </w:rPr>
            </w:pPr>
            <w:r>
              <w:rPr>
                <w:rFonts w:ascii="宋体" w:eastAsia="宋体" w:hAnsi="宋体" w:cs="宋体"/>
                <w:sz w:val="21"/>
                <w:szCs w:val="21"/>
                <w:lang w:val="en-US"/>
              </w:rPr>
              <w:t>29.01</w:t>
            </w:r>
          </w:p>
        </w:tc>
        <w:tc>
          <w:tcPr>
            <w:tcW w:w="1682" w:type="dxa"/>
            <w:vAlign w:val="center"/>
          </w:tcPr>
          <w:p w:rsidR="009C5C1F" w:rsidRDefault="009C5C1F">
            <w:pPr>
              <w:pStyle w:val="A-1"/>
              <w:spacing w:line="500" w:lineRule="exact"/>
              <w:rPr>
                <w:rFonts w:ascii="宋体" w:eastAsia="宋体" w:hAnsi="宋体" w:cs="宋体"/>
                <w:sz w:val="21"/>
                <w:szCs w:val="21"/>
              </w:rPr>
            </w:pPr>
          </w:p>
        </w:tc>
      </w:tr>
      <w:tr w:rsidR="009C5C1F">
        <w:trPr>
          <w:trHeight w:hRule="exact" w:val="426"/>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2.6</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年税后利润</w:t>
            </w:r>
          </w:p>
        </w:tc>
        <w:tc>
          <w:tcPr>
            <w:tcW w:w="154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万元</w:t>
            </w:r>
          </w:p>
        </w:tc>
        <w:tc>
          <w:tcPr>
            <w:tcW w:w="1542" w:type="dxa"/>
            <w:vAlign w:val="center"/>
          </w:tcPr>
          <w:p w:rsidR="009C5C1F" w:rsidRDefault="004D2E0D">
            <w:pPr>
              <w:pStyle w:val="A-1"/>
              <w:spacing w:line="500" w:lineRule="exact"/>
              <w:rPr>
                <w:rFonts w:ascii="宋体" w:eastAsia="宋体" w:hAnsi="宋体" w:cs="宋体"/>
                <w:sz w:val="21"/>
                <w:szCs w:val="21"/>
                <w:lang w:val="en-US"/>
              </w:rPr>
            </w:pPr>
            <w:r>
              <w:rPr>
                <w:rFonts w:ascii="宋体" w:eastAsia="宋体" w:hAnsi="宋体" w:cs="宋体"/>
                <w:sz w:val="21"/>
                <w:szCs w:val="21"/>
                <w:lang w:val="en-US"/>
              </w:rPr>
              <w:t>87.04</w:t>
            </w:r>
          </w:p>
        </w:tc>
        <w:tc>
          <w:tcPr>
            <w:tcW w:w="1682" w:type="dxa"/>
            <w:vAlign w:val="center"/>
          </w:tcPr>
          <w:p w:rsidR="009C5C1F" w:rsidRDefault="009C5C1F">
            <w:pPr>
              <w:pStyle w:val="A-1"/>
              <w:spacing w:line="500" w:lineRule="exact"/>
              <w:rPr>
                <w:rFonts w:ascii="宋体" w:eastAsia="宋体" w:hAnsi="宋体" w:cs="宋体"/>
                <w:sz w:val="21"/>
                <w:szCs w:val="21"/>
              </w:rPr>
            </w:pPr>
          </w:p>
        </w:tc>
      </w:tr>
      <w:tr w:rsidR="009C5C1F">
        <w:trPr>
          <w:trHeight w:hRule="exact" w:val="426"/>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3</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经济效益指标</w:t>
            </w:r>
          </w:p>
        </w:tc>
        <w:tc>
          <w:tcPr>
            <w:tcW w:w="1541" w:type="dxa"/>
            <w:vAlign w:val="center"/>
          </w:tcPr>
          <w:p w:rsidR="009C5C1F" w:rsidRDefault="009C5C1F">
            <w:pPr>
              <w:pStyle w:val="A-1"/>
              <w:spacing w:line="500" w:lineRule="exact"/>
              <w:rPr>
                <w:rFonts w:ascii="宋体" w:eastAsia="宋体" w:hAnsi="宋体" w:cs="宋体"/>
                <w:sz w:val="21"/>
                <w:szCs w:val="21"/>
              </w:rPr>
            </w:pPr>
          </w:p>
        </w:tc>
        <w:tc>
          <w:tcPr>
            <w:tcW w:w="1542" w:type="dxa"/>
            <w:vAlign w:val="center"/>
          </w:tcPr>
          <w:p w:rsidR="009C5C1F" w:rsidRDefault="009C5C1F">
            <w:pPr>
              <w:pStyle w:val="A-1"/>
              <w:spacing w:line="500" w:lineRule="exact"/>
              <w:rPr>
                <w:rFonts w:ascii="宋体" w:eastAsia="宋体" w:hAnsi="宋体" w:cs="宋体"/>
                <w:sz w:val="21"/>
                <w:szCs w:val="21"/>
              </w:rPr>
            </w:pPr>
          </w:p>
        </w:tc>
        <w:tc>
          <w:tcPr>
            <w:tcW w:w="1682" w:type="dxa"/>
            <w:vAlign w:val="center"/>
          </w:tcPr>
          <w:p w:rsidR="009C5C1F" w:rsidRDefault="009C5C1F">
            <w:pPr>
              <w:pStyle w:val="A-1"/>
              <w:spacing w:line="500" w:lineRule="exact"/>
              <w:rPr>
                <w:rFonts w:ascii="宋体" w:eastAsia="宋体" w:hAnsi="宋体" w:cs="宋体"/>
                <w:sz w:val="21"/>
                <w:szCs w:val="21"/>
              </w:rPr>
            </w:pPr>
          </w:p>
        </w:tc>
      </w:tr>
      <w:tr w:rsidR="009C5C1F">
        <w:trPr>
          <w:trHeight w:hRule="exact" w:val="426"/>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3.1</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年投资利润率</w:t>
            </w:r>
          </w:p>
        </w:tc>
        <w:tc>
          <w:tcPr>
            <w:tcW w:w="154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w:t>
            </w:r>
          </w:p>
        </w:tc>
        <w:tc>
          <w:tcPr>
            <w:tcW w:w="1542" w:type="dxa"/>
            <w:vAlign w:val="center"/>
          </w:tcPr>
          <w:p w:rsidR="009C5C1F" w:rsidRDefault="004D2E0D">
            <w:pPr>
              <w:pStyle w:val="A-1"/>
              <w:spacing w:line="500" w:lineRule="exact"/>
              <w:rPr>
                <w:rFonts w:ascii="宋体" w:eastAsia="宋体" w:hAnsi="宋体" w:cs="宋体"/>
                <w:sz w:val="21"/>
                <w:szCs w:val="21"/>
                <w:lang w:val="en-US"/>
              </w:rPr>
            </w:pPr>
            <w:r>
              <w:rPr>
                <w:rFonts w:ascii="宋体" w:eastAsia="宋体" w:hAnsi="宋体" w:cs="宋体"/>
                <w:sz w:val="21"/>
                <w:szCs w:val="21"/>
                <w:lang w:val="en-US"/>
              </w:rPr>
              <w:t>34.75</w:t>
            </w:r>
          </w:p>
        </w:tc>
        <w:tc>
          <w:tcPr>
            <w:tcW w:w="1682" w:type="dxa"/>
            <w:vAlign w:val="center"/>
          </w:tcPr>
          <w:p w:rsidR="009C5C1F" w:rsidRDefault="009C5C1F">
            <w:pPr>
              <w:pStyle w:val="A-1"/>
              <w:spacing w:line="500" w:lineRule="exact"/>
              <w:rPr>
                <w:rFonts w:ascii="宋体" w:eastAsia="宋体" w:hAnsi="宋体" w:cs="宋体"/>
                <w:sz w:val="21"/>
                <w:szCs w:val="21"/>
              </w:rPr>
            </w:pPr>
          </w:p>
        </w:tc>
      </w:tr>
      <w:tr w:rsidR="009C5C1F">
        <w:trPr>
          <w:trHeight w:hRule="exact" w:val="445"/>
        </w:trPr>
        <w:tc>
          <w:tcPr>
            <w:tcW w:w="1059"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3.2</w:t>
            </w:r>
          </w:p>
        </w:tc>
        <w:tc>
          <w:tcPr>
            <w:tcW w:w="3113"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投资回收期</w:t>
            </w:r>
          </w:p>
        </w:tc>
        <w:tc>
          <w:tcPr>
            <w:tcW w:w="1541"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a</w:t>
            </w:r>
          </w:p>
        </w:tc>
        <w:tc>
          <w:tcPr>
            <w:tcW w:w="1542" w:type="dxa"/>
            <w:vAlign w:val="center"/>
          </w:tcPr>
          <w:p w:rsidR="009C5C1F" w:rsidRDefault="004D2E0D">
            <w:pPr>
              <w:pStyle w:val="A-1"/>
              <w:spacing w:line="500" w:lineRule="exact"/>
              <w:rPr>
                <w:rFonts w:ascii="宋体" w:eastAsia="宋体" w:hAnsi="宋体" w:cs="宋体"/>
                <w:sz w:val="21"/>
                <w:szCs w:val="21"/>
                <w:lang w:val="en-US"/>
              </w:rPr>
            </w:pPr>
            <w:r>
              <w:rPr>
                <w:rFonts w:ascii="宋体" w:eastAsia="宋体" w:hAnsi="宋体" w:cs="宋体"/>
                <w:sz w:val="21"/>
                <w:szCs w:val="21"/>
                <w:lang w:val="en-US"/>
              </w:rPr>
              <w:t>2.878</w:t>
            </w:r>
          </w:p>
        </w:tc>
        <w:tc>
          <w:tcPr>
            <w:tcW w:w="1682" w:type="dxa"/>
            <w:vAlign w:val="center"/>
          </w:tcPr>
          <w:p w:rsidR="009C5C1F" w:rsidRDefault="004D2E0D">
            <w:pPr>
              <w:pStyle w:val="A-1"/>
              <w:spacing w:line="500" w:lineRule="exact"/>
              <w:rPr>
                <w:rFonts w:ascii="宋体" w:eastAsia="宋体" w:hAnsi="宋体" w:cs="宋体"/>
                <w:sz w:val="21"/>
                <w:szCs w:val="21"/>
              </w:rPr>
            </w:pPr>
            <w:r>
              <w:rPr>
                <w:rFonts w:ascii="宋体" w:eastAsia="宋体" w:hAnsi="宋体" w:cs="宋体" w:hint="eastAsia"/>
                <w:sz w:val="21"/>
                <w:szCs w:val="21"/>
              </w:rPr>
              <w:t>不含基建期</w:t>
            </w:r>
          </w:p>
        </w:tc>
      </w:tr>
    </w:tbl>
    <w:p w:rsidR="009C5C1F" w:rsidRDefault="004D2E0D">
      <w:pPr>
        <w:adjustRightInd w:val="0"/>
        <w:spacing w:line="500" w:lineRule="exact"/>
        <w:ind w:firstLineChars="200" w:firstLine="480"/>
        <w:rPr>
          <w:rFonts w:ascii="宋体" w:hAnsi="宋体" w:cs="宋体"/>
          <w:kern w:val="0"/>
          <w:sz w:val="24"/>
        </w:rPr>
      </w:pPr>
      <w:r>
        <w:rPr>
          <w:rFonts w:ascii="宋体" w:hAnsi="宋体" w:cs="宋体" w:hint="eastAsia"/>
          <w:kern w:val="0"/>
          <w:sz w:val="24"/>
        </w:rPr>
        <w:t>由此可见，该项目的各项财务指标较好，具有一定的经济和社会效益。</w:t>
      </w:r>
    </w:p>
    <w:p w:rsidR="009C5C1F" w:rsidRDefault="004D2E0D">
      <w:pPr>
        <w:pStyle w:val="3"/>
        <w:spacing w:beforeLines="100" w:before="360" w:after="0" w:line="500" w:lineRule="exact"/>
        <w:ind w:firstLineChars="200" w:firstLine="482"/>
        <w:rPr>
          <w:rFonts w:ascii="宋体" w:hAnsi="宋体" w:cs="宋体"/>
        </w:rPr>
      </w:pPr>
      <w:bookmarkStart w:id="694" w:name="_Toc325471847"/>
      <w:bookmarkStart w:id="695" w:name="_Toc395519231"/>
      <w:bookmarkStart w:id="696" w:name="_Toc502783493"/>
      <w:bookmarkStart w:id="697" w:name="_Toc70589799"/>
      <w:bookmarkStart w:id="698" w:name="_Toc213683115"/>
      <w:bookmarkStart w:id="699" w:name="_Toc214407050"/>
      <w:r>
        <w:rPr>
          <w:rFonts w:ascii="宋体" w:hAnsi="宋体" w:cs="宋体" w:hint="eastAsia"/>
        </w:rPr>
        <w:t>10.4.7 财务评价指标</w:t>
      </w:r>
      <w:bookmarkEnd w:id="694"/>
      <w:bookmarkEnd w:id="695"/>
      <w:bookmarkEnd w:id="696"/>
      <w:bookmarkEnd w:id="697"/>
      <w:bookmarkEnd w:id="698"/>
      <w:bookmarkEnd w:id="699"/>
    </w:p>
    <w:p w:rsidR="009C5C1F" w:rsidRDefault="004D2E0D">
      <w:pPr>
        <w:spacing w:line="500" w:lineRule="exact"/>
        <w:ind w:firstLineChars="200" w:firstLine="480"/>
        <w:rPr>
          <w:rFonts w:ascii="宋体" w:hAnsi="宋体" w:cs="宋体"/>
          <w:sz w:val="24"/>
        </w:rPr>
      </w:pPr>
      <w:r>
        <w:rPr>
          <w:rFonts w:ascii="宋体" w:hAnsi="宋体" w:cs="宋体" w:hint="eastAsia"/>
          <w:sz w:val="24"/>
        </w:rPr>
        <w:t xml:space="preserve">投资利润率                 </w:t>
      </w:r>
      <w:r>
        <w:rPr>
          <w:rFonts w:ascii="宋体" w:hAnsi="宋体" w:cs="宋体"/>
          <w:sz w:val="24"/>
        </w:rPr>
        <w:t xml:space="preserve"> </w:t>
      </w:r>
      <w:r>
        <w:rPr>
          <w:rFonts w:ascii="宋体" w:hAnsi="宋体" w:cs="宋体" w:hint="eastAsia"/>
          <w:sz w:val="24"/>
        </w:rPr>
        <w:t xml:space="preserve"> </w:t>
      </w:r>
      <w:r>
        <w:rPr>
          <w:rFonts w:ascii="宋体" w:hAnsi="宋体" w:cs="宋体"/>
          <w:sz w:val="24"/>
        </w:rPr>
        <w:t>34.75</w:t>
      </w:r>
      <w:r>
        <w:rPr>
          <w:rFonts w:ascii="宋体" w:hAnsi="宋体" w:cs="宋体" w:hint="eastAsia"/>
          <w:sz w:val="24"/>
        </w:rPr>
        <w:t>％</w:t>
      </w:r>
    </w:p>
    <w:p w:rsidR="009C5C1F" w:rsidRDefault="004D2E0D">
      <w:pPr>
        <w:spacing w:line="500" w:lineRule="exact"/>
        <w:ind w:firstLineChars="200" w:firstLine="480"/>
        <w:rPr>
          <w:rFonts w:ascii="宋体" w:hAnsi="宋体" w:cs="宋体"/>
          <w:sz w:val="24"/>
        </w:rPr>
      </w:pPr>
      <w:r>
        <w:rPr>
          <w:rFonts w:ascii="宋体" w:hAnsi="宋体" w:cs="宋体" w:hint="eastAsia"/>
          <w:sz w:val="24"/>
        </w:rPr>
        <w:t xml:space="preserve">静态投资回收期               </w:t>
      </w:r>
      <w:r>
        <w:rPr>
          <w:rFonts w:ascii="宋体" w:hAnsi="宋体" w:cs="宋体"/>
          <w:sz w:val="24"/>
        </w:rPr>
        <w:t>2.878</w:t>
      </w:r>
      <w:r>
        <w:rPr>
          <w:rFonts w:ascii="宋体" w:hAnsi="宋体" w:cs="宋体" w:hint="eastAsia"/>
          <w:sz w:val="24"/>
        </w:rPr>
        <w:t>a（不含基建期）</w:t>
      </w:r>
    </w:p>
    <w:p w:rsidR="009C5C1F" w:rsidRDefault="004D2E0D">
      <w:pPr>
        <w:pStyle w:val="1"/>
      </w:pPr>
      <w:r>
        <w:rPr>
          <w:rFonts w:ascii="宋体" w:hAnsi="宋体" w:cs="宋体" w:hint="eastAsia"/>
        </w:rPr>
        <w:br w:type="page"/>
      </w:r>
      <w:bookmarkStart w:id="700" w:name="_Toc502783494"/>
      <w:bookmarkStart w:id="701" w:name="_Toc70589800"/>
      <w:bookmarkStart w:id="702" w:name="_Toc511226441"/>
      <w:bookmarkStart w:id="703" w:name="_Toc153130750"/>
      <w:bookmarkStart w:id="704" w:name="_Toc214407054"/>
      <w:r>
        <w:rPr>
          <w:rStyle w:val="1Char"/>
          <w:rFonts w:hint="eastAsia"/>
          <w:b/>
          <w:bCs/>
          <w:sz w:val="24"/>
          <w:szCs w:val="24"/>
        </w:rPr>
        <w:lastRenderedPageBreak/>
        <w:t xml:space="preserve">11  </w:t>
      </w:r>
      <w:r>
        <w:rPr>
          <w:rStyle w:val="1Char"/>
          <w:rFonts w:hint="eastAsia"/>
          <w:b/>
          <w:bCs/>
          <w:sz w:val="24"/>
          <w:szCs w:val="24"/>
        </w:rPr>
        <w:t>矿山安全设施及措施要求</w:t>
      </w:r>
      <w:bookmarkEnd w:id="700"/>
      <w:bookmarkEnd w:id="701"/>
      <w:bookmarkEnd w:id="702"/>
      <w:bookmarkEnd w:id="703"/>
      <w:bookmarkEnd w:id="704"/>
    </w:p>
    <w:p w:rsidR="009C5C1F" w:rsidRDefault="004D2E0D">
      <w:pPr>
        <w:pStyle w:val="2"/>
        <w:spacing w:beforeLines="100" w:before="360" w:line="500" w:lineRule="atLeast"/>
        <w:ind w:firstLine="482"/>
        <w:rPr>
          <w:rFonts w:ascii="宋体" w:eastAsia="宋体" w:hAnsi="宋体" w:cs="宋体"/>
          <w:sz w:val="24"/>
          <w:szCs w:val="24"/>
        </w:rPr>
      </w:pPr>
      <w:bookmarkStart w:id="705" w:name="_Toc214407055"/>
      <w:bookmarkStart w:id="706" w:name="_Toc153130751"/>
      <w:bookmarkStart w:id="707" w:name="_Toc502783495"/>
      <w:bookmarkStart w:id="708" w:name="_Toc511226442"/>
      <w:bookmarkStart w:id="709" w:name="_Toc70589801"/>
      <w:r>
        <w:rPr>
          <w:rFonts w:ascii="宋体" w:eastAsia="宋体" w:hAnsi="宋体" w:cs="宋体" w:hint="eastAsia"/>
          <w:sz w:val="24"/>
          <w:szCs w:val="24"/>
        </w:rPr>
        <w:t xml:space="preserve">11.1 </w:t>
      </w:r>
      <w:bookmarkEnd w:id="705"/>
      <w:r>
        <w:rPr>
          <w:rFonts w:ascii="宋体" w:eastAsia="宋体" w:hAnsi="宋体" w:cs="宋体" w:hint="eastAsia"/>
          <w:sz w:val="24"/>
          <w:szCs w:val="24"/>
        </w:rPr>
        <w:t>设计依据</w:t>
      </w:r>
      <w:bookmarkEnd w:id="706"/>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1</w:t>
      </w:r>
      <w:r>
        <w:rPr>
          <w:rFonts w:ascii="宋体" w:cs="宋体" w:hint="eastAsia"/>
          <w:kern w:val="0"/>
          <w:sz w:val="24"/>
        </w:rPr>
        <w:t>）《中华人民共和国劳动法》（</w:t>
      </w:r>
      <w:r>
        <w:rPr>
          <w:rFonts w:ascii="宋体" w:cs="宋体"/>
          <w:kern w:val="0"/>
          <w:sz w:val="24"/>
        </w:rPr>
        <w:t xml:space="preserve">1995 </w:t>
      </w:r>
      <w:r>
        <w:rPr>
          <w:rFonts w:ascii="宋体" w:cs="宋体" w:hint="eastAsia"/>
          <w:kern w:val="0"/>
          <w:sz w:val="24"/>
        </w:rPr>
        <w:t>年</w:t>
      </w:r>
      <w:r>
        <w:rPr>
          <w:rFonts w:ascii="宋体" w:cs="宋体"/>
          <w:kern w:val="0"/>
          <w:sz w:val="24"/>
        </w:rPr>
        <w:t xml:space="preserve">1 </w:t>
      </w:r>
      <w:r>
        <w:rPr>
          <w:rFonts w:ascii="宋体" w:cs="宋体" w:hint="eastAsia"/>
          <w:kern w:val="0"/>
          <w:sz w:val="24"/>
        </w:rPr>
        <w:t>月）；</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2</w:t>
      </w:r>
      <w:r>
        <w:rPr>
          <w:rFonts w:ascii="宋体" w:cs="宋体" w:hint="eastAsia"/>
          <w:kern w:val="0"/>
          <w:sz w:val="24"/>
        </w:rPr>
        <w:t>）《中华人民共和国矿山安全法》（</w:t>
      </w:r>
      <w:r>
        <w:rPr>
          <w:rFonts w:ascii="宋体" w:cs="宋体"/>
          <w:kern w:val="0"/>
          <w:sz w:val="24"/>
        </w:rPr>
        <w:t xml:space="preserve">1993 </w:t>
      </w:r>
      <w:r>
        <w:rPr>
          <w:rFonts w:ascii="宋体" w:cs="宋体" w:hint="eastAsia"/>
          <w:kern w:val="0"/>
          <w:sz w:val="24"/>
        </w:rPr>
        <w:t>年</w:t>
      </w:r>
      <w:r>
        <w:rPr>
          <w:rFonts w:ascii="宋体" w:cs="宋体"/>
          <w:kern w:val="0"/>
          <w:sz w:val="24"/>
        </w:rPr>
        <w:t xml:space="preserve">5 </w:t>
      </w:r>
      <w:r>
        <w:rPr>
          <w:rFonts w:ascii="宋体" w:cs="宋体" w:hint="eastAsia"/>
          <w:kern w:val="0"/>
          <w:sz w:val="24"/>
        </w:rPr>
        <w:t>月</w:t>
      </w:r>
      <w:r>
        <w:rPr>
          <w:rFonts w:ascii="宋体" w:cs="宋体"/>
          <w:kern w:val="0"/>
          <w:sz w:val="24"/>
        </w:rPr>
        <w:t xml:space="preserve">1 </w:t>
      </w:r>
      <w:r>
        <w:rPr>
          <w:rFonts w:ascii="宋体" w:cs="宋体" w:hint="eastAsia"/>
          <w:kern w:val="0"/>
          <w:sz w:val="24"/>
        </w:rPr>
        <w:t>日）；</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3</w:t>
      </w:r>
      <w:r>
        <w:rPr>
          <w:rFonts w:ascii="宋体" w:cs="宋体" w:hint="eastAsia"/>
          <w:kern w:val="0"/>
          <w:sz w:val="24"/>
        </w:rPr>
        <w:t>）《中华人民共和国矿山安全法实施条例》（</w:t>
      </w:r>
      <w:r>
        <w:rPr>
          <w:rFonts w:ascii="宋体" w:cs="宋体"/>
          <w:kern w:val="0"/>
          <w:sz w:val="24"/>
        </w:rPr>
        <w:t xml:space="preserve">1996 </w:t>
      </w:r>
      <w:r>
        <w:rPr>
          <w:rFonts w:ascii="宋体" w:cs="宋体" w:hint="eastAsia"/>
          <w:kern w:val="0"/>
          <w:sz w:val="24"/>
        </w:rPr>
        <w:t>年</w:t>
      </w:r>
      <w:r>
        <w:rPr>
          <w:rFonts w:ascii="宋体" w:cs="宋体"/>
          <w:kern w:val="0"/>
          <w:sz w:val="24"/>
        </w:rPr>
        <w:t xml:space="preserve">10 </w:t>
      </w:r>
      <w:r>
        <w:rPr>
          <w:rFonts w:ascii="宋体" w:cs="宋体" w:hint="eastAsia"/>
          <w:kern w:val="0"/>
          <w:sz w:val="24"/>
        </w:rPr>
        <w:t>月）；</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4</w:t>
      </w:r>
      <w:r>
        <w:rPr>
          <w:rFonts w:ascii="宋体" w:cs="宋体" w:hint="eastAsia"/>
          <w:kern w:val="0"/>
          <w:sz w:val="24"/>
        </w:rPr>
        <w:t>）《中华人民共和国安全生产法》（</w:t>
      </w:r>
      <w:r>
        <w:rPr>
          <w:rFonts w:ascii="宋体" w:cs="宋体"/>
          <w:kern w:val="0"/>
          <w:sz w:val="24"/>
        </w:rPr>
        <w:t xml:space="preserve">2002 </w:t>
      </w:r>
      <w:r>
        <w:rPr>
          <w:rFonts w:ascii="宋体" w:cs="宋体" w:hint="eastAsia"/>
          <w:kern w:val="0"/>
          <w:sz w:val="24"/>
        </w:rPr>
        <w:t>年</w:t>
      </w:r>
      <w:r>
        <w:rPr>
          <w:rFonts w:ascii="宋体" w:cs="宋体"/>
          <w:kern w:val="0"/>
          <w:sz w:val="24"/>
        </w:rPr>
        <w:t xml:space="preserve">11 </w:t>
      </w:r>
      <w:r>
        <w:rPr>
          <w:rFonts w:ascii="宋体" w:cs="宋体" w:hint="eastAsia"/>
          <w:kern w:val="0"/>
          <w:sz w:val="24"/>
        </w:rPr>
        <w:t>月</w:t>
      </w:r>
      <w:r>
        <w:rPr>
          <w:rFonts w:ascii="宋体" w:cs="宋体"/>
          <w:kern w:val="0"/>
          <w:sz w:val="24"/>
        </w:rPr>
        <w:t xml:space="preserve">1 </w:t>
      </w:r>
      <w:r>
        <w:rPr>
          <w:rFonts w:ascii="宋体" w:cs="宋体" w:hint="eastAsia"/>
          <w:kern w:val="0"/>
          <w:sz w:val="24"/>
        </w:rPr>
        <w:t>日）；</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5</w:t>
      </w:r>
      <w:r>
        <w:rPr>
          <w:rFonts w:ascii="宋体" w:cs="宋体" w:hint="eastAsia"/>
          <w:kern w:val="0"/>
          <w:sz w:val="24"/>
        </w:rPr>
        <w:t>）《中华人民共和国职业病防治法》（</w:t>
      </w:r>
      <w:r>
        <w:rPr>
          <w:rFonts w:ascii="宋体" w:cs="宋体"/>
          <w:kern w:val="0"/>
          <w:sz w:val="24"/>
        </w:rPr>
        <w:t xml:space="preserve">2001 </w:t>
      </w:r>
      <w:r>
        <w:rPr>
          <w:rFonts w:ascii="宋体" w:cs="宋体" w:hint="eastAsia"/>
          <w:kern w:val="0"/>
          <w:sz w:val="24"/>
        </w:rPr>
        <w:t>年）；</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6</w:t>
      </w:r>
      <w:r>
        <w:rPr>
          <w:rFonts w:ascii="宋体" w:cs="宋体" w:hint="eastAsia"/>
          <w:kern w:val="0"/>
          <w:sz w:val="24"/>
        </w:rPr>
        <w:t>）《金属非金属矿山安全规程》（</w:t>
      </w:r>
      <w:r>
        <w:rPr>
          <w:rFonts w:ascii="宋体" w:cs="宋体"/>
          <w:kern w:val="0"/>
          <w:sz w:val="24"/>
        </w:rPr>
        <w:t>GB16423-2006</w:t>
      </w:r>
      <w:r>
        <w:rPr>
          <w:rFonts w:ascii="宋体" w:cs="宋体" w:hint="eastAsia"/>
          <w:kern w:val="0"/>
          <w:sz w:val="24"/>
        </w:rPr>
        <w:t>）；</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7</w:t>
      </w:r>
      <w:r>
        <w:rPr>
          <w:rFonts w:ascii="宋体" w:cs="宋体" w:hint="eastAsia"/>
          <w:kern w:val="0"/>
          <w:sz w:val="24"/>
        </w:rPr>
        <w:t>）《工业企业设计卫生标准》（</w:t>
      </w:r>
      <w:r>
        <w:rPr>
          <w:rFonts w:ascii="宋体" w:cs="宋体"/>
          <w:kern w:val="0"/>
          <w:sz w:val="24"/>
        </w:rPr>
        <w:t>GBZ1-2010</w:t>
      </w:r>
      <w:r>
        <w:rPr>
          <w:rFonts w:ascii="宋体" w:cs="宋体" w:hint="eastAsia"/>
          <w:kern w:val="0"/>
          <w:sz w:val="24"/>
        </w:rPr>
        <w:t>）；</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8</w:t>
      </w:r>
      <w:r>
        <w:rPr>
          <w:rFonts w:ascii="宋体" w:cs="宋体" w:hint="eastAsia"/>
          <w:kern w:val="0"/>
          <w:sz w:val="24"/>
        </w:rPr>
        <w:t>）《建筑设计防火规范》（</w:t>
      </w:r>
      <w:r>
        <w:rPr>
          <w:rFonts w:ascii="宋体" w:cs="宋体"/>
          <w:kern w:val="0"/>
          <w:sz w:val="24"/>
        </w:rPr>
        <w:t>GB500016</w:t>
      </w:r>
      <w:r>
        <w:rPr>
          <w:rFonts w:ascii="宋体" w:cs="宋体" w:hint="eastAsia"/>
          <w:kern w:val="0"/>
          <w:sz w:val="24"/>
        </w:rPr>
        <w:t>—</w:t>
      </w:r>
      <w:r>
        <w:rPr>
          <w:rFonts w:ascii="宋体" w:cs="宋体"/>
          <w:kern w:val="0"/>
          <w:sz w:val="24"/>
        </w:rPr>
        <w:t>2006</w:t>
      </w:r>
      <w:r>
        <w:rPr>
          <w:rFonts w:ascii="宋体" w:cs="宋体" w:hint="eastAsia"/>
          <w:kern w:val="0"/>
          <w:sz w:val="24"/>
        </w:rPr>
        <w:t>）；</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9</w:t>
      </w:r>
      <w:r>
        <w:rPr>
          <w:rFonts w:ascii="宋体" w:cs="宋体" w:hint="eastAsia"/>
          <w:kern w:val="0"/>
          <w:sz w:val="24"/>
        </w:rPr>
        <w:t>）《工作场所有害因素职业接触限值》（</w:t>
      </w:r>
      <w:r>
        <w:rPr>
          <w:rFonts w:ascii="宋体" w:cs="宋体"/>
          <w:kern w:val="0"/>
          <w:sz w:val="24"/>
        </w:rPr>
        <w:t>GBZ2</w:t>
      </w:r>
      <w:r>
        <w:rPr>
          <w:rFonts w:ascii="宋体" w:cs="宋体" w:hint="eastAsia"/>
          <w:kern w:val="0"/>
          <w:sz w:val="24"/>
        </w:rPr>
        <w:t>—</w:t>
      </w:r>
      <w:r>
        <w:rPr>
          <w:rFonts w:ascii="宋体" w:cs="宋体"/>
          <w:kern w:val="0"/>
          <w:sz w:val="24"/>
        </w:rPr>
        <w:t>2007</w:t>
      </w:r>
      <w:r>
        <w:rPr>
          <w:rFonts w:ascii="宋体" w:cs="宋体" w:hint="eastAsia"/>
          <w:kern w:val="0"/>
          <w:sz w:val="24"/>
        </w:rPr>
        <w:t>）；</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10</w:t>
      </w:r>
      <w:r>
        <w:rPr>
          <w:rFonts w:ascii="宋体" w:cs="宋体" w:hint="eastAsia"/>
          <w:kern w:val="0"/>
          <w:sz w:val="24"/>
        </w:rPr>
        <w:t>）《工业企业噪声控制设计规范》（</w:t>
      </w:r>
      <w:r>
        <w:rPr>
          <w:rFonts w:ascii="宋体" w:cs="宋体"/>
          <w:kern w:val="0"/>
          <w:sz w:val="24"/>
        </w:rPr>
        <w:t>GBJ87-85</w:t>
      </w:r>
      <w:r>
        <w:rPr>
          <w:rFonts w:ascii="宋体" w:cs="宋体" w:hint="eastAsia"/>
          <w:kern w:val="0"/>
          <w:sz w:val="24"/>
        </w:rPr>
        <w:t>）；</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11</w:t>
      </w:r>
      <w:r>
        <w:rPr>
          <w:rFonts w:ascii="宋体" w:cs="宋体" w:hint="eastAsia"/>
          <w:kern w:val="0"/>
          <w:sz w:val="24"/>
        </w:rPr>
        <w:t>）《矿山电力设计规范》（</w:t>
      </w:r>
      <w:r>
        <w:rPr>
          <w:rFonts w:ascii="宋体" w:cs="宋体"/>
          <w:kern w:val="0"/>
          <w:sz w:val="24"/>
        </w:rPr>
        <w:t>GB50070-2009</w:t>
      </w:r>
      <w:r>
        <w:rPr>
          <w:rFonts w:ascii="宋体" w:cs="宋体" w:hint="eastAsia"/>
          <w:kern w:val="0"/>
          <w:sz w:val="24"/>
        </w:rPr>
        <w:t>）；</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12</w:t>
      </w:r>
      <w:r>
        <w:rPr>
          <w:rFonts w:ascii="宋体" w:cs="宋体" w:hint="eastAsia"/>
          <w:kern w:val="0"/>
          <w:sz w:val="24"/>
        </w:rPr>
        <w:t>）《矿山安全标志》（</w:t>
      </w:r>
      <w:r>
        <w:rPr>
          <w:rFonts w:ascii="宋体" w:cs="宋体"/>
          <w:kern w:val="0"/>
          <w:sz w:val="24"/>
        </w:rPr>
        <w:t>GB14161-2008</w:t>
      </w:r>
      <w:r>
        <w:rPr>
          <w:rFonts w:ascii="宋体" w:cs="宋体" w:hint="eastAsia"/>
          <w:kern w:val="0"/>
          <w:sz w:val="24"/>
        </w:rPr>
        <w:t>）；</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13</w:t>
      </w:r>
      <w:r>
        <w:rPr>
          <w:rFonts w:ascii="宋体" w:cs="宋体" w:hint="eastAsia"/>
          <w:kern w:val="0"/>
          <w:sz w:val="24"/>
        </w:rPr>
        <w:t>）《一般工业固体废物贮存、处置场污染控制标准》（</w:t>
      </w:r>
      <w:r>
        <w:rPr>
          <w:rFonts w:ascii="宋体" w:cs="宋体"/>
          <w:kern w:val="0"/>
          <w:sz w:val="24"/>
        </w:rPr>
        <w:t>GB18599</w:t>
      </w:r>
      <w:r>
        <w:rPr>
          <w:rFonts w:ascii="宋体" w:cs="宋体" w:hint="eastAsia"/>
          <w:kern w:val="0"/>
          <w:sz w:val="24"/>
        </w:rPr>
        <w:t>－</w:t>
      </w:r>
      <w:r>
        <w:rPr>
          <w:rFonts w:ascii="宋体" w:cs="宋体"/>
          <w:kern w:val="0"/>
          <w:sz w:val="24"/>
        </w:rPr>
        <w:t>2001</w:t>
      </w:r>
      <w:r>
        <w:rPr>
          <w:rFonts w:ascii="宋体" w:cs="宋体" w:hint="eastAsia"/>
          <w:kern w:val="0"/>
          <w:sz w:val="24"/>
        </w:rPr>
        <w:t>）；</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14</w:t>
      </w:r>
      <w:r>
        <w:rPr>
          <w:rFonts w:ascii="宋体" w:cs="宋体" w:hint="eastAsia"/>
          <w:kern w:val="0"/>
          <w:sz w:val="24"/>
        </w:rPr>
        <w:t>）国家安全监督总局关于加强砖瓦粘土矿山安全生产工作的通知（安监总</w:t>
      </w:r>
      <w:proofErr w:type="gramStart"/>
      <w:r>
        <w:rPr>
          <w:rFonts w:ascii="宋体" w:cs="宋体" w:hint="eastAsia"/>
          <w:kern w:val="0"/>
          <w:sz w:val="24"/>
        </w:rPr>
        <w:t>一</w:t>
      </w:r>
      <w:proofErr w:type="gramEnd"/>
      <w:r>
        <w:rPr>
          <w:rFonts w:ascii="宋体" w:cs="宋体"/>
          <w:kern w:val="0"/>
          <w:sz w:val="24"/>
        </w:rPr>
        <w:t xml:space="preserve">[2009]161 </w:t>
      </w:r>
      <w:r>
        <w:rPr>
          <w:rFonts w:ascii="宋体" w:cs="宋体" w:hint="eastAsia"/>
          <w:kern w:val="0"/>
          <w:sz w:val="24"/>
        </w:rPr>
        <w:t>号）；</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15</w:t>
      </w:r>
      <w:r>
        <w:rPr>
          <w:rFonts w:ascii="宋体" w:cs="宋体" w:hint="eastAsia"/>
          <w:kern w:val="0"/>
          <w:sz w:val="24"/>
        </w:rPr>
        <w:t>）《关于全面推进非煤矿山安全标准化建设的实施意见》（</w:t>
      </w:r>
      <w:proofErr w:type="gramStart"/>
      <w:r>
        <w:rPr>
          <w:rFonts w:ascii="宋体" w:cs="宋体" w:hint="eastAsia"/>
          <w:kern w:val="0"/>
          <w:sz w:val="24"/>
        </w:rPr>
        <w:t>甘安监管一</w:t>
      </w:r>
      <w:proofErr w:type="gramEnd"/>
      <w:r>
        <w:rPr>
          <w:rFonts w:ascii="宋体" w:cs="宋体"/>
          <w:kern w:val="0"/>
          <w:sz w:val="24"/>
        </w:rPr>
        <w:t>[2009]57</w:t>
      </w:r>
      <w:r>
        <w:rPr>
          <w:rFonts w:ascii="宋体" w:cs="宋体" w:hint="eastAsia"/>
          <w:kern w:val="0"/>
          <w:sz w:val="24"/>
        </w:rPr>
        <w:t>号）；</w:t>
      </w:r>
    </w:p>
    <w:p w:rsidR="009C5C1F" w:rsidRDefault="004D2E0D">
      <w:pPr>
        <w:autoSpaceDE w:val="0"/>
        <w:autoSpaceDN w:val="0"/>
        <w:adjustRightInd w:val="0"/>
        <w:ind w:firstLineChars="200" w:firstLine="480"/>
        <w:rPr>
          <w:rFonts w:ascii="宋体" w:cs="宋体"/>
          <w:kern w:val="0"/>
          <w:sz w:val="24"/>
        </w:rPr>
      </w:pPr>
      <w:r>
        <w:rPr>
          <w:rFonts w:ascii="宋体" w:cs="宋体"/>
          <w:kern w:val="0"/>
          <w:sz w:val="24"/>
        </w:rPr>
        <w:t>16</w:t>
      </w:r>
      <w:r>
        <w:rPr>
          <w:rFonts w:ascii="宋体" w:cs="宋体" w:hint="eastAsia"/>
          <w:kern w:val="0"/>
          <w:sz w:val="24"/>
        </w:rPr>
        <w:t>）《甘肃省政府安全生产监督管理责任规定》（甘肃省人民政府令第</w:t>
      </w:r>
      <w:r>
        <w:rPr>
          <w:rFonts w:ascii="宋体" w:cs="宋体"/>
          <w:kern w:val="0"/>
          <w:sz w:val="24"/>
        </w:rPr>
        <w:t>60</w:t>
      </w:r>
      <w:r>
        <w:rPr>
          <w:rFonts w:ascii="宋体" w:cs="宋体" w:hint="eastAsia"/>
          <w:kern w:val="0"/>
          <w:sz w:val="24"/>
        </w:rPr>
        <w:t>号）；</w:t>
      </w:r>
    </w:p>
    <w:p w:rsidR="009C5C1F" w:rsidRDefault="004D2E0D">
      <w:pPr>
        <w:pStyle w:val="a0"/>
        <w:ind w:firstLineChars="200" w:firstLine="480"/>
        <w:rPr>
          <w:sz w:val="24"/>
        </w:rPr>
      </w:pPr>
      <w:r>
        <w:rPr>
          <w:rFonts w:ascii="宋体" w:cs="宋体"/>
          <w:kern w:val="0"/>
          <w:sz w:val="24"/>
        </w:rPr>
        <w:t>17</w:t>
      </w:r>
      <w:r>
        <w:rPr>
          <w:rFonts w:ascii="宋体" w:cs="宋体" w:hint="eastAsia"/>
          <w:kern w:val="0"/>
          <w:sz w:val="24"/>
        </w:rPr>
        <w:t>）《甘肃省生产经营单位安全生产主体责任规定》（甘肃省人民政府令第</w:t>
      </w:r>
      <w:r>
        <w:rPr>
          <w:rFonts w:ascii="宋体" w:cs="宋体"/>
          <w:kern w:val="0"/>
          <w:sz w:val="24"/>
        </w:rPr>
        <w:t xml:space="preserve">61 </w:t>
      </w:r>
      <w:r>
        <w:rPr>
          <w:rFonts w:ascii="宋体" w:cs="宋体" w:hint="eastAsia"/>
          <w:kern w:val="0"/>
          <w:sz w:val="24"/>
        </w:rPr>
        <w:t>号）。</w:t>
      </w:r>
    </w:p>
    <w:p w:rsidR="009C5C1F" w:rsidRDefault="004D2E0D">
      <w:pPr>
        <w:pStyle w:val="2"/>
        <w:spacing w:beforeLines="100" w:before="360" w:line="500" w:lineRule="atLeast"/>
        <w:ind w:firstLine="482"/>
        <w:rPr>
          <w:rFonts w:ascii="宋体" w:eastAsia="宋体" w:hAnsi="宋体" w:cs="宋体"/>
          <w:sz w:val="24"/>
          <w:szCs w:val="24"/>
        </w:rPr>
      </w:pPr>
      <w:bookmarkStart w:id="710" w:name="_Toc153130752"/>
      <w:r>
        <w:rPr>
          <w:rFonts w:ascii="宋体" w:eastAsia="宋体" w:hAnsi="宋体" w:cs="宋体" w:hint="eastAsia"/>
          <w:sz w:val="24"/>
          <w:szCs w:val="24"/>
        </w:rPr>
        <w:t>1</w:t>
      </w:r>
      <w:r>
        <w:rPr>
          <w:rFonts w:ascii="宋体" w:eastAsia="宋体" w:hAnsi="宋体" w:cs="宋体"/>
          <w:sz w:val="24"/>
          <w:szCs w:val="24"/>
        </w:rPr>
        <w:t>1.2</w:t>
      </w:r>
      <w:r>
        <w:rPr>
          <w:rFonts w:ascii="宋体" w:eastAsia="宋体" w:hAnsi="宋体" w:cs="宋体" w:hint="eastAsia"/>
          <w:sz w:val="24"/>
          <w:szCs w:val="24"/>
        </w:rPr>
        <w:t>矿山主要危险、有害因素</w:t>
      </w:r>
      <w:bookmarkEnd w:id="707"/>
      <w:bookmarkEnd w:id="708"/>
      <w:bookmarkEnd w:id="709"/>
      <w:bookmarkEnd w:id="710"/>
      <w:r>
        <w:rPr>
          <w:rFonts w:ascii="宋体" w:eastAsia="宋体" w:hAnsi="宋体" w:cs="宋体" w:hint="eastAsia"/>
          <w:sz w:val="24"/>
          <w:szCs w:val="24"/>
        </w:rPr>
        <w:t xml:space="preserve"> </w:t>
      </w:r>
    </w:p>
    <w:p w:rsidR="009C5C1F" w:rsidRDefault="004D2E0D">
      <w:pPr>
        <w:adjustRightInd w:val="0"/>
        <w:snapToGrid w:val="0"/>
        <w:spacing w:line="500" w:lineRule="exact"/>
        <w:ind w:firstLineChars="200" w:firstLine="480"/>
        <w:rPr>
          <w:rFonts w:ascii="宋体" w:hAnsi="宋体" w:cs="宋体"/>
          <w:sz w:val="24"/>
        </w:rPr>
      </w:pPr>
      <w:bookmarkStart w:id="711" w:name="_Toc214407056"/>
      <w:bookmarkStart w:id="712" w:name="_Toc213683086"/>
      <w:bookmarkStart w:id="713" w:name="_Toc211070110"/>
      <w:r>
        <w:rPr>
          <w:rFonts w:ascii="宋体" w:hAnsi="宋体" w:cs="宋体" w:hint="eastAsia"/>
          <w:sz w:val="24"/>
        </w:rPr>
        <w:t>通过对该建设项目中存在的危险、有害因素的辨识和分析，确定该建设项目中存在的危险、有害因素主要包括露天边坡失稳造成的滑坡（片帮）、塌方灾害及排弃灾害、触电、机械伤害、物体打击、车辆伤害、职业病危害和其他等十多项，通过对以上主要危险、危害因素的分析，认为铲装机械伤害、车辆运输伤害、车辆运输伤害、粉尘危害、噪声危害和振动危害等为该矿在今后生产过程中不可忽视的危险因素，应作为危险、有害因素的重点加以预防。</w:t>
      </w:r>
    </w:p>
    <w:p w:rsidR="009C5C1F" w:rsidRDefault="004D2E0D">
      <w:pPr>
        <w:pStyle w:val="2"/>
        <w:spacing w:beforeLines="100" w:before="360" w:line="500" w:lineRule="atLeast"/>
        <w:ind w:firstLine="482"/>
        <w:rPr>
          <w:rFonts w:ascii="宋体" w:eastAsia="宋体" w:hAnsi="宋体" w:cs="宋体"/>
          <w:sz w:val="24"/>
          <w:szCs w:val="24"/>
        </w:rPr>
      </w:pPr>
      <w:bookmarkStart w:id="714" w:name="_Toc153130753"/>
      <w:bookmarkStart w:id="715" w:name="_Toc511226443"/>
      <w:bookmarkStart w:id="716" w:name="_Toc502783496"/>
      <w:bookmarkStart w:id="717" w:name="_Toc70589802"/>
      <w:r>
        <w:rPr>
          <w:rFonts w:ascii="宋体" w:eastAsia="宋体" w:hAnsi="宋体" w:cs="宋体" w:hint="eastAsia"/>
          <w:sz w:val="24"/>
          <w:szCs w:val="24"/>
        </w:rPr>
        <w:lastRenderedPageBreak/>
        <w:t>11.</w:t>
      </w:r>
      <w:r>
        <w:rPr>
          <w:rFonts w:ascii="宋体" w:eastAsia="宋体" w:hAnsi="宋体" w:cs="宋体"/>
          <w:sz w:val="24"/>
          <w:szCs w:val="24"/>
        </w:rPr>
        <w:t>3</w:t>
      </w:r>
      <w:r>
        <w:rPr>
          <w:rFonts w:ascii="宋体" w:eastAsia="宋体" w:hAnsi="宋体" w:cs="宋体" w:hint="eastAsia"/>
          <w:sz w:val="24"/>
          <w:szCs w:val="24"/>
        </w:rPr>
        <w:t>矿床开采安全防范措施</w:t>
      </w:r>
      <w:bookmarkEnd w:id="711"/>
      <w:bookmarkEnd w:id="712"/>
      <w:bookmarkEnd w:id="713"/>
      <w:bookmarkEnd w:id="714"/>
      <w:bookmarkEnd w:id="715"/>
      <w:bookmarkEnd w:id="716"/>
      <w:bookmarkEnd w:id="717"/>
    </w:p>
    <w:p w:rsidR="009C5C1F" w:rsidRDefault="004D2E0D">
      <w:pPr>
        <w:adjustRightInd w:val="0"/>
        <w:snapToGrid w:val="0"/>
        <w:spacing w:line="500" w:lineRule="exact"/>
        <w:ind w:firstLineChars="200" w:firstLine="480"/>
        <w:rPr>
          <w:rFonts w:ascii="宋体" w:hAnsi="宋体" w:cs="宋体"/>
          <w:sz w:val="24"/>
        </w:rPr>
      </w:pPr>
      <w:bookmarkStart w:id="718" w:name="_Toc394082044"/>
      <w:bookmarkStart w:id="719" w:name="_Toc395519235"/>
      <w:bookmarkStart w:id="720" w:name="_Toc395519066"/>
      <w:bookmarkStart w:id="721" w:name="_Toc393202230"/>
      <w:r>
        <w:rPr>
          <w:rFonts w:ascii="宋体" w:hAnsi="宋体" w:cs="宋体" w:hint="eastAsia"/>
          <w:sz w:val="24"/>
        </w:rPr>
        <w:t>1. 采场安全措施</w:t>
      </w:r>
      <w:bookmarkEnd w:id="718"/>
      <w:bookmarkEnd w:id="719"/>
      <w:bookmarkEnd w:id="720"/>
      <w:bookmarkEnd w:id="721"/>
    </w:p>
    <w:p w:rsidR="009C5C1F" w:rsidRDefault="009135C6">
      <w:pPr>
        <w:adjustRightInd w:val="0"/>
        <w:snapToGrid w:val="0"/>
        <w:spacing w:line="500" w:lineRule="exact"/>
        <w:ind w:firstLineChars="200" w:firstLine="480"/>
        <w:rPr>
          <w:rFonts w:ascii="宋体" w:hAnsi="宋体" w:cs="宋体"/>
          <w:sz w:val="24"/>
        </w:rPr>
      </w:pPr>
      <w:r>
        <w:rPr>
          <w:rFonts w:ascii="宋体" w:hAnsi="宋体" w:cs="宋体" w:hint="eastAsia"/>
          <w:sz w:val="24"/>
        </w:rPr>
        <w:t>矿体出露地表，露天</w:t>
      </w:r>
      <w:proofErr w:type="gramStart"/>
      <w:r>
        <w:rPr>
          <w:rFonts w:ascii="宋体" w:hAnsi="宋体" w:cs="宋体" w:hint="eastAsia"/>
          <w:sz w:val="24"/>
        </w:rPr>
        <w:t>采坑对</w:t>
      </w:r>
      <w:proofErr w:type="gramEnd"/>
      <w:r>
        <w:rPr>
          <w:rFonts w:ascii="宋体" w:hAnsi="宋体" w:cs="宋体" w:hint="eastAsia"/>
          <w:sz w:val="24"/>
        </w:rPr>
        <w:t>人身</w:t>
      </w:r>
      <w:r w:rsidR="004D2E0D">
        <w:rPr>
          <w:rFonts w:ascii="宋体" w:hAnsi="宋体" w:cs="宋体" w:hint="eastAsia"/>
          <w:sz w:val="24"/>
        </w:rPr>
        <w:t>安全构成了威胁，因此，严禁在</w:t>
      </w:r>
      <w:proofErr w:type="gramStart"/>
      <w:r w:rsidR="004D2E0D">
        <w:rPr>
          <w:rFonts w:ascii="宋体" w:hAnsi="宋体" w:cs="宋体" w:hint="eastAsia"/>
          <w:sz w:val="24"/>
        </w:rPr>
        <w:t>错动带</w:t>
      </w:r>
      <w:proofErr w:type="gramEnd"/>
      <w:r w:rsidR="004D2E0D">
        <w:rPr>
          <w:rFonts w:ascii="宋体" w:hAnsi="宋体" w:cs="宋体" w:hint="eastAsia"/>
          <w:sz w:val="24"/>
        </w:rPr>
        <w:t>内进行任何作业，同时应加强安全警戒，圈定立桩并标明危险区，定期进行检查监测。</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为防止采场坑片帮、滑坡事故，严格控制台阶高度和边坡角，雨季时尤需注意边坡滑移监测；要进行岩石力学研究，为露天采场工程施工提供理论依据。</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作业前，必须对工作面进行安全检查，清除伞檐和其他危险物体。作业中，应随时观测检查。当发现工作面有裂隙可能塌落或有大块浮石及伞檐体悬在上部时，必须迅速处理。处理时要有可靠安全措施，受其威胁地段的人员和设备应撤至安全地点。</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露天采场必须指派专人负责边帮管理。边帮管理人员发现边帮有塌滑征兆时，有权下令停止采剥作业，撤出人员和设备，事后须及时向矿场负责人报告。对有潜在危险的边坡，要建立观测预报制度；</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采场施工时，采剥工作面有伞檐时，必须制定严格有效的安全措施及时妥善处理。如未处理，不得在危险区从事其他任何作业，并须制作醒目危险标志。禁止任何人员在边坡底部休息和停留；</w:t>
      </w:r>
    </w:p>
    <w:p w:rsidR="009C5C1F" w:rsidRDefault="004D2E0D">
      <w:pPr>
        <w:adjustRightInd w:val="0"/>
        <w:snapToGrid w:val="0"/>
        <w:spacing w:line="500" w:lineRule="exact"/>
        <w:ind w:firstLineChars="200" w:firstLine="480"/>
        <w:rPr>
          <w:rFonts w:ascii="宋体" w:hAnsi="宋体" w:cs="宋体"/>
          <w:sz w:val="24"/>
        </w:rPr>
      </w:pPr>
      <w:bookmarkStart w:id="722" w:name="_Toc393202232"/>
      <w:bookmarkStart w:id="723" w:name="_Toc394082046"/>
      <w:bookmarkStart w:id="724" w:name="_Toc395519237"/>
      <w:bookmarkStart w:id="725" w:name="_Toc395519068"/>
      <w:r>
        <w:rPr>
          <w:rFonts w:ascii="宋体" w:hAnsi="宋体" w:cs="宋体" w:hint="eastAsia"/>
          <w:sz w:val="24"/>
        </w:rPr>
        <w:t xml:space="preserve">2.铲装机械伤害的安全技术措施 </w:t>
      </w:r>
    </w:p>
    <w:bookmarkEnd w:id="722"/>
    <w:bookmarkEnd w:id="723"/>
    <w:bookmarkEnd w:id="724"/>
    <w:bookmarkEnd w:id="725"/>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1</w:t>
      </w:r>
      <w:r>
        <w:rPr>
          <w:rFonts w:ascii="宋体" w:cs="宋体" w:hint="eastAsia"/>
          <w:kern w:val="0"/>
          <w:sz w:val="24"/>
        </w:rPr>
        <w:t>）作业前，必须认真检查工作场地，确认机械设备、工具和防护设施处于安全状态，方准作业。</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2</w:t>
      </w:r>
      <w:r>
        <w:rPr>
          <w:rFonts w:ascii="宋体" w:cs="宋体" w:hint="eastAsia"/>
          <w:kern w:val="0"/>
          <w:sz w:val="24"/>
        </w:rPr>
        <w:t>）设备运转时，禁止人员对其转动部分进行检修、注油和清扫。</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3</w:t>
      </w:r>
      <w:r>
        <w:rPr>
          <w:rFonts w:ascii="宋体" w:cs="宋体" w:hint="eastAsia"/>
          <w:kern w:val="0"/>
          <w:sz w:val="24"/>
        </w:rPr>
        <w:t>）设备移动时，禁止人员上下，在可能危及人员的地点，任何人不得停留通行。</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4</w:t>
      </w:r>
      <w:r>
        <w:rPr>
          <w:rFonts w:ascii="宋体" w:cs="宋体" w:hint="eastAsia"/>
          <w:kern w:val="0"/>
          <w:sz w:val="24"/>
        </w:rPr>
        <w:t>）终止作业时，必须切断电源，关闭水、气阀门。</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5</w:t>
      </w:r>
      <w:r>
        <w:rPr>
          <w:rFonts w:ascii="宋体" w:cs="宋体" w:hint="eastAsia"/>
          <w:kern w:val="0"/>
          <w:sz w:val="24"/>
        </w:rPr>
        <w:t>）铲装作业时，禁止铲斗从车辆驾驶室上方通过。</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6</w:t>
      </w:r>
      <w:r>
        <w:rPr>
          <w:rFonts w:ascii="宋体" w:cs="宋体" w:hint="eastAsia"/>
          <w:kern w:val="0"/>
          <w:sz w:val="24"/>
        </w:rPr>
        <w:t>）铲装设备发动时，严禁人员在机体下面工作，机体近旁不准有人逗留。铲装设备行走时，禁止人员站在车上或铲斗上。</w:t>
      </w:r>
    </w:p>
    <w:p w:rsidR="009C5C1F" w:rsidRDefault="004D2E0D">
      <w:pPr>
        <w:adjustRightInd w:val="0"/>
        <w:snapToGrid w:val="0"/>
        <w:spacing w:line="500" w:lineRule="exact"/>
        <w:ind w:firstLineChars="200" w:firstLine="480"/>
        <w:rPr>
          <w:rFonts w:ascii="宋体" w:hAnsi="宋体" w:cs="宋体"/>
          <w:sz w:val="24"/>
        </w:rPr>
      </w:pPr>
      <w:r>
        <w:rPr>
          <w:rFonts w:ascii="宋体" w:cs="宋体"/>
          <w:kern w:val="0"/>
          <w:sz w:val="24"/>
        </w:rPr>
        <w:t>7</w:t>
      </w:r>
      <w:r>
        <w:rPr>
          <w:rFonts w:ascii="宋体" w:cs="宋体" w:hint="eastAsia"/>
          <w:kern w:val="0"/>
          <w:sz w:val="24"/>
        </w:rPr>
        <w:t>）推土机作业时，必须有人指挥和监护。</w:t>
      </w:r>
    </w:p>
    <w:p w:rsidR="009C5C1F" w:rsidRDefault="004D2E0D">
      <w:pPr>
        <w:adjustRightInd w:val="0"/>
        <w:snapToGrid w:val="0"/>
        <w:spacing w:line="500" w:lineRule="exact"/>
        <w:ind w:firstLineChars="200" w:firstLine="480"/>
        <w:rPr>
          <w:rFonts w:ascii="宋体" w:hAnsi="宋体" w:cs="宋体"/>
          <w:sz w:val="24"/>
        </w:rPr>
      </w:pPr>
      <w:bookmarkStart w:id="726" w:name="_Toc393202233"/>
      <w:bookmarkStart w:id="727" w:name="_Toc395519238"/>
      <w:bookmarkStart w:id="728" w:name="_Toc394082047"/>
      <w:bookmarkStart w:id="729" w:name="_Toc395519069"/>
      <w:r>
        <w:rPr>
          <w:rFonts w:ascii="宋体" w:hAnsi="宋体" w:cs="宋体" w:hint="eastAsia"/>
          <w:sz w:val="24"/>
        </w:rPr>
        <w:lastRenderedPageBreak/>
        <w:t xml:space="preserve">3. </w:t>
      </w:r>
      <w:bookmarkEnd w:id="726"/>
      <w:bookmarkEnd w:id="727"/>
      <w:bookmarkEnd w:id="728"/>
      <w:bookmarkEnd w:id="729"/>
      <w:r>
        <w:rPr>
          <w:rFonts w:ascii="宋体" w:hAnsi="宋体" w:cs="宋体" w:hint="eastAsia"/>
          <w:sz w:val="24"/>
        </w:rPr>
        <w:t>车辆运输伤害的安全技术措施</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1</w:t>
      </w:r>
      <w:r>
        <w:rPr>
          <w:rFonts w:ascii="宋体" w:cs="宋体" w:hint="eastAsia"/>
          <w:kern w:val="0"/>
          <w:sz w:val="24"/>
        </w:rPr>
        <w:t>）车辆在矿内道路上宜中速行驶，急弯、陡坡、危险地段应限速行驶，养路地段应减速通过，急转弯处严禁超车。</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2</w:t>
      </w:r>
      <w:r>
        <w:rPr>
          <w:rFonts w:ascii="宋体" w:cs="宋体" w:hint="eastAsia"/>
          <w:kern w:val="0"/>
          <w:sz w:val="24"/>
        </w:rPr>
        <w:t>）雾天和烟尘弥漫影响能见度时，应开亮车灯与标志灯，并靠右侧减速行驶，前后车间距不得小于</w:t>
      </w:r>
      <w:r>
        <w:rPr>
          <w:rFonts w:ascii="宋体" w:cs="宋体"/>
          <w:kern w:val="0"/>
          <w:sz w:val="24"/>
        </w:rPr>
        <w:t>30m</w:t>
      </w:r>
      <w:r>
        <w:rPr>
          <w:rFonts w:ascii="宋体" w:cs="宋体" w:hint="eastAsia"/>
          <w:kern w:val="0"/>
          <w:sz w:val="24"/>
        </w:rPr>
        <w:t>。视距不足</w:t>
      </w:r>
      <w:r>
        <w:rPr>
          <w:rFonts w:ascii="宋体" w:cs="宋体"/>
          <w:kern w:val="0"/>
          <w:sz w:val="24"/>
        </w:rPr>
        <w:t xml:space="preserve">20m </w:t>
      </w:r>
      <w:r>
        <w:rPr>
          <w:rFonts w:ascii="宋体" w:cs="宋体" w:hint="eastAsia"/>
          <w:kern w:val="0"/>
          <w:sz w:val="24"/>
        </w:rPr>
        <w:t>时，应靠右暂停行驶，并不得熄灭车前、车后的警示灯。</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3</w:t>
      </w:r>
      <w:r>
        <w:rPr>
          <w:rFonts w:ascii="宋体" w:cs="宋体" w:hint="eastAsia"/>
          <w:kern w:val="0"/>
          <w:sz w:val="24"/>
        </w:rPr>
        <w:t>）冰雪和多雨季节，道路较滑时，应有防滑措施并减速行驶，前后车距不得小于4</w:t>
      </w:r>
      <w:r>
        <w:rPr>
          <w:rFonts w:ascii="宋体" w:cs="宋体"/>
          <w:kern w:val="0"/>
          <w:sz w:val="24"/>
        </w:rPr>
        <w:t>0m</w:t>
      </w:r>
      <w:r>
        <w:rPr>
          <w:rFonts w:ascii="宋体" w:cs="宋体" w:hint="eastAsia"/>
          <w:kern w:val="0"/>
          <w:sz w:val="24"/>
        </w:rPr>
        <w:t>，禁止急转方向盘、急刹车、超车。</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4</w:t>
      </w:r>
      <w:r>
        <w:rPr>
          <w:rFonts w:ascii="宋体" w:cs="宋体" w:hint="eastAsia"/>
          <w:kern w:val="0"/>
          <w:sz w:val="24"/>
        </w:rPr>
        <w:t>）装车时，禁止检查、维护车辆，驾驶员不得离开驾驶室，不得将头和手臂伸出驾驶室外。</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5</w:t>
      </w:r>
      <w:r>
        <w:rPr>
          <w:rFonts w:ascii="宋体" w:cs="宋体" w:hint="eastAsia"/>
          <w:kern w:val="0"/>
          <w:sz w:val="24"/>
        </w:rPr>
        <w:t>）严禁下坡熄火下滑。</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6</w:t>
      </w:r>
      <w:r>
        <w:rPr>
          <w:rFonts w:ascii="宋体" w:cs="宋体" w:hint="eastAsia"/>
          <w:kern w:val="0"/>
          <w:sz w:val="24"/>
        </w:rPr>
        <w:t>）在斜坡上停车时，应用三角木块挡车。</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7</w:t>
      </w:r>
      <w:r>
        <w:rPr>
          <w:rFonts w:ascii="宋体" w:cs="宋体" w:hint="eastAsia"/>
          <w:kern w:val="0"/>
          <w:sz w:val="24"/>
        </w:rPr>
        <w:t>）因遇大雾、尘雾和照明不良而影响能见度，或因暴风、雪或有雷击危险不能坚持正常生产时，应立即停止作业。威胁人身安全时，人员应转移到安全点。</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8</w:t>
      </w:r>
      <w:r>
        <w:rPr>
          <w:rFonts w:ascii="宋体" w:cs="宋体" w:hint="eastAsia"/>
          <w:kern w:val="0"/>
          <w:sz w:val="24"/>
        </w:rPr>
        <w:t>）汽车必须按规定的线路行驶。</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9</w:t>
      </w:r>
      <w:r>
        <w:rPr>
          <w:rFonts w:ascii="宋体" w:cs="宋体" w:hint="eastAsia"/>
          <w:kern w:val="0"/>
          <w:sz w:val="24"/>
        </w:rPr>
        <w:t>）在上山道路急弯、陡坡、危险地段，应设置醒目的安全警示标志。</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kern w:val="0"/>
          <w:sz w:val="24"/>
        </w:rPr>
        <w:t>10</w:t>
      </w:r>
      <w:r>
        <w:rPr>
          <w:rFonts w:ascii="宋体" w:cs="宋体" w:hint="eastAsia"/>
          <w:kern w:val="0"/>
          <w:sz w:val="24"/>
        </w:rPr>
        <w:t>）严格执行《金属非金属矿山安全规程》，采场工作平台按要求设置安全标志和人行道；道路应按要求设置错车道，运输车辆按规定装车，防止运输过程中伤人。</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4</w:t>
      </w:r>
      <w:r>
        <w:rPr>
          <w:rFonts w:ascii="宋体" w:hAnsi="宋体" w:cs="宋体"/>
          <w:sz w:val="24"/>
        </w:rPr>
        <w:t>.</w:t>
      </w:r>
      <w:r>
        <w:rPr>
          <w:rFonts w:ascii="宋体" w:hAnsi="宋体" w:cs="宋体" w:hint="eastAsia"/>
          <w:sz w:val="24"/>
        </w:rPr>
        <w:t>防火</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防火涉及整个矿区，防火范围涉及采矿工业场地、辅助工业场地、办公生活区、供配电室及机房。矿区应设立火灾监控、报警系统，实时监控矿区各个位置的情况，一遇火灾，应能迅速反应及时报警，矿山每年应编制防灭火计划并规定和安装专门的声光防火信号。</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矿山防灭火必须严格按照《金属非金属矿山安全规程》（GB16423—200防火和灭火的要求进行。</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供配电室及机房配备一定的消防器材。</w:t>
      </w:r>
    </w:p>
    <w:p w:rsidR="009C5C1F" w:rsidRDefault="004D2E0D">
      <w:pPr>
        <w:adjustRightInd w:val="0"/>
        <w:snapToGrid w:val="0"/>
        <w:spacing w:line="500" w:lineRule="exact"/>
        <w:ind w:firstLineChars="200" w:firstLine="480"/>
        <w:rPr>
          <w:rFonts w:ascii="宋体" w:hAnsi="宋体" w:cs="宋体"/>
          <w:sz w:val="24"/>
        </w:rPr>
      </w:pPr>
      <w:bookmarkStart w:id="730" w:name="_Toc395519070"/>
      <w:bookmarkStart w:id="731" w:name="_Toc395519239"/>
      <w:bookmarkStart w:id="732" w:name="_Toc393202234"/>
      <w:bookmarkStart w:id="733" w:name="_Toc394082048"/>
      <w:r>
        <w:rPr>
          <w:rFonts w:ascii="宋体" w:hAnsi="宋体" w:cs="宋体"/>
          <w:sz w:val="24"/>
        </w:rPr>
        <w:lastRenderedPageBreak/>
        <w:t>5</w:t>
      </w:r>
      <w:r>
        <w:rPr>
          <w:rFonts w:ascii="宋体" w:hAnsi="宋体" w:cs="宋体" w:hint="eastAsia"/>
          <w:sz w:val="24"/>
        </w:rPr>
        <w:t>. 预防矿山水灾</w:t>
      </w:r>
      <w:bookmarkEnd w:id="730"/>
      <w:bookmarkEnd w:id="731"/>
      <w:bookmarkEnd w:id="732"/>
      <w:bookmarkEnd w:id="733"/>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矿区地势周围较高，不存在来自地表洪水的威胁。但露天采场充水可能会通过地质构造弱面渗透到采场内，因此，要建立可靠的露天坑内排水系统。</w:t>
      </w:r>
      <w:bookmarkStart w:id="734" w:name="_Toc208916038"/>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矿山防排水必须严格按照《金属非金属矿山安全规程》（GB16423—2006）防排水的要求进行。</w:t>
      </w:r>
    </w:p>
    <w:p w:rsidR="009C5C1F" w:rsidRDefault="004D2E0D">
      <w:pPr>
        <w:adjustRightInd w:val="0"/>
        <w:snapToGrid w:val="0"/>
        <w:spacing w:line="500" w:lineRule="exact"/>
        <w:ind w:firstLineChars="200" w:firstLine="480"/>
        <w:rPr>
          <w:rFonts w:ascii="宋体" w:hAnsi="宋体" w:cs="宋体"/>
          <w:sz w:val="24"/>
        </w:rPr>
      </w:pPr>
      <w:bookmarkStart w:id="735" w:name="_Toc393202235"/>
      <w:bookmarkStart w:id="736" w:name="_Toc394082049"/>
      <w:bookmarkStart w:id="737" w:name="_Toc395519240"/>
      <w:bookmarkStart w:id="738" w:name="_Toc395519071"/>
      <w:r>
        <w:rPr>
          <w:rFonts w:ascii="宋体" w:hAnsi="宋体" w:cs="宋体"/>
          <w:sz w:val="24"/>
        </w:rPr>
        <w:t>6</w:t>
      </w:r>
      <w:r>
        <w:rPr>
          <w:rFonts w:ascii="宋体" w:hAnsi="宋体" w:cs="宋体" w:hint="eastAsia"/>
          <w:sz w:val="24"/>
        </w:rPr>
        <w:t>. 矿山运输安全</w:t>
      </w:r>
      <w:bookmarkEnd w:id="734"/>
      <w:bookmarkEnd w:id="735"/>
      <w:bookmarkEnd w:id="736"/>
      <w:bookmarkEnd w:id="737"/>
      <w:bookmarkEnd w:id="738"/>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严格执行《金属非金属矿山安全规程》（GB16423—2006）的要求。采场工作台要按要求设置人行道、安全间隙及有关保护装置；采、装、运工作严格按规定进行，防止采、装、运输过程中物料坠落伤人，车辆严禁载人；以确保安全。</w:t>
      </w:r>
    </w:p>
    <w:p w:rsidR="009C5C1F" w:rsidRDefault="004D2E0D">
      <w:pPr>
        <w:adjustRightInd w:val="0"/>
        <w:snapToGrid w:val="0"/>
        <w:spacing w:line="500" w:lineRule="exact"/>
        <w:ind w:firstLineChars="200" w:firstLine="480"/>
        <w:rPr>
          <w:rFonts w:ascii="宋体" w:hAnsi="宋体" w:cs="宋体"/>
          <w:sz w:val="24"/>
        </w:rPr>
      </w:pPr>
      <w:bookmarkStart w:id="739" w:name="_Toc393202236"/>
      <w:bookmarkStart w:id="740" w:name="_Toc394082050"/>
      <w:bookmarkStart w:id="741" w:name="_Toc395519072"/>
      <w:bookmarkStart w:id="742" w:name="_Toc208916039"/>
      <w:bookmarkStart w:id="743" w:name="_Toc395519241"/>
      <w:r>
        <w:rPr>
          <w:rFonts w:ascii="宋体" w:hAnsi="宋体" w:cs="宋体"/>
          <w:sz w:val="24"/>
        </w:rPr>
        <w:t>7</w:t>
      </w:r>
      <w:r>
        <w:rPr>
          <w:rFonts w:ascii="宋体" w:hAnsi="宋体" w:cs="宋体" w:hint="eastAsia"/>
          <w:sz w:val="24"/>
        </w:rPr>
        <w:t>. 电气及防雷</w:t>
      </w:r>
      <w:bookmarkEnd w:id="739"/>
      <w:bookmarkEnd w:id="740"/>
      <w:bookmarkEnd w:id="741"/>
      <w:bookmarkEnd w:id="742"/>
      <w:bookmarkEnd w:id="743"/>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矿山用电安全必须严格按照《金属非金属矿山安全规程》（GB16423—2006）电气安全的要求进行。</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对人员进行严格的电气安全教育，各电气危险区域设置明显的标志和警示牌，所有电气设施应绝缘良好，用电设备外壳应可靠接地或接零。变电站应设置防雷击的避雷针，所有正常情况下不带电的电气设备的金属外壳均需可靠接地。供电设备和线路的停电、送电，必须严格执行工作票制度，每台用电设备必须有专用的受电开关，停电、送电必须</w:t>
      </w:r>
      <w:proofErr w:type="gramStart"/>
      <w:r>
        <w:rPr>
          <w:rFonts w:ascii="宋体" w:hAnsi="宋体" w:cs="宋体" w:hint="eastAsia"/>
          <w:sz w:val="24"/>
        </w:rPr>
        <w:t>挂工作</w:t>
      </w:r>
      <w:proofErr w:type="gramEnd"/>
      <w:r>
        <w:rPr>
          <w:rFonts w:ascii="宋体" w:hAnsi="宋体" w:cs="宋体" w:hint="eastAsia"/>
          <w:sz w:val="24"/>
        </w:rPr>
        <w:t>牌。</w:t>
      </w:r>
    </w:p>
    <w:p w:rsidR="009C5C1F" w:rsidRDefault="004D2E0D">
      <w:pPr>
        <w:adjustRightInd w:val="0"/>
        <w:snapToGrid w:val="0"/>
        <w:spacing w:line="500" w:lineRule="exact"/>
        <w:ind w:firstLineChars="200" w:firstLine="480"/>
        <w:rPr>
          <w:rFonts w:ascii="宋体" w:hAnsi="宋体" w:cs="宋体"/>
          <w:sz w:val="24"/>
        </w:rPr>
      </w:pPr>
      <w:bookmarkStart w:id="744" w:name="_Toc395519073"/>
      <w:bookmarkStart w:id="745" w:name="_Toc208916040"/>
      <w:bookmarkStart w:id="746" w:name="_Toc393202237"/>
      <w:bookmarkStart w:id="747" w:name="_Toc395519242"/>
      <w:bookmarkStart w:id="748" w:name="_Toc394082051"/>
      <w:r>
        <w:rPr>
          <w:rFonts w:ascii="宋体" w:hAnsi="宋体" w:cs="宋体"/>
          <w:sz w:val="24"/>
        </w:rPr>
        <w:t>8</w:t>
      </w:r>
      <w:r>
        <w:rPr>
          <w:rFonts w:ascii="宋体" w:hAnsi="宋体" w:cs="宋体" w:hint="eastAsia"/>
          <w:sz w:val="24"/>
        </w:rPr>
        <w:t>. 总平面布置与安全</w:t>
      </w:r>
      <w:bookmarkEnd w:id="744"/>
      <w:bookmarkEnd w:id="745"/>
      <w:bookmarkEnd w:id="746"/>
      <w:bookmarkEnd w:id="747"/>
      <w:bookmarkEnd w:id="748"/>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各建筑物之间，总体布置时应设有足够的防火间距和通道，各建筑物均应设置防雷击安全接地设施。</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sz w:val="24"/>
        </w:rPr>
        <w:t>9</w:t>
      </w:r>
      <w:r>
        <w:rPr>
          <w:rFonts w:ascii="宋体" w:hAnsi="宋体" w:cs="宋体" w:hint="eastAsia"/>
          <w:sz w:val="24"/>
        </w:rPr>
        <w:t>.矿区要建立完善的通讯网络，并由专人维护，确保运行正常。</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sz w:val="24"/>
        </w:rPr>
        <w:t>10</w:t>
      </w:r>
      <w:r>
        <w:rPr>
          <w:rFonts w:ascii="宋体" w:hAnsi="宋体" w:cs="宋体" w:hint="eastAsia"/>
          <w:sz w:val="24"/>
        </w:rPr>
        <w:t>.职业病防护</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仿宋" w:hint="eastAsia"/>
          <w:sz w:val="24"/>
        </w:rPr>
        <w:t>⑴</w:t>
      </w:r>
      <w:r>
        <w:rPr>
          <w:rFonts w:ascii="宋体" w:hAnsi="宋体" w:cs="宋体" w:hint="eastAsia"/>
          <w:sz w:val="24"/>
        </w:rPr>
        <w:t>粉尘</w:t>
      </w:r>
    </w:p>
    <w:p w:rsidR="009C5C1F" w:rsidRDefault="004D2E0D">
      <w:pPr>
        <w:pStyle w:val="a7"/>
        <w:spacing w:after="0" w:line="500" w:lineRule="exact"/>
        <w:jc w:val="left"/>
        <w:rPr>
          <w:rFonts w:ascii="宋体" w:hAnsi="宋体" w:cs="宋体"/>
          <w:sz w:val="24"/>
        </w:rPr>
      </w:pPr>
      <w:r>
        <w:rPr>
          <w:rFonts w:ascii="宋体" w:hAnsi="宋体" w:cs="宋体" w:hint="eastAsia"/>
          <w:sz w:val="24"/>
        </w:rPr>
        <w:t xml:space="preserve">    作业的</w:t>
      </w:r>
      <w:proofErr w:type="gramStart"/>
      <w:r>
        <w:rPr>
          <w:rFonts w:ascii="宋体" w:hAnsi="宋体" w:cs="宋体" w:hint="eastAsia"/>
          <w:sz w:val="24"/>
        </w:rPr>
        <w:t>主要产尘地点</w:t>
      </w:r>
      <w:proofErr w:type="gramEnd"/>
      <w:r>
        <w:rPr>
          <w:rFonts w:ascii="宋体" w:hAnsi="宋体" w:cs="宋体" w:hint="eastAsia"/>
          <w:sz w:val="24"/>
        </w:rPr>
        <w:t>有采场装卸、筛选以及有关的运输车辆环节等。为使采场空气含尘量小于</w:t>
      </w:r>
      <w:r>
        <w:rPr>
          <w:rFonts w:ascii="宋体" w:hAnsi="宋体" w:cs="宋体" w:hint="eastAsia"/>
          <w:spacing w:val="-61"/>
          <w:sz w:val="24"/>
        </w:rPr>
        <w:t xml:space="preserve"> </w:t>
      </w:r>
      <w:r>
        <w:rPr>
          <w:rFonts w:ascii="宋体" w:hAnsi="宋体" w:cs="宋体" w:hint="eastAsia"/>
          <w:sz w:val="24"/>
        </w:rPr>
        <w:t>2mg/m</w:t>
      </w:r>
      <w:r>
        <w:rPr>
          <w:rFonts w:ascii="宋体" w:hAnsi="宋体" w:cs="宋体" w:hint="eastAsia"/>
          <w:position w:val="12"/>
          <w:sz w:val="24"/>
        </w:rPr>
        <w:t>3</w:t>
      </w:r>
      <w:r>
        <w:rPr>
          <w:rFonts w:ascii="宋体" w:hAnsi="宋体" w:cs="宋体" w:hint="eastAsia"/>
          <w:spacing w:val="-29"/>
          <w:position w:val="12"/>
          <w:sz w:val="24"/>
        </w:rPr>
        <w:t xml:space="preserve"> </w:t>
      </w:r>
      <w:r>
        <w:rPr>
          <w:rFonts w:ascii="宋体" w:hAnsi="宋体" w:cs="宋体" w:hint="eastAsia"/>
          <w:sz w:val="24"/>
        </w:rPr>
        <w:t>以下。设计采取了以下防尘措施：</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①对各</w:t>
      </w:r>
      <w:proofErr w:type="gramStart"/>
      <w:r>
        <w:rPr>
          <w:rFonts w:ascii="宋体" w:hAnsi="宋体" w:cs="宋体" w:hint="eastAsia"/>
          <w:sz w:val="24"/>
        </w:rPr>
        <w:t>产尘点</w:t>
      </w:r>
      <w:proofErr w:type="gramEnd"/>
      <w:r>
        <w:rPr>
          <w:rFonts w:ascii="宋体" w:hAnsi="宋体" w:cs="宋体" w:hint="eastAsia"/>
          <w:sz w:val="24"/>
        </w:rPr>
        <w:t>进行喷雾洒水，定期对露天坑壁和道路进行洒水冲洗；</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②地表砂石堆放点覆盖降尘；</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lastRenderedPageBreak/>
        <w:t>③拉运过程中，给运输车辆准备盖顶或篷布，对于装载机操作手在装卸过程中要求 其规范作业，避免由于装车的散乱而在成运输中的矿体粉尘遗撒和扬尘；</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④严格要求运输人员在运输过程中不能超速行驶，避免造成车辆颠簸而导致的砂矿 遗撒和扬尘；</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⑤由于运输设备产生的燃油废气及生活燃煤废气的总产生量不大，又不集中，故对 环境影响不大；</w:t>
      </w:r>
    </w:p>
    <w:p w:rsidR="009C5C1F" w:rsidRDefault="004D2E0D">
      <w:pPr>
        <w:pStyle w:val="a7"/>
        <w:spacing w:after="0" w:line="500" w:lineRule="exact"/>
        <w:ind w:firstLineChars="200" w:firstLine="480"/>
        <w:jc w:val="left"/>
        <w:rPr>
          <w:rFonts w:ascii="宋体" w:hAnsi="宋体" w:cs="宋体"/>
          <w:sz w:val="24"/>
        </w:rPr>
      </w:pPr>
      <w:r>
        <w:rPr>
          <w:rFonts w:ascii="宋体" w:hAnsi="宋体" w:cs="宋体" w:hint="eastAsia"/>
          <w:sz w:val="24"/>
        </w:rPr>
        <w:t xml:space="preserve">⑥加强个人防护，佩戴防尘口罩等。 </w:t>
      </w:r>
    </w:p>
    <w:p w:rsidR="009C5C1F" w:rsidRDefault="004D2E0D">
      <w:pPr>
        <w:adjustRightInd w:val="0"/>
        <w:snapToGrid w:val="0"/>
        <w:spacing w:line="500" w:lineRule="exact"/>
        <w:ind w:firstLineChars="200" w:firstLine="480"/>
        <w:rPr>
          <w:rFonts w:ascii="宋体" w:hAnsi="宋体" w:cs="仿宋"/>
          <w:sz w:val="24"/>
        </w:rPr>
      </w:pPr>
      <w:r>
        <w:rPr>
          <w:rFonts w:ascii="宋体" w:hAnsi="宋体" w:cs="仿宋" w:hint="eastAsia"/>
          <w:sz w:val="24"/>
        </w:rPr>
        <w:t>⑵噪声</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噪声和振动是相伴相生和互为表里的一种自然现象。本项目在运行过程中产生的噪声有机械动力噪声、气体动力噪声等。</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机械动力噪声主要发生于机械设备运转过程中由振动、磨擦、碰撞产生的噪声，以低、中频为主。这类设备包括水泵、电动机、变压器、断路器、除尘设备等。</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噪声对人体的危害主要表现在:a损害人的听觉器官;b可引起多种疾病，如消化不良，食欲不振、血压上升、神经衰弱等症状;c影响工作，易产生安全事故。振动对人体的危害主要有：</w:t>
      </w:r>
    </w:p>
    <w:p w:rsidR="009C5C1F" w:rsidRDefault="004D2E0D">
      <w:pPr>
        <w:adjustRightInd w:val="0"/>
        <w:snapToGrid w:val="0"/>
        <w:spacing w:line="500" w:lineRule="exact"/>
        <w:ind w:firstLineChars="200" w:firstLine="480"/>
        <w:rPr>
          <w:rFonts w:ascii="宋体" w:hAnsi="宋体" w:cs="仿宋"/>
          <w:sz w:val="24"/>
        </w:rPr>
      </w:pPr>
      <w:r>
        <w:rPr>
          <w:rFonts w:ascii="宋体" w:hAnsi="宋体" w:cs="仿宋" w:hint="eastAsia"/>
          <w:sz w:val="24"/>
        </w:rPr>
        <w:t>⑶高温</w:t>
      </w:r>
    </w:p>
    <w:p w:rsidR="009C5C1F" w:rsidRDefault="004D2E0D">
      <w:pPr>
        <w:adjustRightInd w:val="0"/>
        <w:snapToGrid w:val="0"/>
        <w:spacing w:line="500" w:lineRule="exact"/>
        <w:ind w:firstLine="200"/>
        <w:rPr>
          <w:rFonts w:ascii="宋体" w:hAnsi="宋体" w:cs="宋体"/>
          <w:sz w:val="24"/>
        </w:rPr>
      </w:pPr>
      <w:r>
        <w:rPr>
          <w:rFonts w:ascii="宋体" w:hAnsi="宋体" w:cs="宋体" w:hint="eastAsia"/>
          <w:sz w:val="24"/>
        </w:rPr>
        <w:t xml:space="preserve">    高温环境会引起烫伤及中暑（热射病、日射病、热痉挛、热衰竭），长期高温作业（数年）可出现高血压、心肌受损和消化功能障碍病症。采取的对策措施：</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①在生产过程中对放散粉尘，应加强设备密闭，采取遥控及自控，避免直接操作。并应结合生产工艺设计，采取综合有效的预防和治理措施，降低物料落差，增湿扬尘物料，采取通风除尘，使扬尘点形成负压操作。</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②按照《工作场所有害因素职业接触限值》标准的要求进行设计，粉尘的时间加权平均容许浓度为10mg／m</w:t>
      </w:r>
      <w:r>
        <w:rPr>
          <w:rFonts w:ascii="宋体" w:hAnsi="宋体" w:cs="宋体" w:hint="eastAsia"/>
          <w:sz w:val="24"/>
          <w:vertAlign w:val="superscript"/>
        </w:rPr>
        <w:t>3</w:t>
      </w:r>
      <w:r>
        <w:rPr>
          <w:rFonts w:ascii="宋体" w:hAnsi="宋体" w:cs="宋体" w:hint="eastAsia"/>
          <w:sz w:val="24"/>
        </w:rPr>
        <w:t>，短时间接触容许浓度为6mg／m</w:t>
      </w:r>
      <w:r>
        <w:rPr>
          <w:rFonts w:ascii="宋体" w:hAnsi="宋体" w:cs="宋体" w:hint="eastAsia"/>
          <w:sz w:val="24"/>
          <w:vertAlign w:val="superscript"/>
        </w:rPr>
        <w:t>3</w:t>
      </w:r>
      <w:r>
        <w:rPr>
          <w:rFonts w:ascii="宋体" w:hAnsi="宋体" w:cs="宋体" w:hint="eastAsia"/>
          <w:sz w:val="24"/>
        </w:rPr>
        <w:t>。</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③为生产系统的工作人员配备防尘口罩等劳保用品。</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④接触粉尘和有害物质的作业人员，当粉尘中含游离二氧化硅10％以上时，</w:t>
      </w:r>
      <w:r>
        <w:rPr>
          <w:rFonts w:ascii="宋体" w:hAnsi="宋体" w:cs="宋体" w:hint="eastAsia"/>
          <w:sz w:val="24"/>
        </w:rPr>
        <w:lastRenderedPageBreak/>
        <w:t>每2年至少检查1次；在10％以下时，每3年至少检查1次。</w:t>
      </w:r>
    </w:p>
    <w:p w:rsidR="009C5C1F" w:rsidRDefault="004D2E0D">
      <w:pPr>
        <w:pStyle w:val="2-"/>
        <w:adjustRightInd w:val="0"/>
        <w:snapToGrid w:val="0"/>
        <w:spacing w:line="500" w:lineRule="exact"/>
        <w:rPr>
          <w:rFonts w:cs="宋体"/>
        </w:rPr>
      </w:pPr>
      <w:r>
        <w:rPr>
          <w:rFonts w:cs="宋体" w:hint="eastAsia"/>
        </w:rPr>
        <w:t>⑤应加强作业人员的个人防护，佩戴耳塞、耳罩及防护头盔等劳保用品，减少噪声对工人的直接影响。</w:t>
      </w:r>
    </w:p>
    <w:p w:rsidR="009C5C1F" w:rsidRDefault="004D2E0D">
      <w:pPr>
        <w:pStyle w:val="2-"/>
        <w:adjustRightInd w:val="0"/>
        <w:snapToGrid w:val="0"/>
        <w:spacing w:line="500" w:lineRule="exact"/>
        <w:rPr>
          <w:rFonts w:cs="宋体"/>
        </w:rPr>
      </w:pPr>
      <w:r>
        <w:rPr>
          <w:rFonts w:cs="宋体" w:hint="eastAsia"/>
        </w:rPr>
        <w:t>⑥在设备选型时，应考虑设备的噪声强度；设备安装中，应注意设备基础的牢固程度和联接的紧密程度，防止因振动和冲击产生噪声，特别在鼓、引风机，空压机的进出风口应安装消声器，各类风机、热水循环泵等大型机座加减振垫，管道设防</w:t>
      </w:r>
      <w:proofErr w:type="gramStart"/>
      <w:r>
        <w:rPr>
          <w:rFonts w:cs="宋体" w:hint="eastAsia"/>
        </w:rPr>
        <w:t>振</w:t>
      </w:r>
      <w:proofErr w:type="gramEnd"/>
      <w:r>
        <w:rPr>
          <w:rFonts w:cs="宋体" w:hint="eastAsia"/>
        </w:rPr>
        <w:t>装置，安装消音器，并减少工作人员的接触噪声时间。</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⑦做好夏季防暑工作，采场内设置遮荫棚、供水点等设施。</w:t>
      </w:r>
    </w:p>
    <w:p w:rsidR="009C5C1F" w:rsidRDefault="004D2E0D">
      <w:pPr>
        <w:pStyle w:val="2"/>
        <w:spacing w:beforeLines="100" w:before="360" w:line="500" w:lineRule="atLeast"/>
        <w:ind w:firstLine="482"/>
        <w:rPr>
          <w:rFonts w:ascii="宋体" w:eastAsia="宋体" w:hAnsi="宋体" w:cs="宋体"/>
          <w:sz w:val="24"/>
          <w:szCs w:val="24"/>
        </w:rPr>
      </w:pPr>
      <w:bookmarkStart w:id="749" w:name="_Toc245107524"/>
      <w:bookmarkStart w:id="750" w:name="_Toc251587003"/>
      <w:bookmarkStart w:id="751" w:name="_Toc511226444"/>
      <w:bookmarkStart w:id="752" w:name="_Toc153130754"/>
      <w:bookmarkStart w:id="753" w:name="_Toc392015066"/>
      <w:bookmarkStart w:id="754" w:name="_Toc70589803"/>
      <w:bookmarkStart w:id="755" w:name="_Toc502783497"/>
      <w:r>
        <w:rPr>
          <w:rFonts w:ascii="宋体" w:eastAsia="宋体" w:hAnsi="宋体" w:cs="宋体" w:hint="eastAsia"/>
          <w:sz w:val="24"/>
          <w:szCs w:val="24"/>
        </w:rPr>
        <w:t>11.</w:t>
      </w:r>
      <w:bookmarkEnd w:id="749"/>
      <w:bookmarkEnd w:id="750"/>
      <w:r>
        <w:rPr>
          <w:rFonts w:ascii="宋体" w:eastAsia="宋体" w:hAnsi="宋体" w:cs="宋体"/>
          <w:sz w:val="24"/>
          <w:szCs w:val="24"/>
        </w:rPr>
        <w:t>4</w:t>
      </w:r>
      <w:r>
        <w:rPr>
          <w:rFonts w:ascii="宋体" w:eastAsia="宋体" w:hAnsi="宋体" w:cs="宋体" w:hint="eastAsia"/>
          <w:sz w:val="24"/>
          <w:szCs w:val="24"/>
        </w:rPr>
        <w:t>安全管理</w:t>
      </w:r>
      <w:bookmarkEnd w:id="751"/>
      <w:bookmarkEnd w:id="752"/>
      <w:bookmarkEnd w:id="753"/>
      <w:bookmarkEnd w:id="754"/>
      <w:bookmarkEnd w:id="755"/>
    </w:p>
    <w:p w:rsidR="009C5C1F" w:rsidRDefault="004D2E0D">
      <w:pPr>
        <w:pStyle w:val="3"/>
        <w:spacing w:beforeLines="100" w:before="360" w:after="0" w:line="500" w:lineRule="exact"/>
        <w:ind w:firstLineChars="200" w:firstLine="482"/>
        <w:rPr>
          <w:rFonts w:ascii="宋体" w:hAnsi="宋体" w:cs="宋体"/>
        </w:rPr>
      </w:pPr>
      <w:bookmarkStart w:id="756" w:name="_Toc257625160"/>
      <w:bookmarkStart w:id="757" w:name="_Toc334185610"/>
      <w:bookmarkStart w:id="758" w:name="_Toc364928275"/>
      <w:bookmarkStart w:id="759" w:name="_Toc70589804"/>
      <w:bookmarkStart w:id="760" w:name="_Toc395519075"/>
      <w:bookmarkStart w:id="761" w:name="_Toc395519244"/>
      <w:bookmarkStart w:id="762" w:name="_Toc502783498"/>
      <w:bookmarkStart w:id="763" w:name="_Toc392015067"/>
      <w:r>
        <w:rPr>
          <w:rFonts w:ascii="宋体" w:hAnsi="宋体" w:cs="宋体" w:hint="eastAsia"/>
        </w:rPr>
        <w:t>11.</w:t>
      </w:r>
      <w:r>
        <w:rPr>
          <w:rFonts w:ascii="宋体" w:hAnsi="宋体" w:cs="宋体"/>
        </w:rPr>
        <w:t>4</w:t>
      </w:r>
      <w:r>
        <w:rPr>
          <w:rFonts w:ascii="宋体" w:hAnsi="宋体" w:cs="宋体" w:hint="eastAsia"/>
        </w:rPr>
        <w:t>.1矿山安全机构</w:t>
      </w:r>
      <w:bookmarkEnd w:id="756"/>
      <w:bookmarkEnd w:id="757"/>
      <w:bookmarkEnd w:id="758"/>
      <w:bookmarkEnd w:id="759"/>
      <w:bookmarkEnd w:id="760"/>
      <w:bookmarkEnd w:id="761"/>
      <w:bookmarkEnd w:id="762"/>
      <w:bookmarkEnd w:id="763"/>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矿山设安全环保科，配备专职安全管理人员，负责该矿区安全检查及安全教育、环境保护工作，各班组设兼职安全员。矿长（经理）要对全矿安全工作负总责，主持制定全矿安全投入计划。</w:t>
      </w:r>
    </w:p>
    <w:p w:rsidR="009C5C1F" w:rsidRDefault="004D2E0D">
      <w:pPr>
        <w:pStyle w:val="3"/>
        <w:spacing w:beforeLines="100" w:before="360" w:after="0" w:line="500" w:lineRule="exact"/>
        <w:ind w:firstLineChars="200" w:firstLine="482"/>
        <w:rPr>
          <w:rFonts w:ascii="宋体" w:hAnsi="宋体" w:cs="宋体"/>
        </w:rPr>
      </w:pPr>
      <w:bookmarkStart w:id="764" w:name="_Toc392015068"/>
      <w:bookmarkStart w:id="765" w:name="_Toc395519076"/>
      <w:bookmarkStart w:id="766" w:name="_Toc502783499"/>
      <w:bookmarkStart w:id="767" w:name="_Toc334185611"/>
      <w:bookmarkStart w:id="768" w:name="_Toc395519245"/>
      <w:bookmarkStart w:id="769" w:name="_Toc257625162"/>
      <w:bookmarkStart w:id="770" w:name="_Toc364928276"/>
      <w:bookmarkStart w:id="771" w:name="_Toc70589805"/>
      <w:r>
        <w:rPr>
          <w:rFonts w:ascii="宋体" w:hAnsi="宋体" w:cs="宋体" w:hint="eastAsia"/>
        </w:rPr>
        <w:t>11.</w:t>
      </w:r>
      <w:r>
        <w:rPr>
          <w:rFonts w:ascii="宋体" w:hAnsi="宋体" w:cs="宋体"/>
        </w:rPr>
        <w:t>4</w:t>
      </w:r>
      <w:r>
        <w:rPr>
          <w:rFonts w:ascii="宋体" w:hAnsi="宋体" w:cs="宋体" w:hint="eastAsia"/>
        </w:rPr>
        <w:t>.2安全教育培训</w:t>
      </w:r>
      <w:bookmarkEnd w:id="764"/>
      <w:bookmarkEnd w:id="765"/>
      <w:bookmarkEnd w:id="766"/>
      <w:bookmarkEnd w:id="767"/>
      <w:bookmarkEnd w:id="768"/>
      <w:bookmarkEnd w:id="769"/>
      <w:bookmarkEnd w:id="770"/>
      <w:bookmarkEnd w:id="771"/>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矿山安全教育和培训是搞好矿山安全工作的基础。教育和培训的内容包括安全思想教育、安全法规教育、劳动纪律教育、安全知识教育和技术培训、事故征兆识别及避灾自救知识、典型事故分析等。矿山对安全教育和培训的规定如下：</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1.积极组织人员参加安监部门组织的各种安全培训和相关考试，及时贯彻学习新《安全生产法》和最新修订的《甘肃省安全生产条例》。购置必须的安全防护设备和应急设施。</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2.矿长必须经过省级安全生产监督管理部门的安全培训和考核，具备安全专业知识，具有领导安全生产和处理矿山事故的能力；矿长和主管安全、生产、技术工作的副矿长必须持有《安全资格证》。</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3.基层领导和安全员应了解国家安全生产法律、法规、方针、政策及安全管理规章制度等，熟悉安全管理方法，掌握基本的矿山安全技术知识和所管辖范围</w:t>
      </w:r>
      <w:r>
        <w:rPr>
          <w:rFonts w:ascii="宋体" w:hAnsi="宋体" w:cs="宋体" w:hint="eastAsia"/>
          <w:sz w:val="24"/>
        </w:rPr>
        <w:lastRenderedPageBreak/>
        <w:t>的各工种安全操作规程。</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4.矿山应对职工认真做好安全生产和劳动保护教育，普及安全法规知识，进行技术和业务培训，经考核合格后方准上岗。所有干部和工人每年至少接受不少于20小时的安全教育，每三年至少考核一次。新工人上岗前，应接受不少72小时的三级安全教育培训，经考试合格后，方可独立工作，调换工种的工人，必须进行新岗位安全操作教育培训。</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5.特种作业人员，要害岗位、重要设备与设施的作业人员，都必须经过技术培训和专门安全教育，经考核合格取得操作资格证书或执照后方准上岗。人员培训、考核、发证和复审，应按有关规定执行。</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6.矿山还应根据生产形势，召开班前班后会、安全生产调度会、车间安全例会等会议。所有生产作业人员，每年接受在职安全教育、培训的时间不得少于20小时。</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7.安全管理机构应定期总结分析本单位安全生产中存在的问题，提出要求和具体的改进措施。</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8.矿山应每年对职工进行一次自救互救训练，充分发挥事故预防处理应急预案的作用；矿山应根据年度救援预案组织现场演练，提高作业人员参与救援的技巧，避免受伤人员因救助不当导致死亡。</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9.定期进行安全生产宣传、教育；订购有关音像、杂志、报刊等学习资料，并认真组织学习；利用井口宣传栏、标语等多种形势，加强安全宣传，提高职工的安全意识。</w:t>
      </w:r>
    </w:p>
    <w:p w:rsidR="009C5C1F" w:rsidRDefault="004D2E0D">
      <w:pPr>
        <w:pStyle w:val="3"/>
        <w:spacing w:beforeLines="100" w:before="360" w:after="0" w:line="500" w:lineRule="exact"/>
        <w:ind w:firstLineChars="200" w:firstLine="482"/>
        <w:rPr>
          <w:rFonts w:ascii="宋体" w:hAnsi="宋体" w:cs="宋体"/>
        </w:rPr>
      </w:pPr>
      <w:bookmarkStart w:id="772" w:name="_Toc257625161"/>
      <w:bookmarkStart w:id="773" w:name="_Toc334185612"/>
      <w:bookmarkStart w:id="774" w:name="_Toc364928277"/>
      <w:bookmarkStart w:id="775" w:name="_Toc502783500"/>
      <w:bookmarkStart w:id="776" w:name="_Toc392015069"/>
      <w:bookmarkStart w:id="777" w:name="_Toc395519077"/>
      <w:bookmarkStart w:id="778" w:name="_Toc395519246"/>
      <w:bookmarkStart w:id="779" w:name="_Toc70589806"/>
      <w:r>
        <w:rPr>
          <w:rFonts w:ascii="宋体" w:hAnsi="宋体" w:cs="宋体" w:hint="eastAsia"/>
        </w:rPr>
        <w:t>11.</w:t>
      </w:r>
      <w:r>
        <w:rPr>
          <w:rFonts w:ascii="宋体" w:hAnsi="宋体" w:cs="宋体"/>
        </w:rPr>
        <w:t>4</w:t>
      </w:r>
      <w:r>
        <w:rPr>
          <w:rFonts w:ascii="宋体" w:hAnsi="宋体" w:cs="宋体" w:hint="eastAsia"/>
        </w:rPr>
        <w:t>.3规章制度</w:t>
      </w:r>
      <w:bookmarkEnd w:id="772"/>
      <w:bookmarkEnd w:id="773"/>
      <w:bookmarkEnd w:id="774"/>
      <w:bookmarkEnd w:id="775"/>
      <w:bookmarkEnd w:id="776"/>
      <w:bookmarkEnd w:id="777"/>
      <w:bookmarkEnd w:id="778"/>
      <w:bookmarkEnd w:id="779"/>
    </w:p>
    <w:p w:rsidR="009C5C1F" w:rsidRDefault="004D2E0D">
      <w:pPr>
        <w:pStyle w:val="2-"/>
        <w:adjustRightInd w:val="0"/>
        <w:snapToGrid w:val="0"/>
        <w:spacing w:line="500" w:lineRule="exact"/>
        <w:rPr>
          <w:rFonts w:cs="宋体"/>
        </w:rPr>
      </w:pPr>
      <w:r>
        <w:rPr>
          <w:rFonts w:cs="宋体" w:hint="eastAsia"/>
        </w:rPr>
        <w:t>确定企业法人是安全生产第一责任人，并建立健全各项安全管理制度和操作规程，矿山应建立以下主要工作制度：</w:t>
      </w:r>
    </w:p>
    <w:p w:rsidR="009C5C1F" w:rsidRDefault="004D2E0D">
      <w:pPr>
        <w:pStyle w:val="2-"/>
        <w:adjustRightInd w:val="0"/>
        <w:snapToGrid w:val="0"/>
        <w:spacing w:line="500" w:lineRule="exact"/>
        <w:rPr>
          <w:rFonts w:cs="宋体"/>
        </w:rPr>
      </w:pPr>
      <w:r>
        <w:rPr>
          <w:rFonts w:cs="宋体" w:hint="eastAsia"/>
        </w:rPr>
        <w:t>1.安全生产责任制度。</w:t>
      </w:r>
    </w:p>
    <w:p w:rsidR="009C5C1F" w:rsidRDefault="004D2E0D">
      <w:pPr>
        <w:pStyle w:val="2-"/>
        <w:adjustRightInd w:val="0"/>
        <w:snapToGrid w:val="0"/>
        <w:spacing w:line="500" w:lineRule="exact"/>
        <w:rPr>
          <w:rFonts w:cs="宋体"/>
        </w:rPr>
      </w:pPr>
      <w:r>
        <w:rPr>
          <w:rFonts w:cs="宋体" w:hint="eastAsia"/>
        </w:rPr>
        <w:t>2.安全目标管理制度。</w:t>
      </w:r>
    </w:p>
    <w:p w:rsidR="009C5C1F" w:rsidRDefault="004D2E0D">
      <w:pPr>
        <w:pStyle w:val="2-"/>
        <w:adjustRightInd w:val="0"/>
        <w:snapToGrid w:val="0"/>
        <w:spacing w:line="500" w:lineRule="exact"/>
        <w:rPr>
          <w:rFonts w:cs="宋体"/>
        </w:rPr>
      </w:pPr>
      <w:r>
        <w:rPr>
          <w:rFonts w:cs="宋体" w:hint="eastAsia"/>
        </w:rPr>
        <w:t>3.安全例会制度。</w:t>
      </w:r>
    </w:p>
    <w:p w:rsidR="009C5C1F" w:rsidRDefault="004D2E0D">
      <w:pPr>
        <w:pStyle w:val="2-"/>
        <w:adjustRightInd w:val="0"/>
        <w:snapToGrid w:val="0"/>
        <w:spacing w:line="500" w:lineRule="exact"/>
        <w:rPr>
          <w:rFonts w:cs="宋体"/>
        </w:rPr>
      </w:pPr>
      <w:r>
        <w:rPr>
          <w:rFonts w:cs="宋体" w:hint="eastAsia"/>
        </w:rPr>
        <w:t>4.安全检查制度。</w:t>
      </w:r>
    </w:p>
    <w:p w:rsidR="009C5C1F" w:rsidRDefault="004D2E0D">
      <w:pPr>
        <w:pStyle w:val="2-"/>
        <w:adjustRightInd w:val="0"/>
        <w:snapToGrid w:val="0"/>
        <w:spacing w:line="500" w:lineRule="exact"/>
        <w:rPr>
          <w:rFonts w:cs="宋体"/>
        </w:rPr>
      </w:pPr>
      <w:r>
        <w:rPr>
          <w:rFonts w:cs="宋体" w:hint="eastAsia"/>
        </w:rPr>
        <w:lastRenderedPageBreak/>
        <w:t>5.安全教育培训制度。</w:t>
      </w:r>
    </w:p>
    <w:p w:rsidR="009C5C1F" w:rsidRDefault="004D2E0D">
      <w:pPr>
        <w:pStyle w:val="2-"/>
        <w:adjustRightInd w:val="0"/>
        <w:snapToGrid w:val="0"/>
        <w:spacing w:line="500" w:lineRule="exact"/>
        <w:rPr>
          <w:rFonts w:cs="宋体"/>
        </w:rPr>
      </w:pPr>
      <w:r>
        <w:rPr>
          <w:rFonts w:cs="宋体" w:hint="eastAsia"/>
        </w:rPr>
        <w:t>6.设备管理制度。</w:t>
      </w:r>
    </w:p>
    <w:p w:rsidR="009C5C1F" w:rsidRDefault="004D2E0D">
      <w:pPr>
        <w:pStyle w:val="2-"/>
        <w:adjustRightInd w:val="0"/>
        <w:snapToGrid w:val="0"/>
        <w:spacing w:line="500" w:lineRule="exact"/>
        <w:rPr>
          <w:rFonts w:cs="宋体"/>
        </w:rPr>
      </w:pPr>
      <w:r>
        <w:rPr>
          <w:rFonts w:cs="宋体" w:hint="eastAsia"/>
        </w:rPr>
        <w:t>7.危险源管理制度。</w:t>
      </w:r>
    </w:p>
    <w:p w:rsidR="009C5C1F" w:rsidRDefault="004D2E0D">
      <w:pPr>
        <w:pStyle w:val="2-"/>
        <w:adjustRightInd w:val="0"/>
        <w:snapToGrid w:val="0"/>
        <w:spacing w:line="500" w:lineRule="exact"/>
        <w:rPr>
          <w:rFonts w:cs="宋体"/>
        </w:rPr>
      </w:pPr>
      <w:r>
        <w:rPr>
          <w:rFonts w:cs="宋体" w:hint="eastAsia"/>
        </w:rPr>
        <w:t>8.事故隐患排查与整改制度。</w:t>
      </w:r>
    </w:p>
    <w:p w:rsidR="009C5C1F" w:rsidRDefault="004D2E0D">
      <w:pPr>
        <w:pStyle w:val="2-"/>
        <w:adjustRightInd w:val="0"/>
        <w:snapToGrid w:val="0"/>
        <w:spacing w:line="500" w:lineRule="exact"/>
        <w:rPr>
          <w:rFonts w:cs="宋体"/>
        </w:rPr>
      </w:pPr>
      <w:r>
        <w:rPr>
          <w:rFonts w:cs="宋体" w:hint="eastAsia"/>
        </w:rPr>
        <w:t>9.安全技术措施审批制度。</w:t>
      </w:r>
    </w:p>
    <w:p w:rsidR="009C5C1F" w:rsidRDefault="004D2E0D">
      <w:pPr>
        <w:pStyle w:val="2-"/>
        <w:adjustRightInd w:val="0"/>
        <w:snapToGrid w:val="0"/>
        <w:spacing w:line="500" w:lineRule="exact"/>
        <w:rPr>
          <w:rFonts w:cs="宋体"/>
        </w:rPr>
      </w:pPr>
      <w:r>
        <w:rPr>
          <w:rFonts w:cs="宋体" w:hint="eastAsia"/>
        </w:rPr>
        <w:t>10.劳动防护用品管理制度。</w:t>
      </w:r>
    </w:p>
    <w:p w:rsidR="009C5C1F" w:rsidRDefault="004D2E0D">
      <w:pPr>
        <w:pStyle w:val="2-"/>
        <w:adjustRightInd w:val="0"/>
        <w:snapToGrid w:val="0"/>
        <w:spacing w:line="500" w:lineRule="exact"/>
        <w:rPr>
          <w:rFonts w:cs="宋体"/>
        </w:rPr>
      </w:pPr>
      <w:r>
        <w:rPr>
          <w:rFonts w:cs="宋体" w:hint="eastAsia"/>
        </w:rPr>
        <w:t>11.事故管理制度。</w:t>
      </w:r>
    </w:p>
    <w:p w:rsidR="009C5C1F" w:rsidRDefault="004D2E0D">
      <w:pPr>
        <w:pStyle w:val="2-"/>
        <w:adjustRightInd w:val="0"/>
        <w:snapToGrid w:val="0"/>
        <w:spacing w:line="500" w:lineRule="exact"/>
        <w:rPr>
          <w:rFonts w:cs="宋体"/>
        </w:rPr>
      </w:pPr>
      <w:r>
        <w:rPr>
          <w:rFonts w:cs="宋体" w:hint="eastAsia"/>
        </w:rPr>
        <w:t>12.应急管理制度。</w:t>
      </w:r>
    </w:p>
    <w:p w:rsidR="009C5C1F" w:rsidRDefault="004D2E0D">
      <w:pPr>
        <w:pStyle w:val="2-"/>
        <w:adjustRightInd w:val="0"/>
        <w:snapToGrid w:val="0"/>
        <w:spacing w:line="500" w:lineRule="exact"/>
        <w:rPr>
          <w:rFonts w:cs="宋体"/>
        </w:rPr>
      </w:pPr>
      <w:r>
        <w:rPr>
          <w:rFonts w:cs="宋体" w:hint="eastAsia"/>
        </w:rPr>
        <w:t>13.安全奖惩制度。</w:t>
      </w:r>
    </w:p>
    <w:p w:rsidR="009C5C1F" w:rsidRDefault="004D2E0D">
      <w:pPr>
        <w:pStyle w:val="2-"/>
        <w:adjustRightInd w:val="0"/>
        <w:snapToGrid w:val="0"/>
        <w:spacing w:line="500" w:lineRule="exact"/>
        <w:rPr>
          <w:rFonts w:cs="宋体"/>
        </w:rPr>
      </w:pPr>
      <w:r>
        <w:rPr>
          <w:rFonts w:cs="宋体" w:hint="eastAsia"/>
        </w:rPr>
        <w:t>14.安全生产档案管理制度。</w:t>
      </w:r>
    </w:p>
    <w:p w:rsidR="009C5C1F" w:rsidRDefault="004D2E0D">
      <w:pPr>
        <w:pStyle w:val="2-"/>
        <w:adjustRightInd w:val="0"/>
        <w:snapToGrid w:val="0"/>
        <w:spacing w:line="500" w:lineRule="exact"/>
        <w:rPr>
          <w:rFonts w:cs="宋体"/>
        </w:rPr>
      </w:pPr>
      <w:r>
        <w:rPr>
          <w:rFonts w:cs="宋体" w:hint="eastAsia"/>
        </w:rPr>
        <w:t>15.边坡管理制度。</w:t>
      </w:r>
    </w:p>
    <w:p w:rsidR="009C5C1F" w:rsidRDefault="004D2E0D">
      <w:pPr>
        <w:pStyle w:val="3"/>
        <w:spacing w:beforeLines="100" w:before="360" w:after="0" w:line="500" w:lineRule="exact"/>
        <w:ind w:firstLineChars="200" w:firstLine="482"/>
        <w:rPr>
          <w:rFonts w:ascii="宋体" w:hAnsi="宋体" w:cs="宋体"/>
        </w:rPr>
      </w:pPr>
      <w:bookmarkStart w:id="780" w:name="_Toc395519247"/>
      <w:bookmarkStart w:id="781" w:name="_Toc502783501"/>
      <w:bookmarkStart w:id="782" w:name="_Toc392015070"/>
      <w:bookmarkStart w:id="783" w:name="_Toc395519078"/>
      <w:bookmarkStart w:id="784" w:name="_Toc70589807"/>
      <w:r>
        <w:rPr>
          <w:rFonts w:ascii="宋体" w:hAnsi="宋体" w:cs="宋体" w:hint="eastAsia"/>
        </w:rPr>
        <w:t>11.</w:t>
      </w:r>
      <w:r>
        <w:rPr>
          <w:rFonts w:ascii="宋体" w:hAnsi="宋体" w:cs="宋体"/>
        </w:rPr>
        <w:t>4</w:t>
      </w:r>
      <w:r>
        <w:rPr>
          <w:rFonts w:ascii="宋体" w:hAnsi="宋体" w:cs="宋体" w:hint="eastAsia"/>
        </w:rPr>
        <w:t>.4矿山救护</w:t>
      </w:r>
      <w:bookmarkEnd w:id="780"/>
      <w:bookmarkEnd w:id="781"/>
      <w:bookmarkEnd w:id="782"/>
      <w:bookmarkEnd w:id="783"/>
      <w:bookmarkEnd w:id="784"/>
    </w:p>
    <w:p w:rsidR="009C5C1F" w:rsidRDefault="004D2E0D">
      <w:pPr>
        <w:pStyle w:val="5-"/>
        <w:adjustRightInd w:val="0"/>
        <w:snapToGrid w:val="0"/>
        <w:spacing w:line="500" w:lineRule="exact"/>
        <w:rPr>
          <w:rFonts w:ascii="宋体" w:hAnsi="宋体" w:cs="宋体"/>
          <w:color w:val="auto"/>
        </w:rPr>
      </w:pPr>
      <w:bookmarkStart w:id="785" w:name="_Toc395519079"/>
      <w:bookmarkStart w:id="786" w:name="_Toc395519248"/>
      <w:r>
        <w:rPr>
          <w:rFonts w:ascii="宋体" w:hAnsi="宋体" w:cs="宋体" w:hint="eastAsia"/>
          <w:color w:val="auto"/>
        </w:rPr>
        <w:t>1.签订救护协议</w:t>
      </w:r>
      <w:bookmarkEnd w:id="785"/>
      <w:bookmarkEnd w:id="786"/>
    </w:p>
    <w:p w:rsidR="009C5C1F" w:rsidRDefault="004D2E0D">
      <w:pPr>
        <w:pStyle w:val="5-"/>
        <w:adjustRightInd w:val="0"/>
        <w:snapToGrid w:val="0"/>
        <w:spacing w:line="500" w:lineRule="exact"/>
        <w:rPr>
          <w:rFonts w:ascii="宋体" w:hAnsi="宋体" w:cs="宋体"/>
          <w:color w:val="auto"/>
        </w:rPr>
      </w:pPr>
      <w:r>
        <w:rPr>
          <w:rFonts w:ascii="宋体" w:hAnsi="宋体" w:cs="宋体" w:hint="eastAsia"/>
          <w:color w:val="auto"/>
        </w:rPr>
        <w:t>由于矿山规模较小，不考虑设救护队，因此矿山必须与就近的矿山救护大队</w:t>
      </w:r>
      <w:proofErr w:type="gramStart"/>
      <w:r>
        <w:rPr>
          <w:rFonts w:ascii="宋体" w:hAnsi="宋体" w:cs="宋体" w:hint="eastAsia"/>
          <w:color w:val="auto"/>
        </w:rPr>
        <w:t>签定</w:t>
      </w:r>
      <w:proofErr w:type="gramEnd"/>
      <w:r>
        <w:rPr>
          <w:rFonts w:ascii="宋体" w:hAnsi="宋体" w:cs="宋体" w:hint="eastAsia"/>
          <w:color w:val="auto"/>
        </w:rPr>
        <w:t>救护协议，当发生事故时，及时向救护大队请求救护。</w:t>
      </w:r>
    </w:p>
    <w:p w:rsidR="009C5C1F" w:rsidRDefault="004D2E0D">
      <w:pPr>
        <w:pStyle w:val="5-"/>
        <w:adjustRightInd w:val="0"/>
        <w:snapToGrid w:val="0"/>
        <w:spacing w:line="500" w:lineRule="exact"/>
        <w:rPr>
          <w:rFonts w:ascii="宋体" w:hAnsi="宋体" w:cs="宋体"/>
          <w:color w:val="auto"/>
        </w:rPr>
      </w:pPr>
      <w:bookmarkStart w:id="787" w:name="_Toc395519080"/>
      <w:bookmarkStart w:id="788" w:name="_Toc395519249"/>
      <w:r>
        <w:rPr>
          <w:rFonts w:ascii="宋体" w:hAnsi="宋体" w:cs="宋体" w:hint="eastAsia"/>
          <w:color w:val="auto"/>
        </w:rPr>
        <w:t>2.创伤急救</w:t>
      </w:r>
      <w:bookmarkEnd w:id="787"/>
      <w:bookmarkEnd w:id="788"/>
    </w:p>
    <w:p w:rsidR="009C5C1F" w:rsidRDefault="004D2E0D">
      <w:pPr>
        <w:pStyle w:val="5-"/>
        <w:adjustRightInd w:val="0"/>
        <w:snapToGrid w:val="0"/>
        <w:spacing w:line="500" w:lineRule="exact"/>
        <w:rPr>
          <w:rFonts w:ascii="宋体" w:hAnsi="宋体" w:cs="宋体"/>
          <w:color w:val="auto"/>
        </w:rPr>
      </w:pPr>
      <w:r>
        <w:rPr>
          <w:rFonts w:ascii="宋体" w:hAnsi="宋体" w:cs="宋体" w:hint="eastAsia"/>
          <w:color w:val="auto"/>
        </w:rPr>
        <w:t>矿山建立创伤急救系统，矿调度室负责接受现场呼救，及时向矿长汇报，并调配地面运输工具等，通知各级急救人员应援急救。</w:t>
      </w:r>
    </w:p>
    <w:p w:rsidR="009C5C1F" w:rsidRDefault="004D2E0D">
      <w:pPr>
        <w:pStyle w:val="5-"/>
        <w:adjustRightInd w:val="0"/>
        <w:snapToGrid w:val="0"/>
        <w:spacing w:line="500" w:lineRule="exact"/>
        <w:rPr>
          <w:rFonts w:ascii="宋体" w:hAnsi="宋体" w:cs="宋体"/>
          <w:color w:val="auto"/>
        </w:rPr>
      </w:pPr>
      <w:r>
        <w:rPr>
          <w:rFonts w:ascii="宋体" w:hAnsi="宋体" w:cs="宋体" w:hint="eastAsia"/>
          <w:color w:val="auto"/>
        </w:rPr>
        <w:t>3.矿山辅助救护</w:t>
      </w:r>
    </w:p>
    <w:p w:rsidR="009C5C1F" w:rsidRDefault="004D2E0D">
      <w:pPr>
        <w:pStyle w:val="5-"/>
        <w:adjustRightInd w:val="0"/>
        <w:snapToGrid w:val="0"/>
        <w:spacing w:line="500" w:lineRule="exact"/>
        <w:rPr>
          <w:rFonts w:ascii="宋体" w:hAnsi="宋体" w:cs="宋体"/>
          <w:color w:val="auto"/>
        </w:rPr>
      </w:pPr>
      <w:r>
        <w:rPr>
          <w:rFonts w:ascii="宋体" w:hAnsi="宋体" w:cs="宋体" w:hint="eastAsia"/>
          <w:color w:val="auto"/>
        </w:rPr>
        <w:t>矿山配备兼职的矿山救护队员，并配置必要的设备。根据《矿山救护规程》，本矿设辅助救护小队一个，由</w:t>
      </w:r>
      <w:r>
        <w:rPr>
          <w:rFonts w:ascii="宋体" w:hAnsi="宋体" w:cs="宋体"/>
          <w:color w:val="auto"/>
        </w:rPr>
        <w:t>3</w:t>
      </w:r>
      <w:r>
        <w:rPr>
          <w:rFonts w:ascii="宋体" w:hAnsi="宋体" w:cs="宋体" w:hint="eastAsia"/>
          <w:color w:val="auto"/>
        </w:rPr>
        <w:t>人组成（兼职），配备氧气呼吸器、灭火器、自救器、苏生器、担架等救护装备。矿山发生水灾、火灾及爆炸事故后，矿山救护队员具有应变处理事故的能力，首先组织侦察工作，准确探明事故性质、原因、范围、发生位置及遇难人员情况，为指挥部制订抢救方案提供可靠依据。</w:t>
      </w:r>
    </w:p>
    <w:p w:rsidR="009C5C1F" w:rsidRDefault="004D2E0D">
      <w:pPr>
        <w:pStyle w:val="2"/>
        <w:spacing w:beforeLines="100" w:before="360" w:line="500" w:lineRule="atLeast"/>
        <w:ind w:firstLine="482"/>
        <w:rPr>
          <w:rFonts w:ascii="宋体" w:eastAsia="宋体" w:hAnsi="宋体" w:cs="宋体"/>
          <w:sz w:val="24"/>
          <w:szCs w:val="24"/>
        </w:rPr>
      </w:pPr>
      <w:bookmarkStart w:id="789" w:name="_Toc511226445"/>
      <w:bookmarkStart w:id="790" w:name="_Toc392015071"/>
      <w:bookmarkStart w:id="791" w:name="_Toc502783502"/>
      <w:bookmarkStart w:id="792" w:name="_Toc70589808"/>
      <w:bookmarkStart w:id="793" w:name="_Toc153130755"/>
      <w:r>
        <w:rPr>
          <w:rFonts w:ascii="宋体" w:eastAsia="宋体" w:hAnsi="宋体" w:cs="宋体" w:hint="eastAsia"/>
          <w:sz w:val="24"/>
          <w:szCs w:val="24"/>
        </w:rPr>
        <w:t>11.</w:t>
      </w:r>
      <w:r>
        <w:rPr>
          <w:rFonts w:ascii="宋体" w:eastAsia="宋体" w:hAnsi="宋体" w:cs="宋体"/>
          <w:sz w:val="24"/>
          <w:szCs w:val="24"/>
        </w:rPr>
        <w:t>5</w:t>
      </w:r>
      <w:r>
        <w:rPr>
          <w:rFonts w:ascii="宋体" w:eastAsia="宋体" w:hAnsi="宋体" w:cs="宋体" w:hint="eastAsia"/>
          <w:sz w:val="24"/>
          <w:szCs w:val="24"/>
        </w:rPr>
        <w:t>安全可靠性及安全预期效果</w:t>
      </w:r>
      <w:bookmarkEnd w:id="789"/>
      <w:bookmarkEnd w:id="790"/>
      <w:bookmarkEnd w:id="791"/>
      <w:bookmarkEnd w:id="792"/>
      <w:bookmarkEnd w:id="793"/>
    </w:p>
    <w:p w:rsidR="009C5C1F" w:rsidRDefault="004D2E0D">
      <w:pPr>
        <w:pStyle w:val="2-"/>
        <w:adjustRightInd w:val="0"/>
        <w:snapToGrid w:val="0"/>
        <w:spacing w:line="500" w:lineRule="exact"/>
        <w:rPr>
          <w:rFonts w:cs="宋体"/>
        </w:rPr>
      </w:pPr>
      <w:r>
        <w:rPr>
          <w:rFonts w:cs="宋体" w:hint="eastAsia"/>
        </w:rPr>
        <w:t>甘肃省临泽县板桥</w:t>
      </w:r>
      <w:proofErr w:type="gramStart"/>
      <w:r>
        <w:rPr>
          <w:rFonts w:cs="宋体" w:hint="eastAsia"/>
        </w:rPr>
        <w:t>镇壕洼村</w:t>
      </w:r>
      <w:proofErr w:type="gramEnd"/>
      <w:r>
        <w:rPr>
          <w:rFonts w:hint="eastAsia"/>
        </w:rPr>
        <w:t>正北山西侧砖瓦用粘土</w:t>
      </w:r>
      <w:proofErr w:type="gramStart"/>
      <w:r>
        <w:rPr>
          <w:rFonts w:hint="eastAsia"/>
        </w:rPr>
        <w:t>矿</w:t>
      </w:r>
      <w:r>
        <w:rPr>
          <w:rFonts w:cs="宋体" w:hint="eastAsia"/>
        </w:rPr>
        <w:t>存在</w:t>
      </w:r>
      <w:proofErr w:type="gramEnd"/>
      <w:r>
        <w:rPr>
          <w:rFonts w:cs="宋体" w:hint="eastAsia"/>
        </w:rPr>
        <w:t>的主要危险和有</w:t>
      </w:r>
      <w:r>
        <w:rPr>
          <w:rFonts w:cs="宋体" w:hint="eastAsia"/>
        </w:rPr>
        <w:lastRenderedPageBreak/>
        <w:t>害因素有：</w:t>
      </w:r>
      <w:r>
        <w:rPr>
          <w:rFonts w:cs="宋体" w:hint="eastAsia"/>
          <w:lang w:val="zh-CN"/>
        </w:rPr>
        <w:t>露天边坡失稳造成的滑坡（片帮）、塌方灾害及排弃灾害</w:t>
      </w:r>
      <w:r>
        <w:rPr>
          <w:rFonts w:cs="宋体" w:hint="eastAsia"/>
        </w:rPr>
        <w:t>、触电、机械伤害、高处坠落、物体打击、车辆伤害、职业危害等十多项，这些主要危险和有害因素虽然具有一定的安全风险，但建设单位只要严格按照 “三同时”原则，在项目的生产过程中将本报告中提出的安全对策措施真正落实到位，同时加强安全管理、安全教育和事故隐患的排查，则该项目主要危险和有害因素的危险、危害程度完全能够控制在可承受的范围内，其安全风险是能够避免的，其潜在的主要危险和有害因素可以得到有效控制，预期能符合安全生产条件，劳动安全方面是可以接受的，在安全上是可靠的。</w:t>
      </w:r>
    </w:p>
    <w:p w:rsidR="009C5C1F" w:rsidRDefault="009C5C1F">
      <w:pPr>
        <w:pStyle w:val="2-"/>
        <w:spacing w:line="500" w:lineRule="exact"/>
        <w:rPr>
          <w:rFonts w:cs="宋体"/>
        </w:rPr>
      </w:pPr>
    </w:p>
    <w:p w:rsidR="009C5C1F" w:rsidRDefault="004D2E0D">
      <w:pPr>
        <w:pStyle w:val="1"/>
        <w:spacing w:beforeLines="100" w:before="360" w:after="0" w:line="500" w:lineRule="exact"/>
        <w:rPr>
          <w:color w:val="FF0000"/>
        </w:rPr>
      </w:pPr>
      <w:r>
        <w:rPr>
          <w:rFonts w:ascii="宋体" w:hAnsi="宋体" w:cs="宋体" w:hint="eastAsia"/>
        </w:rPr>
        <w:br w:type="page"/>
      </w:r>
      <w:bookmarkStart w:id="794" w:name="_Toc502783503"/>
      <w:bookmarkStart w:id="795" w:name="_Toc153130756"/>
      <w:bookmarkStart w:id="796" w:name="_Toc511226446"/>
      <w:bookmarkStart w:id="797" w:name="_Toc70589809"/>
      <w:r>
        <w:rPr>
          <w:rStyle w:val="1Char"/>
          <w:rFonts w:hint="eastAsia"/>
          <w:b/>
          <w:bCs/>
          <w:sz w:val="24"/>
          <w:szCs w:val="24"/>
        </w:rPr>
        <w:lastRenderedPageBreak/>
        <w:t xml:space="preserve">12   </w:t>
      </w:r>
      <w:r>
        <w:rPr>
          <w:rStyle w:val="1Char"/>
          <w:rFonts w:hint="eastAsia"/>
          <w:b/>
          <w:bCs/>
          <w:sz w:val="24"/>
          <w:szCs w:val="24"/>
        </w:rPr>
        <w:t>开发利用方案简要结论</w:t>
      </w:r>
      <w:bookmarkEnd w:id="794"/>
      <w:bookmarkEnd w:id="795"/>
      <w:bookmarkEnd w:id="796"/>
      <w:bookmarkEnd w:id="797"/>
    </w:p>
    <w:p w:rsidR="009C5C1F" w:rsidRDefault="004D2E0D">
      <w:pPr>
        <w:pStyle w:val="2"/>
        <w:spacing w:beforeLines="100" w:before="360" w:line="500" w:lineRule="atLeast"/>
        <w:ind w:firstLine="482"/>
        <w:rPr>
          <w:rFonts w:ascii="宋体" w:eastAsia="宋体" w:hAnsi="宋体" w:cs="宋体"/>
          <w:sz w:val="24"/>
          <w:szCs w:val="24"/>
        </w:rPr>
      </w:pPr>
      <w:bookmarkStart w:id="798" w:name="_Toc395519083"/>
      <w:bookmarkStart w:id="799" w:name="_Toc70589810"/>
      <w:bookmarkStart w:id="800" w:name="_Toc153130757"/>
      <w:bookmarkStart w:id="801" w:name="_Toc502783504"/>
      <w:bookmarkStart w:id="802" w:name="_Toc214407052"/>
      <w:bookmarkStart w:id="803" w:name="_Toc511226447"/>
      <w:bookmarkStart w:id="804" w:name="_Toc395519252"/>
      <w:r>
        <w:rPr>
          <w:rFonts w:ascii="宋体" w:eastAsia="宋体" w:hAnsi="宋体" w:cs="宋体" w:hint="eastAsia"/>
          <w:sz w:val="24"/>
          <w:szCs w:val="24"/>
        </w:rPr>
        <w:t>12.1 工程概况</w:t>
      </w:r>
      <w:bookmarkEnd w:id="798"/>
      <w:bookmarkEnd w:id="799"/>
      <w:bookmarkEnd w:id="800"/>
      <w:bookmarkEnd w:id="801"/>
      <w:bookmarkEnd w:id="802"/>
      <w:bookmarkEnd w:id="803"/>
      <w:bookmarkEnd w:id="804"/>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开采方式：露天开采；</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开采规模：</w:t>
      </w:r>
      <w:r>
        <w:rPr>
          <w:rFonts w:ascii="宋体" w:hAnsi="宋体" w:cs="宋体"/>
          <w:sz w:val="24"/>
        </w:rPr>
        <w:t>10</w:t>
      </w:r>
      <w:r>
        <w:rPr>
          <w:rFonts w:ascii="Arial" w:hAnsi="Arial" w:cs="Arial"/>
          <w:sz w:val="24"/>
        </w:rPr>
        <w:t>×</w:t>
      </w:r>
      <w:r>
        <w:rPr>
          <w:rFonts w:ascii="宋体" w:hAnsi="宋体" w:cs="宋体" w:hint="eastAsia"/>
          <w:sz w:val="24"/>
        </w:rPr>
        <w:t>10</w:t>
      </w:r>
      <w:r>
        <w:rPr>
          <w:rFonts w:ascii="宋体" w:hAnsi="宋体" w:cs="宋体" w:hint="eastAsia"/>
          <w:sz w:val="24"/>
          <w:vertAlign w:val="superscript"/>
        </w:rPr>
        <w:t>4</w:t>
      </w:r>
      <w:r>
        <w:rPr>
          <w:rFonts w:ascii="宋体" w:hAnsi="宋体" w:cs="宋体" w:hint="eastAsia"/>
          <w:sz w:val="24"/>
        </w:rPr>
        <w:t>m</w:t>
      </w:r>
      <w:r>
        <w:rPr>
          <w:rFonts w:ascii="宋体" w:hAnsi="宋体" w:cs="宋体" w:hint="eastAsia"/>
          <w:sz w:val="24"/>
          <w:vertAlign w:val="superscript"/>
        </w:rPr>
        <w:t>3</w:t>
      </w:r>
      <w:r>
        <w:rPr>
          <w:rFonts w:ascii="宋体" w:hAnsi="宋体" w:cs="宋体" w:hint="eastAsia"/>
          <w:sz w:val="24"/>
        </w:rPr>
        <w:t>/</w:t>
      </w:r>
      <w:r>
        <w:rPr>
          <w:rFonts w:ascii="宋体" w:hAnsi="宋体" w:cs="宋体"/>
          <w:sz w:val="24"/>
        </w:rPr>
        <w:t>a</w:t>
      </w:r>
      <w:r>
        <w:rPr>
          <w:rFonts w:ascii="宋体" w:hAnsi="宋体" w:cs="宋体" w:hint="eastAsia"/>
          <w:sz w:val="24"/>
        </w:rPr>
        <w:t>；</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矿山服务年限：</w:t>
      </w:r>
      <w:r>
        <w:rPr>
          <w:rFonts w:ascii="宋体" w:hAnsi="宋体" w:cs="宋体"/>
          <w:sz w:val="24"/>
        </w:rPr>
        <w:t>11</w:t>
      </w:r>
      <w:r>
        <w:rPr>
          <w:rFonts w:ascii="宋体" w:hAnsi="宋体" w:cs="宋体" w:hint="eastAsia"/>
          <w:sz w:val="24"/>
        </w:rPr>
        <w:t>a（不含基建期）；</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开拓方式：公路运输（汽车）开拓；</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采矿方式：根据矿山地质地形条件、矿体赋存特征，设计采用挖掘机采挖，一次性开采全高的采矿方法；</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最终产品：砖瓦用粘土矿。</w:t>
      </w:r>
    </w:p>
    <w:p w:rsidR="009C5C1F" w:rsidRDefault="004D2E0D">
      <w:pPr>
        <w:pStyle w:val="2"/>
        <w:spacing w:beforeLines="100" w:before="360" w:line="500" w:lineRule="atLeast"/>
        <w:ind w:firstLine="482"/>
        <w:rPr>
          <w:rFonts w:ascii="宋体" w:eastAsia="宋体" w:hAnsi="宋体" w:cs="宋体"/>
          <w:sz w:val="24"/>
          <w:szCs w:val="24"/>
        </w:rPr>
      </w:pPr>
      <w:bookmarkStart w:id="805" w:name="_Toc70589811"/>
      <w:bookmarkStart w:id="806" w:name="_Toc395519253"/>
      <w:bookmarkStart w:id="807" w:name="_Toc511226448"/>
      <w:bookmarkStart w:id="808" w:name="_Toc153130758"/>
      <w:bookmarkStart w:id="809" w:name="_Toc502783505"/>
      <w:bookmarkStart w:id="810" w:name="_Toc395519084"/>
      <w:bookmarkStart w:id="811" w:name="_Toc213683118"/>
      <w:bookmarkStart w:id="812" w:name="_Toc211070140"/>
      <w:bookmarkStart w:id="813" w:name="_Toc214407053"/>
      <w:r>
        <w:rPr>
          <w:rFonts w:ascii="宋体" w:eastAsia="宋体" w:hAnsi="宋体" w:cs="宋体" w:hint="eastAsia"/>
          <w:sz w:val="24"/>
          <w:szCs w:val="24"/>
        </w:rPr>
        <w:t>12.2 主要技术指标表</w:t>
      </w:r>
      <w:bookmarkEnd w:id="805"/>
      <w:bookmarkEnd w:id="806"/>
      <w:bookmarkEnd w:id="807"/>
      <w:bookmarkEnd w:id="808"/>
      <w:bookmarkEnd w:id="809"/>
      <w:bookmarkEnd w:id="810"/>
    </w:p>
    <w:tbl>
      <w:tblPr>
        <w:tblW w:w="8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719"/>
        <w:gridCol w:w="1174"/>
        <w:gridCol w:w="2628"/>
        <w:gridCol w:w="1231"/>
      </w:tblGrid>
      <w:tr w:rsidR="009C5C1F">
        <w:trPr>
          <w:tblHeader/>
        </w:trPr>
        <w:tc>
          <w:tcPr>
            <w:tcW w:w="8427" w:type="dxa"/>
            <w:gridSpan w:val="5"/>
            <w:tcBorders>
              <w:top w:val="nil"/>
              <w:left w:val="nil"/>
              <w:right w:val="nil"/>
            </w:tcBorders>
            <w:vAlign w:val="center"/>
          </w:tcPr>
          <w:p w:rsidR="009C5C1F" w:rsidRDefault="004D2E0D">
            <w:pPr>
              <w:pStyle w:val="5-"/>
              <w:adjustRightInd w:val="0"/>
              <w:snapToGrid w:val="0"/>
              <w:spacing w:line="500" w:lineRule="exact"/>
              <w:ind w:firstLineChars="600" w:firstLine="1446"/>
              <w:jc w:val="left"/>
              <w:rPr>
                <w:rFonts w:ascii="仿宋" w:eastAsia="仿宋" w:hAnsi="仿宋" w:cs="宋体"/>
                <w:b/>
                <w:color w:val="auto"/>
                <w:kern w:val="0"/>
              </w:rPr>
            </w:pPr>
            <w:r>
              <w:rPr>
                <w:rFonts w:ascii="仿宋" w:eastAsia="仿宋" w:hAnsi="仿宋" w:cs="宋体" w:hint="eastAsia"/>
                <w:b/>
                <w:color w:val="auto"/>
                <w:kern w:val="0"/>
              </w:rPr>
              <w:t xml:space="preserve">表12-1                 主要技术指标表   </w:t>
            </w:r>
          </w:p>
        </w:tc>
      </w:tr>
      <w:tr w:rsidR="009C5C1F">
        <w:trPr>
          <w:trHeight w:val="340"/>
          <w:tblHeader/>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序号</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指标名称</w:t>
            </w:r>
          </w:p>
        </w:tc>
        <w:tc>
          <w:tcPr>
            <w:tcW w:w="1174"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单位</w:t>
            </w: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指标</w:t>
            </w:r>
          </w:p>
        </w:tc>
        <w:tc>
          <w:tcPr>
            <w:tcW w:w="1231"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备注</w:t>
            </w: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proofErr w:type="gramStart"/>
            <w:r>
              <w:rPr>
                <w:rFonts w:ascii="仿宋" w:eastAsia="仿宋" w:hAnsi="仿宋" w:cs="宋体" w:hint="eastAsia"/>
                <w:color w:val="auto"/>
                <w:kern w:val="0"/>
                <w:sz w:val="21"/>
                <w:szCs w:val="21"/>
              </w:rPr>
              <w:t>一</w:t>
            </w:r>
            <w:proofErr w:type="gramEnd"/>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资源参数</w:t>
            </w:r>
          </w:p>
        </w:tc>
        <w:tc>
          <w:tcPr>
            <w:tcW w:w="1174"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c>
          <w:tcPr>
            <w:tcW w:w="2628"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1</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资源总量</w:t>
            </w:r>
          </w:p>
        </w:tc>
        <w:tc>
          <w:tcPr>
            <w:tcW w:w="1174"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×10</w:t>
            </w:r>
            <w:r>
              <w:rPr>
                <w:rFonts w:ascii="仿宋" w:eastAsia="仿宋" w:hAnsi="仿宋" w:cs="宋体" w:hint="eastAsia"/>
                <w:color w:val="auto"/>
                <w:kern w:val="0"/>
                <w:sz w:val="21"/>
                <w:szCs w:val="21"/>
                <w:vertAlign w:val="superscript"/>
              </w:rPr>
              <w:t>4</w:t>
            </w:r>
            <w:r>
              <w:rPr>
                <w:rFonts w:ascii="仿宋" w:eastAsia="仿宋" w:hAnsi="仿宋" w:cs="宋体" w:hint="eastAsia"/>
                <w:color w:val="auto"/>
                <w:kern w:val="0"/>
                <w:sz w:val="21"/>
                <w:szCs w:val="21"/>
              </w:rPr>
              <w:t>m</w:t>
            </w:r>
            <w:r>
              <w:rPr>
                <w:rFonts w:ascii="仿宋" w:eastAsia="仿宋" w:hAnsi="仿宋" w:cs="宋体" w:hint="eastAsia"/>
                <w:color w:val="auto"/>
                <w:kern w:val="0"/>
                <w:sz w:val="21"/>
                <w:szCs w:val="21"/>
                <w:vertAlign w:val="superscript"/>
              </w:rPr>
              <w:t>3</w:t>
            </w: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color w:val="auto"/>
                <w:kern w:val="0"/>
                <w:sz w:val="21"/>
                <w:szCs w:val="21"/>
              </w:rPr>
              <w:t>124.1</w:t>
            </w: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2</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olor w:val="auto"/>
                <w:kern w:val="0"/>
                <w:sz w:val="21"/>
                <w:szCs w:val="21"/>
              </w:rPr>
            </w:pPr>
            <w:r>
              <w:rPr>
                <w:rFonts w:ascii="仿宋" w:eastAsia="仿宋" w:hAnsi="仿宋" w:cs="宋体" w:hint="eastAsia"/>
                <w:color w:val="auto"/>
                <w:kern w:val="0"/>
                <w:sz w:val="21"/>
                <w:szCs w:val="21"/>
              </w:rPr>
              <w:t>设计可利用资源</w:t>
            </w:r>
          </w:p>
        </w:tc>
        <w:tc>
          <w:tcPr>
            <w:tcW w:w="1174"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×10</w:t>
            </w:r>
            <w:r>
              <w:rPr>
                <w:rFonts w:ascii="仿宋" w:eastAsia="仿宋" w:hAnsi="仿宋" w:cs="宋体" w:hint="eastAsia"/>
                <w:color w:val="auto"/>
                <w:kern w:val="0"/>
                <w:sz w:val="21"/>
                <w:szCs w:val="21"/>
                <w:vertAlign w:val="superscript"/>
              </w:rPr>
              <w:t>4</w:t>
            </w:r>
            <w:r>
              <w:rPr>
                <w:rFonts w:ascii="仿宋" w:eastAsia="仿宋" w:hAnsi="仿宋" w:cs="宋体" w:hint="eastAsia"/>
                <w:color w:val="auto"/>
                <w:kern w:val="0"/>
                <w:sz w:val="21"/>
                <w:szCs w:val="21"/>
              </w:rPr>
              <w:t>m</w:t>
            </w:r>
            <w:r>
              <w:rPr>
                <w:rFonts w:ascii="仿宋" w:eastAsia="仿宋" w:hAnsi="仿宋" w:cs="宋体" w:hint="eastAsia"/>
                <w:color w:val="auto"/>
                <w:kern w:val="0"/>
                <w:sz w:val="21"/>
                <w:szCs w:val="21"/>
                <w:vertAlign w:val="superscript"/>
              </w:rPr>
              <w:t>3</w:t>
            </w: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color w:val="auto"/>
                <w:spacing w:val="-2"/>
                <w:sz w:val="21"/>
                <w:szCs w:val="21"/>
              </w:rPr>
              <w:t>115.1</w:t>
            </w: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3</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资源可利用率</w:t>
            </w:r>
          </w:p>
        </w:tc>
        <w:tc>
          <w:tcPr>
            <w:tcW w:w="1174"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color w:val="auto"/>
                <w:kern w:val="0"/>
                <w:sz w:val="21"/>
                <w:szCs w:val="21"/>
              </w:rPr>
              <w:t>100</w:t>
            </w:r>
            <w:r>
              <w:rPr>
                <w:rFonts w:ascii="仿宋" w:eastAsia="仿宋" w:hAnsi="仿宋" w:cs="宋体" w:hint="eastAsia"/>
                <w:color w:val="auto"/>
                <w:kern w:val="0"/>
                <w:sz w:val="21"/>
                <w:szCs w:val="21"/>
              </w:rPr>
              <w:t>%</w:t>
            </w: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4</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回采率</w:t>
            </w:r>
          </w:p>
        </w:tc>
        <w:tc>
          <w:tcPr>
            <w:tcW w:w="1174"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95%</w:t>
            </w: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二</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采矿</w:t>
            </w:r>
          </w:p>
        </w:tc>
        <w:tc>
          <w:tcPr>
            <w:tcW w:w="1174"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c>
          <w:tcPr>
            <w:tcW w:w="2628"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1</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生产规模</w:t>
            </w:r>
          </w:p>
        </w:tc>
        <w:tc>
          <w:tcPr>
            <w:tcW w:w="1174"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×10</w:t>
            </w:r>
            <w:r>
              <w:rPr>
                <w:rFonts w:ascii="仿宋" w:eastAsia="仿宋" w:hAnsi="仿宋" w:cs="宋体" w:hint="eastAsia"/>
                <w:color w:val="auto"/>
                <w:kern w:val="0"/>
                <w:sz w:val="21"/>
                <w:szCs w:val="21"/>
                <w:vertAlign w:val="superscript"/>
              </w:rPr>
              <w:t>4</w:t>
            </w:r>
            <w:r>
              <w:rPr>
                <w:rFonts w:ascii="仿宋" w:eastAsia="仿宋" w:hAnsi="仿宋" w:cs="宋体" w:hint="eastAsia"/>
                <w:color w:val="auto"/>
                <w:kern w:val="0"/>
                <w:sz w:val="21"/>
                <w:szCs w:val="21"/>
              </w:rPr>
              <w:t>m</w:t>
            </w:r>
            <w:r>
              <w:rPr>
                <w:rFonts w:ascii="仿宋" w:eastAsia="仿宋" w:hAnsi="仿宋" w:cs="宋体" w:hint="eastAsia"/>
                <w:color w:val="auto"/>
                <w:kern w:val="0"/>
                <w:sz w:val="21"/>
                <w:szCs w:val="21"/>
                <w:vertAlign w:val="superscript"/>
              </w:rPr>
              <w:t>3</w:t>
            </w:r>
            <w:r>
              <w:rPr>
                <w:rFonts w:ascii="仿宋" w:eastAsia="仿宋" w:hAnsi="仿宋" w:cs="宋体" w:hint="eastAsia"/>
                <w:color w:val="auto"/>
                <w:kern w:val="0"/>
                <w:sz w:val="21"/>
                <w:szCs w:val="21"/>
              </w:rPr>
              <w:t>/a</w:t>
            </w: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1</w:t>
            </w:r>
            <w:r>
              <w:rPr>
                <w:rFonts w:ascii="仿宋" w:eastAsia="仿宋" w:hAnsi="仿宋" w:cs="宋体"/>
                <w:color w:val="auto"/>
                <w:kern w:val="0"/>
                <w:sz w:val="21"/>
                <w:szCs w:val="21"/>
              </w:rPr>
              <w:t>0</w:t>
            </w: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2</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矿山服务年限</w:t>
            </w:r>
          </w:p>
        </w:tc>
        <w:tc>
          <w:tcPr>
            <w:tcW w:w="1174"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年</w:t>
            </w: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color w:val="auto"/>
                <w:kern w:val="0"/>
                <w:sz w:val="21"/>
                <w:szCs w:val="21"/>
              </w:rPr>
              <w:t>11</w:t>
            </w: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3</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开采方式</w:t>
            </w:r>
          </w:p>
        </w:tc>
        <w:tc>
          <w:tcPr>
            <w:tcW w:w="1174"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露天开采</w:t>
            </w: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4</w:t>
            </w:r>
          </w:p>
        </w:tc>
        <w:tc>
          <w:tcPr>
            <w:tcW w:w="2719" w:type="dxa"/>
            <w:vAlign w:val="center"/>
          </w:tcPr>
          <w:p w:rsidR="009C5C1F" w:rsidRDefault="004D2E0D">
            <w:pPr>
              <w:pStyle w:val="5-"/>
              <w:adjustRightInd w:val="0"/>
              <w:snapToGrid w:val="0"/>
              <w:spacing w:line="500" w:lineRule="exact"/>
              <w:ind w:firstLineChars="400" w:firstLine="840"/>
              <w:rPr>
                <w:rFonts w:ascii="仿宋" w:eastAsia="仿宋" w:hAnsi="仿宋" w:cs="宋体"/>
                <w:color w:val="auto"/>
                <w:kern w:val="0"/>
                <w:sz w:val="21"/>
                <w:szCs w:val="21"/>
              </w:rPr>
            </w:pPr>
            <w:r>
              <w:rPr>
                <w:rFonts w:ascii="仿宋" w:eastAsia="仿宋" w:hAnsi="仿宋" w:cs="宋体" w:hint="eastAsia"/>
                <w:color w:val="auto"/>
                <w:kern w:val="0"/>
                <w:sz w:val="21"/>
                <w:szCs w:val="21"/>
              </w:rPr>
              <w:t>台阶高度</w:t>
            </w:r>
          </w:p>
        </w:tc>
        <w:tc>
          <w:tcPr>
            <w:tcW w:w="1174"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m</w:t>
            </w: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5</w:t>
            </w: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5</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开拓方式</w:t>
            </w:r>
          </w:p>
        </w:tc>
        <w:tc>
          <w:tcPr>
            <w:tcW w:w="1174"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公路开拓、汽车运输</w:t>
            </w: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6</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开采矿体顶部标高</w:t>
            </w:r>
          </w:p>
        </w:tc>
        <w:tc>
          <w:tcPr>
            <w:tcW w:w="1174"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m</w:t>
            </w: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+1</w:t>
            </w:r>
            <w:r>
              <w:rPr>
                <w:rFonts w:ascii="仿宋" w:eastAsia="仿宋" w:hAnsi="仿宋" w:cs="宋体"/>
                <w:color w:val="auto"/>
                <w:kern w:val="0"/>
                <w:sz w:val="21"/>
                <w:szCs w:val="21"/>
              </w:rPr>
              <w:t>371</w:t>
            </w: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7</w:t>
            </w:r>
          </w:p>
        </w:tc>
        <w:tc>
          <w:tcPr>
            <w:tcW w:w="2719"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开采矿体底部标高</w:t>
            </w:r>
          </w:p>
        </w:tc>
        <w:tc>
          <w:tcPr>
            <w:tcW w:w="1174"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m</w:t>
            </w:r>
          </w:p>
        </w:tc>
        <w:tc>
          <w:tcPr>
            <w:tcW w:w="2628" w:type="dxa"/>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+1</w:t>
            </w:r>
            <w:r>
              <w:rPr>
                <w:rFonts w:ascii="仿宋" w:eastAsia="仿宋" w:hAnsi="仿宋" w:cs="宋体"/>
                <w:color w:val="auto"/>
                <w:kern w:val="0"/>
                <w:sz w:val="21"/>
                <w:szCs w:val="21"/>
              </w:rPr>
              <w:t>353</w:t>
            </w:r>
          </w:p>
        </w:tc>
        <w:tc>
          <w:tcPr>
            <w:tcW w:w="1231" w:type="dxa"/>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r w:rsidR="009C5C1F">
        <w:trPr>
          <w:trHeight w:val="340"/>
        </w:trPr>
        <w:tc>
          <w:tcPr>
            <w:tcW w:w="675" w:type="dxa"/>
            <w:tcBorders>
              <w:top w:val="single" w:sz="4" w:space="0" w:color="000000"/>
              <w:left w:val="single" w:sz="4" w:space="0" w:color="000000"/>
              <w:bottom w:val="single" w:sz="4" w:space="0" w:color="000000"/>
              <w:right w:val="single" w:sz="4" w:space="0" w:color="000000"/>
            </w:tcBorders>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lastRenderedPageBreak/>
              <w:t>8</w:t>
            </w:r>
          </w:p>
        </w:tc>
        <w:tc>
          <w:tcPr>
            <w:tcW w:w="2719" w:type="dxa"/>
            <w:tcBorders>
              <w:top w:val="single" w:sz="4" w:space="0" w:color="000000"/>
              <w:left w:val="single" w:sz="4" w:space="0" w:color="000000"/>
              <w:bottom w:val="single" w:sz="4" w:space="0" w:color="000000"/>
              <w:right w:val="single" w:sz="4" w:space="0" w:color="000000"/>
            </w:tcBorders>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采场最终边坡角</w:t>
            </w:r>
          </w:p>
        </w:tc>
        <w:tc>
          <w:tcPr>
            <w:tcW w:w="1174" w:type="dxa"/>
            <w:tcBorders>
              <w:top w:val="single" w:sz="4" w:space="0" w:color="000000"/>
              <w:left w:val="single" w:sz="4" w:space="0" w:color="000000"/>
              <w:bottom w:val="single" w:sz="4" w:space="0" w:color="000000"/>
              <w:right w:val="single" w:sz="4" w:space="0" w:color="000000"/>
            </w:tcBorders>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w:t>
            </w:r>
          </w:p>
        </w:tc>
        <w:tc>
          <w:tcPr>
            <w:tcW w:w="2628" w:type="dxa"/>
            <w:tcBorders>
              <w:top w:val="single" w:sz="4" w:space="0" w:color="000000"/>
              <w:left w:val="single" w:sz="4" w:space="0" w:color="000000"/>
              <w:bottom w:val="single" w:sz="4" w:space="0" w:color="000000"/>
              <w:right w:val="single" w:sz="4" w:space="0" w:color="000000"/>
            </w:tcBorders>
            <w:vAlign w:val="center"/>
          </w:tcPr>
          <w:p w:rsidR="009C5C1F" w:rsidRDefault="004D2E0D">
            <w:pPr>
              <w:pStyle w:val="5-"/>
              <w:adjustRightInd w:val="0"/>
              <w:snapToGrid w:val="0"/>
              <w:spacing w:line="500" w:lineRule="exact"/>
              <w:ind w:firstLineChars="0" w:firstLine="0"/>
              <w:jc w:val="center"/>
              <w:rPr>
                <w:rFonts w:ascii="仿宋" w:eastAsia="仿宋" w:hAnsi="仿宋" w:cs="宋体"/>
                <w:color w:val="auto"/>
                <w:kern w:val="0"/>
                <w:sz w:val="21"/>
                <w:szCs w:val="21"/>
              </w:rPr>
            </w:pPr>
            <w:r>
              <w:rPr>
                <w:rFonts w:ascii="仿宋" w:eastAsia="仿宋" w:hAnsi="仿宋" w:cs="宋体" w:hint="eastAsia"/>
                <w:color w:val="auto"/>
                <w:kern w:val="0"/>
                <w:sz w:val="21"/>
                <w:szCs w:val="21"/>
              </w:rPr>
              <w:t>45°</w:t>
            </w:r>
          </w:p>
        </w:tc>
        <w:tc>
          <w:tcPr>
            <w:tcW w:w="1231" w:type="dxa"/>
            <w:tcBorders>
              <w:top w:val="single" w:sz="4" w:space="0" w:color="000000"/>
              <w:left w:val="single" w:sz="4" w:space="0" w:color="000000"/>
              <w:bottom w:val="single" w:sz="4" w:space="0" w:color="000000"/>
              <w:right w:val="single" w:sz="4" w:space="0" w:color="000000"/>
            </w:tcBorders>
            <w:vAlign w:val="center"/>
          </w:tcPr>
          <w:p w:rsidR="009C5C1F" w:rsidRDefault="009C5C1F">
            <w:pPr>
              <w:pStyle w:val="5-"/>
              <w:adjustRightInd w:val="0"/>
              <w:snapToGrid w:val="0"/>
              <w:spacing w:line="500" w:lineRule="exact"/>
              <w:ind w:firstLineChars="0" w:firstLine="0"/>
              <w:jc w:val="center"/>
              <w:rPr>
                <w:rFonts w:ascii="仿宋" w:eastAsia="仿宋" w:hAnsi="仿宋" w:cs="宋体"/>
                <w:color w:val="auto"/>
                <w:kern w:val="0"/>
                <w:sz w:val="21"/>
                <w:szCs w:val="21"/>
              </w:rPr>
            </w:pPr>
          </w:p>
        </w:tc>
      </w:tr>
    </w:tbl>
    <w:p w:rsidR="009C5C1F" w:rsidRDefault="004D2E0D">
      <w:pPr>
        <w:pStyle w:val="2"/>
        <w:spacing w:beforeLines="100" w:before="360" w:line="500" w:lineRule="atLeast"/>
        <w:ind w:firstLine="482"/>
        <w:rPr>
          <w:rFonts w:ascii="宋体" w:eastAsia="宋体" w:hAnsi="宋体" w:cs="宋体"/>
          <w:color w:val="FF0000"/>
          <w:sz w:val="24"/>
          <w:szCs w:val="24"/>
        </w:rPr>
      </w:pPr>
      <w:bookmarkStart w:id="814" w:name="_Toc395519085"/>
      <w:bookmarkStart w:id="815" w:name="_Toc395519254"/>
      <w:bookmarkStart w:id="816" w:name="_Toc502783506"/>
      <w:bookmarkStart w:id="817" w:name="_Toc511226449"/>
      <w:bookmarkStart w:id="818" w:name="_Toc70589812"/>
      <w:bookmarkStart w:id="819" w:name="_Toc153130759"/>
      <w:r>
        <w:rPr>
          <w:rFonts w:ascii="宋体" w:eastAsia="宋体" w:hAnsi="宋体" w:cs="宋体" w:hint="eastAsia"/>
          <w:sz w:val="24"/>
          <w:szCs w:val="24"/>
        </w:rPr>
        <w:t>12.3 工程项目综合评价</w:t>
      </w:r>
      <w:bookmarkEnd w:id="811"/>
      <w:bookmarkEnd w:id="812"/>
      <w:bookmarkEnd w:id="813"/>
      <w:bookmarkEnd w:id="814"/>
      <w:bookmarkEnd w:id="815"/>
      <w:bookmarkEnd w:id="816"/>
      <w:bookmarkEnd w:id="817"/>
      <w:bookmarkEnd w:id="818"/>
      <w:bookmarkEnd w:id="819"/>
    </w:p>
    <w:p w:rsidR="009C5C1F" w:rsidRDefault="004D2E0D">
      <w:pPr>
        <w:spacing w:line="500" w:lineRule="exact"/>
        <w:ind w:firstLineChars="200" w:firstLine="480"/>
        <w:rPr>
          <w:rFonts w:ascii="宋体" w:hAnsi="宋体" w:cs="宋体"/>
          <w:sz w:val="24"/>
        </w:rPr>
      </w:pPr>
      <w:r>
        <w:rPr>
          <w:rFonts w:ascii="宋体" w:hAnsi="宋体" w:cs="宋体" w:hint="eastAsia"/>
          <w:sz w:val="24"/>
        </w:rPr>
        <w:t>本工程地质资源储量可靠，外部建设条件好，开采技术条件可行。</w:t>
      </w:r>
    </w:p>
    <w:p w:rsidR="009C5C1F" w:rsidRDefault="004D2E0D">
      <w:pPr>
        <w:spacing w:line="500" w:lineRule="exact"/>
        <w:ind w:firstLineChars="200" w:firstLine="480"/>
        <w:rPr>
          <w:rFonts w:ascii="宋体" w:hAnsi="宋体" w:cs="宋体"/>
          <w:sz w:val="24"/>
        </w:rPr>
      </w:pPr>
      <w:r>
        <w:rPr>
          <w:rFonts w:ascii="宋体" w:hAnsi="宋体" w:cs="宋体" w:hint="eastAsia"/>
          <w:sz w:val="24"/>
        </w:rPr>
        <w:t>本项目建设投资总额</w:t>
      </w:r>
      <w:r>
        <w:rPr>
          <w:rFonts w:ascii="宋体" w:hAnsi="宋体" w:cs="宋体"/>
          <w:sz w:val="24"/>
        </w:rPr>
        <w:t>250.5</w:t>
      </w:r>
      <w:r>
        <w:rPr>
          <w:rFonts w:ascii="宋体" w:hAnsi="宋体" w:cs="宋体" w:hint="eastAsia"/>
          <w:sz w:val="24"/>
        </w:rPr>
        <w:t>万元，采出砖瓦用粘土矿矿点销售价格为3</w:t>
      </w:r>
      <w:r>
        <w:rPr>
          <w:rFonts w:ascii="宋体" w:hAnsi="宋体" w:cs="宋体"/>
          <w:sz w:val="24"/>
        </w:rPr>
        <w:t>5</w:t>
      </w:r>
      <w:r>
        <w:rPr>
          <w:rFonts w:ascii="宋体" w:hAnsi="宋体" w:cs="宋体" w:hint="eastAsia"/>
          <w:sz w:val="24"/>
        </w:rPr>
        <w:t>元/m</w:t>
      </w:r>
      <w:r>
        <w:rPr>
          <w:rFonts w:ascii="宋体" w:hAnsi="宋体" w:cs="宋体" w:hint="eastAsia"/>
          <w:sz w:val="24"/>
          <w:vertAlign w:val="superscript"/>
        </w:rPr>
        <w:t>3</w:t>
      </w:r>
      <w:r>
        <w:rPr>
          <w:rFonts w:ascii="宋体" w:hAnsi="宋体" w:cs="宋体" w:hint="eastAsia"/>
          <w:sz w:val="24"/>
        </w:rPr>
        <w:t>，年总成本</w:t>
      </w:r>
      <w:r>
        <w:rPr>
          <w:rFonts w:ascii="宋体" w:hAnsi="宋体" w:cs="宋体"/>
          <w:sz w:val="24"/>
        </w:rPr>
        <w:t>180</w:t>
      </w:r>
      <w:r>
        <w:rPr>
          <w:rFonts w:ascii="宋体" w:hAnsi="宋体" w:cs="宋体" w:hint="eastAsia"/>
          <w:sz w:val="24"/>
        </w:rPr>
        <w:t>万元，税后利润为</w:t>
      </w:r>
      <w:r>
        <w:rPr>
          <w:rFonts w:ascii="宋体" w:hAnsi="宋体" w:cs="宋体"/>
          <w:sz w:val="24"/>
        </w:rPr>
        <w:t>87.04</w:t>
      </w:r>
      <w:r>
        <w:rPr>
          <w:rFonts w:ascii="宋体" w:hAnsi="宋体" w:cs="宋体" w:hint="eastAsia"/>
          <w:sz w:val="24"/>
        </w:rPr>
        <w:t>万元。</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hint="eastAsia"/>
          <w:kern w:val="0"/>
          <w:sz w:val="24"/>
        </w:rPr>
        <w:t>临泽县板桥镇建设粘土矿矿产资源储量满足要求，矿体埋藏条件好，粘土质量优良、稳定，通过多年的生产实践，该粘土符合耐火粘土原料的质量要求，达到了造浆及防渗透的质量要求，矿山无废石，无废渣排弃，矿山采场边坡稳定性较好。</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hint="eastAsia"/>
          <w:kern w:val="0"/>
          <w:sz w:val="24"/>
        </w:rPr>
        <w:t>矿山为新建矿山，但运行后可管理规范、正常生产。矿山开采对区域地质条件影响很小，对矿区生态环境影响较小，矿山露天开采技术可行，经济合理，具有较好的经济效益和社会效益。</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hint="eastAsia"/>
          <w:kern w:val="0"/>
          <w:sz w:val="24"/>
        </w:rPr>
        <w:t>该项目的建设，还可创造更多就业岗位，具有一定的经济效益和社会效益，项目建成后，必将有力地支持地方经济的发展，由于粘土矿的需求不断增大，价格持续走高，为抢抓机遇，建议尽快投资建设该项目。</w:t>
      </w:r>
    </w:p>
    <w:p w:rsidR="009C5C1F" w:rsidRDefault="004D2E0D">
      <w:pPr>
        <w:pStyle w:val="2"/>
        <w:spacing w:beforeLines="100" w:before="360" w:line="500" w:lineRule="atLeast"/>
        <w:ind w:firstLine="482"/>
        <w:rPr>
          <w:rFonts w:ascii="宋体" w:eastAsia="宋体" w:hAnsi="宋体" w:cs="宋体"/>
          <w:sz w:val="24"/>
          <w:szCs w:val="24"/>
        </w:rPr>
      </w:pPr>
      <w:bookmarkStart w:id="820" w:name="_Toc395519086"/>
      <w:bookmarkStart w:id="821" w:name="_Toc70589813"/>
      <w:bookmarkStart w:id="822" w:name="_Toc502783507"/>
      <w:bookmarkStart w:id="823" w:name="_Toc153130760"/>
      <w:bookmarkStart w:id="824" w:name="_Toc395519255"/>
      <w:bookmarkStart w:id="825" w:name="_Toc511226450"/>
      <w:r>
        <w:rPr>
          <w:rFonts w:ascii="宋体" w:eastAsia="宋体" w:hAnsi="宋体" w:cs="宋体" w:hint="eastAsia"/>
          <w:sz w:val="24"/>
          <w:szCs w:val="24"/>
        </w:rPr>
        <w:t>12.4 存在的问题及建议</w:t>
      </w:r>
      <w:bookmarkEnd w:id="820"/>
      <w:bookmarkEnd w:id="821"/>
      <w:bookmarkEnd w:id="822"/>
      <w:bookmarkEnd w:id="823"/>
      <w:bookmarkEnd w:id="824"/>
      <w:bookmarkEnd w:id="825"/>
    </w:p>
    <w:p w:rsidR="009C5C1F" w:rsidRDefault="004D2E0D">
      <w:pPr>
        <w:spacing w:line="500" w:lineRule="exact"/>
        <w:ind w:firstLineChars="200" w:firstLine="480"/>
        <w:rPr>
          <w:rFonts w:ascii="宋体" w:hAnsi="宋体" w:cs="宋体"/>
          <w:sz w:val="24"/>
        </w:rPr>
      </w:pPr>
      <w:r>
        <w:rPr>
          <w:rFonts w:ascii="宋体" w:hAnsi="宋体" w:cs="宋体" w:hint="eastAsia"/>
          <w:sz w:val="24"/>
        </w:rPr>
        <w:t>1.由于矿区内部坟堆较多，对矿山今后的经济效益将产生一定的影响，建议该矿对资源量进一步进行勘探查明。</w:t>
      </w:r>
    </w:p>
    <w:p w:rsidR="009C5C1F" w:rsidRDefault="004D2E0D">
      <w:pPr>
        <w:spacing w:line="500" w:lineRule="exact"/>
        <w:ind w:firstLineChars="200" w:firstLine="480"/>
        <w:rPr>
          <w:rFonts w:ascii="宋体" w:hAnsi="宋体" w:cs="宋体"/>
          <w:sz w:val="24"/>
        </w:rPr>
      </w:pPr>
      <w:r>
        <w:rPr>
          <w:rFonts w:ascii="宋体" w:hAnsi="宋体" w:cs="宋体"/>
          <w:sz w:val="24"/>
        </w:rPr>
        <w:t>2</w:t>
      </w:r>
      <w:r>
        <w:rPr>
          <w:rFonts w:ascii="宋体" w:hAnsi="宋体" w:cs="宋体" w:hint="eastAsia"/>
          <w:sz w:val="24"/>
        </w:rPr>
        <w:t>. 根据对该矿矿体围岩条件的分析，矿山在今后的生产中要注意采场边坡的稳固性，应加强观测检查，并采取应急措施，确保安全；</w:t>
      </w:r>
    </w:p>
    <w:p w:rsidR="009C5C1F" w:rsidRDefault="004D2E0D">
      <w:pPr>
        <w:spacing w:line="500" w:lineRule="exact"/>
        <w:ind w:firstLineChars="200" w:firstLine="480"/>
        <w:rPr>
          <w:rFonts w:ascii="宋体" w:hAnsi="宋体" w:cs="宋体"/>
          <w:sz w:val="24"/>
        </w:rPr>
      </w:pPr>
      <w:r>
        <w:rPr>
          <w:rFonts w:ascii="宋体" w:hAnsi="宋体" w:cs="宋体"/>
          <w:sz w:val="24"/>
        </w:rPr>
        <w:t>3</w:t>
      </w:r>
      <w:r>
        <w:rPr>
          <w:rFonts w:ascii="宋体" w:hAnsi="宋体" w:cs="宋体" w:hint="eastAsia"/>
          <w:sz w:val="24"/>
        </w:rPr>
        <w:t>．矿山开采时会对周围环境产生一定的影响，所以在今后的开采过程中应将保护环境放在工作的重要位置上，合理排渣，做好矿山复垦恢复的工作；</w:t>
      </w:r>
    </w:p>
    <w:p w:rsidR="009C5C1F" w:rsidRDefault="004D2E0D">
      <w:pPr>
        <w:spacing w:line="500" w:lineRule="exact"/>
        <w:ind w:firstLineChars="200" w:firstLine="480"/>
        <w:rPr>
          <w:rFonts w:ascii="宋体" w:hAnsi="宋体" w:cs="宋体"/>
          <w:sz w:val="24"/>
        </w:rPr>
      </w:pPr>
      <w:r>
        <w:rPr>
          <w:rFonts w:ascii="宋体" w:hAnsi="宋体" w:cs="宋体"/>
          <w:sz w:val="24"/>
        </w:rPr>
        <w:t>4</w:t>
      </w:r>
      <w:r>
        <w:rPr>
          <w:rFonts w:ascii="宋体" w:hAnsi="宋体" w:cs="宋体" w:hint="eastAsia"/>
          <w:sz w:val="24"/>
        </w:rPr>
        <w:t>. 矿山开采过程中应避免形成较高的陡坎边坡，必须严格按照施工工艺进行采矿，对于开挖后的覆盖层要集中堆放，以防止堆放不合理而诱发泥石流等地</w:t>
      </w:r>
      <w:r>
        <w:rPr>
          <w:rFonts w:ascii="宋体" w:hAnsi="宋体" w:cs="宋体" w:hint="eastAsia"/>
          <w:sz w:val="24"/>
        </w:rPr>
        <w:lastRenderedPageBreak/>
        <w:t>质灾害。</w:t>
      </w:r>
    </w:p>
    <w:p w:rsidR="009C5C1F" w:rsidRDefault="004D2E0D">
      <w:pPr>
        <w:spacing w:line="500" w:lineRule="exact"/>
        <w:ind w:firstLineChars="200" w:firstLine="480"/>
        <w:rPr>
          <w:rFonts w:ascii="宋体" w:hAnsi="宋体" w:cs="宋体"/>
          <w:sz w:val="24"/>
        </w:rPr>
        <w:sectPr w:rsidR="009C5C1F">
          <w:headerReference w:type="default" r:id="rId28"/>
          <w:footerReference w:type="default" r:id="rId29"/>
          <w:pgSz w:w="11906" w:h="16838"/>
          <w:pgMar w:top="1440" w:right="1797" w:bottom="1440" w:left="1797" w:header="907" w:footer="548" w:gutter="0"/>
          <w:pgNumType w:start="1"/>
          <w:cols w:space="720"/>
          <w:docGrid w:type="lines" w:linePitch="360"/>
        </w:sectPr>
      </w:pPr>
      <w:r>
        <w:rPr>
          <w:rFonts w:ascii="宋体" w:hAnsi="宋体" w:cs="宋体"/>
          <w:sz w:val="24"/>
        </w:rPr>
        <w:t>5</w:t>
      </w:r>
      <w:r>
        <w:rPr>
          <w:rFonts w:ascii="宋体" w:hAnsi="宋体" w:cs="宋体" w:hint="eastAsia"/>
          <w:sz w:val="24"/>
        </w:rPr>
        <w:t>. 企业要在矿产资源开采生产中切实加强地质环境的保护，坚持“在保护中开发，在开发中保护”的原则。注重矿产资源的有效保护和合理开发，把保护放在第一位，切实做好矿区的还土复草工作、种植作物和栽树，使土地资源充分发挥生态和经济效益。</w:t>
      </w:r>
    </w:p>
    <w:p w:rsidR="009C5C1F" w:rsidRDefault="004D2E0D">
      <w:pPr>
        <w:pStyle w:val="1"/>
        <w:spacing w:beforeLines="50" w:before="120" w:after="0" w:line="360" w:lineRule="auto"/>
      </w:pPr>
      <w:bookmarkStart w:id="826" w:name="_Toc70589814"/>
      <w:bookmarkStart w:id="827" w:name="_Toc153130761"/>
      <w:r>
        <w:lastRenderedPageBreak/>
        <w:t>第二部分</w:t>
      </w:r>
      <w:r>
        <w:rPr>
          <w:rFonts w:hint="eastAsia"/>
        </w:rPr>
        <w:t xml:space="preserve"> </w:t>
      </w:r>
      <w:r>
        <w:rPr>
          <w:rFonts w:hint="eastAsia"/>
        </w:rPr>
        <w:t>矿山地质环境保护与土地复垦方案</w:t>
      </w:r>
      <w:bookmarkEnd w:id="826"/>
      <w:bookmarkEnd w:id="827"/>
    </w:p>
    <w:p w:rsidR="009C5C1F" w:rsidRDefault="004D2E0D">
      <w:pPr>
        <w:keepNext/>
        <w:keepLines/>
        <w:suppressAutoHyphens/>
        <w:wordWrap w:val="0"/>
        <w:topLinePunct/>
        <w:spacing w:beforeLines="50" w:before="120" w:afterLines="50" w:after="120" w:line="580" w:lineRule="exact"/>
        <w:jc w:val="center"/>
        <w:outlineLvl w:val="0"/>
        <w:rPr>
          <w:b/>
          <w:bCs/>
          <w:kern w:val="44"/>
          <w:sz w:val="36"/>
          <w:szCs w:val="36"/>
        </w:rPr>
      </w:pPr>
      <w:bookmarkStart w:id="828" w:name="_Toc447615041"/>
      <w:bookmarkStart w:id="829" w:name="_Toc511226452"/>
      <w:bookmarkStart w:id="830" w:name="_Toc70589815"/>
      <w:bookmarkStart w:id="831" w:name="_Toc153130762"/>
      <w:r>
        <w:rPr>
          <w:rFonts w:hAnsi="宋体"/>
          <w:b/>
          <w:bCs/>
          <w:kern w:val="44"/>
          <w:sz w:val="36"/>
          <w:szCs w:val="36"/>
        </w:rPr>
        <w:t>前</w:t>
      </w:r>
      <w:r>
        <w:rPr>
          <w:b/>
          <w:bCs/>
          <w:kern w:val="44"/>
          <w:sz w:val="36"/>
          <w:szCs w:val="36"/>
        </w:rPr>
        <w:t xml:space="preserve"> </w:t>
      </w:r>
      <w:r>
        <w:rPr>
          <w:rFonts w:hAnsi="宋体"/>
          <w:b/>
          <w:bCs/>
          <w:kern w:val="44"/>
          <w:sz w:val="36"/>
          <w:szCs w:val="36"/>
        </w:rPr>
        <w:t>言</w:t>
      </w:r>
      <w:bookmarkEnd w:id="828"/>
      <w:bookmarkEnd w:id="829"/>
      <w:bookmarkEnd w:id="830"/>
      <w:bookmarkEnd w:id="831"/>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832" w:name="_Toc70589816"/>
      <w:bookmarkStart w:id="833" w:name="_Toc153130763"/>
      <w:bookmarkStart w:id="834" w:name="_Toc511226453"/>
      <w:bookmarkStart w:id="835" w:name="_Toc447615042"/>
      <w:r>
        <w:rPr>
          <w:rFonts w:eastAsia="黑体" w:hint="eastAsia"/>
          <w:b/>
          <w:bCs/>
          <w:sz w:val="28"/>
          <w:szCs w:val="30"/>
        </w:rPr>
        <w:t>一、</w:t>
      </w:r>
      <w:r>
        <w:rPr>
          <w:rFonts w:eastAsia="黑体" w:hint="eastAsia"/>
          <w:b/>
          <w:bCs/>
          <w:sz w:val="28"/>
          <w:szCs w:val="30"/>
        </w:rPr>
        <w:t xml:space="preserve"> </w:t>
      </w:r>
      <w:r>
        <w:rPr>
          <w:rFonts w:eastAsia="黑体"/>
          <w:b/>
          <w:bCs/>
          <w:sz w:val="28"/>
          <w:szCs w:val="30"/>
        </w:rPr>
        <w:t>任务的由来</w:t>
      </w:r>
      <w:bookmarkEnd w:id="832"/>
      <w:bookmarkEnd w:id="833"/>
      <w:bookmarkEnd w:id="834"/>
      <w:bookmarkEnd w:id="835"/>
    </w:p>
    <w:p w:rsidR="009C5C1F" w:rsidRDefault="004D2E0D">
      <w:pPr>
        <w:suppressAutoHyphens/>
        <w:wordWrap w:val="0"/>
        <w:topLinePunct/>
        <w:spacing w:line="360" w:lineRule="auto"/>
        <w:ind w:firstLineChars="200" w:firstLine="480"/>
        <w:rPr>
          <w:rFonts w:ascii="宋体" w:hAnsi="宋体"/>
          <w:sz w:val="24"/>
        </w:rPr>
      </w:pPr>
      <w:bookmarkStart w:id="836" w:name="_Toc447615043"/>
      <w:r>
        <w:rPr>
          <w:rFonts w:ascii="宋体" w:hAnsi="宋体" w:hint="eastAsia"/>
          <w:sz w:val="24"/>
        </w:rPr>
        <w:t>土地资源与矿产资源都是国家重要的自然资源，在开发矿产资源的同时要保护地质环境和利用好土地资源，坚持“在保护中开发，在开发中保护”、“科学规划、因地制宜、综合治理、经济可行、合理利用”的原则，加强矿业领域生态文明建设，加快矿业转型和绿色发展。</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根据自然资源部办公厅发布的《关于做好矿山地质环境保护与土地复垦方案编报有关工作的通知》（国土资</w:t>
      </w:r>
      <w:proofErr w:type="gramStart"/>
      <w:r>
        <w:rPr>
          <w:rFonts w:ascii="宋体" w:hAnsi="宋体" w:hint="eastAsia"/>
          <w:sz w:val="24"/>
        </w:rPr>
        <w:t>规</w:t>
      </w:r>
      <w:proofErr w:type="gramEnd"/>
      <w:r>
        <w:rPr>
          <w:rFonts w:ascii="宋体" w:hAnsi="宋体"/>
          <w:sz w:val="24"/>
        </w:rPr>
        <w:t>[2016]</w:t>
      </w:r>
      <w:r>
        <w:rPr>
          <w:rFonts w:ascii="宋体" w:hAnsi="宋体" w:hint="eastAsia"/>
          <w:sz w:val="24"/>
        </w:rPr>
        <w:t>21号）的相关规定及甘肃省自然资源厅发布的《矿山地质环境保护与土地复垦方案合将合并编报》的文件，结合原《财政部、国土部环保部关于取消矿山地质环境治理恢复保证金建立矿山地质环境治理恢复基金的指导意见》（</w:t>
      </w:r>
      <w:proofErr w:type="gramStart"/>
      <w:r>
        <w:rPr>
          <w:rFonts w:ascii="宋体" w:hAnsi="宋体" w:hint="eastAsia"/>
          <w:sz w:val="24"/>
        </w:rPr>
        <w:t>财建</w:t>
      </w:r>
      <w:proofErr w:type="gramEnd"/>
      <w:r>
        <w:rPr>
          <w:rFonts w:ascii="宋体" w:hAnsi="宋体"/>
          <w:sz w:val="24"/>
        </w:rPr>
        <w:t xml:space="preserve">[2017]638 </w:t>
      </w:r>
      <w:r>
        <w:rPr>
          <w:rFonts w:ascii="宋体" w:hAnsi="宋体" w:hint="eastAsia"/>
          <w:sz w:val="24"/>
        </w:rPr>
        <w:t>号），由矿山企业建立基金，筹集治理恢复资金。矿山企业在取得新采矿许可的同时，应当编制矿山地质环境保护与土地复垦方案。</w:t>
      </w:r>
    </w:p>
    <w:p w:rsidR="009C5C1F" w:rsidRDefault="004D2E0D">
      <w:pPr>
        <w:suppressAutoHyphens/>
        <w:wordWrap w:val="0"/>
        <w:topLinePunct/>
        <w:spacing w:line="360" w:lineRule="auto"/>
        <w:ind w:firstLineChars="200" w:firstLine="480"/>
        <w:rPr>
          <w:rFonts w:ascii="宋体" w:hAnsi="宋体"/>
          <w:sz w:val="24"/>
        </w:rPr>
      </w:pPr>
      <w:r>
        <w:rPr>
          <w:rFonts w:ascii="宋体" w:hAnsi="宋体"/>
          <w:sz w:val="24"/>
        </w:rPr>
        <w:t>为了保护矿山地质环境，减少矿产资源开采造成矿山地质环境破坏，保护人民生命和财产安全，促进矿产资源合理开发利用，使矿业经济协调、健康和持续发展</w:t>
      </w:r>
      <w:r>
        <w:rPr>
          <w:rFonts w:ascii="宋体" w:hAnsi="宋体" w:hint="eastAsia"/>
          <w:sz w:val="24"/>
        </w:rPr>
        <w:t>，</w:t>
      </w:r>
      <w:r>
        <w:rPr>
          <w:rFonts w:ascii="宋体" w:hAnsi="宋体"/>
          <w:sz w:val="24"/>
        </w:rPr>
        <w:t>有效实施</w:t>
      </w:r>
      <w:r>
        <w:rPr>
          <w:rFonts w:ascii="宋体" w:hAnsi="宋体" w:hint="eastAsia"/>
          <w:sz w:val="24"/>
        </w:rPr>
        <w:t>“</w:t>
      </w:r>
      <w:r>
        <w:rPr>
          <w:rFonts w:ascii="宋体" w:hAnsi="宋体"/>
          <w:sz w:val="24"/>
        </w:rPr>
        <w:t>谁开发谁保护、谁破坏谁治理</w:t>
      </w:r>
      <w:r>
        <w:rPr>
          <w:rFonts w:ascii="宋体" w:hAnsi="宋体" w:hint="eastAsia"/>
          <w:sz w:val="24"/>
        </w:rPr>
        <w:t>”</w:t>
      </w:r>
      <w:r>
        <w:rPr>
          <w:rFonts w:ascii="宋体" w:hAnsi="宋体"/>
          <w:sz w:val="24"/>
        </w:rPr>
        <w:t>和</w:t>
      </w:r>
      <w:r>
        <w:rPr>
          <w:rFonts w:ascii="宋体" w:hAnsi="宋体" w:hint="eastAsia"/>
          <w:sz w:val="24"/>
        </w:rPr>
        <w:t>“</w:t>
      </w:r>
      <w:r>
        <w:rPr>
          <w:rFonts w:ascii="宋体" w:hAnsi="宋体"/>
          <w:sz w:val="24"/>
        </w:rPr>
        <w:t>在保护中开发、开发中保护</w:t>
      </w:r>
      <w:r>
        <w:rPr>
          <w:rFonts w:ascii="宋体" w:hAnsi="宋体" w:hint="eastAsia"/>
          <w:sz w:val="24"/>
        </w:rPr>
        <w:t>”</w:t>
      </w:r>
      <w:r>
        <w:rPr>
          <w:rFonts w:ascii="宋体" w:hAnsi="宋体"/>
          <w:sz w:val="24"/>
        </w:rPr>
        <w:t>的矿业开发规范化，保障矿山地质环境恢复治理顺利实施</w:t>
      </w:r>
      <w:r>
        <w:rPr>
          <w:rFonts w:ascii="宋体" w:hAnsi="宋体" w:hint="eastAsia"/>
          <w:sz w:val="24"/>
        </w:rPr>
        <w:t>，临泽县建新城市建设开发有限责任公司</w:t>
      </w:r>
      <w:r>
        <w:rPr>
          <w:rFonts w:ascii="宋体" w:hAnsi="宋体"/>
          <w:sz w:val="24"/>
        </w:rPr>
        <w:t>委托</w:t>
      </w:r>
      <w:r>
        <w:rPr>
          <w:rFonts w:ascii="宋体" w:hAnsi="宋体" w:hint="eastAsia"/>
          <w:sz w:val="24"/>
        </w:rPr>
        <w:t>甘肃煤田地质局一四五队编制</w:t>
      </w:r>
      <w:r>
        <w:rPr>
          <w:rFonts w:ascii="宋体" w:hAnsi="宋体"/>
          <w:sz w:val="24"/>
        </w:rPr>
        <w:t>《</w:t>
      </w:r>
      <w:r>
        <w:rPr>
          <w:rFonts w:ascii="宋体" w:hAnsi="宋体" w:hint="eastAsia"/>
          <w:sz w:val="24"/>
        </w:rPr>
        <w:t>甘肃省板桥镇壕洼村</w:t>
      </w:r>
      <w:r>
        <w:rPr>
          <w:rFonts w:hint="eastAsia"/>
          <w:sz w:val="24"/>
        </w:rPr>
        <w:t>正北山西侧砖瓦用粘土矿</w:t>
      </w:r>
      <w:r>
        <w:rPr>
          <w:rFonts w:ascii="宋体" w:hAnsi="宋体"/>
          <w:sz w:val="24"/>
        </w:rPr>
        <w:t>矿山地质环境保护与土地</w:t>
      </w:r>
      <w:r>
        <w:rPr>
          <w:rFonts w:ascii="宋体" w:hAnsi="宋体" w:hint="eastAsia"/>
          <w:sz w:val="24"/>
        </w:rPr>
        <w:t>复垦</w:t>
      </w:r>
      <w:r>
        <w:rPr>
          <w:rFonts w:ascii="宋体" w:hAnsi="宋体"/>
          <w:sz w:val="24"/>
        </w:rPr>
        <w:t>方案》的编写工作。</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837" w:name="_Toc70589817"/>
      <w:bookmarkStart w:id="838" w:name="_Toc511226454"/>
      <w:bookmarkStart w:id="839" w:name="_Toc153130764"/>
      <w:r>
        <w:rPr>
          <w:rFonts w:eastAsia="黑体" w:hint="eastAsia"/>
          <w:b/>
          <w:bCs/>
          <w:sz w:val="28"/>
          <w:szCs w:val="30"/>
        </w:rPr>
        <w:t>二、</w:t>
      </w:r>
      <w:r>
        <w:rPr>
          <w:rFonts w:eastAsia="黑体" w:hint="eastAsia"/>
          <w:b/>
          <w:bCs/>
          <w:sz w:val="28"/>
          <w:szCs w:val="30"/>
        </w:rPr>
        <w:t xml:space="preserve"> </w:t>
      </w:r>
      <w:bookmarkEnd w:id="836"/>
      <w:r>
        <w:rPr>
          <w:rFonts w:eastAsia="黑体" w:hint="eastAsia"/>
          <w:b/>
          <w:bCs/>
          <w:sz w:val="28"/>
          <w:szCs w:val="30"/>
        </w:rPr>
        <w:t>编制目的</w:t>
      </w:r>
      <w:bookmarkEnd w:id="837"/>
      <w:bookmarkEnd w:id="838"/>
      <w:bookmarkEnd w:id="839"/>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矿山地质环境保护与土地复垦方案》编制的主要目的是通过矿山环境影响、土地损毁情况调查与评估，制定矿山企业在建设、开采、闭坑各阶段的矿山环境保护与土地复垦方案，最大限度地减轻矿业活动对地质环境的影响和土地资源的破坏，实现矿山地质环境的有效保护与土地复垦工作，并且为政府行政主管部门对矿山地质环境及土地资源的有效监督管理提供依据。主要任务为：</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1、收集资料，开展矿山地质环境调查，查明矿区地质环境条件复杂程度，确定矿山地质环境影响评估级别与评估范围；</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lastRenderedPageBreak/>
        <w:t>2、根据矿山开发现状，进行矿山地质环境影响现状评估及调查已损毁各类土地现状；</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3、在现状评估的基础上，根据矿山开发利用方案、采矿地质环境条件，进行矿山地质环境影响预测评估与拟损毁土地预测评估。</w:t>
      </w:r>
    </w:p>
    <w:p w:rsidR="009C5C1F" w:rsidRDefault="004D2E0D">
      <w:pPr>
        <w:suppressAutoHyphens/>
        <w:wordWrap w:val="0"/>
        <w:topLinePunct/>
        <w:spacing w:line="360" w:lineRule="auto"/>
        <w:ind w:firstLine="480"/>
        <w:rPr>
          <w:rFonts w:ascii="宋体" w:hAnsi="宋体"/>
          <w:sz w:val="24"/>
        </w:rPr>
      </w:pPr>
      <w:r>
        <w:rPr>
          <w:rFonts w:ascii="宋体" w:hAnsi="宋体" w:hint="eastAsia"/>
          <w:sz w:val="24"/>
        </w:rPr>
        <w:t>4、根据矿山地质环境影响现状评估和预测评估，进行矿山地质环境保护与恢复治理分区；根据矿山土地损毁现状评估和预测评估，划定矿山土地复垦区与复垦责任范围。</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5、提出矿山地质环境保护、预防和恢复治理技术措施；提出矿区土地复垦技术措施。</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6、安排矿山地质环境保护与土地复垦工程，制定矿山监测工作方案。</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7、进行恢复治理与土地复垦工程经费概算。</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840" w:name="_Toc447615044"/>
      <w:bookmarkStart w:id="841" w:name="_Toc511226455"/>
      <w:bookmarkStart w:id="842" w:name="_Toc70589818"/>
      <w:bookmarkStart w:id="843" w:name="_Toc153130765"/>
      <w:r>
        <w:rPr>
          <w:rFonts w:eastAsia="黑体" w:hint="eastAsia"/>
          <w:b/>
          <w:bCs/>
          <w:sz w:val="28"/>
          <w:szCs w:val="30"/>
        </w:rPr>
        <w:t>三、</w:t>
      </w:r>
      <w:r>
        <w:rPr>
          <w:rFonts w:eastAsia="黑体" w:hint="eastAsia"/>
          <w:b/>
          <w:bCs/>
          <w:sz w:val="28"/>
          <w:szCs w:val="30"/>
        </w:rPr>
        <w:t xml:space="preserve"> </w:t>
      </w:r>
      <w:r>
        <w:rPr>
          <w:rFonts w:eastAsia="黑体"/>
          <w:b/>
          <w:bCs/>
          <w:sz w:val="28"/>
          <w:szCs w:val="30"/>
        </w:rPr>
        <w:t>编制依据</w:t>
      </w:r>
      <w:bookmarkEnd w:id="840"/>
      <w:bookmarkEnd w:id="841"/>
      <w:bookmarkEnd w:id="842"/>
      <w:bookmarkEnd w:id="843"/>
    </w:p>
    <w:p w:rsidR="009C5C1F" w:rsidRDefault="004D2E0D">
      <w:pPr>
        <w:keepNext/>
        <w:keepLines/>
        <w:suppressAutoHyphens/>
        <w:wordWrap w:val="0"/>
        <w:topLinePunct/>
        <w:spacing w:line="360" w:lineRule="auto"/>
        <w:ind w:firstLineChars="200" w:firstLine="482"/>
        <w:outlineLvl w:val="2"/>
        <w:rPr>
          <w:b/>
          <w:sz w:val="24"/>
          <w:szCs w:val="28"/>
        </w:rPr>
      </w:pPr>
      <w:bookmarkStart w:id="844" w:name="_Toc70589819"/>
      <w:r>
        <w:rPr>
          <w:b/>
          <w:sz w:val="24"/>
          <w:szCs w:val="28"/>
        </w:rPr>
        <w:t>（一）法律、法规依据</w:t>
      </w:r>
      <w:bookmarkEnd w:id="844"/>
    </w:p>
    <w:p w:rsidR="009C5C1F" w:rsidRDefault="004D2E0D">
      <w:pPr>
        <w:suppressAutoHyphens/>
        <w:wordWrap w:val="0"/>
        <w:topLinePunct/>
        <w:spacing w:line="360" w:lineRule="auto"/>
        <w:ind w:firstLineChars="200" w:firstLine="480"/>
        <w:rPr>
          <w:rFonts w:ascii="宋体" w:hAnsi="宋体"/>
          <w:sz w:val="24"/>
        </w:rPr>
      </w:pPr>
      <w:r>
        <w:rPr>
          <w:rFonts w:ascii="宋体" w:hAnsi="宋体"/>
          <w:sz w:val="24"/>
        </w:rPr>
        <w:t>1．《中华人民共和国矿产资源法》（中华人民共和国主席令第18号</w:t>
      </w:r>
      <w:r>
        <w:rPr>
          <w:rFonts w:ascii="宋体" w:hAnsi="宋体" w:hint="eastAsia"/>
          <w:sz w:val="24"/>
        </w:rPr>
        <w:t>，2</w:t>
      </w:r>
      <w:r>
        <w:rPr>
          <w:rFonts w:ascii="宋体" w:hAnsi="宋体"/>
          <w:sz w:val="24"/>
        </w:rPr>
        <w:t>009</w:t>
      </w:r>
      <w:r>
        <w:rPr>
          <w:rFonts w:ascii="宋体" w:hAnsi="宋体" w:hint="eastAsia"/>
          <w:sz w:val="24"/>
        </w:rPr>
        <w:t>年8月2</w:t>
      </w:r>
      <w:r>
        <w:rPr>
          <w:rFonts w:ascii="宋体" w:hAnsi="宋体"/>
          <w:sz w:val="24"/>
        </w:rPr>
        <w:t>7</w:t>
      </w:r>
      <w:r>
        <w:rPr>
          <w:rFonts w:ascii="宋体" w:hAnsi="宋体" w:hint="eastAsia"/>
          <w:sz w:val="24"/>
        </w:rPr>
        <w:t>日</w:t>
      </w:r>
      <w:r>
        <w:rPr>
          <w:rFonts w:ascii="宋体" w:hAnsi="宋体"/>
          <w:sz w:val="24"/>
        </w:rPr>
        <w:t>）；</w:t>
      </w:r>
    </w:p>
    <w:p w:rsidR="009C5C1F" w:rsidRDefault="004D2E0D">
      <w:pPr>
        <w:suppressAutoHyphens/>
        <w:wordWrap w:val="0"/>
        <w:topLinePunct/>
        <w:spacing w:line="360" w:lineRule="auto"/>
        <w:ind w:firstLineChars="200" w:firstLine="480"/>
        <w:rPr>
          <w:rFonts w:ascii="宋体" w:hAnsi="宋体"/>
          <w:sz w:val="24"/>
        </w:rPr>
      </w:pPr>
      <w:r>
        <w:rPr>
          <w:rFonts w:ascii="宋体" w:hAnsi="宋体"/>
          <w:sz w:val="24"/>
        </w:rPr>
        <w:t>2．《中华人民共和国土地管理法》（中华人民共和国主席令第32号</w:t>
      </w:r>
      <w:r>
        <w:rPr>
          <w:rFonts w:ascii="宋体" w:hAnsi="宋体" w:hint="eastAsia"/>
          <w:sz w:val="24"/>
        </w:rPr>
        <w:t>，2</w:t>
      </w:r>
      <w:r>
        <w:rPr>
          <w:rFonts w:ascii="宋体" w:hAnsi="宋体"/>
          <w:sz w:val="24"/>
        </w:rPr>
        <w:t>020</w:t>
      </w:r>
      <w:r>
        <w:rPr>
          <w:rFonts w:ascii="宋体" w:hAnsi="宋体" w:hint="eastAsia"/>
          <w:sz w:val="24"/>
        </w:rPr>
        <w:t>年1月1日</w:t>
      </w:r>
      <w:r>
        <w:rPr>
          <w:rFonts w:ascii="宋体" w:hAnsi="宋体"/>
          <w:sz w:val="24"/>
        </w:rPr>
        <w:t>）；</w:t>
      </w:r>
    </w:p>
    <w:p w:rsidR="009C5C1F" w:rsidRDefault="004D2E0D">
      <w:pPr>
        <w:suppressAutoHyphens/>
        <w:wordWrap w:val="0"/>
        <w:topLinePunct/>
        <w:spacing w:line="360" w:lineRule="auto"/>
        <w:ind w:firstLineChars="200" w:firstLine="480"/>
        <w:rPr>
          <w:rFonts w:ascii="宋体" w:hAnsi="宋体"/>
          <w:sz w:val="24"/>
        </w:rPr>
      </w:pPr>
      <w:r>
        <w:rPr>
          <w:rFonts w:ascii="宋体" w:hAnsi="宋体"/>
          <w:sz w:val="24"/>
        </w:rPr>
        <w:t>3.《中华人民共和国环境保护法》（中华人民共和国主席令第9号</w:t>
      </w:r>
      <w:r>
        <w:rPr>
          <w:rFonts w:ascii="宋体" w:hAnsi="宋体" w:hint="eastAsia"/>
          <w:sz w:val="24"/>
        </w:rPr>
        <w:t>，2</w:t>
      </w:r>
      <w:r>
        <w:rPr>
          <w:rFonts w:ascii="宋体" w:hAnsi="宋体"/>
          <w:sz w:val="24"/>
        </w:rPr>
        <w:t>015</w:t>
      </w:r>
      <w:r>
        <w:rPr>
          <w:rFonts w:ascii="宋体" w:hAnsi="宋体" w:hint="eastAsia"/>
          <w:sz w:val="24"/>
        </w:rPr>
        <w:t>年1月1日</w:t>
      </w:r>
      <w:r>
        <w:rPr>
          <w:rFonts w:ascii="宋体" w:hAnsi="宋体"/>
          <w:sz w:val="24"/>
        </w:rPr>
        <w:t>）；</w:t>
      </w:r>
    </w:p>
    <w:p w:rsidR="009C5C1F" w:rsidRDefault="004D2E0D">
      <w:pPr>
        <w:suppressAutoHyphens/>
        <w:wordWrap w:val="0"/>
        <w:topLinePunct/>
        <w:spacing w:line="360" w:lineRule="auto"/>
        <w:ind w:firstLineChars="200" w:firstLine="480"/>
        <w:rPr>
          <w:rFonts w:ascii="宋体" w:hAnsi="宋体"/>
          <w:sz w:val="24"/>
        </w:rPr>
      </w:pPr>
      <w:r>
        <w:rPr>
          <w:rFonts w:ascii="宋体" w:hAnsi="宋体"/>
          <w:sz w:val="24"/>
        </w:rPr>
        <w:t>4．《中华人民共和国水土保持法》（中华人民共和国主席令第39号</w:t>
      </w:r>
      <w:r>
        <w:rPr>
          <w:rFonts w:ascii="宋体" w:hAnsi="宋体" w:hint="eastAsia"/>
          <w:sz w:val="24"/>
        </w:rPr>
        <w:t>，2</w:t>
      </w:r>
      <w:r>
        <w:rPr>
          <w:rFonts w:ascii="宋体" w:hAnsi="宋体"/>
          <w:sz w:val="24"/>
        </w:rPr>
        <w:t>011</w:t>
      </w:r>
      <w:r>
        <w:rPr>
          <w:rFonts w:ascii="宋体" w:hAnsi="宋体" w:hint="eastAsia"/>
          <w:sz w:val="24"/>
        </w:rPr>
        <w:t>年3月1日</w:t>
      </w:r>
      <w:r>
        <w:rPr>
          <w:rFonts w:ascii="宋体" w:hAnsi="宋体"/>
          <w:sz w:val="24"/>
        </w:rPr>
        <w:t>）；</w:t>
      </w:r>
    </w:p>
    <w:p w:rsidR="009C5C1F" w:rsidRDefault="004D2E0D">
      <w:pPr>
        <w:suppressAutoHyphens/>
        <w:wordWrap w:val="0"/>
        <w:topLinePunct/>
        <w:spacing w:line="360" w:lineRule="auto"/>
        <w:ind w:firstLineChars="200" w:firstLine="480"/>
        <w:rPr>
          <w:rFonts w:ascii="宋体" w:hAnsi="宋体"/>
          <w:sz w:val="24"/>
        </w:rPr>
      </w:pPr>
      <w:r>
        <w:rPr>
          <w:rFonts w:ascii="宋体" w:hAnsi="宋体"/>
          <w:sz w:val="24"/>
        </w:rPr>
        <w:t>5．《中华人民共和国水污染防治法》（中华人民共和国主席令第70号</w:t>
      </w:r>
      <w:r>
        <w:rPr>
          <w:rFonts w:ascii="宋体" w:hAnsi="宋体" w:hint="eastAsia"/>
          <w:sz w:val="24"/>
        </w:rPr>
        <w:t>，2</w:t>
      </w:r>
      <w:r>
        <w:rPr>
          <w:rFonts w:ascii="宋体" w:hAnsi="宋体"/>
          <w:sz w:val="24"/>
        </w:rPr>
        <w:t>018</w:t>
      </w:r>
      <w:r>
        <w:rPr>
          <w:rFonts w:ascii="宋体" w:hAnsi="宋体" w:hint="eastAsia"/>
          <w:sz w:val="24"/>
        </w:rPr>
        <w:t>年1月1日</w:t>
      </w:r>
      <w:r>
        <w:rPr>
          <w:rFonts w:ascii="宋体" w:hAnsi="宋体"/>
          <w:sz w:val="24"/>
        </w:rPr>
        <w:t>）；</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kern w:val="0"/>
          <w:sz w:val="24"/>
        </w:rPr>
        <w:t>6</w:t>
      </w:r>
      <w:r>
        <w:rPr>
          <w:rFonts w:ascii="宋体" w:cs="宋体" w:hint="eastAsia"/>
          <w:kern w:val="0"/>
          <w:sz w:val="24"/>
        </w:rPr>
        <w:t>、《中华人民共和国环境影响评价法》（中华人民共和国主席令第</w:t>
      </w:r>
      <w:r>
        <w:rPr>
          <w:rFonts w:ascii="宋体" w:cs="宋体"/>
          <w:kern w:val="0"/>
          <w:sz w:val="24"/>
        </w:rPr>
        <w:t xml:space="preserve">48 </w:t>
      </w:r>
      <w:r>
        <w:rPr>
          <w:rFonts w:ascii="宋体" w:cs="宋体" w:hint="eastAsia"/>
          <w:kern w:val="0"/>
          <w:sz w:val="24"/>
        </w:rPr>
        <w:t>号，</w:t>
      </w:r>
      <w:r>
        <w:rPr>
          <w:rFonts w:ascii="宋体" w:cs="宋体"/>
          <w:kern w:val="0"/>
          <w:sz w:val="24"/>
        </w:rPr>
        <w:t>2016</w:t>
      </w:r>
    </w:p>
    <w:p w:rsidR="009C5C1F" w:rsidRDefault="004D2E0D">
      <w:pPr>
        <w:autoSpaceDE w:val="0"/>
        <w:autoSpaceDN w:val="0"/>
        <w:adjustRightInd w:val="0"/>
        <w:spacing w:line="500" w:lineRule="exact"/>
        <w:jc w:val="left"/>
        <w:rPr>
          <w:rFonts w:ascii="TimesNewRomanPSMT" w:eastAsia="TimesNewRomanPSMT" w:cs="TimesNewRomanPSMT"/>
          <w:kern w:val="0"/>
          <w:sz w:val="18"/>
          <w:szCs w:val="18"/>
        </w:rPr>
      </w:pPr>
      <w:r>
        <w:rPr>
          <w:rFonts w:ascii="宋体" w:cs="宋体" w:hint="eastAsia"/>
          <w:kern w:val="0"/>
          <w:sz w:val="24"/>
        </w:rPr>
        <w:t>年</w:t>
      </w:r>
      <w:r>
        <w:rPr>
          <w:rFonts w:ascii="宋体" w:cs="宋体"/>
          <w:kern w:val="0"/>
          <w:sz w:val="24"/>
        </w:rPr>
        <w:t>7</w:t>
      </w:r>
      <w:r>
        <w:rPr>
          <w:rFonts w:ascii="宋体" w:cs="宋体" w:hint="eastAsia"/>
          <w:kern w:val="0"/>
          <w:sz w:val="24"/>
        </w:rPr>
        <w:t>月</w:t>
      </w:r>
      <w:r>
        <w:rPr>
          <w:rFonts w:ascii="宋体" w:cs="宋体"/>
          <w:kern w:val="0"/>
          <w:sz w:val="24"/>
        </w:rPr>
        <w:t>2</w:t>
      </w:r>
      <w:r>
        <w:rPr>
          <w:rFonts w:ascii="宋体" w:cs="宋体" w:hint="eastAsia"/>
          <w:kern w:val="0"/>
          <w:sz w:val="24"/>
        </w:rPr>
        <w:t>日中华人民共和国第十二届全国人民代表大会常务委员会第二十一次会议订）；</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kern w:val="0"/>
          <w:sz w:val="24"/>
        </w:rPr>
        <w:t>7</w:t>
      </w:r>
      <w:r>
        <w:rPr>
          <w:rFonts w:ascii="宋体" w:cs="宋体" w:hint="eastAsia"/>
          <w:kern w:val="0"/>
          <w:sz w:val="24"/>
        </w:rPr>
        <w:t>、《中华人民共和国固体废物污染环境防治法》</w:t>
      </w:r>
      <w:r>
        <w:rPr>
          <w:rFonts w:ascii="宋体" w:cs="宋体"/>
          <w:kern w:val="0"/>
          <w:sz w:val="24"/>
        </w:rPr>
        <w:t>(</w:t>
      </w:r>
      <w:r>
        <w:rPr>
          <w:rFonts w:ascii="宋体" w:cs="宋体" w:hint="eastAsia"/>
          <w:kern w:val="0"/>
          <w:sz w:val="24"/>
        </w:rPr>
        <w:t>中华人民共和国主席令第</w:t>
      </w:r>
      <w:r>
        <w:rPr>
          <w:rFonts w:ascii="宋体" w:cs="宋体"/>
          <w:kern w:val="0"/>
          <w:sz w:val="24"/>
        </w:rPr>
        <w:t xml:space="preserve">57 </w:t>
      </w:r>
      <w:r>
        <w:rPr>
          <w:rFonts w:ascii="宋体" w:cs="宋体" w:hint="eastAsia"/>
          <w:kern w:val="0"/>
          <w:sz w:val="24"/>
        </w:rPr>
        <w:t>号，</w:t>
      </w:r>
      <w:r>
        <w:rPr>
          <w:rFonts w:ascii="宋体" w:cs="宋体"/>
          <w:kern w:val="0"/>
          <w:sz w:val="24"/>
        </w:rPr>
        <w:t xml:space="preserve">2016 </w:t>
      </w:r>
      <w:r>
        <w:rPr>
          <w:rFonts w:ascii="宋体" w:cs="宋体" w:hint="eastAsia"/>
          <w:kern w:val="0"/>
          <w:sz w:val="24"/>
        </w:rPr>
        <w:t>年</w:t>
      </w:r>
      <w:r>
        <w:rPr>
          <w:rFonts w:ascii="宋体" w:cs="宋体"/>
          <w:kern w:val="0"/>
          <w:sz w:val="24"/>
        </w:rPr>
        <w:t>11</w:t>
      </w:r>
      <w:r>
        <w:rPr>
          <w:rFonts w:ascii="宋体" w:cs="宋体" w:hint="eastAsia"/>
          <w:kern w:val="0"/>
          <w:sz w:val="24"/>
        </w:rPr>
        <w:t>月</w:t>
      </w:r>
      <w:r>
        <w:rPr>
          <w:rFonts w:ascii="宋体" w:cs="宋体"/>
          <w:kern w:val="0"/>
          <w:sz w:val="24"/>
        </w:rPr>
        <w:t>07</w:t>
      </w:r>
      <w:r>
        <w:rPr>
          <w:rFonts w:ascii="宋体" w:cs="宋体" w:hint="eastAsia"/>
          <w:kern w:val="0"/>
          <w:sz w:val="24"/>
        </w:rPr>
        <w:t>日</w:t>
      </w:r>
      <w:r>
        <w:rPr>
          <w:rFonts w:ascii="宋体" w:cs="宋体"/>
          <w:kern w:val="0"/>
          <w:sz w:val="24"/>
        </w:rPr>
        <w:t>)</w:t>
      </w:r>
      <w:r>
        <w:rPr>
          <w:rFonts w:ascii="宋体" w:cs="宋体" w:hint="eastAsia"/>
          <w:kern w:val="0"/>
          <w:sz w:val="24"/>
        </w:rPr>
        <w:t>；</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kern w:val="0"/>
          <w:sz w:val="24"/>
        </w:rPr>
        <w:t>8</w:t>
      </w:r>
      <w:r>
        <w:rPr>
          <w:rFonts w:ascii="宋体" w:cs="宋体" w:hint="eastAsia"/>
          <w:kern w:val="0"/>
          <w:sz w:val="24"/>
        </w:rPr>
        <w:t>、《地质灾害防治条例》（国务院令</w:t>
      </w:r>
      <w:r>
        <w:rPr>
          <w:rFonts w:ascii="宋体" w:cs="宋体"/>
          <w:kern w:val="0"/>
          <w:sz w:val="24"/>
        </w:rPr>
        <w:t>003]</w:t>
      </w:r>
      <w:r>
        <w:rPr>
          <w:rFonts w:ascii="宋体" w:cs="宋体" w:hint="eastAsia"/>
          <w:kern w:val="0"/>
          <w:sz w:val="24"/>
        </w:rPr>
        <w:t>第</w:t>
      </w:r>
      <w:r>
        <w:rPr>
          <w:rFonts w:ascii="宋体" w:cs="宋体"/>
          <w:kern w:val="0"/>
          <w:sz w:val="24"/>
        </w:rPr>
        <w:t>394</w:t>
      </w:r>
      <w:r>
        <w:rPr>
          <w:rFonts w:ascii="宋体" w:cs="宋体" w:hint="eastAsia"/>
          <w:kern w:val="0"/>
          <w:sz w:val="24"/>
        </w:rPr>
        <w:t>号，</w:t>
      </w:r>
      <w:r>
        <w:rPr>
          <w:rFonts w:ascii="宋体" w:cs="宋体"/>
          <w:kern w:val="0"/>
          <w:sz w:val="24"/>
        </w:rPr>
        <w:t xml:space="preserve">2004 </w:t>
      </w:r>
      <w:r>
        <w:rPr>
          <w:rFonts w:ascii="宋体" w:cs="宋体" w:hint="eastAsia"/>
          <w:kern w:val="0"/>
          <w:sz w:val="24"/>
        </w:rPr>
        <w:t>年</w:t>
      </w:r>
      <w:r>
        <w:rPr>
          <w:rFonts w:ascii="宋体" w:cs="宋体"/>
          <w:kern w:val="0"/>
          <w:sz w:val="24"/>
        </w:rPr>
        <w:t>3</w:t>
      </w:r>
      <w:r>
        <w:rPr>
          <w:rFonts w:ascii="宋体" w:cs="宋体" w:hint="eastAsia"/>
          <w:kern w:val="0"/>
          <w:sz w:val="24"/>
        </w:rPr>
        <w:t>月</w:t>
      </w:r>
      <w:r>
        <w:rPr>
          <w:rFonts w:ascii="宋体" w:cs="宋体"/>
          <w:kern w:val="0"/>
          <w:sz w:val="24"/>
        </w:rPr>
        <w:t>1</w:t>
      </w:r>
      <w:r>
        <w:rPr>
          <w:rFonts w:ascii="宋体" w:cs="宋体" w:hint="eastAsia"/>
          <w:kern w:val="0"/>
          <w:sz w:val="24"/>
        </w:rPr>
        <w:t>日）；</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kern w:val="0"/>
          <w:sz w:val="24"/>
        </w:rPr>
        <w:lastRenderedPageBreak/>
        <w:t>9</w:t>
      </w:r>
      <w:r>
        <w:rPr>
          <w:rFonts w:ascii="宋体" w:cs="宋体" w:hint="eastAsia"/>
          <w:kern w:val="0"/>
          <w:sz w:val="24"/>
        </w:rPr>
        <w:t>、《土地复垦条例》（国务院令第</w:t>
      </w:r>
      <w:r>
        <w:rPr>
          <w:rFonts w:ascii="宋体" w:cs="宋体"/>
          <w:kern w:val="0"/>
          <w:sz w:val="24"/>
        </w:rPr>
        <w:t>592</w:t>
      </w:r>
      <w:r>
        <w:rPr>
          <w:rFonts w:ascii="宋体" w:cs="宋体" w:hint="eastAsia"/>
          <w:kern w:val="0"/>
          <w:sz w:val="24"/>
        </w:rPr>
        <w:t>号公布，自</w:t>
      </w:r>
      <w:r>
        <w:rPr>
          <w:rFonts w:ascii="宋体" w:cs="宋体"/>
          <w:kern w:val="0"/>
          <w:sz w:val="24"/>
        </w:rPr>
        <w:t>2011</w:t>
      </w:r>
      <w:r>
        <w:rPr>
          <w:rFonts w:ascii="宋体" w:cs="宋体" w:hint="eastAsia"/>
          <w:kern w:val="0"/>
          <w:sz w:val="24"/>
        </w:rPr>
        <w:t>年</w:t>
      </w:r>
      <w:r>
        <w:rPr>
          <w:rFonts w:ascii="宋体" w:cs="宋体"/>
          <w:kern w:val="0"/>
          <w:sz w:val="24"/>
        </w:rPr>
        <w:t xml:space="preserve">3 </w:t>
      </w:r>
      <w:r>
        <w:rPr>
          <w:rFonts w:ascii="宋体" w:cs="宋体" w:hint="eastAsia"/>
          <w:kern w:val="0"/>
          <w:sz w:val="24"/>
        </w:rPr>
        <w:t>月</w:t>
      </w:r>
      <w:r>
        <w:rPr>
          <w:rFonts w:ascii="宋体" w:cs="宋体"/>
          <w:kern w:val="0"/>
          <w:sz w:val="24"/>
        </w:rPr>
        <w:t xml:space="preserve">5 </w:t>
      </w:r>
      <w:r>
        <w:rPr>
          <w:rFonts w:ascii="宋体" w:cs="宋体" w:hint="eastAsia"/>
          <w:kern w:val="0"/>
          <w:sz w:val="24"/>
        </w:rPr>
        <w:t>日起施行）</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kern w:val="0"/>
          <w:sz w:val="24"/>
        </w:rPr>
        <w:t>10</w:t>
      </w:r>
      <w:r>
        <w:rPr>
          <w:rFonts w:ascii="宋体" w:cs="宋体" w:hint="eastAsia"/>
          <w:kern w:val="0"/>
          <w:sz w:val="24"/>
        </w:rPr>
        <w:t>、《土地复垦条例实施办法》</w:t>
      </w:r>
      <w:r>
        <w:rPr>
          <w:rFonts w:ascii="宋体" w:cs="宋体"/>
          <w:kern w:val="0"/>
          <w:sz w:val="24"/>
        </w:rPr>
        <w:t>(</w:t>
      </w:r>
      <w:r>
        <w:rPr>
          <w:rFonts w:ascii="宋体" w:cs="宋体" w:hint="eastAsia"/>
          <w:kern w:val="0"/>
          <w:sz w:val="24"/>
        </w:rPr>
        <w:t>国土资源部令</w:t>
      </w:r>
      <w:r>
        <w:rPr>
          <w:rFonts w:ascii="宋体" w:cs="宋体"/>
          <w:kern w:val="0"/>
          <w:sz w:val="24"/>
        </w:rPr>
        <w:t>[2013]</w:t>
      </w:r>
      <w:r>
        <w:rPr>
          <w:rFonts w:ascii="宋体" w:cs="宋体" w:hint="eastAsia"/>
          <w:kern w:val="0"/>
          <w:sz w:val="24"/>
        </w:rPr>
        <w:t>第</w:t>
      </w:r>
      <w:r>
        <w:rPr>
          <w:rFonts w:ascii="宋体" w:cs="宋体"/>
          <w:kern w:val="0"/>
          <w:sz w:val="24"/>
        </w:rPr>
        <w:t>56</w:t>
      </w:r>
      <w:r>
        <w:rPr>
          <w:rFonts w:ascii="宋体" w:cs="宋体" w:hint="eastAsia"/>
          <w:kern w:val="0"/>
          <w:sz w:val="24"/>
        </w:rPr>
        <w:t>号，</w:t>
      </w:r>
      <w:r>
        <w:rPr>
          <w:rFonts w:ascii="宋体" w:cs="宋体"/>
          <w:kern w:val="0"/>
          <w:sz w:val="24"/>
        </w:rPr>
        <w:t>2013</w:t>
      </w:r>
      <w:r>
        <w:rPr>
          <w:rFonts w:ascii="宋体" w:cs="宋体" w:hint="eastAsia"/>
          <w:kern w:val="0"/>
          <w:sz w:val="24"/>
        </w:rPr>
        <w:t>年</w:t>
      </w:r>
      <w:r>
        <w:rPr>
          <w:rFonts w:ascii="宋体" w:cs="宋体"/>
          <w:kern w:val="0"/>
          <w:sz w:val="24"/>
        </w:rPr>
        <w:t>3</w:t>
      </w:r>
      <w:r>
        <w:rPr>
          <w:rFonts w:ascii="宋体" w:cs="宋体" w:hint="eastAsia"/>
          <w:kern w:val="0"/>
          <w:sz w:val="24"/>
        </w:rPr>
        <w:t>月</w:t>
      </w:r>
      <w:r>
        <w:rPr>
          <w:rFonts w:ascii="宋体" w:cs="宋体"/>
          <w:kern w:val="0"/>
          <w:sz w:val="24"/>
        </w:rPr>
        <w:t>1</w:t>
      </w:r>
      <w:r>
        <w:rPr>
          <w:rFonts w:ascii="宋体" w:cs="宋体" w:hint="eastAsia"/>
          <w:kern w:val="0"/>
          <w:sz w:val="24"/>
        </w:rPr>
        <w:t>日</w:t>
      </w:r>
      <w:r>
        <w:rPr>
          <w:rFonts w:ascii="宋体" w:cs="宋体"/>
          <w:kern w:val="0"/>
          <w:sz w:val="24"/>
        </w:rPr>
        <w:t>)</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kern w:val="0"/>
          <w:sz w:val="24"/>
        </w:rPr>
        <w:t>11</w:t>
      </w:r>
      <w:r>
        <w:rPr>
          <w:rFonts w:ascii="宋体" w:cs="宋体" w:hint="eastAsia"/>
          <w:kern w:val="0"/>
          <w:sz w:val="24"/>
        </w:rPr>
        <w:t>、《中华人民共和国土地管理法实施条例》</w:t>
      </w:r>
      <w:r>
        <w:rPr>
          <w:rFonts w:ascii="宋体" w:cs="宋体"/>
          <w:kern w:val="0"/>
          <w:sz w:val="24"/>
        </w:rPr>
        <w:t>(</w:t>
      </w:r>
      <w:r>
        <w:rPr>
          <w:rFonts w:ascii="宋体" w:cs="宋体" w:hint="eastAsia"/>
          <w:kern w:val="0"/>
          <w:sz w:val="24"/>
        </w:rPr>
        <w:t>国务院令</w:t>
      </w:r>
      <w:r>
        <w:rPr>
          <w:rFonts w:ascii="宋体" w:cs="宋体"/>
          <w:kern w:val="0"/>
          <w:sz w:val="24"/>
        </w:rPr>
        <w:t>[2014]</w:t>
      </w:r>
      <w:r>
        <w:rPr>
          <w:rFonts w:ascii="宋体" w:cs="宋体" w:hint="eastAsia"/>
          <w:kern w:val="0"/>
          <w:sz w:val="24"/>
        </w:rPr>
        <w:t>第</w:t>
      </w:r>
      <w:r>
        <w:rPr>
          <w:rFonts w:ascii="宋体" w:cs="宋体"/>
          <w:kern w:val="0"/>
          <w:sz w:val="24"/>
        </w:rPr>
        <w:t xml:space="preserve">653 </w:t>
      </w:r>
      <w:r>
        <w:rPr>
          <w:rFonts w:ascii="宋体" w:cs="宋体" w:hint="eastAsia"/>
          <w:kern w:val="0"/>
          <w:sz w:val="24"/>
        </w:rPr>
        <w:t>号，</w:t>
      </w:r>
      <w:r>
        <w:rPr>
          <w:rFonts w:ascii="宋体" w:cs="宋体"/>
          <w:kern w:val="0"/>
          <w:sz w:val="24"/>
        </w:rPr>
        <w:t xml:space="preserve">2014 </w:t>
      </w:r>
      <w:r>
        <w:rPr>
          <w:rFonts w:ascii="宋体" w:cs="宋体" w:hint="eastAsia"/>
          <w:kern w:val="0"/>
          <w:sz w:val="24"/>
        </w:rPr>
        <w:t>年</w:t>
      </w:r>
      <w:r>
        <w:rPr>
          <w:rFonts w:ascii="宋体" w:cs="宋体"/>
          <w:kern w:val="0"/>
          <w:sz w:val="24"/>
        </w:rPr>
        <w:t xml:space="preserve">7 </w:t>
      </w:r>
      <w:r>
        <w:rPr>
          <w:rFonts w:ascii="宋体" w:cs="宋体" w:hint="eastAsia"/>
          <w:kern w:val="0"/>
          <w:sz w:val="24"/>
        </w:rPr>
        <w:t>月</w:t>
      </w:r>
      <w:r>
        <w:rPr>
          <w:rFonts w:ascii="宋体" w:cs="宋体"/>
          <w:kern w:val="0"/>
          <w:sz w:val="24"/>
        </w:rPr>
        <w:t xml:space="preserve">29 </w:t>
      </w:r>
      <w:r>
        <w:rPr>
          <w:rFonts w:ascii="宋体" w:cs="宋体" w:hint="eastAsia"/>
          <w:kern w:val="0"/>
          <w:sz w:val="24"/>
        </w:rPr>
        <w:t>日</w:t>
      </w:r>
      <w:r>
        <w:rPr>
          <w:rFonts w:ascii="宋体" w:cs="宋体"/>
          <w:kern w:val="0"/>
          <w:sz w:val="24"/>
        </w:rPr>
        <w:t>)</w:t>
      </w:r>
      <w:r>
        <w:rPr>
          <w:rFonts w:ascii="宋体" w:cs="宋体" w:hint="eastAsia"/>
          <w:kern w:val="0"/>
          <w:sz w:val="24"/>
        </w:rPr>
        <w:t>；</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kern w:val="0"/>
          <w:sz w:val="24"/>
        </w:rPr>
        <w:t>12</w:t>
      </w:r>
      <w:r>
        <w:rPr>
          <w:rFonts w:ascii="宋体" w:cs="宋体" w:hint="eastAsia"/>
          <w:kern w:val="0"/>
          <w:sz w:val="24"/>
        </w:rPr>
        <w:t>、《环境保护公众参与办法》</w:t>
      </w:r>
      <w:r>
        <w:rPr>
          <w:rFonts w:ascii="宋体" w:cs="宋体"/>
          <w:kern w:val="0"/>
          <w:sz w:val="24"/>
        </w:rPr>
        <w:t>(</w:t>
      </w:r>
      <w:r>
        <w:rPr>
          <w:rFonts w:ascii="宋体" w:cs="宋体" w:hint="eastAsia"/>
          <w:kern w:val="0"/>
          <w:sz w:val="24"/>
        </w:rPr>
        <w:t>环境保护部令</w:t>
      </w:r>
      <w:r>
        <w:rPr>
          <w:rFonts w:ascii="宋体" w:cs="宋体"/>
          <w:kern w:val="0"/>
          <w:sz w:val="24"/>
        </w:rPr>
        <w:t>[2015]</w:t>
      </w:r>
      <w:r>
        <w:rPr>
          <w:rFonts w:ascii="宋体" w:cs="宋体" w:hint="eastAsia"/>
          <w:kern w:val="0"/>
          <w:sz w:val="24"/>
        </w:rPr>
        <w:t>第</w:t>
      </w:r>
      <w:r>
        <w:rPr>
          <w:rFonts w:ascii="宋体" w:cs="宋体"/>
          <w:kern w:val="0"/>
          <w:sz w:val="24"/>
        </w:rPr>
        <w:t xml:space="preserve">35 </w:t>
      </w:r>
      <w:r>
        <w:rPr>
          <w:rFonts w:ascii="宋体" w:cs="宋体" w:hint="eastAsia"/>
          <w:kern w:val="0"/>
          <w:sz w:val="24"/>
        </w:rPr>
        <w:t>号，</w:t>
      </w:r>
      <w:r>
        <w:rPr>
          <w:rFonts w:ascii="宋体" w:cs="宋体"/>
          <w:kern w:val="0"/>
          <w:sz w:val="24"/>
        </w:rPr>
        <w:t xml:space="preserve">2015 </w:t>
      </w:r>
      <w:r>
        <w:rPr>
          <w:rFonts w:ascii="宋体" w:cs="宋体" w:hint="eastAsia"/>
          <w:kern w:val="0"/>
          <w:sz w:val="24"/>
        </w:rPr>
        <w:t>年</w:t>
      </w:r>
      <w:r>
        <w:rPr>
          <w:rFonts w:ascii="宋体" w:cs="宋体"/>
          <w:kern w:val="0"/>
          <w:sz w:val="24"/>
        </w:rPr>
        <w:t xml:space="preserve">9 </w:t>
      </w:r>
      <w:r>
        <w:rPr>
          <w:rFonts w:ascii="宋体" w:cs="宋体" w:hint="eastAsia"/>
          <w:kern w:val="0"/>
          <w:sz w:val="24"/>
        </w:rPr>
        <w:t>月</w:t>
      </w:r>
      <w:r>
        <w:rPr>
          <w:rFonts w:ascii="宋体" w:cs="宋体"/>
          <w:kern w:val="0"/>
          <w:sz w:val="24"/>
        </w:rPr>
        <w:t xml:space="preserve">1 </w:t>
      </w:r>
      <w:r>
        <w:rPr>
          <w:rFonts w:ascii="宋体" w:cs="宋体" w:hint="eastAsia"/>
          <w:kern w:val="0"/>
          <w:sz w:val="24"/>
        </w:rPr>
        <w:t>日</w:t>
      </w:r>
      <w:r>
        <w:rPr>
          <w:rFonts w:ascii="宋体" w:cs="宋体"/>
          <w:kern w:val="0"/>
          <w:sz w:val="24"/>
        </w:rPr>
        <w:t>)</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kern w:val="0"/>
          <w:sz w:val="24"/>
        </w:rPr>
        <w:t>13</w:t>
      </w:r>
      <w:r>
        <w:rPr>
          <w:rFonts w:ascii="宋体" w:cs="宋体" w:hint="eastAsia"/>
          <w:kern w:val="0"/>
          <w:sz w:val="24"/>
        </w:rPr>
        <w:t>、《矿山地质环境保护规定》</w:t>
      </w:r>
      <w:r>
        <w:rPr>
          <w:rFonts w:ascii="宋体" w:cs="宋体"/>
          <w:kern w:val="0"/>
          <w:sz w:val="24"/>
        </w:rPr>
        <w:t>(</w:t>
      </w:r>
      <w:r>
        <w:rPr>
          <w:rFonts w:ascii="宋体" w:cs="宋体" w:hint="eastAsia"/>
          <w:kern w:val="0"/>
          <w:sz w:val="24"/>
        </w:rPr>
        <w:t>自然资源部令</w:t>
      </w:r>
      <w:r>
        <w:rPr>
          <w:rFonts w:ascii="宋体" w:cs="宋体"/>
          <w:kern w:val="0"/>
          <w:sz w:val="24"/>
        </w:rPr>
        <w:t>[2019]</w:t>
      </w:r>
      <w:r>
        <w:rPr>
          <w:rFonts w:ascii="宋体" w:cs="宋体" w:hint="eastAsia"/>
          <w:kern w:val="0"/>
          <w:sz w:val="24"/>
        </w:rPr>
        <w:t>第</w:t>
      </w:r>
      <w:r>
        <w:rPr>
          <w:rFonts w:ascii="宋体" w:cs="宋体"/>
          <w:kern w:val="0"/>
          <w:sz w:val="24"/>
        </w:rPr>
        <w:t xml:space="preserve">5 </w:t>
      </w:r>
      <w:r>
        <w:rPr>
          <w:rFonts w:ascii="宋体" w:cs="宋体" w:hint="eastAsia"/>
          <w:kern w:val="0"/>
          <w:sz w:val="24"/>
        </w:rPr>
        <w:t>号，</w:t>
      </w:r>
      <w:r>
        <w:rPr>
          <w:rFonts w:ascii="宋体" w:cs="宋体"/>
          <w:kern w:val="0"/>
          <w:sz w:val="24"/>
        </w:rPr>
        <w:t>2019</w:t>
      </w:r>
      <w:r>
        <w:rPr>
          <w:rFonts w:ascii="宋体" w:cs="宋体" w:hint="eastAsia"/>
          <w:kern w:val="0"/>
          <w:sz w:val="24"/>
        </w:rPr>
        <w:t>年</w:t>
      </w:r>
      <w:r>
        <w:rPr>
          <w:rFonts w:ascii="宋体" w:cs="宋体"/>
          <w:kern w:val="0"/>
          <w:sz w:val="24"/>
        </w:rPr>
        <w:t>7</w:t>
      </w:r>
      <w:r>
        <w:rPr>
          <w:rFonts w:ascii="宋体" w:cs="宋体" w:hint="eastAsia"/>
          <w:kern w:val="0"/>
          <w:sz w:val="24"/>
        </w:rPr>
        <w:t>月</w:t>
      </w:r>
      <w:r>
        <w:rPr>
          <w:rFonts w:ascii="宋体" w:cs="宋体"/>
          <w:kern w:val="0"/>
          <w:sz w:val="24"/>
        </w:rPr>
        <w:t>24</w:t>
      </w:r>
      <w:r>
        <w:rPr>
          <w:rFonts w:ascii="宋体" w:cs="宋体" w:hint="eastAsia"/>
          <w:kern w:val="0"/>
          <w:sz w:val="24"/>
        </w:rPr>
        <w:t>日</w:t>
      </w:r>
      <w:r>
        <w:rPr>
          <w:rFonts w:ascii="宋体" w:cs="宋体"/>
          <w:kern w:val="0"/>
          <w:sz w:val="24"/>
        </w:rPr>
        <w:t>)</w:t>
      </w:r>
      <w:r>
        <w:rPr>
          <w:rFonts w:ascii="宋体" w:cs="宋体" w:hint="eastAsia"/>
          <w:kern w:val="0"/>
          <w:sz w:val="24"/>
        </w:rPr>
        <w:t>；</w:t>
      </w:r>
    </w:p>
    <w:p w:rsidR="009C5C1F" w:rsidRDefault="004D2E0D">
      <w:pPr>
        <w:autoSpaceDE w:val="0"/>
        <w:autoSpaceDN w:val="0"/>
        <w:adjustRightInd w:val="0"/>
        <w:spacing w:line="500" w:lineRule="exact"/>
        <w:ind w:firstLineChars="200" w:firstLine="480"/>
        <w:jc w:val="left"/>
        <w:rPr>
          <w:rFonts w:ascii="宋体" w:cs="宋体"/>
          <w:kern w:val="0"/>
          <w:sz w:val="24"/>
        </w:rPr>
      </w:pPr>
      <w:r>
        <w:rPr>
          <w:rFonts w:ascii="宋体" w:cs="宋体"/>
          <w:kern w:val="0"/>
          <w:sz w:val="24"/>
        </w:rPr>
        <w:t>14</w:t>
      </w:r>
      <w:r>
        <w:rPr>
          <w:rFonts w:ascii="宋体" w:cs="宋体" w:hint="eastAsia"/>
          <w:kern w:val="0"/>
          <w:sz w:val="24"/>
        </w:rPr>
        <w:t>、《甘肃省地质环境保护条例》（甘肃省第十二届人民代表大会常务委员会第二十五次会议审议通过，自</w:t>
      </w:r>
      <w:r>
        <w:rPr>
          <w:rFonts w:ascii="宋体" w:cs="宋体"/>
          <w:kern w:val="0"/>
          <w:sz w:val="24"/>
        </w:rPr>
        <w:t xml:space="preserve">2016 </w:t>
      </w:r>
      <w:r>
        <w:rPr>
          <w:rFonts w:ascii="宋体" w:cs="宋体" w:hint="eastAsia"/>
          <w:kern w:val="0"/>
          <w:sz w:val="24"/>
        </w:rPr>
        <w:t>年</w:t>
      </w:r>
      <w:r>
        <w:rPr>
          <w:rFonts w:ascii="宋体" w:cs="宋体"/>
          <w:kern w:val="0"/>
          <w:sz w:val="24"/>
        </w:rPr>
        <w:t xml:space="preserve">10 </w:t>
      </w:r>
      <w:r>
        <w:rPr>
          <w:rFonts w:ascii="宋体" w:cs="宋体" w:hint="eastAsia"/>
          <w:kern w:val="0"/>
          <w:sz w:val="24"/>
        </w:rPr>
        <w:t>月</w:t>
      </w:r>
      <w:r>
        <w:rPr>
          <w:rFonts w:ascii="宋体" w:cs="宋体"/>
          <w:kern w:val="0"/>
          <w:sz w:val="24"/>
        </w:rPr>
        <w:t xml:space="preserve">1 </w:t>
      </w:r>
      <w:r>
        <w:rPr>
          <w:rFonts w:ascii="宋体" w:cs="宋体" w:hint="eastAsia"/>
          <w:kern w:val="0"/>
          <w:sz w:val="24"/>
        </w:rPr>
        <w:t>日起实施）。</w:t>
      </w:r>
    </w:p>
    <w:p w:rsidR="009C5C1F" w:rsidRDefault="004D2E0D">
      <w:pPr>
        <w:keepNext/>
        <w:keepLines/>
        <w:suppressAutoHyphens/>
        <w:wordWrap w:val="0"/>
        <w:topLinePunct/>
        <w:spacing w:line="360" w:lineRule="auto"/>
        <w:ind w:firstLineChars="200" w:firstLine="482"/>
        <w:outlineLvl w:val="2"/>
        <w:rPr>
          <w:b/>
          <w:sz w:val="24"/>
          <w:szCs w:val="28"/>
        </w:rPr>
      </w:pPr>
      <w:bookmarkStart w:id="845" w:name="_Toc70589820"/>
      <w:r>
        <w:rPr>
          <w:b/>
          <w:sz w:val="24"/>
          <w:szCs w:val="28"/>
        </w:rPr>
        <w:t>（二）技术依据</w:t>
      </w:r>
      <w:bookmarkEnd w:id="845"/>
    </w:p>
    <w:p w:rsidR="009C5C1F" w:rsidRDefault="004D2E0D">
      <w:pPr>
        <w:suppressAutoHyphens/>
        <w:wordWrap w:val="0"/>
        <w:topLinePunct/>
        <w:spacing w:line="360" w:lineRule="auto"/>
        <w:ind w:firstLineChars="200" w:firstLine="480"/>
        <w:rPr>
          <w:rFonts w:ascii="宋体" w:hAnsi="宋体"/>
          <w:sz w:val="24"/>
        </w:rPr>
      </w:pPr>
      <w:r>
        <w:rPr>
          <w:rFonts w:ascii="宋体" w:hAnsi="宋体"/>
          <w:sz w:val="24"/>
        </w:rPr>
        <w:t>1、《矿山地质环境保护与恢复治理方案编制规范》（DZ/T 0223-2011）；</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2、《土地复垦方案编制规程第一部分：通则》（TD/T1031.1-2011）；</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3、《矿山地质环境保护与土地复垦方案编制指南》国土资源部发2016年12月；</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4</w:t>
      </w:r>
      <w:r>
        <w:rPr>
          <w:rFonts w:ascii="宋体" w:hAnsi="宋体"/>
          <w:sz w:val="24"/>
        </w:rPr>
        <w:t>、《地质灾害危险性评估技术要求（试行）》（</w:t>
      </w:r>
      <w:proofErr w:type="gramStart"/>
      <w:r>
        <w:rPr>
          <w:rFonts w:ascii="宋体" w:hAnsi="宋体"/>
          <w:sz w:val="24"/>
        </w:rPr>
        <w:t>国土资发</w:t>
      </w:r>
      <w:proofErr w:type="gramEnd"/>
      <w:r>
        <w:rPr>
          <w:rFonts w:ascii="宋体" w:hAnsi="宋体"/>
          <w:sz w:val="24"/>
        </w:rPr>
        <w:t>[2004]69号）；</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5</w:t>
      </w:r>
      <w:r>
        <w:rPr>
          <w:rFonts w:ascii="宋体" w:hAnsi="宋体"/>
          <w:sz w:val="24"/>
        </w:rPr>
        <w:t>、《地质灾害危险性评估规程》（DB62/T 1792-2009）；</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6</w:t>
      </w:r>
      <w:r>
        <w:rPr>
          <w:rFonts w:ascii="宋体" w:hAnsi="宋体"/>
          <w:sz w:val="24"/>
        </w:rPr>
        <w:t>、《土地利用现状分类》（GB/T21010-20</w:t>
      </w:r>
      <w:r>
        <w:rPr>
          <w:rFonts w:ascii="宋体" w:hAnsi="宋体" w:hint="eastAsia"/>
          <w:sz w:val="24"/>
        </w:rPr>
        <w:t>1</w:t>
      </w:r>
      <w:r>
        <w:rPr>
          <w:rFonts w:ascii="宋体" w:hAnsi="宋体"/>
          <w:sz w:val="24"/>
        </w:rPr>
        <w:t>7）；</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7</w:t>
      </w:r>
      <w:r>
        <w:rPr>
          <w:rFonts w:ascii="宋体" w:hAnsi="宋体"/>
          <w:sz w:val="24"/>
        </w:rPr>
        <w:t>、《土地复垦技术标准》（试行）（UDC-TD）；</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8</w:t>
      </w:r>
      <w:r>
        <w:rPr>
          <w:rFonts w:ascii="宋体" w:hAnsi="宋体"/>
          <w:sz w:val="24"/>
        </w:rPr>
        <w:t>、《水土保持综合治理技术规范》（GB/T16453-2008）；</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9、《土地复垦质量控制标准》（TD/T1036-2013）；</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10、《生产项目土地复垦验收规程》（TD/T 1044-2014）；</w:t>
      </w:r>
    </w:p>
    <w:p w:rsidR="009C5C1F" w:rsidRDefault="004D2E0D">
      <w:pPr>
        <w:suppressAutoHyphens/>
        <w:wordWrap w:val="0"/>
        <w:topLinePunct/>
        <w:spacing w:line="360" w:lineRule="auto"/>
        <w:ind w:firstLineChars="200" w:firstLine="480"/>
        <w:rPr>
          <w:rFonts w:ascii="宋体" w:hAnsi="宋体"/>
          <w:sz w:val="24"/>
        </w:rPr>
      </w:pPr>
      <w:r>
        <w:rPr>
          <w:rFonts w:ascii="宋体" w:hAnsi="宋体" w:hint="eastAsia"/>
          <w:sz w:val="24"/>
        </w:rPr>
        <w:t>11</w:t>
      </w:r>
      <w:r>
        <w:rPr>
          <w:rFonts w:ascii="宋体" w:hAnsi="宋体"/>
          <w:sz w:val="24"/>
        </w:rPr>
        <w:t>、《县（市）地质灾害调查与区划基本要求》实施细则（修订稿）（国土资源部2006）；</w:t>
      </w:r>
    </w:p>
    <w:p w:rsidR="009C5C1F" w:rsidRDefault="004D2E0D">
      <w:pPr>
        <w:suppressAutoHyphens/>
        <w:wordWrap w:val="0"/>
        <w:topLinePunct/>
        <w:spacing w:line="360" w:lineRule="auto"/>
        <w:ind w:firstLineChars="200" w:firstLine="480"/>
        <w:rPr>
          <w:rFonts w:ascii="宋体" w:hAnsi="宋体"/>
          <w:sz w:val="24"/>
        </w:rPr>
      </w:pPr>
      <w:r>
        <w:rPr>
          <w:rFonts w:ascii="宋体" w:hAnsi="宋体"/>
          <w:sz w:val="24"/>
        </w:rPr>
        <w:t>1</w:t>
      </w:r>
      <w:r>
        <w:rPr>
          <w:rFonts w:ascii="宋体" w:hAnsi="宋体" w:hint="eastAsia"/>
          <w:sz w:val="24"/>
        </w:rPr>
        <w:t>2</w:t>
      </w:r>
      <w:r>
        <w:rPr>
          <w:rFonts w:ascii="宋体" w:hAnsi="宋体"/>
          <w:sz w:val="24"/>
        </w:rPr>
        <w:t>、《土地开发整理项目规划设计规范》（TD/T1012-2000）；</w:t>
      </w:r>
    </w:p>
    <w:p w:rsidR="009C5C1F" w:rsidRDefault="004D2E0D">
      <w:pPr>
        <w:keepNext/>
        <w:keepLines/>
        <w:suppressAutoHyphens/>
        <w:wordWrap w:val="0"/>
        <w:topLinePunct/>
        <w:spacing w:line="360" w:lineRule="auto"/>
        <w:ind w:firstLineChars="200" w:firstLine="482"/>
        <w:outlineLvl w:val="2"/>
        <w:rPr>
          <w:b/>
          <w:sz w:val="24"/>
          <w:szCs w:val="28"/>
        </w:rPr>
      </w:pPr>
      <w:bookmarkStart w:id="846" w:name="_Toc70589821"/>
      <w:r>
        <w:rPr>
          <w:b/>
          <w:sz w:val="24"/>
          <w:szCs w:val="28"/>
        </w:rPr>
        <w:t>（三）资料依据</w:t>
      </w:r>
      <w:bookmarkEnd w:id="846"/>
    </w:p>
    <w:p w:rsidR="009C5C1F" w:rsidRDefault="004D2E0D">
      <w:pPr>
        <w:suppressAutoHyphens/>
        <w:wordWrap w:val="0"/>
        <w:topLinePunct/>
        <w:spacing w:beforeLines="50" w:before="120" w:line="360" w:lineRule="auto"/>
        <w:ind w:firstLineChars="200" w:firstLine="480"/>
        <w:rPr>
          <w:sz w:val="24"/>
        </w:rPr>
      </w:pPr>
      <w:bookmarkStart w:id="847" w:name="_Toc447615045"/>
      <w:r>
        <w:rPr>
          <w:rFonts w:hAnsi="宋体" w:hint="eastAsia"/>
          <w:sz w:val="24"/>
        </w:rPr>
        <w:t>1</w:t>
      </w:r>
      <w:r>
        <w:rPr>
          <w:rFonts w:hAnsi="宋体" w:hint="eastAsia"/>
          <w:sz w:val="24"/>
        </w:rPr>
        <w:t>、</w:t>
      </w:r>
      <w:r>
        <w:rPr>
          <w:rFonts w:hAnsi="宋体"/>
          <w:sz w:val="24"/>
        </w:rPr>
        <w:t>《</w:t>
      </w:r>
      <w:r>
        <w:rPr>
          <w:rFonts w:ascii="宋体" w:hAnsi="宋体" w:hint="eastAsia"/>
          <w:sz w:val="24"/>
        </w:rPr>
        <w:t>甘肃省临泽县板桥镇壕洼村</w:t>
      </w:r>
      <w:r>
        <w:rPr>
          <w:rFonts w:hint="eastAsia"/>
          <w:sz w:val="24"/>
        </w:rPr>
        <w:t>正北山西侧砖瓦用粘土矿</w:t>
      </w:r>
      <w:r>
        <w:rPr>
          <w:rFonts w:ascii="宋体" w:hAnsi="宋体" w:hint="eastAsia"/>
          <w:sz w:val="24"/>
        </w:rPr>
        <w:t>地质</w:t>
      </w:r>
      <w:r>
        <w:rPr>
          <w:rFonts w:hAnsi="宋体" w:hint="eastAsia"/>
          <w:sz w:val="24"/>
        </w:rPr>
        <w:t>普查报告</w:t>
      </w:r>
      <w:r>
        <w:rPr>
          <w:rFonts w:hAnsi="宋体"/>
          <w:sz w:val="24"/>
        </w:rPr>
        <w:t>》（甘肃</w:t>
      </w:r>
      <w:r>
        <w:rPr>
          <w:rFonts w:hAnsi="宋体" w:hint="eastAsia"/>
          <w:sz w:val="24"/>
        </w:rPr>
        <w:t>有色金属地质</w:t>
      </w:r>
      <w:proofErr w:type="gramStart"/>
      <w:r>
        <w:rPr>
          <w:rFonts w:hAnsi="宋体" w:hint="eastAsia"/>
          <w:sz w:val="24"/>
        </w:rPr>
        <w:t>勘查局张掖</w:t>
      </w:r>
      <w:proofErr w:type="gramEnd"/>
      <w:r>
        <w:rPr>
          <w:rFonts w:hAnsi="宋体" w:hint="eastAsia"/>
          <w:sz w:val="24"/>
        </w:rPr>
        <w:t>矿产勘察院</w:t>
      </w:r>
      <w:r>
        <w:rPr>
          <w:rFonts w:hAnsi="宋体"/>
          <w:sz w:val="24"/>
        </w:rPr>
        <w:t>，</w:t>
      </w:r>
      <w:r>
        <w:rPr>
          <w:sz w:val="24"/>
        </w:rPr>
        <w:t>20</w:t>
      </w:r>
      <w:r>
        <w:rPr>
          <w:rFonts w:hint="eastAsia"/>
          <w:sz w:val="24"/>
        </w:rPr>
        <w:t>2</w:t>
      </w:r>
      <w:r>
        <w:rPr>
          <w:sz w:val="24"/>
        </w:rPr>
        <w:t>2</w:t>
      </w:r>
      <w:r>
        <w:rPr>
          <w:rFonts w:hAnsi="宋体"/>
          <w:sz w:val="24"/>
        </w:rPr>
        <w:t>年</w:t>
      </w:r>
      <w:r>
        <w:rPr>
          <w:rFonts w:hint="eastAsia"/>
          <w:sz w:val="24"/>
        </w:rPr>
        <w:t>1</w:t>
      </w:r>
      <w:r>
        <w:rPr>
          <w:rFonts w:hAnsi="宋体"/>
          <w:sz w:val="24"/>
        </w:rPr>
        <w:t>月）；</w:t>
      </w:r>
    </w:p>
    <w:p w:rsidR="009C5C1F" w:rsidRDefault="004D2E0D">
      <w:pPr>
        <w:suppressAutoHyphens/>
        <w:wordWrap w:val="0"/>
        <w:topLinePunct/>
        <w:spacing w:line="360" w:lineRule="auto"/>
        <w:ind w:firstLineChars="200" w:firstLine="480"/>
        <w:rPr>
          <w:rFonts w:hAnsi="宋体"/>
          <w:sz w:val="24"/>
        </w:rPr>
      </w:pPr>
      <w:r>
        <w:rPr>
          <w:rFonts w:hAnsi="宋体" w:hint="eastAsia"/>
          <w:sz w:val="24"/>
        </w:rPr>
        <w:t>2</w:t>
      </w:r>
      <w:r>
        <w:rPr>
          <w:rFonts w:hAnsi="宋体"/>
          <w:sz w:val="24"/>
        </w:rPr>
        <w:t>、矿区勘查的相关资料。</w:t>
      </w:r>
    </w:p>
    <w:p w:rsidR="009C5C1F" w:rsidRDefault="004D2E0D">
      <w:pPr>
        <w:suppressAutoHyphens/>
        <w:wordWrap w:val="0"/>
        <w:topLinePunct/>
        <w:spacing w:line="360" w:lineRule="auto"/>
        <w:ind w:firstLineChars="200" w:firstLine="480"/>
        <w:rPr>
          <w:rFonts w:hAnsi="宋体"/>
          <w:sz w:val="24"/>
        </w:rPr>
      </w:pPr>
      <w:r>
        <w:rPr>
          <w:rFonts w:hAnsi="宋体" w:hint="eastAsia"/>
          <w:sz w:val="24"/>
        </w:rPr>
        <w:t>3</w:t>
      </w:r>
      <w:r>
        <w:rPr>
          <w:rFonts w:hAnsi="宋体"/>
          <w:sz w:val="24"/>
        </w:rPr>
        <w:t>.</w:t>
      </w:r>
      <w:r>
        <w:rPr>
          <w:rFonts w:hAnsi="宋体" w:hint="eastAsia"/>
          <w:sz w:val="24"/>
        </w:rPr>
        <w:t>临泽县自然资源局提供的土地利用现状图、规划图与台账。</w:t>
      </w:r>
    </w:p>
    <w:p w:rsidR="009C5C1F" w:rsidRDefault="004D2E0D">
      <w:pPr>
        <w:suppressAutoHyphens/>
        <w:wordWrap w:val="0"/>
        <w:topLinePunct/>
        <w:spacing w:line="360" w:lineRule="auto"/>
        <w:ind w:firstLineChars="200" w:firstLine="480"/>
        <w:rPr>
          <w:rFonts w:hAnsi="宋体"/>
          <w:sz w:val="24"/>
        </w:rPr>
      </w:pPr>
      <w:r>
        <w:rPr>
          <w:rFonts w:hAnsi="宋体" w:hint="eastAsia"/>
          <w:sz w:val="24"/>
        </w:rPr>
        <w:t>4</w:t>
      </w:r>
      <w:r>
        <w:rPr>
          <w:rFonts w:hAnsi="宋体"/>
          <w:sz w:val="24"/>
        </w:rPr>
        <w:t>.</w:t>
      </w:r>
      <w:r>
        <w:rPr>
          <w:rFonts w:hAnsi="宋体" w:hint="eastAsia"/>
          <w:sz w:val="24"/>
        </w:rPr>
        <w:t>本次开发利用方案</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848" w:name="_Toc70589822"/>
      <w:bookmarkStart w:id="849" w:name="_Toc153130766"/>
      <w:bookmarkStart w:id="850" w:name="_Toc511226456"/>
      <w:r>
        <w:rPr>
          <w:rFonts w:eastAsia="黑体" w:hint="eastAsia"/>
          <w:b/>
          <w:bCs/>
          <w:sz w:val="28"/>
          <w:szCs w:val="30"/>
        </w:rPr>
        <w:lastRenderedPageBreak/>
        <w:t>四、</w:t>
      </w:r>
      <w:r>
        <w:rPr>
          <w:rFonts w:eastAsia="黑体"/>
          <w:b/>
          <w:bCs/>
          <w:sz w:val="28"/>
          <w:szCs w:val="30"/>
        </w:rPr>
        <w:t>方案适用年限</w:t>
      </w:r>
      <w:bookmarkEnd w:id="847"/>
      <w:bookmarkEnd w:id="848"/>
      <w:bookmarkEnd w:id="849"/>
      <w:bookmarkEnd w:id="850"/>
    </w:p>
    <w:p w:rsidR="009C5C1F" w:rsidRDefault="004D2E0D">
      <w:pPr>
        <w:wordWrap w:val="0"/>
        <w:topLinePunct/>
        <w:spacing w:line="360" w:lineRule="auto"/>
        <w:ind w:firstLineChars="200" w:firstLine="480"/>
        <w:rPr>
          <w:sz w:val="24"/>
        </w:rPr>
      </w:pPr>
      <w:r>
        <w:rPr>
          <w:rFonts w:hint="eastAsia"/>
          <w:sz w:val="24"/>
        </w:rPr>
        <w:t>本次编制的《矿山地质环境保护与土地复垦方案》适用年限按照原</w:t>
      </w:r>
      <w:r>
        <w:rPr>
          <w:sz w:val="24"/>
        </w:rPr>
        <w:t>“</w:t>
      </w:r>
      <w:r>
        <w:rPr>
          <w:rFonts w:hint="eastAsia"/>
          <w:sz w:val="24"/>
        </w:rPr>
        <w:t>国土资源部《矿山地质环境保护与土地复垦方案编制指南》</w:t>
      </w:r>
      <w:r>
        <w:rPr>
          <w:sz w:val="24"/>
        </w:rPr>
        <w:t>”</w:t>
      </w:r>
      <w:r>
        <w:rPr>
          <w:rFonts w:hint="eastAsia"/>
          <w:sz w:val="24"/>
        </w:rPr>
        <w:t>的规定，依据本矿山服务年限和开采计划来确定。</w:t>
      </w:r>
    </w:p>
    <w:p w:rsidR="009C5C1F" w:rsidRDefault="004D2E0D">
      <w:pPr>
        <w:wordWrap w:val="0"/>
        <w:topLinePunct/>
        <w:spacing w:line="360" w:lineRule="auto"/>
        <w:ind w:firstLineChars="200" w:firstLine="480"/>
        <w:rPr>
          <w:rFonts w:ascii="宋体" w:hAnsi="宋体" w:cs="宋体"/>
          <w:sz w:val="24"/>
        </w:rPr>
      </w:pPr>
      <w:r>
        <w:rPr>
          <w:sz w:val="24"/>
        </w:rPr>
        <w:t>根据</w:t>
      </w:r>
      <w:r>
        <w:rPr>
          <w:rFonts w:hint="eastAsia"/>
          <w:sz w:val="24"/>
        </w:rPr>
        <w:t>《普查报告》，</w:t>
      </w:r>
      <w:r>
        <w:rPr>
          <w:rFonts w:ascii="宋体" w:hAnsi="宋体" w:hint="eastAsia"/>
          <w:sz w:val="24"/>
        </w:rPr>
        <w:t>甘肃省临泽县板桥</w:t>
      </w:r>
      <w:proofErr w:type="gramStart"/>
      <w:r>
        <w:rPr>
          <w:rFonts w:ascii="宋体" w:hAnsi="宋体" w:hint="eastAsia"/>
          <w:sz w:val="24"/>
        </w:rPr>
        <w:t>镇壕洼村</w:t>
      </w:r>
      <w:proofErr w:type="gramEnd"/>
      <w:r>
        <w:rPr>
          <w:rFonts w:hint="eastAsia"/>
          <w:sz w:val="24"/>
        </w:rPr>
        <w:t>正北山西侧砖瓦用粘土矿</w:t>
      </w:r>
      <w:r>
        <w:rPr>
          <w:rFonts w:ascii="宋体" w:hAnsi="宋体" w:cs="宋体" w:hint="eastAsia"/>
          <w:sz w:val="24"/>
          <w:lang w:val="zh-CN"/>
        </w:rPr>
        <w:t>推断资源量</w:t>
      </w:r>
      <w:r>
        <w:rPr>
          <w:rFonts w:ascii="宋体" w:hAnsi="宋体" w:cs="宋体"/>
          <w:sz w:val="24"/>
          <w:lang w:val="zh-CN"/>
        </w:rPr>
        <w:t>为124.1万</w:t>
      </w:r>
      <w:r>
        <w:rPr>
          <w:rFonts w:ascii="宋体" w:hAnsi="宋体" w:cs="宋体" w:hint="eastAsia"/>
          <w:sz w:val="24"/>
          <w:lang w:val="zh-CN"/>
        </w:rPr>
        <w:t>立方米，</w:t>
      </w:r>
      <w:r>
        <w:rPr>
          <w:sz w:val="24"/>
        </w:rPr>
        <w:t>《开发利用方案》</w:t>
      </w:r>
      <w:r>
        <w:rPr>
          <w:rFonts w:ascii="宋体" w:hAnsi="宋体" w:cs="宋体" w:hint="eastAsia"/>
          <w:sz w:val="24"/>
        </w:rPr>
        <w:t>确定可利用系数取1，回采率95%，矿山确定的可采储量为</w:t>
      </w:r>
      <w:r>
        <w:rPr>
          <w:rFonts w:ascii="宋体" w:hAnsi="宋体" w:cs="宋体"/>
          <w:spacing w:val="-2"/>
          <w:sz w:val="24"/>
        </w:rPr>
        <w:t>111.815</w:t>
      </w:r>
      <w:r>
        <w:rPr>
          <w:rFonts w:ascii="宋体" w:hAnsi="宋体" w:cs="宋体"/>
          <w:sz w:val="24"/>
        </w:rPr>
        <w:t>万</w:t>
      </w:r>
      <w:r>
        <w:rPr>
          <w:rFonts w:ascii="宋体" w:hAnsi="宋体" w:cs="宋体" w:hint="eastAsia"/>
          <w:sz w:val="24"/>
        </w:rPr>
        <w:t>立方米，设计生产规模为1</w:t>
      </w:r>
      <w:r>
        <w:rPr>
          <w:rFonts w:ascii="宋体" w:hAnsi="宋体" w:cs="宋体"/>
          <w:sz w:val="24"/>
        </w:rPr>
        <w:t>0</w:t>
      </w:r>
      <w:r>
        <w:rPr>
          <w:rFonts w:ascii="宋体" w:hAnsi="宋体" w:cs="宋体" w:hint="eastAsia"/>
          <w:sz w:val="24"/>
        </w:rPr>
        <w:t>万立方米/年，矿山服务年限约为</w:t>
      </w:r>
      <w:r>
        <w:rPr>
          <w:rFonts w:ascii="宋体" w:hAnsi="宋体" w:cs="宋体"/>
          <w:sz w:val="24"/>
        </w:rPr>
        <w:t>11</w:t>
      </w:r>
      <w:r>
        <w:rPr>
          <w:rFonts w:ascii="宋体" w:hAnsi="宋体" w:cs="宋体" w:hint="eastAsia"/>
          <w:sz w:val="24"/>
        </w:rPr>
        <w:t>年（不含基建期）。</w:t>
      </w:r>
    </w:p>
    <w:p w:rsidR="009C5C1F" w:rsidRDefault="004D2E0D">
      <w:pPr>
        <w:suppressAutoHyphens/>
        <w:wordWrap w:val="0"/>
        <w:topLinePunct/>
        <w:spacing w:line="360" w:lineRule="auto"/>
        <w:ind w:firstLineChars="200" w:firstLine="480"/>
        <w:rPr>
          <w:rFonts w:hAnsi="宋体"/>
          <w:sz w:val="24"/>
        </w:rPr>
      </w:pPr>
      <w:r>
        <w:rPr>
          <w:rFonts w:hAnsi="宋体" w:hint="eastAsia"/>
          <w:sz w:val="24"/>
        </w:rPr>
        <w:t>根据原国土资源部办公厅发布的《关于做好矿山地质环境保护与土地复垦方案编报有关工作的通知》（国土资</w:t>
      </w:r>
      <w:proofErr w:type="gramStart"/>
      <w:r>
        <w:rPr>
          <w:rFonts w:hAnsi="宋体" w:hint="eastAsia"/>
          <w:sz w:val="24"/>
        </w:rPr>
        <w:t>规</w:t>
      </w:r>
      <w:proofErr w:type="gramEnd"/>
      <w:r>
        <w:rPr>
          <w:rFonts w:hAnsi="宋体" w:hint="eastAsia"/>
          <w:sz w:val="24"/>
        </w:rPr>
        <w:t>[2016]21</w:t>
      </w:r>
      <w:r>
        <w:rPr>
          <w:rFonts w:hAnsi="宋体" w:hint="eastAsia"/>
          <w:sz w:val="24"/>
        </w:rPr>
        <w:t>号）的相关规定及甘肃省国土资源厅发布的《矿山地质环境保护与土地复垦方案合将合并编报》的文件条文释义，确定本方案编制年限为</w:t>
      </w:r>
      <w:r>
        <w:rPr>
          <w:rFonts w:hAnsi="宋体"/>
          <w:sz w:val="24"/>
        </w:rPr>
        <w:t>12</w:t>
      </w:r>
      <w:r>
        <w:rPr>
          <w:rFonts w:hAnsi="宋体" w:hint="eastAsia"/>
          <w:sz w:val="24"/>
        </w:rPr>
        <w:t>年（含</w:t>
      </w:r>
      <w:r>
        <w:rPr>
          <w:rFonts w:hAnsi="宋体" w:hint="eastAsia"/>
          <w:sz w:val="24"/>
        </w:rPr>
        <w:t>3</w:t>
      </w:r>
      <w:r>
        <w:rPr>
          <w:rFonts w:hAnsi="宋体" w:hint="eastAsia"/>
          <w:sz w:val="24"/>
        </w:rPr>
        <w:t>年复垦期），本方案编制基准期为</w:t>
      </w:r>
      <w:r>
        <w:rPr>
          <w:rFonts w:hAnsi="宋体" w:hint="eastAsia"/>
          <w:sz w:val="24"/>
        </w:rPr>
        <w:t>202</w:t>
      </w:r>
      <w:r>
        <w:rPr>
          <w:rFonts w:hAnsi="宋体"/>
          <w:sz w:val="24"/>
        </w:rPr>
        <w:t>3</w:t>
      </w:r>
      <w:r>
        <w:rPr>
          <w:rFonts w:hAnsi="宋体" w:hint="eastAsia"/>
          <w:sz w:val="24"/>
        </w:rPr>
        <w:t>年</w:t>
      </w:r>
      <w:r>
        <w:rPr>
          <w:rFonts w:hAnsi="宋体" w:hint="eastAsia"/>
          <w:sz w:val="24"/>
        </w:rPr>
        <w:t>8</w:t>
      </w:r>
      <w:r>
        <w:rPr>
          <w:rFonts w:hAnsi="宋体" w:hint="eastAsia"/>
          <w:sz w:val="24"/>
        </w:rPr>
        <w:t>月，方案编制年限为自</w:t>
      </w:r>
      <w:r>
        <w:rPr>
          <w:rFonts w:hAnsi="宋体" w:hint="eastAsia"/>
          <w:sz w:val="24"/>
        </w:rPr>
        <w:t>202</w:t>
      </w:r>
      <w:r>
        <w:rPr>
          <w:rFonts w:hAnsi="宋体"/>
          <w:sz w:val="24"/>
        </w:rPr>
        <w:t>3</w:t>
      </w:r>
      <w:r>
        <w:rPr>
          <w:rFonts w:hAnsi="宋体" w:hint="eastAsia"/>
          <w:sz w:val="24"/>
        </w:rPr>
        <w:t>年</w:t>
      </w:r>
      <w:r>
        <w:rPr>
          <w:rFonts w:hAnsi="宋体" w:hint="eastAsia"/>
          <w:sz w:val="24"/>
        </w:rPr>
        <w:t>8</w:t>
      </w:r>
      <w:r>
        <w:rPr>
          <w:rFonts w:hAnsi="宋体" w:hint="eastAsia"/>
          <w:sz w:val="24"/>
        </w:rPr>
        <w:t>月至</w:t>
      </w:r>
      <w:r>
        <w:rPr>
          <w:rFonts w:hAnsi="宋体" w:hint="eastAsia"/>
          <w:sz w:val="24"/>
        </w:rPr>
        <w:t>20</w:t>
      </w:r>
      <w:r>
        <w:rPr>
          <w:rFonts w:hAnsi="宋体"/>
          <w:sz w:val="24"/>
        </w:rPr>
        <w:t>35</w:t>
      </w:r>
      <w:r>
        <w:rPr>
          <w:rFonts w:hAnsi="宋体" w:hint="eastAsia"/>
          <w:sz w:val="24"/>
        </w:rPr>
        <w:t>年</w:t>
      </w:r>
      <w:r>
        <w:rPr>
          <w:rFonts w:hAnsi="宋体"/>
          <w:sz w:val="24"/>
        </w:rPr>
        <w:t>8</w:t>
      </w:r>
      <w:r>
        <w:rPr>
          <w:rFonts w:hAnsi="宋体" w:hint="eastAsia"/>
          <w:sz w:val="24"/>
        </w:rPr>
        <w:t>月；考虑该矿山生产服务年限为</w:t>
      </w:r>
      <w:r>
        <w:rPr>
          <w:rFonts w:hAnsi="宋体"/>
          <w:sz w:val="24"/>
        </w:rPr>
        <w:t>11</w:t>
      </w:r>
      <w:r>
        <w:rPr>
          <w:rFonts w:hAnsi="宋体" w:hint="eastAsia"/>
          <w:sz w:val="24"/>
        </w:rPr>
        <w:t>年，方案适用年限为</w:t>
      </w:r>
      <w:r>
        <w:rPr>
          <w:rFonts w:hAnsi="宋体"/>
          <w:sz w:val="24"/>
        </w:rPr>
        <w:t>5</w:t>
      </w:r>
      <w:r>
        <w:rPr>
          <w:rFonts w:hAnsi="宋体" w:hint="eastAsia"/>
          <w:sz w:val="24"/>
        </w:rPr>
        <w:t>年，即自</w:t>
      </w:r>
      <w:r>
        <w:rPr>
          <w:rFonts w:hAnsi="宋体" w:hint="eastAsia"/>
          <w:sz w:val="24"/>
        </w:rPr>
        <w:t>202</w:t>
      </w:r>
      <w:r>
        <w:rPr>
          <w:rFonts w:hAnsi="宋体"/>
          <w:sz w:val="24"/>
        </w:rPr>
        <w:t>3</w:t>
      </w:r>
      <w:r>
        <w:rPr>
          <w:rFonts w:hAnsi="宋体" w:hint="eastAsia"/>
          <w:sz w:val="24"/>
        </w:rPr>
        <w:t>年</w:t>
      </w:r>
      <w:r>
        <w:rPr>
          <w:rFonts w:hAnsi="宋体"/>
          <w:sz w:val="24"/>
        </w:rPr>
        <w:t>8</w:t>
      </w:r>
      <w:r>
        <w:rPr>
          <w:rFonts w:hAnsi="宋体" w:hint="eastAsia"/>
          <w:sz w:val="24"/>
        </w:rPr>
        <w:t>月至</w:t>
      </w:r>
      <w:r>
        <w:rPr>
          <w:rFonts w:hAnsi="宋体" w:hint="eastAsia"/>
          <w:sz w:val="24"/>
        </w:rPr>
        <w:t>20</w:t>
      </w:r>
      <w:r>
        <w:rPr>
          <w:rFonts w:hAnsi="宋体"/>
          <w:sz w:val="24"/>
        </w:rPr>
        <w:t>28</w:t>
      </w:r>
      <w:r>
        <w:rPr>
          <w:rFonts w:hAnsi="宋体" w:hint="eastAsia"/>
          <w:sz w:val="24"/>
        </w:rPr>
        <w:t>年</w:t>
      </w:r>
      <w:r>
        <w:rPr>
          <w:rFonts w:hAnsi="宋体"/>
          <w:sz w:val="24"/>
        </w:rPr>
        <w:t>8</w:t>
      </w:r>
      <w:r>
        <w:rPr>
          <w:rFonts w:hAnsi="宋体" w:hint="eastAsia"/>
          <w:sz w:val="24"/>
        </w:rPr>
        <w:t>月（具体时间以获得采矿许可证的时间为准）。在方案适用期内，一是如果矿山企业发生主要开采矿种、开采方式、生产规模变更，以及因矿区范围变化需要变更矿山建设方案时，应重新编制矿产资源开发与恢复治理方案；二是如果不发生采矿权等的变更，本方案使用年限到期之后，根据矿山开采计划和矿山环境的变化，需修编一次本方案（</w:t>
      </w:r>
      <w:r>
        <w:rPr>
          <w:rFonts w:hAnsi="宋体" w:hint="eastAsia"/>
          <w:sz w:val="24"/>
        </w:rPr>
        <w:t>5</w:t>
      </w:r>
      <w:r>
        <w:rPr>
          <w:rFonts w:hAnsi="宋体" w:hint="eastAsia"/>
          <w:sz w:val="24"/>
        </w:rPr>
        <w:t>年一次）；三是在方案有效期内，随政府土地复垦项目规划，土地复垦条件和复垦方向发生较大变化时，需重新编制矿山地质环境保护与土地复垦方案。</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851" w:name="_Toc511226457"/>
      <w:bookmarkStart w:id="852" w:name="_Toc153130767"/>
      <w:bookmarkStart w:id="853" w:name="_Toc70589823"/>
      <w:r>
        <w:rPr>
          <w:rFonts w:eastAsia="黑体" w:hint="eastAsia"/>
          <w:b/>
          <w:bCs/>
          <w:sz w:val="28"/>
          <w:szCs w:val="30"/>
        </w:rPr>
        <w:t>五、编制工作概况</w:t>
      </w:r>
      <w:bookmarkEnd w:id="851"/>
      <w:bookmarkEnd w:id="852"/>
      <w:bookmarkEnd w:id="853"/>
    </w:p>
    <w:p w:rsidR="009C5C1F" w:rsidRDefault="004D2E0D">
      <w:pPr>
        <w:keepNext/>
        <w:keepLines/>
        <w:suppressAutoHyphens/>
        <w:wordWrap w:val="0"/>
        <w:topLinePunct/>
        <w:spacing w:line="360" w:lineRule="auto"/>
        <w:ind w:firstLineChars="200" w:firstLine="482"/>
        <w:outlineLvl w:val="2"/>
        <w:rPr>
          <w:b/>
          <w:sz w:val="24"/>
          <w:szCs w:val="28"/>
        </w:rPr>
      </w:pPr>
      <w:bookmarkStart w:id="854" w:name="_Toc70589824"/>
      <w:r>
        <w:rPr>
          <w:rFonts w:hint="eastAsia"/>
          <w:b/>
          <w:bCs/>
          <w:sz w:val="24"/>
          <w:szCs w:val="28"/>
        </w:rPr>
        <w:t>(</w:t>
      </w:r>
      <w:r>
        <w:rPr>
          <w:rFonts w:hint="eastAsia"/>
          <w:b/>
          <w:sz w:val="24"/>
          <w:szCs w:val="28"/>
        </w:rPr>
        <w:t>一）工作程序</w:t>
      </w:r>
      <w:bookmarkEnd w:id="854"/>
    </w:p>
    <w:p w:rsidR="009C5C1F" w:rsidRDefault="004D2E0D">
      <w:pPr>
        <w:suppressAutoHyphens/>
        <w:wordWrap w:val="0"/>
        <w:topLinePunct/>
        <w:spacing w:line="360" w:lineRule="auto"/>
        <w:ind w:firstLineChars="200" w:firstLine="480"/>
        <w:rPr>
          <w:sz w:val="24"/>
        </w:rPr>
      </w:pPr>
      <w:r>
        <w:rPr>
          <w:rFonts w:hint="eastAsia"/>
          <w:sz w:val="24"/>
        </w:rPr>
        <w:t>本次方案编制严格按照国务院或原国土资源部颁发的《土地复垦条例》、《矿山地质环境保护规定》、《矿山地质环境保护与土地复垦方案编制指南》规定的程序进行（图</w:t>
      </w:r>
      <w:r>
        <w:rPr>
          <w:rFonts w:hint="eastAsia"/>
          <w:sz w:val="24"/>
        </w:rPr>
        <w:t>0-1)</w:t>
      </w:r>
      <w:r>
        <w:rPr>
          <w:rFonts w:hint="eastAsia"/>
          <w:sz w:val="24"/>
        </w:rPr>
        <w:t>。</w:t>
      </w:r>
    </w:p>
    <w:p w:rsidR="009C5C1F" w:rsidRDefault="004D2E0D">
      <w:pPr>
        <w:framePr w:h="4733" w:wrap="notBeside" w:vAnchor="text" w:hAnchor="text" w:xAlign="center" w:y="1"/>
        <w:wordWrap w:val="0"/>
        <w:topLinePunct/>
        <w:jc w:val="center"/>
        <w:rPr>
          <w:rFonts w:ascii="仿宋_GB2312" w:eastAsia="仿宋_GB2312" w:hAnsi="宋体"/>
          <w:sz w:val="2"/>
          <w:szCs w:val="2"/>
        </w:rPr>
      </w:pPr>
      <w:r>
        <w:rPr>
          <w:rFonts w:ascii="仿宋_GB2312" w:eastAsia="仿宋_GB2312" w:hAnsi="宋体"/>
          <w:noProof/>
        </w:rPr>
        <w:lastRenderedPageBreak/>
        <w:drawing>
          <wp:inline distT="0" distB="0" distL="0" distR="0">
            <wp:extent cx="2924175" cy="3009265"/>
            <wp:effectExtent l="19050" t="0" r="9525" b="0"/>
            <wp:docPr id="6" name="图片 6"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age1"/>
                    <pic:cNvPicPr>
                      <a:picLocks noChangeAspect="1" noChangeArrowheads="1"/>
                    </pic:cNvPicPr>
                  </pic:nvPicPr>
                  <pic:blipFill>
                    <a:blip r:embed="rId30">
                      <a:lum contrast="20000"/>
                    </a:blip>
                    <a:srcRect/>
                    <a:stretch>
                      <a:fillRect/>
                    </a:stretch>
                  </pic:blipFill>
                  <pic:spPr>
                    <a:xfrm>
                      <a:off x="0" y="0"/>
                      <a:ext cx="2924175" cy="3009265"/>
                    </a:xfrm>
                    <a:prstGeom prst="rect">
                      <a:avLst/>
                    </a:prstGeom>
                    <a:noFill/>
                    <a:ln w="9525">
                      <a:noFill/>
                      <a:miter lim="800000"/>
                      <a:headEnd/>
                      <a:tailEnd/>
                    </a:ln>
                  </pic:spPr>
                </pic:pic>
              </a:graphicData>
            </a:graphic>
          </wp:inline>
        </w:drawing>
      </w:r>
    </w:p>
    <w:p w:rsidR="009C5C1F" w:rsidRDefault="004D2E0D">
      <w:pPr>
        <w:framePr w:h="4733" w:wrap="notBeside" w:vAnchor="text" w:hAnchor="text" w:xAlign="center" w:y="1"/>
        <w:suppressAutoHyphens/>
        <w:wordWrap w:val="0"/>
        <w:topLinePunct/>
        <w:ind w:firstLineChars="199" w:firstLine="479"/>
        <w:jc w:val="center"/>
        <w:rPr>
          <w:b/>
          <w:sz w:val="24"/>
        </w:rPr>
      </w:pPr>
      <w:r>
        <w:rPr>
          <w:b/>
          <w:sz w:val="24"/>
        </w:rPr>
        <w:t>图</w:t>
      </w:r>
      <w:r>
        <w:rPr>
          <w:sz w:val="24"/>
        </w:rPr>
        <w:t xml:space="preserve">0-1  </w:t>
      </w:r>
      <w:r>
        <w:rPr>
          <w:b/>
          <w:sz w:val="24"/>
        </w:rPr>
        <w:t>技术工作路线图</w:t>
      </w:r>
    </w:p>
    <w:p w:rsidR="009C5C1F" w:rsidRDefault="009C5C1F">
      <w:pPr>
        <w:wordWrap w:val="0"/>
        <w:topLinePunct/>
        <w:rPr>
          <w:rFonts w:ascii="仿宋_GB2312" w:eastAsia="仿宋_GB2312" w:hAnsi="宋体"/>
          <w:sz w:val="2"/>
          <w:szCs w:val="2"/>
        </w:rPr>
      </w:pPr>
    </w:p>
    <w:p w:rsidR="009C5C1F" w:rsidRDefault="004D2E0D">
      <w:pPr>
        <w:keepNext/>
        <w:keepLines/>
        <w:suppressAutoHyphens/>
        <w:wordWrap w:val="0"/>
        <w:topLinePunct/>
        <w:spacing w:line="360" w:lineRule="auto"/>
        <w:ind w:firstLineChars="200" w:firstLine="482"/>
        <w:outlineLvl w:val="2"/>
        <w:rPr>
          <w:b/>
          <w:sz w:val="24"/>
          <w:szCs w:val="28"/>
        </w:rPr>
      </w:pPr>
      <w:bookmarkStart w:id="855" w:name="_Toc70589825"/>
      <w:bookmarkStart w:id="856" w:name="bookmark2"/>
      <w:r>
        <w:rPr>
          <w:rFonts w:hint="eastAsia"/>
          <w:b/>
          <w:sz w:val="24"/>
          <w:szCs w:val="28"/>
        </w:rPr>
        <w:t>(</w:t>
      </w:r>
      <w:r>
        <w:rPr>
          <w:rFonts w:hint="eastAsia"/>
          <w:b/>
          <w:sz w:val="24"/>
          <w:szCs w:val="28"/>
        </w:rPr>
        <w:t>二）工作方法</w:t>
      </w:r>
      <w:bookmarkEnd w:id="855"/>
      <w:bookmarkEnd w:id="856"/>
    </w:p>
    <w:p w:rsidR="009C5C1F" w:rsidRDefault="004D2E0D">
      <w:pPr>
        <w:suppressAutoHyphens/>
        <w:wordWrap w:val="0"/>
        <w:topLinePunct/>
        <w:spacing w:line="360" w:lineRule="auto"/>
        <w:ind w:firstLineChars="200" w:firstLine="480"/>
        <w:rPr>
          <w:sz w:val="24"/>
        </w:rPr>
      </w:pPr>
      <w:r>
        <w:rPr>
          <w:rFonts w:hint="eastAsia"/>
          <w:sz w:val="24"/>
        </w:rPr>
        <w:t>本次工作主要采用搜集现有资料、实地调查及室内综合分析评估的工作方法。</w:t>
      </w:r>
    </w:p>
    <w:p w:rsidR="009C5C1F" w:rsidRDefault="004D2E0D">
      <w:pPr>
        <w:suppressAutoHyphens/>
        <w:wordWrap w:val="0"/>
        <w:topLinePunct/>
        <w:spacing w:line="360" w:lineRule="auto"/>
        <w:ind w:firstLineChars="200" w:firstLine="480"/>
        <w:rPr>
          <w:sz w:val="24"/>
        </w:rPr>
      </w:pPr>
      <w:r>
        <w:rPr>
          <w:sz w:val="24"/>
        </w:rPr>
        <w:t>1</w:t>
      </w:r>
      <w:r>
        <w:rPr>
          <w:rFonts w:hint="eastAsia"/>
          <w:sz w:val="24"/>
        </w:rPr>
        <w:t>、开展工作前，项目有关技术人员认真学习自然资源部《矿山地质环境保护与土地复垦方案编制指南》、《地质灾害危险性评估技术要求》（试行）、《矿山地质环境保护规定》。统一认识，编制《矿山地质环境保护与土地复垦方案工作大纲》，熟悉工作程序，明确工作重点。</w:t>
      </w:r>
    </w:p>
    <w:p w:rsidR="009C5C1F" w:rsidRDefault="004D2E0D">
      <w:pPr>
        <w:suppressAutoHyphens/>
        <w:wordWrap w:val="0"/>
        <w:topLinePunct/>
        <w:spacing w:line="360" w:lineRule="auto"/>
        <w:ind w:firstLineChars="200" w:firstLine="480"/>
        <w:rPr>
          <w:sz w:val="24"/>
        </w:rPr>
      </w:pPr>
      <w:r>
        <w:rPr>
          <w:sz w:val="24"/>
        </w:rPr>
        <w:t>2</w:t>
      </w:r>
      <w:r>
        <w:rPr>
          <w:rFonts w:hint="eastAsia"/>
          <w:sz w:val="24"/>
        </w:rPr>
        <w:t>、在调查前，搜集并详细阅读《普查报告》、《开发利用方案》等相关资料，了解区内地质环境条件和矿山采矿工程规模。初步确定矿山地质环境</w:t>
      </w:r>
      <w:proofErr w:type="gramStart"/>
      <w:r>
        <w:rPr>
          <w:rFonts w:hint="eastAsia"/>
          <w:sz w:val="24"/>
        </w:rPr>
        <w:t>评估区</w:t>
      </w:r>
      <w:proofErr w:type="gramEnd"/>
      <w:r>
        <w:rPr>
          <w:rFonts w:hint="eastAsia"/>
          <w:sz w:val="24"/>
        </w:rPr>
        <w:t>范围、级别和土地复垦区、复垦责任范围等。</w:t>
      </w:r>
    </w:p>
    <w:p w:rsidR="009C5C1F" w:rsidRDefault="004D2E0D">
      <w:pPr>
        <w:suppressAutoHyphens/>
        <w:wordWrap w:val="0"/>
        <w:topLinePunct/>
        <w:spacing w:line="360" w:lineRule="auto"/>
        <w:ind w:firstLineChars="200" w:firstLine="480"/>
        <w:rPr>
          <w:sz w:val="24"/>
        </w:rPr>
      </w:pPr>
      <w:r>
        <w:rPr>
          <w:sz w:val="24"/>
        </w:rPr>
        <w:t>3</w:t>
      </w:r>
      <w:r>
        <w:rPr>
          <w:rFonts w:hint="eastAsia"/>
          <w:sz w:val="24"/>
        </w:rPr>
        <w:t>、野外调查采用</w:t>
      </w:r>
      <w:r>
        <w:rPr>
          <w:sz w:val="24"/>
        </w:rPr>
        <w:t>1</w:t>
      </w:r>
      <w:r>
        <w:rPr>
          <w:rFonts w:hint="eastAsia"/>
          <w:sz w:val="24"/>
        </w:rPr>
        <w:t>∶</w:t>
      </w:r>
      <w:r>
        <w:rPr>
          <w:sz w:val="24"/>
        </w:rPr>
        <w:t xml:space="preserve">2000 </w:t>
      </w:r>
      <w:r>
        <w:rPr>
          <w:rFonts w:hint="eastAsia"/>
          <w:sz w:val="24"/>
        </w:rPr>
        <w:t>地形地质图做手图，</w:t>
      </w:r>
      <w:proofErr w:type="gramStart"/>
      <w:r>
        <w:rPr>
          <w:rFonts w:hint="eastAsia"/>
          <w:sz w:val="24"/>
        </w:rPr>
        <w:t>亚米级</w:t>
      </w:r>
      <w:proofErr w:type="gramEnd"/>
      <w:r>
        <w:rPr>
          <w:sz w:val="24"/>
        </w:rPr>
        <w:t xml:space="preserve">GPS </w:t>
      </w:r>
      <w:r>
        <w:rPr>
          <w:rFonts w:hint="eastAsia"/>
          <w:sz w:val="24"/>
        </w:rPr>
        <w:t>定位，数码拍照。工作方法主要采用路线穿越法和地质环境点追索相结合的方法进行灾害点调查。</w:t>
      </w:r>
    </w:p>
    <w:p w:rsidR="009C5C1F" w:rsidRDefault="004D2E0D">
      <w:pPr>
        <w:suppressAutoHyphens/>
        <w:wordWrap w:val="0"/>
        <w:topLinePunct/>
        <w:spacing w:line="360" w:lineRule="auto"/>
        <w:ind w:firstLineChars="200" w:firstLine="480"/>
        <w:rPr>
          <w:sz w:val="24"/>
        </w:rPr>
      </w:pPr>
      <w:r>
        <w:rPr>
          <w:sz w:val="24"/>
        </w:rPr>
        <w:t>4</w:t>
      </w:r>
      <w:r>
        <w:rPr>
          <w:rFonts w:hint="eastAsia"/>
          <w:sz w:val="24"/>
        </w:rPr>
        <w:t>、本次调查的重点对象：初步查明该区的地层岩性、地质构造、水文地质条件、工程地质条件、矿体地质特征、矿山及周边其他人类工程活动情况等，调查各类地貌、土地资源占用、水文地质及地质灾害现状、规模及稳定性等，确定各类地质环境问题的成因类型、分布规模、威胁对象等，预测可能产生地质环境问题的地域、类型，灾害隐患对矿山工程的危害程度及危险性，提出初步防治措施。</w:t>
      </w:r>
    </w:p>
    <w:p w:rsidR="009C5C1F" w:rsidRDefault="004D2E0D">
      <w:pPr>
        <w:suppressAutoHyphens/>
        <w:wordWrap w:val="0"/>
        <w:topLinePunct/>
        <w:spacing w:line="360" w:lineRule="auto"/>
        <w:ind w:firstLineChars="200" w:firstLine="480"/>
        <w:rPr>
          <w:sz w:val="24"/>
        </w:rPr>
      </w:pPr>
      <w:r>
        <w:rPr>
          <w:sz w:val="24"/>
        </w:rPr>
        <w:t>5</w:t>
      </w:r>
      <w:r>
        <w:rPr>
          <w:rFonts w:hint="eastAsia"/>
          <w:sz w:val="24"/>
        </w:rPr>
        <w:t>、室内资料整理</w:t>
      </w:r>
    </w:p>
    <w:p w:rsidR="009C5C1F" w:rsidRDefault="004D2E0D">
      <w:pPr>
        <w:suppressAutoHyphens/>
        <w:wordWrap w:val="0"/>
        <w:topLinePunct/>
        <w:spacing w:line="360" w:lineRule="auto"/>
        <w:ind w:firstLineChars="200" w:firstLine="480"/>
        <w:rPr>
          <w:sz w:val="24"/>
        </w:rPr>
      </w:pPr>
      <w:r>
        <w:rPr>
          <w:rFonts w:hint="eastAsia"/>
          <w:sz w:val="24"/>
        </w:rPr>
        <w:t>在综合分析研究现有资料和调查资料的基础上，按照《方案编制指南》工作程序，进行矿山地质环境现状评估、预测评估及矿山土地损毁现状评估、预测评估，并提出</w:t>
      </w:r>
      <w:r>
        <w:rPr>
          <w:rFonts w:hint="eastAsia"/>
          <w:sz w:val="24"/>
        </w:rPr>
        <w:lastRenderedPageBreak/>
        <w:t>相应的防治工程措施和建议。着重于提出拟采取的防治方案。</w:t>
      </w:r>
    </w:p>
    <w:p w:rsidR="009C5C1F" w:rsidRDefault="004D2E0D">
      <w:pPr>
        <w:suppressAutoHyphens/>
        <w:wordWrap w:val="0"/>
        <w:topLinePunct/>
        <w:spacing w:line="360" w:lineRule="auto"/>
        <w:ind w:firstLineChars="200" w:firstLine="480"/>
        <w:rPr>
          <w:sz w:val="24"/>
        </w:rPr>
      </w:pPr>
      <w:r>
        <w:rPr>
          <w:sz w:val="24"/>
        </w:rPr>
        <w:t>依据原</w:t>
      </w:r>
      <w:r>
        <w:rPr>
          <w:rFonts w:hint="eastAsia"/>
          <w:sz w:val="24"/>
        </w:rPr>
        <w:t>国土资源部办公厅发布的《关于做好矿山地质环境保护与土地复垦方案编报有关工作的通知》（国土资</w:t>
      </w:r>
      <w:proofErr w:type="gramStart"/>
      <w:r>
        <w:rPr>
          <w:rFonts w:hint="eastAsia"/>
          <w:sz w:val="24"/>
        </w:rPr>
        <w:t>规</w:t>
      </w:r>
      <w:proofErr w:type="gramEnd"/>
      <w:r>
        <w:rPr>
          <w:rFonts w:hint="eastAsia"/>
          <w:sz w:val="24"/>
        </w:rPr>
        <w:t>[2016]21</w:t>
      </w:r>
      <w:r>
        <w:rPr>
          <w:rFonts w:hint="eastAsia"/>
          <w:sz w:val="24"/>
        </w:rPr>
        <w:t>号）的相关规定及甘肃省国土资源厅发布的《矿山地质环境保护与土地复垦方案合将合并编报》的文件，编制了</w:t>
      </w:r>
      <w:r>
        <w:rPr>
          <w:sz w:val="24"/>
        </w:rPr>
        <w:t>《甘肃省</w:t>
      </w:r>
      <w:r>
        <w:rPr>
          <w:rFonts w:hint="eastAsia"/>
          <w:sz w:val="24"/>
        </w:rPr>
        <w:t>临泽县板桥镇壕洼村正北山西侧砖瓦用粘土矿矿山地质环境保护与土地复垦方案</w:t>
      </w:r>
      <w:r>
        <w:rPr>
          <w:sz w:val="24"/>
        </w:rPr>
        <w:t>》</w:t>
      </w:r>
      <w:r>
        <w:rPr>
          <w:rFonts w:hint="eastAsia"/>
          <w:sz w:val="24"/>
        </w:rPr>
        <w:t>及其附图。</w:t>
      </w:r>
    </w:p>
    <w:p w:rsidR="009C5C1F" w:rsidRDefault="004D2E0D">
      <w:pPr>
        <w:keepNext/>
        <w:keepLines/>
        <w:suppressAutoHyphens/>
        <w:wordWrap w:val="0"/>
        <w:topLinePunct/>
        <w:spacing w:line="360" w:lineRule="auto"/>
        <w:ind w:firstLineChars="200" w:firstLine="482"/>
        <w:outlineLvl w:val="2"/>
        <w:rPr>
          <w:b/>
          <w:sz w:val="24"/>
          <w:szCs w:val="28"/>
        </w:rPr>
      </w:pPr>
      <w:bookmarkStart w:id="857" w:name="_Toc70589826"/>
      <w:r>
        <w:rPr>
          <w:rFonts w:hint="eastAsia"/>
          <w:b/>
          <w:sz w:val="24"/>
          <w:szCs w:val="28"/>
        </w:rPr>
        <w:t>（三）主要完成工作</w:t>
      </w:r>
      <w:bookmarkEnd w:id="857"/>
    </w:p>
    <w:p w:rsidR="009C5C1F" w:rsidRDefault="004D2E0D">
      <w:pPr>
        <w:suppressAutoHyphens/>
        <w:wordWrap w:val="0"/>
        <w:topLinePunct/>
        <w:spacing w:line="360" w:lineRule="auto"/>
        <w:ind w:firstLineChars="200" w:firstLine="480"/>
        <w:rPr>
          <w:sz w:val="24"/>
        </w:rPr>
      </w:pPr>
      <w:r>
        <w:rPr>
          <w:rFonts w:hint="eastAsia"/>
          <w:sz w:val="24"/>
        </w:rPr>
        <w:t>我单位接受委托后，进行了相关资料收集和现场踏勘工作，制定了工作计划。于</w:t>
      </w:r>
      <w:r>
        <w:rPr>
          <w:sz w:val="24"/>
        </w:rPr>
        <w:t>2023</w:t>
      </w:r>
      <w:r>
        <w:rPr>
          <w:rFonts w:hint="eastAsia"/>
          <w:sz w:val="24"/>
        </w:rPr>
        <w:t>年</w:t>
      </w:r>
      <w:r>
        <w:rPr>
          <w:rFonts w:hint="eastAsia"/>
          <w:sz w:val="24"/>
        </w:rPr>
        <w:t>1</w:t>
      </w:r>
      <w:r>
        <w:rPr>
          <w:sz w:val="24"/>
        </w:rPr>
        <w:t>1</w:t>
      </w:r>
      <w:r>
        <w:rPr>
          <w:rFonts w:hint="eastAsia"/>
          <w:sz w:val="24"/>
        </w:rPr>
        <w:t>月</w:t>
      </w:r>
      <w:r>
        <w:rPr>
          <w:rFonts w:hint="eastAsia"/>
          <w:sz w:val="24"/>
        </w:rPr>
        <w:t>28</w:t>
      </w:r>
      <w:r>
        <w:rPr>
          <w:rFonts w:hint="eastAsia"/>
          <w:sz w:val="24"/>
        </w:rPr>
        <w:t>日组织技术人员进入矿山企业及矿区进行野外地质环境调查、访问工作，外业工作结束后，对资料进行了整理、综合分析研究，在此基础上编制本方案，完成的具体工作量见下表。</w:t>
      </w:r>
    </w:p>
    <w:p w:rsidR="009C5C1F" w:rsidRDefault="004D2E0D">
      <w:pPr>
        <w:suppressAutoHyphens/>
        <w:wordWrap w:val="0"/>
        <w:topLinePunct/>
        <w:spacing w:beforeLines="100" w:before="240" w:afterLines="50" w:after="120"/>
        <w:ind w:firstLine="482"/>
        <w:jc w:val="center"/>
        <w:rPr>
          <w:rFonts w:hAnsi="宋体"/>
          <w:b/>
          <w:bCs/>
          <w:sz w:val="24"/>
        </w:rPr>
      </w:pPr>
      <w:r>
        <w:rPr>
          <w:rFonts w:hAnsi="宋体" w:hint="eastAsia"/>
          <w:b/>
          <w:bCs/>
          <w:sz w:val="24"/>
        </w:rPr>
        <w:t xml:space="preserve"> </w:t>
      </w:r>
      <w:r>
        <w:rPr>
          <w:rFonts w:hAnsi="宋体"/>
          <w:b/>
          <w:bCs/>
          <w:sz w:val="24"/>
        </w:rPr>
        <w:t xml:space="preserve">  </w:t>
      </w:r>
      <w:r>
        <w:rPr>
          <w:rFonts w:hAnsi="宋体" w:hint="eastAsia"/>
          <w:b/>
          <w:bCs/>
          <w:sz w:val="24"/>
        </w:rPr>
        <w:t>表</w:t>
      </w:r>
      <w:r>
        <w:rPr>
          <w:rFonts w:hAnsi="宋体" w:hint="eastAsia"/>
          <w:b/>
          <w:bCs/>
          <w:sz w:val="24"/>
        </w:rPr>
        <w:t>0-1</w:t>
      </w:r>
      <w:r>
        <w:rPr>
          <w:rFonts w:hAnsi="宋体"/>
          <w:b/>
          <w:bCs/>
          <w:sz w:val="24"/>
        </w:rPr>
        <w:t xml:space="preserve">          </w:t>
      </w:r>
      <w:r>
        <w:rPr>
          <w:rFonts w:hAnsi="宋体" w:hint="eastAsia"/>
          <w:b/>
          <w:bCs/>
          <w:sz w:val="24"/>
        </w:rPr>
        <w:t>完成的主要工作量汇总表</w:t>
      </w:r>
      <w:r>
        <w:rPr>
          <w:rFonts w:hAnsi="宋体" w:hint="eastAsia"/>
          <w:b/>
          <w:bCs/>
          <w:sz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992"/>
        <w:gridCol w:w="992"/>
        <w:gridCol w:w="4862"/>
      </w:tblGrid>
      <w:tr w:rsidR="009C5C1F">
        <w:trPr>
          <w:trHeight w:val="476"/>
          <w:jc w:val="center"/>
        </w:trPr>
        <w:tc>
          <w:tcPr>
            <w:tcW w:w="1915" w:type="dxa"/>
            <w:vAlign w:val="center"/>
          </w:tcPr>
          <w:p w:rsidR="009C5C1F" w:rsidRDefault="004D2E0D">
            <w:pPr>
              <w:suppressAutoHyphens/>
              <w:wordWrap w:val="0"/>
              <w:topLinePunct/>
              <w:jc w:val="center"/>
              <w:rPr>
                <w:rFonts w:hAnsi="宋体"/>
                <w:sz w:val="24"/>
              </w:rPr>
            </w:pPr>
            <w:r>
              <w:rPr>
                <w:rFonts w:hAnsi="宋体" w:hint="eastAsia"/>
                <w:sz w:val="24"/>
              </w:rPr>
              <w:t>项目</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单位</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数量</w:t>
            </w:r>
          </w:p>
        </w:tc>
        <w:tc>
          <w:tcPr>
            <w:tcW w:w="4862" w:type="dxa"/>
            <w:vAlign w:val="center"/>
          </w:tcPr>
          <w:p w:rsidR="009C5C1F" w:rsidRDefault="004D2E0D">
            <w:pPr>
              <w:suppressAutoHyphens/>
              <w:wordWrap w:val="0"/>
              <w:topLinePunct/>
              <w:jc w:val="center"/>
              <w:rPr>
                <w:rFonts w:hAnsi="宋体"/>
                <w:sz w:val="24"/>
              </w:rPr>
            </w:pPr>
            <w:r>
              <w:rPr>
                <w:rFonts w:hAnsi="宋体" w:hint="eastAsia"/>
                <w:sz w:val="24"/>
              </w:rPr>
              <w:t>备注</w:t>
            </w:r>
          </w:p>
        </w:tc>
      </w:tr>
      <w:tr w:rsidR="009C5C1F">
        <w:trPr>
          <w:trHeight w:val="476"/>
          <w:jc w:val="center"/>
        </w:trPr>
        <w:tc>
          <w:tcPr>
            <w:tcW w:w="1915" w:type="dxa"/>
            <w:vAlign w:val="center"/>
          </w:tcPr>
          <w:p w:rsidR="009C5C1F" w:rsidRDefault="004D2E0D">
            <w:pPr>
              <w:suppressAutoHyphens/>
              <w:wordWrap w:val="0"/>
              <w:topLinePunct/>
              <w:jc w:val="center"/>
              <w:rPr>
                <w:rFonts w:hAnsi="宋体"/>
                <w:sz w:val="24"/>
              </w:rPr>
            </w:pPr>
            <w:r>
              <w:rPr>
                <w:rFonts w:hAnsi="宋体" w:hint="eastAsia"/>
                <w:sz w:val="24"/>
              </w:rPr>
              <w:t>调查面积</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k</w:t>
            </w:r>
            <w:r>
              <w:rPr>
                <w:rFonts w:hAnsi="宋体"/>
                <w:sz w:val="24"/>
              </w:rPr>
              <w:t>m</w:t>
            </w:r>
            <w:r>
              <w:rPr>
                <w:rFonts w:hAnsi="宋体" w:hint="eastAsia"/>
                <w:sz w:val="24"/>
                <w:vertAlign w:val="superscript"/>
              </w:rPr>
              <w:t>2</w:t>
            </w:r>
          </w:p>
        </w:tc>
        <w:tc>
          <w:tcPr>
            <w:tcW w:w="992" w:type="dxa"/>
            <w:vAlign w:val="center"/>
          </w:tcPr>
          <w:p w:rsidR="009C5C1F" w:rsidRDefault="004D2E0D">
            <w:pPr>
              <w:suppressAutoHyphens/>
              <w:wordWrap w:val="0"/>
              <w:topLinePunct/>
              <w:jc w:val="center"/>
              <w:rPr>
                <w:rFonts w:hAnsi="宋体"/>
                <w:sz w:val="24"/>
              </w:rPr>
            </w:pPr>
            <w:r>
              <w:rPr>
                <w:rFonts w:hAnsi="宋体"/>
                <w:sz w:val="24"/>
              </w:rPr>
              <w:t>0.35</w:t>
            </w:r>
          </w:p>
        </w:tc>
        <w:tc>
          <w:tcPr>
            <w:tcW w:w="4862" w:type="dxa"/>
            <w:vAlign w:val="center"/>
          </w:tcPr>
          <w:p w:rsidR="009C5C1F" w:rsidRDefault="004D2E0D">
            <w:pPr>
              <w:suppressAutoHyphens/>
              <w:wordWrap w:val="0"/>
              <w:topLinePunct/>
              <w:jc w:val="center"/>
              <w:rPr>
                <w:rFonts w:hAnsi="宋体"/>
                <w:sz w:val="24"/>
              </w:rPr>
            </w:pPr>
            <w:r>
              <w:rPr>
                <w:rFonts w:hAnsi="宋体" w:hint="eastAsia"/>
                <w:sz w:val="24"/>
              </w:rPr>
              <w:t>矿区及四周</w:t>
            </w:r>
          </w:p>
        </w:tc>
      </w:tr>
      <w:tr w:rsidR="009C5C1F">
        <w:trPr>
          <w:trHeight w:val="476"/>
          <w:jc w:val="center"/>
        </w:trPr>
        <w:tc>
          <w:tcPr>
            <w:tcW w:w="1915" w:type="dxa"/>
            <w:vAlign w:val="center"/>
          </w:tcPr>
          <w:p w:rsidR="009C5C1F" w:rsidRDefault="004D2E0D">
            <w:pPr>
              <w:suppressAutoHyphens/>
              <w:wordWrap w:val="0"/>
              <w:topLinePunct/>
              <w:jc w:val="center"/>
              <w:rPr>
                <w:rFonts w:hAnsi="宋体"/>
                <w:sz w:val="24"/>
              </w:rPr>
            </w:pPr>
            <w:r>
              <w:rPr>
                <w:rFonts w:hAnsi="宋体" w:hint="eastAsia"/>
                <w:sz w:val="24"/>
              </w:rPr>
              <w:t>调查路线</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km</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4</w:t>
            </w:r>
          </w:p>
        </w:tc>
        <w:tc>
          <w:tcPr>
            <w:tcW w:w="4862" w:type="dxa"/>
            <w:vAlign w:val="center"/>
          </w:tcPr>
          <w:p w:rsidR="009C5C1F" w:rsidRDefault="004D2E0D">
            <w:pPr>
              <w:suppressAutoHyphens/>
              <w:wordWrap w:val="0"/>
              <w:topLinePunct/>
              <w:jc w:val="center"/>
              <w:rPr>
                <w:rFonts w:hAnsi="宋体"/>
                <w:sz w:val="24"/>
              </w:rPr>
            </w:pPr>
            <w:r>
              <w:rPr>
                <w:rFonts w:hAnsi="宋体" w:hint="eastAsia"/>
                <w:sz w:val="24"/>
              </w:rPr>
              <w:t>包括穿插路线</w:t>
            </w:r>
          </w:p>
        </w:tc>
      </w:tr>
      <w:tr w:rsidR="009C5C1F">
        <w:trPr>
          <w:trHeight w:val="476"/>
          <w:jc w:val="center"/>
        </w:trPr>
        <w:tc>
          <w:tcPr>
            <w:tcW w:w="1915" w:type="dxa"/>
            <w:vAlign w:val="center"/>
          </w:tcPr>
          <w:p w:rsidR="009C5C1F" w:rsidRDefault="004D2E0D">
            <w:pPr>
              <w:suppressAutoHyphens/>
              <w:wordWrap w:val="0"/>
              <w:topLinePunct/>
              <w:jc w:val="center"/>
              <w:rPr>
                <w:rFonts w:hAnsi="宋体"/>
                <w:sz w:val="24"/>
              </w:rPr>
            </w:pPr>
            <w:r>
              <w:rPr>
                <w:rFonts w:hAnsi="宋体" w:hint="eastAsia"/>
                <w:sz w:val="24"/>
              </w:rPr>
              <w:t>地质调查点</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处</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3</w:t>
            </w:r>
          </w:p>
        </w:tc>
        <w:tc>
          <w:tcPr>
            <w:tcW w:w="4862" w:type="dxa"/>
            <w:vAlign w:val="center"/>
          </w:tcPr>
          <w:p w:rsidR="009C5C1F" w:rsidRDefault="004D2E0D">
            <w:pPr>
              <w:suppressAutoHyphens/>
              <w:wordWrap w:val="0"/>
              <w:topLinePunct/>
              <w:jc w:val="center"/>
              <w:rPr>
                <w:rFonts w:hAnsi="宋体"/>
                <w:sz w:val="24"/>
              </w:rPr>
            </w:pPr>
            <w:proofErr w:type="gramStart"/>
            <w:r>
              <w:rPr>
                <w:rFonts w:hAnsi="宋体" w:hint="eastAsia"/>
                <w:sz w:val="24"/>
              </w:rPr>
              <w:t>以往采坑</w:t>
            </w:r>
            <w:proofErr w:type="gramEnd"/>
          </w:p>
        </w:tc>
      </w:tr>
      <w:tr w:rsidR="009C5C1F">
        <w:trPr>
          <w:trHeight w:val="476"/>
          <w:jc w:val="center"/>
        </w:trPr>
        <w:tc>
          <w:tcPr>
            <w:tcW w:w="1915" w:type="dxa"/>
            <w:vAlign w:val="center"/>
          </w:tcPr>
          <w:p w:rsidR="009C5C1F" w:rsidRDefault="004D2E0D">
            <w:pPr>
              <w:suppressAutoHyphens/>
              <w:wordWrap w:val="0"/>
              <w:topLinePunct/>
              <w:jc w:val="center"/>
              <w:rPr>
                <w:rFonts w:hAnsi="宋体"/>
                <w:sz w:val="24"/>
              </w:rPr>
            </w:pPr>
            <w:r>
              <w:rPr>
                <w:rFonts w:hAnsi="宋体" w:hint="eastAsia"/>
                <w:sz w:val="24"/>
              </w:rPr>
              <w:t>收集利用资料</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份</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5</w:t>
            </w:r>
          </w:p>
        </w:tc>
        <w:tc>
          <w:tcPr>
            <w:tcW w:w="4862" w:type="dxa"/>
            <w:vAlign w:val="center"/>
          </w:tcPr>
          <w:p w:rsidR="009C5C1F" w:rsidRDefault="004D2E0D">
            <w:pPr>
              <w:suppressAutoHyphens/>
              <w:wordWrap w:val="0"/>
              <w:topLinePunct/>
              <w:jc w:val="center"/>
              <w:rPr>
                <w:rFonts w:hAnsi="宋体"/>
                <w:spacing w:val="-20"/>
                <w:sz w:val="24"/>
              </w:rPr>
            </w:pPr>
            <w:r>
              <w:rPr>
                <w:rFonts w:hAnsi="宋体" w:hint="eastAsia"/>
                <w:spacing w:val="-20"/>
                <w:sz w:val="24"/>
              </w:rPr>
              <w:t>区域地质、水文地质工程地质、气象、水文等</w:t>
            </w:r>
          </w:p>
        </w:tc>
      </w:tr>
      <w:tr w:rsidR="009C5C1F">
        <w:trPr>
          <w:trHeight w:val="476"/>
          <w:jc w:val="center"/>
        </w:trPr>
        <w:tc>
          <w:tcPr>
            <w:tcW w:w="1915" w:type="dxa"/>
            <w:vAlign w:val="center"/>
          </w:tcPr>
          <w:p w:rsidR="009C5C1F" w:rsidRDefault="004D2E0D">
            <w:pPr>
              <w:suppressAutoHyphens/>
              <w:wordWrap w:val="0"/>
              <w:topLinePunct/>
              <w:jc w:val="center"/>
              <w:rPr>
                <w:rFonts w:hAnsi="宋体"/>
                <w:sz w:val="24"/>
              </w:rPr>
            </w:pPr>
            <w:r>
              <w:rPr>
                <w:rFonts w:hAnsi="宋体" w:hint="eastAsia"/>
                <w:sz w:val="24"/>
              </w:rPr>
              <w:t>现场访问</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人</w:t>
            </w:r>
            <w:r>
              <w:rPr>
                <w:rFonts w:hAnsi="宋体" w:hint="eastAsia"/>
                <w:sz w:val="24"/>
              </w:rPr>
              <w:t>/</w:t>
            </w:r>
            <w:r>
              <w:rPr>
                <w:rFonts w:hAnsi="宋体" w:hint="eastAsia"/>
                <w:sz w:val="24"/>
              </w:rPr>
              <w:t>次</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5</w:t>
            </w:r>
          </w:p>
        </w:tc>
        <w:tc>
          <w:tcPr>
            <w:tcW w:w="4862" w:type="dxa"/>
            <w:vAlign w:val="center"/>
          </w:tcPr>
          <w:p w:rsidR="009C5C1F" w:rsidRDefault="004D2E0D">
            <w:pPr>
              <w:suppressAutoHyphens/>
              <w:wordWrap w:val="0"/>
              <w:topLinePunct/>
              <w:jc w:val="center"/>
              <w:rPr>
                <w:rFonts w:hAnsi="宋体"/>
                <w:sz w:val="24"/>
              </w:rPr>
            </w:pPr>
            <w:r>
              <w:rPr>
                <w:rFonts w:hAnsi="宋体" w:hint="eastAsia"/>
                <w:sz w:val="24"/>
              </w:rPr>
              <w:t>工作人员</w:t>
            </w:r>
          </w:p>
        </w:tc>
      </w:tr>
      <w:tr w:rsidR="009C5C1F">
        <w:trPr>
          <w:trHeight w:val="476"/>
          <w:jc w:val="center"/>
        </w:trPr>
        <w:tc>
          <w:tcPr>
            <w:tcW w:w="1915" w:type="dxa"/>
            <w:vAlign w:val="center"/>
          </w:tcPr>
          <w:p w:rsidR="009C5C1F" w:rsidRDefault="004D2E0D">
            <w:pPr>
              <w:suppressAutoHyphens/>
              <w:wordWrap w:val="0"/>
              <w:topLinePunct/>
              <w:jc w:val="center"/>
              <w:rPr>
                <w:rFonts w:hAnsi="宋体"/>
                <w:sz w:val="24"/>
              </w:rPr>
            </w:pPr>
            <w:r>
              <w:rPr>
                <w:rFonts w:hAnsi="宋体" w:hint="eastAsia"/>
                <w:sz w:val="24"/>
              </w:rPr>
              <w:t>地质照片</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张</w:t>
            </w:r>
          </w:p>
        </w:tc>
        <w:tc>
          <w:tcPr>
            <w:tcW w:w="992" w:type="dxa"/>
            <w:vAlign w:val="center"/>
          </w:tcPr>
          <w:p w:rsidR="009C5C1F" w:rsidRDefault="004D2E0D">
            <w:pPr>
              <w:suppressAutoHyphens/>
              <w:wordWrap w:val="0"/>
              <w:topLinePunct/>
              <w:jc w:val="center"/>
              <w:rPr>
                <w:rFonts w:hAnsi="宋体"/>
                <w:sz w:val="24"/>
              </w:rPr>
            </w:pPr>
            <w:r>
              <w:rPr>
                <w:rFonts w:hAnsi="宋体" w:hint="eastAsia"/>
                <w:sz w:val="24"/>
              </w:rPr>
              <w:t>12</w:t>
            </w:r>
          </w:p>
        </w:tc>
        <w:tc>
          <w:tcPr>
            <w:tcW w:w="4862" w:type="dxa"/>
            <w:vAlign w:val="center"/>
          </w:tcPr>
          <w:p w:rsidR="009C5C1F" w:rsidRDefault="004D2E0D">
            <w:pPr>
              <w:suppressAutoHyphens/>
              <w:wordWrap w:val="0"/>
              <w:topLinePunct/>
              <w:jc w:val="center"/>
              <w:rPr>
                <w:rFonts w:hAnsi="宋体"/>
                <w:sz w:val="24"/>
              </w:rPr>
            </w:pPr>
            <w:r>
              <w:rPr>
                <w:rFonts w:hAnsi="宋体" w:hint="eastAsia"/>
                <w:sz w:val="24"/>
              </w:rPr>
              <w:t>数码</w:t>
            </w:r>
          </w:p>
        </w:tc>
      </w:tr>
    </w:tbl>
    <w:p w:rsidR="009C5C1F" w:rsidRDefault="004D2E0D">
      <w:pPr>
        <w:suppressAutoHyphens/>
        <w:wordWrap w:val="0"/>
        <w:topLinePunct/>
        <w:spacing w:before="100" w:beforeAutospacing="1" w:line="360" w:lineRule="auto"/>
        <w:ind w:firstLineChars="200" w:firstLine="480"/>
        <w:rPr>
          <w:sz w:val="24"/>
        </w:rPr>
      </w:pPr>
      <w:r>
        <w:rPr>
          <w:rFonts w:hint="eastAsia"/>
          <w:sz w:val="24"/>
        </w:rPr>
        <w:t>通过以上工作，基本查明了区内地质环境条件和矿区环境影响因素及地质灾害现状，为《矿山地质环境保护与土地复垦方案》的编制取得了较为丰富的实际材料，加之室内综合分析与系统整理，使方案编制有据，符合实际，内容齐全，图文真实，达到了《方案编制规范》的有关规定和要求。</w:t>
      </w:r>
    </w:p>
    <w:p w:rsidR="009C5C1F" w:rsidRDefault="009C5C1F">
      <w:pPr>
        <w:suppressAutoHyphens/>
        <w:wordWrap w:val="0"/>
        <w:topLinePunct/>
        <w:spacing w:before="100" w:beforeAutospacing="1" w:line="360" w:lineRule="auto"/>
        <w:ind w:firstLineChars="200" w:firstLine="480"/>
        <w:rPr>
          <w:rFonts w:hAnsi="宋体"/>
          <w:sz w:val="24"/>
        </w:rPr>
      </w:pPr>
    </w:p>
    <w:p w:rsidR="009C5C1F" w:rsidRDefault="009C5C1F">
      <w:pPr>
        <w:suppressAutoHyphens/>
        <w:wordWrap w:val="0"/>
        <w:topLinePunct/>
        <w:spacing w:line="360" w:lineRule="auto"/>
        <w:ind w:firstLineChars="200" w:firstLine="480"/>
        <w:rPr>
          <w:sz w:val="24"/>
        </w:rPr>
      </w:pPr>
    </w:p>
    <w:p w:rsidR="009C5C1F" w:rsidRDefault="009C5C1F">
      <w:pPr>
        <w:suppressAutoHyphens/>
        <w:wordWrap w:val="0"/>
        <w:topLinePunct/>
        <w:spacing w:line="500" w:lineRule="exact"/>
        <w:ind w:firstLine="482"/>
        <w:rPr>
          <w:sz w:val="24"/>
        </w:rPr>
        <w:sectPr w:rsidR="009C5C1F">
          <w:pgSz w:w="11907" w:h="16840"/>
          <w:pgMar w:top="1418" w:right="1418" w:bottom="1418" w:left="1588" w:header="851" w:footer="737" w:gutter="0"/>
          <w:cols w:space="425"/>
          <w:docGrid w:linePitch="598" w:charSpace="-518"/>
        </w:sectPr>
      </w:pPr>
    </w:p>
    <w:p w:rsidR="009C5C1F" w:rsidRDefault="004D2E0D">
      <w:pPr>
        <w:keepNext/>
        <w:keepLines/>
        <w:suppressAutoHyphens/>
        <w:wordWrap w:val="0"/>
        <w:topLinePunct/>
        <w:spacing w:beforeLines="50" w:before="120" w:afterLines="50" w:after="120" w:line="580" w:lineRule="exact"/>
        <w:jc w:val="center"/>
        <w:outlineLvl w:val="0"/>
        <w:rPr>
          <w:b/>
          <w:bCs/>
          <w:kern w:val="44"/>
          <w:sz w:val="36"/>
          <w:szCs w:val="36"/>
        </w:rPr>
      </w:pPr>
      <w:bookmarkStart w:id="858" w:name="_Toc447615046"/>
      <w:bookmarkStart w:id="859" w:name="_Toc153130768"/>
      <w:bookmarkStart w:id="860" w:name="_Toc70589827"/>
      <w:bookmarkStart w:id="861" w:name="_Toc511226458"/>
      <w:r>
        <w:rPr>
          <w:rFonts w:hAnsi="宋体" w:hint="eastAsia"/>
          <w:b/>
          <w:bCs/>
          <w:kern w:val="44"/>
          <w:sz w:val="36"/>
          <w:szCs w:val="36"/>
        </w:rPr>
        <w:lastRenderedPageBreak/>
        <w:t>第一章</w:t>
      </w:r>
      <w:r>
        <w:rPr>
          <w:rFonts w:hAnsi="宋体" w:hint="eastAsia"/>
          <w:b/>
          <w:bCs/>
          <w:kern w:val="44"/>
          <w:sz w:val="36"/>
          <w:szCs w:val="36"/>
        </w:rPr>
        <w:t xml:space="preserve">  </w:t>
      </w:r>
      <w:r>
        <w:rPr>
          <w:b/>
          <w:bCs/>
          <w:kern w:val="44"/>
          <w:sz w:val="36"/>
          <w:szCs w:val="36"/>
        </w:rPr>
        <w:t xml:space="preserve"> </w:t>
      </w:r>
      <w:r>
        <w:rPr>
          <w:rFonts w:hAnsi="宋体"/>
          <w:b/>
          <w:bCs/>
          <w:kern w:val="44"/>
          <w:sz w:val="36"/>
          <w:szCs w:val="36"/>
        </w:rPr>
        <w:t>矿</w:t>
      </w:r>
      <w:bookmarkEnd w:id="858"/>
      <w:r>
        <w:rPr>
          <w:rFonts w:hAnsi="宋体" w:hint="eastAsia"/>
          <w:b/>
          <w:bCs/>
          <w:kern w:val="44"/>
          <w:sz w:val="36"/>
          <w:szCs w:val="36"/>
        </w:rPr>
        <w:t>山基本情况</w:t>
      </w:r>
      <w:bookmarkEnd w:id="859"/>
      <w:bookmarkEnd w:id="860"/>
      <w:bookmarkEnd w:id="861"/>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862" w:name="_Toc447615047"/>
      <w:bookmarkStart w:id="863" w:name="_Toc70589828"/>
      <w:bookmarkStart w:id="864" w:name="_Toc153130769"/>
      <w:bookmarkStart w:id="865" w:name="_Toc511226459"/>
      <w:r>
        <w:rPr>
          <w:rFonts w:eastAsia="黑体" w:hint="eastAsia"/>
          <w:b/>
          <w:bCs/>
          <w:sz w:val="28"/>
          <w:szCs w:val="30"/>
        </w:rPr>
        <w:t>一、</w:t>
      </w:r>
      <w:r>
        <w:rPr>
          <w:rFonts w:eastAsia="黑体"/>
          <w:b/>
          <w:bCs/>
          <w:sz w:val="28"/>
          <w:szCs w:val="30"/>
        </w:rPr>
        <w:t>矿山</w:t>
      </w:r>
      <w:bookmarkEnd w:id="862"/>
      <w:r>
        <w:rPr>
          <w:rFonts w:eastAsia="黑体" w:hint="eastAsia"/>
          <w:b/>
          <w:bCs/>
          <w:sz w:val="28"/>
          <w:szCs w:val="30"/>
        </w:rPr>
        <w:t>简介</w:t>
      </w:r>
      <w:bookmarkEnd w:id="863"/>
      <w:bookmarkEnd w:id="864"/>
      <w:bookmarkEnd w:id="865"/>
    </w:p>
    <w:p w:rsidR="009C5C1F" w:rsidRDefault="004D2E0D">
      <w:pPr>
        <w:suppressAutoHyphens/>
        <w:wordWrap w:val="0"/>
        <w:topLinePunct/>
        <w:adjustRightInd w:val="0"/>
        <w:snapToGrid w:val="0"/>
        <w:spacing w:line="480" w:lineRule="exact"/>
        <w:ind w:firstLineChars="200" w:firstLine="480"/>
        <w:rPr>
          <w:rFonts w:ascii="宋体" w:hAnsi="宋体"/>
          <w:bCs/>
          <w:sz w:val="24"/>
          <w:szCs w:val="28"/>
        </w:rPr>
      </w:pPr>
      <w:r>
        <w:rPr>
          <w:rFonts w:ascii="宋体" w:hAnsi="宋体" w:hint="eastAsia"/>
          <w:bCs/>
          <w:sz w:val="24"/>
          <w:szCs w:val="28"/>
        </w:rPr>
        <w:t>甘肃省临泽县板桥</w:t>
      </w:r>
      <w:proofErr w:type="gramStart"/>
      <w:r>
        <w:rPr>
          <w:rFonts w:ascii="宋体" w:hAnsi="宋体" w:hint="eastAsia"/>
          <w:bCs/>
          <w:sz w:val="24"/>
          <w:szCs w:val="28"/>
        </w:rPr>
        <w:t>镇壕洼村</w:t>
      </w:r>
      <w:proofErr w:type="gramEnd"/>
      <w:r>
        <w:rPr>
          <w:rFonts w:hint="eastAsia"/>
          <w:sz w:val="24"/>
        </w:rPr>
        <w:t>正北山西侧砖瓦用粘土矿</w:t>
      </w:r>
      <w:r>
        <w:rPr>
          <w:rFonts w:ascii="宋体" w:hAnsi="宋体" w:hint="eastAsia"/>
          <w:bCs/>
          <w:sz w:val="24"/>
          <w:szCs w:val="28"/>
        </w:rPr>
        <w:t>矿区位于临泽县政府1</w:t>
      </w:r>
      <w:r>
        <w:rPr>
          <w:rFonts w:ascii="宋体" w:hAnsi="宋体"/>
          <w:bCs/>
          <w:sz w:val="24"/>
          <w:szCs w:val="28"/>
        </w:rPr>
        <w:t>3</w:t>
      </w:r>
      <w:r>
        <w:rPr>
          <w:rFonts w:ascii="宋体" w:hAnsi="宋体" w:hint="eastAsia"/>
          <w:bCs/>
          <w:sz w:val="24"/>
          <w:szCs w:val="28"/>
        </w:rPr>
        <w:t>°方向，直线距离约2</w:t>
      </w:r>
      <w:r>
        <w:rPr>
          <w:rFonts w:ascii="宋体" w:hAnsi="宋体"/>
          <w:bCs/>
          <w:sz w:val="24"/>
          <w:szCs w:val="28"/>
        </w:rPr>
        <w:t>5</w:t>
      </w:r>
      <w:r>
        <w:rPr>
          <w:rFonts w:ascii="宋体" w:hAnsi="宋体" w:hint="eastAsia"/>
          <w:bCs/>
          <w:sz w:val="24"/>
          <w:szCs w:val="28"/>
        </w:rPr>
        <w:t>km；行政区划隶属临泽县板桥镇管辖。矿区地理位置（2000国家大地坐标）：东经100°</w:t>
      </w:r>
      <w:r>
        <w:rPr>
          <w:rFonts w:ascii="宋体" w:hAnsi="宋体"/>
          <w:bCs/>
          <w:sz w:val="24"/>
          <w:szCs w:val="28"/>
        </w:rPr>
        <w:t>13</w:t>
      </w:r>
      <w:r>
        <w:rPr>
          <w:rFonts w:ascii="宋体" w:hAnsi="宋体" w:hint="eastAsia"/>
          <w:bCs/>
          <w:sz w:val="24"/>
          <w:szCs w:val="28"/>
        </w:rPr>
        <w:t>′</w:t>
      </w:r>
      <w:r>
        <w:rPr>
          <w:rFonts w:ascii="宋体" w:hAnsi="宋体"/>
          <w:bCs/>
          <w:sz w:val="24"/>
          <w:szCs w:val="28"/>
        </w:rPr>
        <w:t>54.45</w:t>
      </w:r>
      <w:r>
        <w:rPr>
          <w:rFonts w:ascii="宋体" w:hAnsi="宋体" w:hint="eastAsia"/>
          <w:bCs/>
          <w:sz w:val="24"/>
          <w:szCs w:val="28"/>
        </w:rPr>
        <w:t>″～100°1</w:t>
      </w:r>
      <w:r>
        <w:rPr>
          <w:rFonts w:ascii="宋体" w:hAnsi="宋体"/>
          <w:bCs/>
          <w:sz w:val="24"/>
          <w:szCs w:val="28"/>
        </w:rPr>
        <w:t>3</w:t>
      </w:r>
      <w:r>
        <w:rPr>
          <w:rFonts w:ascii="宋体" w:hAnsi="宋体" w:hint="eastAsia"/>
          <w:bCs/>
          <w:sz w:val="24"/>
          <w:szCs w:val="28"/>
        </w:rPr>
        <w:t>′</w:t>
      </w:r>
      <w:r>
        <w:rPr>
          <w:rFonts w:ascii="宋体" w:hAnsi="宋体"/>
          <w:bCs/>
          <w:sz w:val="24"/>
          <w:szCs w:val="28"/>
        </w:rPr>
        <w:t>08.91</w:t>
      </w:r>
      <w:r>
        <w:rPr>
          <w:rFonts w:ascii="宋体" w:hAnsi="宋体" w:hint="eastAsia"/>
          <w:bCs/>
          <w:sz w:val="24"/>
          <w:szCs w:val="28"/>
        </w:rPr>
        <w:t>″，北纬3</w:t>
      </w:r>
      <w:r>
        <w:rPr>
          <w:rFonts w:ascii="宋体" w:hAnsi="宋体"/>
          <w:bCs/>
          <w:sz w:val="24"/>
          <w:szCs w:val="28"/>
        </w:rPr>
        <w:t>9</w:t>
      </w:r>
      <w:r>
        <w:rPr>
          <w:rFonts w:ascii="宋体" w:hAnsi="宋体" w:hint="eastAsia"/>
          <w:bCs/>
          <w:sz w:val="24"/>
          <w:szCs w:val="28"/>
        </w:rPr>
        <w:t>°1</w:t>
      </w:r>
      <w:r>
        <w:rPr>
          <w:rFonts w:ascii="宋体" w:hAnsi="宋体"/>
          <w:bCs/>
          <w:sz w:val="24"/>
          <w:szCs w:val="28"/>
        </w:rPr>
        <w:t>3</w:t>
      </w:r>
      <w:r>
        <w:rPr>
          <w:rFonts w:ascii="宋体" w:hAnsi="宋体" w:hint="eastAsia"/>
          <w:bCs/>
          <w:sz w:val="24"/>
          <w:szCs w:val="28"/>
        </w:rPr>
        <w:t>′1</w:t>
      </w:r>
      <w:r>
        <w:rPr>
          <w:rFonts w:ascii="宋体" w:hAnsi="宋体"/>
          <w:bCs/>
          <w:sz w:val="24"/>
          <w:szCs w:val="28"/>
        </w:rPr>
        <w:t>3</w:t>
      </w:r>
      <w:r>
        <w:rPr>
          <w:rFonts w:ascii="宋体" w:hAnsi="宋体" w:hint="eastAsia"/>
          <w:bCs/>
          <w:sz w:val="24"/>
          <w:szCs w:val="28"/>
        </w:rPr>
        <w:t>″～3</w:t>
      </w:r>
      <w:r>
        <w:rPr>
          <w:rFonts w:ascii="宋体" w:hAnsi="宋体"/>
          <w:bCs/>
          <w:sz w:val="24"/>
          <w:szCs w:val="28"/>
        </w:rPr>
        <w:t>9</w:t>
      </w:r>
      <w:r>
        <w:rPr>
          <w:rFonts w:ascii="宋体" w:hAnsi="宋体" w:hint="eastAsia"/>
          <w:bCs/>
          <w:sz w:val="24"/>
          <w:szCs w:val="28"/>
        </w:rPr>
        <w:t>°1</w:t>
      </w:r>
      <w:r>
        <w:rPr>
          <w:rFonts w:ascii="宋体" w:hAnsi="宋体"/>
          <w:bCs/>
          <w:sz w:val="24"/>
          <w:szCs w:val="28"/>
        </w:rPr>
        <w:t>3</w:t>
      </w:r>
      <w:r>
        <w:rPr>
          <w:rFonts w:ascii="宋体" w:hAnsi="宋体" w:hint="eastAsia"/>
          <w:bCs/>
          <w:sz w:val="24"/>
          <w:szCs w:val="28"/>
        </w:rPr>
        <w:t>′2</w:t>
      </w:r>
      <w:r>
        <w:rPr>
          <w:rFonts w:ascii="宋体" w:hAnsi="宋体"/>
          <w:bCs/>
          <w:sz w:val="24"/>
          <w:szCs w:val="28"/>
        </w:rPr>
        <w:t>6.62</w:t>
      </w:r>
      <w:r>
        <w:rPr>
          <w:rFonts w:ascii="宋体" w:hAnsi="宋体" w:hint="eastAsia"/>
          <w:bCs/>
          <w:sz w:val="24"/>
          <w:szCs w:val="28"/>
        </w:rPr>
        <w:t>″。</w:t>
      </w:r>
    </w:p>
    <w:p w:rsidR="009C5C1F" w:rsidRDefault="004D2E0D">
      <w:pPr>
        <w:suppressAutoHyphens/>
        <w:wordWrap w:val="0"/>
        <w:topLinePunct/>
        <w:adjustRightInd w:val="0"/>
        <w:snapToGrid w:val="0"/>
        <w:spacing w:line="480" w:lineRule="exact"/>
        <w:ind w:firstLineChars="200" w:firstLine="480"/>
        <w:rPr>
          <w:rFonts w:hAnsi="宋体"/>
          <w:sz w:val="24"/>
        </w:rPr>
      </w:pPr>
      <w:r>
        <w:rPr>
          <w:rFonts w:ascii="宋体" w:hAnsi="宋体" w:hint="eastAsia"/>
          <w:bCs/>
          <w:sz w:val="24"/>
          <w:szCs w:val="28"/>
        </w:rPr>
        <w:t>该矿区距板桥镇古城七组正北2km；矿区有</w:t>
      </w:r>
      <w:r>
        <w:rPr>
          <w:rFonts w:ascii="宋体" w:hAnsi="宋体"/>
          <w:bCs/>
          <w:sz w:val="24"/>
          <w:szCs w:val="28"/>
        </w:rPr>
        <w:t>7</w:t>
      </w:r>
      <w:r>
        <w:rPr>
          <w:rFonts w:ascii="宋体" w:hAnsi="宋体" w:hint="eastAsia"/>
          <w:bCs/>
          <w:sz w:val="24"/>
          <w:szCs w:val="28"/>
        </w:rPr>
        <w:t>km简易便道与2</w:t>
      </w:r>
      <w:r>
        <w:rPr>
          <w:rFonts w:ascii="宋体" w:hAnsi="宋体"/>
          <w:bCs/>
          <w:sz w:val="24"/>
          <w:szCs w:val="28"/>
        </w:rPr>
        <w:t>14</w:t>
      </w:r>
      <w:r>
        <w:rPr>
          <w:rFonts w:ascii="宋体" w:hAnsi="宋体" w:hint="eastAsia"/>
          <w:bCs/>
          <w:sz w:val="24"/>
          <w:szCs w:val="28"/>
        </w:rPr>
        <w:t>省道连通，交通较为便利</w:t>
      </w:r>
      <w:r>
        <w:rPr>
          <w:rFonts w:hAnsi="宋体" w:hint="eastAsia"/>
          <w:sz w:val="24"/>
        </w:rPr>
        <w:t>（见交通位置图</w:t>
      </w:r>
      <w:r>
        <w:rPr>
          <w:rFonts w:hAnsi="宋体" w:hint="eastAsia"/>
          <w:sz w:val="24"/>
        </w:rPr>
        <w:t>1</w:t>
      </w:r>
      <w:r>
        <w:rPr>
          <w:rFonts w:hAnsi="宋体" w:hint="eastAsia"/>
          <w:sz w:val="24"/>
        </w:rPr>
        <w:t>）。</w:t>
      </w:r>
    </w:p>
    <w:p w:rsidR="009C5C1F" w:rsidRDefault="004D2E0D">
      <w:pPr>
        <w:suppressAutoHyphens/>
        <w:topLinePunct/>
        <w:spacing w:line="360" w:lineRule="auto"/>
        <w:ind w:firstLineChars="200" w:firstLine="480"/>
        <w:jc w:val="center"/>
        <w:rPr>
          <w:sz w:val="24"/>
        </w:rPr>
      </w:pPr>
      <w:r>
        <w:rPr>
          <w:noProof/>
          <w:sz w:val="24"/>
        </w:rPr>
        <w:drawing>
          <wp:inline distT="0" distB="0" distL="0" distR="0">
            <wp:extent cx="5652135" cy="5963285"/>
            <wp:effectExtent l="0" t="0" r="5715" b="0"/>
            <wp:docPr id="1581796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796837"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52135" cy="5963285"/>
                    </a:xfrm>
                    <a:prstGeom prst="rect">
                      <a:avLst/>
                    </a:prstGeom>
                    <a:noFill/>
                    <a:ln>
                      <a:noFill/>
                    </a:ln>
                  </pic:spPr>
                </pic:pic>
              </a:graphicData>
            </a:graphic>
          </wp:inline>
        </w:drawing>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866" w:name="_Toc70589829"/>
      <w:bookmarkStart w:id="867" w:name="_Toc511226460"/>
      <w:bookmarkStart w:id="868" w:name="_Toc153130770"/>
      <w:r>
        <w:rPr>
          <w:rFonts w:eastAsia="黑体" w:hint="eastAsia"/>
          <w:b/>
          <w:bCs/>
          <w:sz w:val="28"/>
          <w:szCs w:val="30"/>
        </w:rPr>
        <w:lastRenderedPageBreak/>
        <w:t>二、</w:t>
      </w:r>
      <w:r>
        <w:rPr>
          <w:rFonts w:eastAsia="黑体"/>
          <w:b/>
          <w:bCs/>
          <w:sz w:val="28"/>
          <w:szCs w:val="30"/>
        </w:rPr>
        <w:t>矿区范围及拐点坐标</w:t>
      </w:r>
      <w:bookmarkEnd w:id="866"/>
      <w:bookmarkEnd w:id="867"/>
      <w:bookmarkEnd w:id="868"/>
    </w:p>
    <w:p w:rsidR="009C5C1F" w:rsidRDefault="004D2E0D">
      <w:pPr>
        <w:topLinePunct/>
        <w:spacing w:line="360" w:lineRule="auto"/>
        <w:ind w:firstLineChars="200" w:firstLine="480"/>
        <w:rPr>
          <w:sz w:val="24"/>
        </w:rPr>
      </w:pPr>
      <w:r>
        <w:rPr>
          <w:sz w:val="24"/>
        </w:rPr>
        <w:t>甘肃省</w:t>
      </w:r>
      <w:r>
        <w:rPr>
          <w:rFonts w:hint="eastAsia"/>
          <w:sz w:val="24"/>
        </w:rPr>
        <w:t>临泽</w:t>
      </w:r>
      <w:r>
        <w:rPr>
          <w:sz w:val="24"/>
        </w:rPr>
        <w:t>县</w:t>
      </w:r>
      <w:r>
        <w:rPr>
          <w:rFonts w:hint="eastAsia"/>
          <w:sz w:val="24"/>
        </w:rPr>
        <w:t>板桥</w:t>
      </w:r>
      <w:proofErr w:type="gramStart"/>
      <w:r>
        <w:rPr>
          <w:sz w:val="24"/>
        </w:rPr>
        <w:t>镇</w:t>
      </w:r>
      <w:r>
        <w:rPr>
          <w:rFonts w:hint="eastAsia"/>
          <w:sz w:val="24"/>
        </w:rPr>
        <w:t>壕洼村</w:t>
      </w:r>
      <w:proofErr w:type="gramEnd"/>
      <w:r>
        <w:rPr>
          <w:rFonts w:hint="eastAsia"/>
          <w:sz w:val="24"/>
        </w:rPr>
        <w:t>正北山西侧砖瓦用粘土矿</w:t>
      </w:r>
      <w:r>
        <w:rPr>
          <w:sz w:val="24"/>
        </w:rPr>
        <w:t>采矿权人为</w:t>
      </w:r>
      <w:r>
        <w:rPr>
          <w:rFonts w:hint="eastAsia"/>
          <w:sz w:val="24"/>
        </w:rPr>
        <w:t>临泽县建新城市建设开发有限责任公司，属</w:t>
      </w:r>
      <w:r>
        <w:rPr>
          <w:sz w:val="24"/>
        </w:rPr>
        <w:t>新建矿山</w:t>
      </w:r>
      <w:r>
        <w:rPr>
          <w:rFonts w:hint="eastAsia"/>
          <w:sz w:val="24"/>
        </w:rPr>
        <w:t>。</w:t>
      </w:r>
      <w:r>
        <w:rPr>
          <w:rFonts w:hAnsi="宋体" w:hint="eastAsia"/>
          <w:sz w:val="24"/>
        </w:rPr>
        <w:t>矿区由</w:t>
      </w:r>
      <w:r>
        <w:rPr>
          <w:rFonts w:hAnsi="宋体"/>
          <w:sz w:val="24"/>
        </w:rPr>
        <w:t>6</w:t>
      </w:r>
      <w:r>
        <w:rPr>
          <w:rFonts w:hAnsi="宋体"/>
          <w:sz w:val="24"/>
        </w:rPr>
        <w:t>个拐点坐标圈定，详见表</w:t>
      </w:r>
      <w:r>
        <w:rPr>
          <w:rFonts w:hAnsi="宋体"/>
          <w:sz w:val="24"/>
        </w:rPr>
        <w:t>1-1</w:t>
      </w:r>
      <w:r>
        <w:rPr>
          <w:rFonts w:hAnsi="宋体"/>
          <w:sz w:val="24"/>
        </w:rPr>
        <w:t>。</w:t>
      </w:r>
    </w:p>
    <w:p w:rsidR="009C5C1F" w:rsidRDefault="004D2E0D">
      <w:pPr>
        <w:spacing w:line="276" w:lineRule="auto"/>
        <w:jc w:val="center"/>
        <w:rPr>
          <w:rFonts w:ascii="仿宋" w:hAnsi="仿宋"/>
          <w:b/>
          <w:kern w:val="0"/>
          <w:szCs w:val="21"/>
        </w:rPr>
      </w:pPr>
      <w:r>
        <w:rPr>
          <w:rFonts w:ascii="仿宋" w:hAnsi="仿宋"/>
          <w:b/>
          <w:kern w:val="0"/>
          <w:szCs w:val="21"/>
        </w:rPr>
        <w:t>表</w:t>
      </w:r>
      <w:r>
        <w:rPr>
          <w:rFonts w:ascii="仿宋" w:hAnsi="仿宋"/>
          <w:b/>
          <w:kern w:val="0"/>
          <w:szCs w:val="21"/>
        </w:rPr>
        <w:t>1-1</w:t>
      </w:r>
      <w:proofErr w:type="gramStart"/>
      <w:r>
        <w:rPr>
          <w:rFonts w:ascii="仿宋" w:hAnsi="仿宋" w:hint="eastAsia"/>
          <w:b/>
          <w:kern w:val="0"/>
          <w:szCs w:val="21"/>
        </w:rPr>
        <w:t>肃</w:t>
      </w:r>
      <w:proofErr w:type="gramEnd"/>
      <w:r>
        <w:rPr>
          <w:rFonts w:ascii="仿宋" w:hAnsi="仿宋" w:hint="eastAsia"/>
          <w:b/>
          <w:kern w:val="0"/>
          <w:szCs w:val="21"/>
        </w:rPr>
        <w:t>省临泽县板桥</w:t>
      </w:r>
      <w:proofErr w:type="gramStart"/>
      <w:r>
        <w:rPr>
          <w:rFonts w:ascii="仿宋" w:hAnsi="仿宋" w:hint="eastAsia"/>
          <w:b/>
          <w:kern w:val="0"/>
          <w:szCs w:val="21"/>
        </w:rPr>
        <w:t>镇壕洼村</w:t>
      </w:r>
      <w:proofErr w:type="gramEnd"/>
      <w:r>
        <w:rPr>
          <w:rFonts w:ascii="仿宋" w:hAnsi="仿宋" w:hint="eastAsia"/>
          <w:b/>
          <w:kern w:val="0"/>
          <w:szCs w:val="21"/>
        </w:rPr>
        <w:t>正北山西侧粘土矿普查</w:t>
      </w:r>
      <w:r>
        <w:rPr>
          <w:rFonts w:ascii="仿宋" w:hAnsi="仿宋"/>
          <w:b/>
          <w:kern w:val="0"/>
          <w:szCs w:val="21"/>
        </w:rPr>
        <w:t>区范围拐点坐标</w:t>
      </w:r>
    </w:p>
    <w:tbl>
      <w:tblPr>
        <w:tblW w:w="8816" w:type="dxa"/>
        <w:tblInd w:w="108" w:type="dxa"/>
        <w:tblLook w:val="04A0" w:firstRow="1" w:lastRow="0" w:firstColumn="1" w:lastColumn="0" w:noHBand="0" w:noVBand="1"/>
      </w:tblPr>
      <w:tblGrid>
        <w:gridCol w:w="427"/>
        <w:gridCol w:w="2561"/>
        <w:gridCol w:w="2277"/>
        <w:gridCol w:w="1707"/>
        <w:gridCol w:w="1844"/>
      </w:tblGrid>
      <w:tr w:rsidR="009C5C1F">
        <w:trPr>
          <w:trHeight w:val="386"/>
        </w:trPr>
        <w:tc>
          <w:tcPr>
            <w:tcW w:w="427" w:type="dxa"/>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拐点</w:t>
            </w:r>
          </w:p>
        </w:tc>
        <w:tc>
          <w:tcPr>
            <w:tcW w:w="8389" w:type="dxa"/>
            <w:gridSpan w:val="4"/>
            <w:tcBorders>
              <w:top w:val="single" w:sz="4" w:space="0" w:color="auto"/>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2000</w:t>
            </w:r>
            <w:r>
              <w:rPr>
                <w:rFonts w:ascii="仿宋" w:hAnsi="仿宋" w:cs="宋体" w:hint="eastAsia"/>
                <w:color w:val="000000"/>
                <w:kern w:val="0"/>
                <w:szCs w:val="21"/>
              </w:rPr>
              <w:t>国家大地坐标系</w:t>
            </w:r>
          </w:p>
        </w:tc>
      </w:tr>
      <w:tr w:rsidR="009C5C1F">
        <w:trPr>
          <w:trHeight w:val="772"/>
        </w:trPr>
        <w:tc>
          <w:tcPr>
            <w:tcW w:w="427" w:type="dxa"/>
            <w:vMerge/>
            <w:tcBorders>
              <w:top w:val="single" w:sz="4" w:space="0" w:color="auto"/>
              <w:left w:val="single" w:sz="4" w:space="0" w:color="auto"/>
              <w:bottom w:val="single" w:sz="4" w:space="0" w:color="auto"/>
              <w:right w:val="single" w:sz="4" w:space="0" w:color="auto"/>
            </w:tcBorders>
            <w:vAlign w:val="center"/>
          </w:tcPr>
          <w:p w:rsidR="009C5C1F" w:rsidRDefault="009C5C1F">
            <w:pPr>
              <w:widowControl/>
              <w:jc w:val="left"/>
              <w:rPr>
                <w:rFonts w:ascii="仿宋" w:hAnsi="仿宋" w:cs="宋体"/>
                <w:color w:val="000000"/>
                <w:kern w:val="0"/>
                <w:szCs w:val="21"/>
              </w:rPr>
            </w:pPr>
          </w:p>
        </w:tc>
        <w:tc>
          <w:tcPr>
            <w:tcW w:w="4838" w:type="dxa"/>
            <w:gridSpan w:val="2"/>
            <w:tcBorders>
              <w:top w:val="single" w:sz="4" w:space="0" w:color="auto"/>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地理坐标</w:t>
            </w:r>
          </w:p>
        </w:tc>
        <w:tc>
          <w:tcPr>
            <w:tcW w:w="3550" w:type="dxa"/>
            <w:gridSpan w:val="2"/>
            <w:tcBorders>
              <w:top w:val="single" w:sz="4" w:space="0" w:color="auto"/>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直角坐标（</w:t>
            </w:r>
            <w:r>
              <w:rPr>
                <w:rFonts w:ascii="仿宋" w:hAnsi="仿宋" w:cs="宋体" w:hint="eastAsia"/>
                <w:color w:val="000000"/>
                <w:kern w:val="0"/>
                <w:szCs w:val="21"/>
              </w:rPr>
              <w:t>3</w:t>
            </w:r>
            <w:r>
              <w:rPr>
                <w:rFonts w:ascii="仿宋" w:hAnsi="仿宋" w:cs="宋体" w:hint="eastAsia"/>
                <w:color w:val="000000"/>
                <w:kern w:val="0"/>
                <w:szCs w:val="21"/>
              </w:rPr>
              <w:t>度带，</w:t>
            </w:r>
            <w:r>
              <w:rPr>
                <w:rFonts w:ascii="仿宋" w:hAnsi="仿宋" w:cs="宋体" w:hint="eastAsia"/>
                <w:color w:val="000000"/>
                <w:kern w:val="0"/>
                <w:szCs w:val="21"/>
              </w:rPr>
              <w:t>33</w:t>
            </w:r>
            <w:r>
              <w:rPr>
                <w:rFonts w:ascii="仿宋" w:hAnsi="仿宋" w:cs="宋体" w:hint="eastAsia"/>
                <w:color w:val="000000"/>
                <w:kern w:val="0"/>
                <w:szCs w:val="21"/>
              </w:rPr>
              <w:t>分带）</w:t>
            </w:r>
          </w:p>
        </w:tc>
      </w:tr>
      <w:tr w:rsidR="009C5C1F">
        <w:trPr>
          <w:trHeight w:val="386"/>
        </w:trPr>
        <w:tc>
          <w:tcPr>
            <w:tcW w:w="427" w:type="dxa"/>
            <w:vMerge/>
            <w:tcBorders>
              <w:top w:val="single" w:sz="4" w:space="0" w:color="auto"/>
              <w:left w:val="single" w:sz="4" w:space="0" w:color="auto"/>
              <w:bottom w:val="single" w:sz="4" w:space="0" w:color="auto"/>
              <w:right w:val="single" w:sz="4" w:space="0" w:color="auto"/>
            </w:tcBorders>
            <w:vAlign w:val="center"/>
          </w:tcPr>
          <w:p w:rsidR="009C5C1F" w:rsidRDefault="009C5C1F">
            <w:pPr>
              <w:widowControl/>
              <w:jc w:val="left"/>
              <w:rPr>
                <w:rFonts w:ascii="仿宋" w:hAnsi="仿宋" w:cs="宋体"/>
                <w:color w:val="000000"/>
                <w:kern w:val="0"/>
                <w:szCs w:val="21"/>
              </w:rPr>
            </w:pPr>
          </w:p>
        </w:tc>
        <w:tc>
          <w:tcPr>
            <w:tcW w:w="2561" w:type="dxa"/>
            <w:tcBorders>
              <w:top w:val="nil"/>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北纬</w:t>
            </w:r>
          </w:p>
        </w:tc>
        <w:tc>
          <w:tcPr>
            <w:tcW w:w="2277" w:type="dxa"/>
            <w:tcBorders>
              <w:top w:val="nil"/>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东经</w:t>
            </w:r>
          </w:p>
        </w:tc>
        <w:tc>
          <w:tcPr>
            <w:tcW w:w="1707" w:type="dxa"/>
            <w:tcBorders>
              <w:top w:val="nil"/>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X</w:t>
            </w:r>
          </w:p>
        </w:tc>
        <w:tc>
          <w:tcPr>
            <w:tcW w:w="1842" w:type="dxa"/>
            <w:tcBorders>
              <w:top w:val="nil"/>
              <w:left w:val="nil"/>
              <w:bottom w:val="single" w:sz="4" w:space="0" w:color="auto"/>
              <w:right w:val="single" w:sz="4" w:space="0" w:color="auto"/>
            </w:tcBorders>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Y</w:t>
            </w: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1</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auto" w:fill="auto"/>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2</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3</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4</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5</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r w:rsidR="009C5C1F">
        <w:trPr>
          <w:trHeight w:val="386"/>
        </w:trPr>
        <w:tc>
          <w:tcPr>
            <w:tcW w:w="427" w:type="dxa"/>
            <w:tcBorders>
              <w:top w:val="nil"/>
              <w:left w:val="single" w:sz="4" w:space="0" w:color="auto"/>
              <w:bottom w:val="single" w:sz="4" w:space="0" w:color="auto"/>
              <w:right w:val="single" w:sz="4" w:space="0" w:color="auto"/>
            </w:tcBorders>
            <w:shd w:val="clear" w:color="auto" w:fill="auto"/>
            <w:vAlign w:val="center"/>
          </w:tcPr>
          <w:p w:rsidR="009C5C1F" w:rsidRDefault="004D2E0D">
            <w:pPr>
              <w:widowControl/>
              <w:jc w:val="center"/>
              <w:rPr>
                <w:rFonts w:ascii="仿宋" w:hAnsi="仿宋" w:cs="宋体"/>
                <w:color w:val="000000"/>
                <w:kern w:val="0"/>
                <w:szCs w:val="21"/>
              </w:rPr>
            </w:pPr>
            <w:r>
              <w:rPr>
                <w:rFonts w:ascii="仿宋" w:hAnsi="仿宋" w:cs="宋体" w:hint="eastAsia"/>
                <w:color w:val="000000"/>
                <w:kern w:val="0"/>
                <w:szCs w:val="21"/>
              </w:rPr>
              <w:t>6</w:t>
            </w:r>
          </w:p>
        </w:tc>
        <w:tc>
          <w:tcPr>
            <w:tcW w:w="2561"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227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707"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c>
          <w:tcPr>
            <w:tcW w:w="1842" w:type="dxa"/>
            <w:tcBorders>
              <w:top w:val="nil"/>
              <w:left w:val="nil"/>
              <w:bottom w:val="single" w:sz="4" w:space="0" w:color="auto"/>
              <w:right w:val="single" w:sz="4" w:space="0" w:color="auto"/>
            </w:tcBorders>
            <w:shd w:val="clear" w:color="000000" w:fill="FFFFFF"/>
            <w:noWrap/>
            <w:vAlign w:val="center"/>
          </w:tcPr>
          <w:p w:rsidR="009C5C1F" w:rsidRDefault="009C5C1F">
            <w:pPr>
              <w:widowControl/>
              <w:jc w:val="center"/>
              <w:rPr>
                <w:rFonts w:ascii="仿宋" w:hAnsi="仿宋" w:cs="宋体"/>
                <w:color w:val="000000"/>
                <w:kern w:val="0"/>
                <w:szCs w:val="21"/>
              </w:rPr>
            </w:pPr>
          </w:p>
        </w:tc>
      </w:tr>
    </w:tbl>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869" w:name="_Toc511226461"/>
      <w:bookmarkStart w:id="870" w:name="_Toc447615049"/>
      <w:bookmarkStart w:id="871" w:name="_Toc70589830"/>
      <w:bookmarkStart w:id="872" w:name="_Toc153130771"/>
      <w:r>
        <w:rPr>
          <w:rFonts w:eastAsia="黑体" w:hint="eastAsia"/>
          <w:b/>
          <w:bCs/>
          <w:sz w:val="28"/>
          <w:szCs w:val="30"/>
        </w:rPr>
        <w:t>三、</w:t>
      </w:r>
      <w:r>
        <w:rPr>
          <w:rFonts w:eastAsia="黑体"/>
          <w:b/>
          <w:bCs/>
          <w:sz w:val="28"/>
          <w:szCs w:val="30"/>
        </w:rPr>
        <w:t>矿山开发利用方案概述</w:t>
      </w:r>
      <w:bookmarkEnd w:id="869"/>
      <w:bookmarkEnd w:id="870"/>
      <w:bookmarkEnd w:id="871"/>
      <w:bookmarkEnd w:id="872"/>
    </w:p>
    <w:p w:rsidR="009C5C1F" w:rsidRDefault="004D2E0D">
      <w:pPr>
        <w:keepNext/>
        <w:keepLines/>
        <w:suppressAutoHyphens/>
        <w:wordWrap w:val="0"/>
        <w:topLinePunct/>
        <w:spacing w:line="580" w:lineRule="exact"/>
        <w:ind w:firstLineChars="200" w:firstLine="482"/>
        <w:outlineLvl w:val="2"/>
        <w:rPr>
          <w:b/>
          <w:sz w:val="24"/>
          <w:szCs w:val="28"/>
        </w:rPr>
      </w:pPr>
      <w:bookmarkStart w:id="873" w:name="_Toc70589831"/>
      <w:r>
        <w:rPr>
          <w:b/>
          <w:sz w:val="24"/>
          <w:szCs w:val="28"/>
        </w:rPr>
        <w:t>（</w:t>
      </w:r>
      <w:r>
        <w:rPr>
          <w:rFonts w:hint="eastAsia"/>
          <w:b/>
          <w:sz w:val="24"/>
          <w:szCs w:val="28"/>
        </w:rPr>
        <w:t>一</w:t>
      </w:r>
      <w:r>
        <w:rPr>
          <w:b/>
          <w:sz w:val="24"/>
          <w:szCs w:val="28"/>
        </w:rPr>
        <w:t>）矿山建设规模及工程布局</w:t>
      </w:r>
      <w:bookmarkEnd w:id="873"/>
    </w:p>
    <w:p w:rsidR="009C5C1F" w:rsidRDefault="004D2E0D">
      <w:pPr>
        <w:suppressAutoHyphens/>
        <w:wordWrap w:val="0"/>
        <w:topLinePunct/>
        <w:spacing w:line="480" w:lineRule="exact"/>
        <w:ind w:firstLineChars="200" w:firstLine="480"/>
        <w:rPr>
          <w:kern w:val="0"/>
          <w:sz w:val="24"/>
        </w:rPr>
      </w:pPr>
      <w:r>
        <w:rPr>
          <w:kern w:val="0"/>
          <w:sz w:val="24"/>
        </w:rPr>
        <w:t>1</w:t>
      </w:r>
      <w:r>
        <w:rPr>
          <w:kern w:val="0"/>
          <w:sz w:val="24"/>
        </w:rPr>
        <w:t>、建设规模</w:t>
      </w:r>
    </w:p>
    <w:p w:rsidR="009C5C1F" w:rsidRDefault="004D2E0D">
      <w:pPr>
        <w:spacing w:line="480" w:lineRule="exact"/>
        <w:ind w:firstLineChars="200" w:firstLine="480"/>
        <w:rPr>
          <w:rFonts w:ascii="宋体" w:hAnsi="宋体" w:cs="宋体"/>
          <w:kern w:val="0"/>
          <w:sz w:val="24"/>
        </w:rPr>
      </w:pPr>
      <w:r>
        <w:rPr>
          <w:rFonts w:ascii="宋体" w:hAnsi="宋体" w:cs="宋体" w:hint="eastAsia"/>
          <w:kern w:val="0"/>
          <w:sz w:val="24"/>
        </w:rPr>
        <w:t>根据国务院下发的《矿产资源开采登记管理办法》（中华人民共和国国务院令第241号）及张掖市第三轮整体规划等相关规定，并且根据该矿矿体形态、规模及产状，结合当地的销售能力提出1</w:t>
      </w:r>
      <w:r>
        <w:rPr>
          <w:rFonts w:ascii="宋体" w:hAnsi="宋体" w:cs="宋体"/>
          <w:kern w:val="0"/>
          <w:sz w:val="24"/>
        </w:rPr>
        <w:t>0</w:t>
      </w:r>
      <w:r>
        <w:rPr>
          <w:rFonts w:ascii="宋体" w:hAnsi="宋体" w:cs="宋体" w:hint="eastAsia"/>
          <w:kern w:val="0"/>
          <w:sz w:val="24"/>
        </w:rPr>
        <w:t>万立方米/年、1</w:t>
      </w:r>
      <w:r>
        <w:rPr>
          <w:rFonts w:ascii="宋体" w:hAnsi="宋体" w:cs="宋体"/>
          <w:kern w:val="0"/>
          <w:sz w:val="24"/>
        </w:rPr>
        <w:t>5</w:t>
      </w:r>
      <w:r>
        <w:rPr>
          <w:rFonts w:ascii="宋体" w:hAnsi="宋体" w:cs="宋体" w:hint="eastAsia"/>
          <w:kern w:val="0"/>
          <w:sz w:val="24"/>
        </w:rPr>
        <w:t>万立方米/年、</w:t>
      </w:r>
      <w:r>
        <w:rPr>
          <w:rFonts w:ascii="宋体" w:hAnsi="宋体" w:cs="宋体"/>
          <w:kern w:val="0"/>
          <w:sz w:val="24"/>
        </w:rPr>
        <w:t>2</w:t>
      </w:r>
      <w:r>
        <w:rPr>
          <w:rFonts w:ascii="宋体" w:hAnsi="宋体" w:cs="宋体" w:hint="eastAsia"/>
          <w:kern w:val="0"/>
          <w:sz w:val="24"/>
        </w:rPr>
        <w:t>0万立方米/年三个建设规模进行简要论证。通过三个两方案比较，建设规模</w:t>
      </w:r>
      <w:r>
        <w:rPr>
          <w:rFonts w:ascii="宋体" w:hAnsi="宋体" w:cs="宋体"/>
          <w:kern w:val="0"/>
          <w:sz w:val="24"/>
        </w:rPr>
        <w:t>1</w:t>
      </w:r>
      <w:r>
        <w:rPr>
          <w:rFonts w:ascii="宋体" w:hAnsi="宋体" w:cs="宋体" w:hint="eastAsia"/>
          <w:kern w:val="0"/>
          <w:sz w:val="24"/>
        </w:rPr>
        <w:t>0万立方米/年在矿山生产能力、矿山服务年限、投资回收期与储量规模相匹配，更为合理，因此开发利用方案推荐建设规模</w:t>
      </w:r>
      <w:r>
        <w:rPr>
          <w:rFonts w:ascii="宋体" w:hAnsi="宋体" w:cs="宋体"/>
          <w:kern w:val="0"/>
          <w:sz w:val="24"/>
        </w:rPr>
        <w:t>1</w:t>
      </w:r>
      <w:r>
        <w:rPr>
          <w:rFonts w:ascii="宋体" w:hAnsi="宋体" w:cs="宋体" w:hint="eastAsia"/>
          <w:kern w:val="0"/>
          <w:sz w:val="24"/>
        </w:rPr>
        <w:t>0万立方米/年。</w:t>
      </w:r>
    </w:p>
    <w:p w:rsidR="009C5C1F" w:rsidRDefault="004D2E0D">
      <w:pPr>
        <w:suppressAutoHyphens/>
        <w:wordWrap w:val="0"/>
        <w:topLinePunct/>
        <w:spacing w:line="480" w:lineRule="exact"/>
        <w:ind w:firstLineChars="200" w:firstLine="480"/>
        <w:rPr>
          <w:bCs/>
          <w:kern w:val="0"/>
          <w:sz w:val="24"/>
        </w:rPr>
      </w:pPr>
      <w:r>
        <w:rPr>
          <w:bCs/>
          <w:kern w:val="0"/>
          <w:sz w:val="24"/>
        </w:rPr>
        <w:t>2</w:t>
      </w:r>
      <w:r>
        <w:rPr>
          <w:bCs/>
          <w:kern w:val="0"/>
          <w:sz w:val="24"/>
        </w:rPr>
        <w:t>、工程布局</w:t>
      </w:r>
    </w:p>
    <w:p w:rsidR="009C5C1F" w:rsidRDefault="004D2E0D">
      <w:pPr>
        <w:suppressAutoHyphens/>
        <w:wordWrap w:val="0"/>
        <w:topLinePunct/>
        <w:spacing w:line="480" w:lineRule="exact"/>
        <w:ind w:firstLineChars="200" w:firstLine="480"/>
        <w:rPr>
          <w:kern w:val="0"/>
          <w:sz w:val="24"/>
        </w:rPr>
      </w:pPr>
      <w:r>
        <w:rPr>
          <w:rFonts w:hint="eastAsia"/>
          <w:kern w:val="0"/>
          <w:sz w:val="24"/>
        </w:rPr>
        <w:t>该矿山</w:t>
      </w:r>
      <w:r>
        <w:rPr>
          <w:kern w:val="0"/>
          <w:sz w:val="24"/>
        </w:rPr>
        <w:t>为新建矿山</w:t>
      </w:r>
      <w:r>
        <w:rPr>
          <w:rFonts w:hint="eastAsia"/>
          <w:kern w:val="0"/>
          <w:sz w:val="24"/>
        </w:rPr>
        <w:t>。根据矿山《开发利用方案》，</w:t>
      </w:r>
      <w:r>
        <w:rPr>
          <w:kern w:val="0"/>
          <w:sz w:val="24"/>
        </w:rPr>
        <w:t>矿山设计建设工程主要有：</w:t>
      </w:r>
      <w:r>
        <w:rPr>
          <w:rFonts w:hint="eastAsia"/>
          <w:kern w:val="0"/>
          <w:sz w:val="24"/>
        </w:rPr>
        <w:t>采场、堆料场、生产加工场地、矿山道路等。以上设施均有矿山道路进行连接</w:t>
      </w:r>
      <w:r>
        <w:rPr>
          <w:kern w:val="0"/>
          <w:sz w:val="24"/>
        </w:rPr>
        <w:t>。</w:t>
      </w:r>
    </w:p>
    <w:p w:rsidR="009C5C1F" w:rsidRDefault="004D2E0D">
      <w:pPr>
        <w:suppressAutoHyphens/>
        <w:wordWrap w:val="0"/>
        <w:topLinePunct/>
        <w:spacing w:line="480" w:lineRule="exact"/>
        <w:ind w:firstLineChars="200" w:firstLine="480"/>
        <w:rPr>
          <w:kern w:val="0"/>
          <w:sz w:val="24"/>
        </w:rPr>
      </w:pPr>
      <w:r>
        <w:rPr>
          <w:kern w:val="0"/>
          <w:sz w:val="24"/>
        </w:rPr>
        <w:t>（</w:t>
      </w:r>
      <w:r>
        <w:rPr>
          <w:kern w:val="0"/>
          <w:sz w:val="24"/>
        </w:rPr>
        <w:t>1</w:t>
      </w:r>
      <w:r>
        <w:rPr>
          <w:kern w:val="0"/>
          <w:sz w:val="24"/>
        </w:rPr>
        <w:t>）采场</w:t>
      </w:r>
      <w:r>
        <w:rPr>
          <w:rFonts w:hint="eastAsia"/>
          <w:kern w:val="0"/>
          <w:sz w:val="24"/>
        </w:rPr>
        <w:t>：</w:t>
      </w:r>
      <w:proofErr w:type="gramStart"/>
      <w:r>
        <w:rPr>
          <w:kern w:val="0"/>
          <w:sz w:val="24"/>
        </w:rPr>
        <w:t>矿区首采工作面</w:t>
      </w:r>
      <w:proofErr w:type="gramEnd"/>
      <w:r>
        <w:rPr>
          <w:kern w:val="0"/>
          <w:sz w:val="24"/>
        </w:rPr>
        <w:t>位于矿体的南部，</w:t>
      </w:r>
      <w:r>
        <w:rPr>
          <w:rFonts w:hint="eastAsia"/>
          <w:kern w:val="0"/>
          <w:sz w:val="24"/>
        </w:rPr>
        <w:t>矿山以此进行一次性采全高的开采，根据开采终了图，</w:t>
      </w:r>
      <w:r>
        <w:rPr>
          <w:kern w:val="0"/>
          <w:sz w:val="24"/>
        </w:rPr>
        <w:t>露天采场占地</w:t>
      </w:r>
      <w:r>
        <w:rPr>
          <w:kern w:val="0"/>
          <w:sz w:val="24"/>
        </w:rPr>
        <w:t>1.75hm</w:t>
      </w:r>
      <w:r>
        <w:rPr>
          <w:kern w:val="0"/>
          <w:sz w:val="24"/>
          <w:vertAlign w:val="superscript"/>
        </w:rPr>
        <w:t>2</w:t>
      </w:r>
      <w:r>
        <w:rPr>
          <w:kern w:val="0"/>
          <w:sz w:val="24"/>
        </w:rPr>
        <w:t>。</w:t>
      </w:r>
    </w:p>
    <w:p w:rsidR="009C5C1F" w:rsidRDefault="004D2E0D">
      <w:pPr>
        <w:spacing w:line="480" w:lineRule="exact"/>
        <w:ind w:firstLineChars="150" w:firstLine="360"/>
        <w:rPr>
          <w:rFonts w:ascii="宋体" w:hAnsi="宋体"/>
          <w:kern w:val="0"/>
          <w:sz w:val="24"/>
        </w:rPr>
      </w:pPr>
      <w:r>
        <w:rPr>
          <w:rFonts w:ascii="宋体" w:hAnsi="宋体" w:hint="eastAsia"/>
          <w:kern w:val="0"/>
          <w:sz w:val="24"/>
        </w:rPr>
        <w:t>（2）堆料场</w:t>
      </w:r>
    </w:p>
    <w:p w:rsidR="009C5C1F" w:rsidRDefault="004D2E0D">
      <w:pPr>
        <w:suppressAutoHyphens/>
        <w:wordWrap w:val="0"/>
        <w:topLinePunct/>
        <w:spacing w:line="480" w:lineRule="exact"/>
        <w:ind w:firstLineChars="200" w:firstLine="480"/>
        <w:rPr>
          <w:kern w:val="0"/>
          <w:sz w:val="24"/>
        </w:rPr>
      </w:pPr>
      <w:r>
        <w:rPr>
          <w:rFonts w:hint="eastAsia"/>
          <w:kern w:val="0"/>
          <w:sz w:val="24"/>
        </w:rPr>
        <w:t>堆料场位于矿区</w:t>
      </w:r>
      <w:proofErr w:type="gramStart"/>
      <w:r>
        <w:rPr>
          <w:rFonts w:hint="eastAsia"/>
          <w:kern w:val="0"/>
          <w:sz w:val="24"/>
        </w:rPr>
        <w:t>中部采坑</w:t>
      </w:r>
      <w:proofErr w:type="gramEnd"/>
      <w:r>
        <w:rPr>
          <w:rFonts w:hint="eastAsia"/>
          <w:kern w:val="0"/>
          <w:sz w:val="24"/>
        </w:rPr>
        <w:t>，长度约</w:t>
      </w:r>
      <w:r>
        <w:rPr>
          <w:kern w:val="0"/>
          <w:sz w:val="24"/>
        </w:rPr>
        <w:t>130m</w:t>
      </w:r>
      <w:r>
        <w:rPr>
          <w:rFonts w:hint="eastAsia"/>
          <w:kern w:val="0"/>
          <w:sz w:val="24"/>
        </w:rPr>
        <w:t>，宽度约</w:t>
      </w:r>
      <w:r>
        <w:rPr>
          <w:kern w:val="0"/>
          <w:sz w:val="24"/>
        </w:rPr>
        <w:t>72m</w:t>
      </w:r>
      <w:r>
        <w:rPr>
          <w:rFonts w:hint="eastAsia"/>
          <w:kern w:val="0"/>
          <w:sz w:val="24"/>
        </w:rPr>
        <w:t>，占地面积</w:t>
      </w:r>
      <w:r>
        <w:rPr>
          <w:kern w:val="0"/>
          <w:sz w:val="24"/>
        </w:rPr>
        <w:t>0.936</w:t>
      </w:r>
      <w:bookmarkStart w:id="874" w:name="_Hlk151730538"/>
      <w:r>
        <w:rPr>
          <w:rFonts w:hint="eastAsia"/>
          <w:kern w:val="0"/>
          <w:sz w:val="24"/>
        </w:rPr>
        <w:t>h</w:t>
      </w:r>
      <w:r>
        <w:rPr>
          <w:kern w:val="0"/>
          <w:sz w:val="24"/>
        </w:rPr>
        <w:t>m</w:t>
      </w:r>
      <w:r>
        <w:rPr>
          <w:kern w:val="0"/>
          <w:sz w:val="24"/>
          <w:vertAlign w:val="superscript"/>
        </w:rPr>
        <w:t>2</w:t>
      </w:r>
      <w:r>
        <w:rPr>
          <w:rFonts w:hint="eastAsia"/>
          <w:kern w:val="0"/>
          <w:sz w:val="24"/>
        </w:rPr>
        <w:t>。</w:t>
      </w:r>
      <w:bookmarkEnd w:id="874"/>
    </w:p>
    <w:p w:rsidR="009C5C1F" w:rsidRDefault="004D2E0D">
      <w:pPr>
        <w:spacing w:line="480" w:lineRule="exact"/>
        <w:ind w:firstLineChars="150" w:firstLine="360"/>
        <w:rPr>
          <w:rFonts w:ascii="宋体" w:hAnsi="宋体"/>
          <w:kern w:val="0"/>
          <w:sz w:val="24"/>
        </w:rPr>
      </w:pPr>
      <w:r>
        <w:rPr>
          <w:rFonts w:ascii="宋体" w:hAnsi="宋体" w:hint="eastAsia"/>
          <w:kern w:val="0"/>
          <w:sz w:val="24"/>
        </w:rPr>
        <w:lastRenderedPageBreak/>
        <w:t>（3）生产加工场地</w:t>
      </w:r>
    </w:p>
    <w:p w:rsidR="009C5C1F" w:rsidRDefault="004D2E0D">
      <w:pPr>
        <w:spacing w:line="480" w:lineRule="exact"/>
        <w:ind w:firstLineChars="200" w:firstLine="480"/>
        <w:rPr>
          <w:rFonts w:ascii="宋体" w:hAnsi="宋体"/>
          <w:kern w:val="0"/>
          <w:sz w:val="24"/>
        </w:rPr>
      </w:pPr>
      <w:r>
        <w:rPr>
          <w:rFonts w:ascii="宋体" w:hAnsi="宋体" w:hint="eastAsia"/>
          <w:kern w:val="0"/>
          <w:sz w:val="24"/>
        </w:rPr>
        <w:t>生产加工场地距堆料场5</w:t>
      </w:r>
      <w:r>
        <w:rPr>
          <w:rFonts w:ascii="宋体" w:hAnsi="宋体"/>
          <w:kern w:val="0"/>
          <w:sz w:val="24"/>
        </w:rPr>
        <w:t>0m</w:t>
      </w:r>
      <w:r>
        <w:rPr>
          <w:rFonts w:ascii="宋体" w:hAnsi="宋体" w:hint="eastAsia"/>
          <w:kern w:val="0"/>
          <w:sz w:val="24"/>
        </w:rPr>
        <w:t>，长度约1</w:t>
      </w:r>
      <w:r>
        <w:rPr>
          <w:rFonts w:ascii="宋体" w:hAnsi="宋体"/>
          <w:kern w:val="0"/>
          <w:sz w:val="24"/>
        </w:rPr>
        <w:t>25m</w:t>
      </w:r>
      <w:r>
        <w:rPr>
          <w:rFonts w:ascii="宋体" w:hAnsi="宋体" w:hint="eastAsia"/>
          <w:kern w:val="0"/>
          <w:sz w:val="24"/>
        </w:rPr>
        <w:t>，宽度约3</w:t>
      </w:r>
      <w:r>
        <w:rPr>
          <w:rFonts w:ascii="宋体" w:hAnsi="宋体"/>
          <w:kern w:val="0"/>
          <w:sz w:val="24"/>
        </w:rPr>
        <w:t>3m</w:t>
      </w:r>
      <w:r>
        <w:rPr>
          <w:rFonts w:ascii="宋体" w:hAnsi="宋体" w:hint="eastAsia"/>
          <w:kern w:val="0"/>
          <w:sz w:val="24"/>
        </w:rPr>
        <w:t>，占地面积0</w:t>
      </w:r>
      <w:r>
        <w:rPr>
          <w:rFonts w:ascii="宋体" w:hAnsi="宋体"/>
          <w:kern w:val="0"/>
          <w:sz w:val="24"/>
        </w:rPr>
        <w:t>.4125</w:t>
      </w:r>
      <w:r>
        <w:rPr>
          <w:rFonts w:hint="eastAsia"/>
          <w:kern w:val="0"/>
          <w:sz w:val="24"/>
        </w:rPr>
        <w:t xml:space="preserve"> h</w:t>
      </w:r>
      <w:r>
        <w:rPr>
          <w:kern w:val="0"/>
          <w:sz w:val="24"/>
        </w:rPr>
        <w:t>m</w:t>
      </w:r>
      <w:r>
        <w:rPr>
          <w:kern w:val="0"/>
          <w:sz w:val="24"/>
          <w:vertAlign w:val="superscript"/>
        </w:rPr>
        <w:t>2</w:t>
      </w:r>
      <w:r>
        <w:rPr>
          <w:rFonts w:hint="eastAsia"/>
          <w:kern w:val="0"/>
          <w:sz w:val="24"/>
        </w:rPr>
        <w:t>。</w:t>
      </w:r>
      <w:r>
        <w:rPr>
          <w:rFonts w:ascii="宋体" w:hAnsi="宋体"/>
          <w:kern w:val="0"/>
          <w:sz w:val="24"/>
        </w:rPr>
        <w:t xml:space="preserve"> </w:t>
      </w:r>
    </w:p>
    <w:p w:rsidR="009C5C1F" w:rsidRDefault="004D2E0D">
      <w:pPr>
        <w:pStyle w:val="a0"/>
        <w:ind w:firstLine="240"/>
        <w:rPr>
          <w:sz w:val="24"/>
        </w:rPr>
      </w:pPr>
      <w:r>
        <w:rPr>
          <w:rFonts w:hint="eastAsia"/>
          <w:sz w:val="24"/>
        </w:rPr>
        <w:t>（</w:t>
      </w:r>
      <w:r>
        <w:rPr>
          <w:rFonts w:hint="eastAsia"/>
          <w:sz w:val="24"/>
        </w:rPr>
        <w:t>4</w:t>
      </w:r>
      <w:r>
        <w:rPr>
          <w:rFonts w:hint="eastAsia"/>
          <w:sz w:val="24"/>
        </w:rPr>
        <w:t>）矿山道路</w:t>
      </w:r>
    </w:p>
    <w:p w:rsidR="009C5C1F" w:rsidRDefault="004D2E0D">
      <w:pPr>
        <w:pStyle w:val="a0"/>
        <w:ind w:firstLine="240"/>
        <w:rPr>
          <w:sz w:val="24"/>
        </w:rPr>
      </w:pPr>
      <w:r>
        <w:rPr>
          <w:rFonts w:hint="eastAsia"/>
          <w:color w:val="FF0000"/>
          <w:sz w:val="24"/>
        </w:rPr>
        <w:t xml:space="preserve"> </w:t>
      </w:r>
      <w:r>
        <w:rPr>
          <w:color w:val="FF0000"/>
          <w:sz w:val="24"/>
        </w:rPr>
        <w:t xml:space="preserve"> </w:t>
      </w:r>
      <w:r>
        <w:rPr>
          <w:rFonts w:hint="eastAsia"/>
          <w:sz w:val="24"/>
        </w:rPr>
        <w:t>矿山道路</w:t>
      </w:r>
      <w:r>
        <w:rPr>
          <w:rFonts w:hint="eastAsia"/>
          <w:sz w:val="24"/>
        </w:rPr>
        <w:t>1</w:t>
      </w:r>
      <w:r>
        <w:rPr>
          <w:sz w:val="24"/>
        </w:rPr>
        <w:t>.2Km</w:t>
      </w:r>
      <w:r>
        <w:rPr>
          <w:rFonts w:hint="eastAsia"/>
          <w:sz w:val="24"/>
        </w:rPr>
        <w:t>，道路路基宽</w:t>
      </w:r>
      <w:r>
        <w:rPr>
          <w:rFonts w:hint="eastAsia"/>
          <w:sz w:val="24"/>
        </w:rPr>
        <w:t>6</w:t>
      </w:r>
      <w:r>
        <w:rPr>
          <w:sz w:val="24"/>
        </w:rPr>
        <w:t>m</w:t>
      </w:r>
      <w:r>
        <w:rPr>
          <w:rFonts w:hint="eastAsia"/>
          <w:sz w:val="24"/>
        </w:rPr>
        <w:t>，占地面积</w:t>
      </w:r>
      <w:r>
        <w:rPr>
          <w:rFonts w:hint="eastAsia"/>
          <w:sz w:val="24"/>
        </w:rPr>
        <w:t>0</w:t>
      </w:r>
      <w:r>
        <w:rPr>
          <w:sz w:val="24"/>
        </w:rPr>
        <w:t>.72</w:t>
      </w:r>
      <w:r>
        <w:rPr>
          <w:kern w:val="0"/>
          <w:sz w:val="24"/>
        </w:rPr>
        <w:t xml:space="preserve"> hm</w:t>
      </w:r>
      <w:r>
        <w:rPr>
          <w:kern w:val="0"/>
          <w:sz w:val="24"/>
          <w:vertAlign w:val="superscript"/>
        </w:rPr>
        <w:t>2</w:t>
      </w:r>
      <w:r>
        <w:rPr>
          <w:rFonts w:hint="eastAsia"/>
          <w:sz w:val="24"/>
        </w:rPr>
        <w:t>。</w:t>
      </w:r>
    </w:p>
    <w:p w:rsidR="009C5C1F" w:rsidRDefault="004D2E0D">
      <w:pPr>
        <w:keepNext/>
        <w:keepLines/>
        <w:suppressAutoHyphens/>
        <w:wordWrap w:val="0"/>
        <w:topLinePunct/>
        <w:spacing w:line="580" w:lineRule="exact"/>
        <w:ind w:firstLineChars="200" w:firstLine="482"/>
        <w:outlineLvl w:val="2"/>
        <w:rPr>
          <w:b/>
          <w:sz w:val="24"/>
          <w:szCs w:val="28"/>
        </w:rPr>
      </w:pPr>
      <w:bookmarkStart w:id="875" w:name="_Toc70589832"/>
      <w:r>
        <w:rPr>
          <w:b/>
          <w:sz w:val="24"/>
          <w:szCs w:val="28"/>
        </w:rPr>
        <w:t>（</w:t>
      </w:r>
      <w:r>
        <w:rPr>
          <w:rFonts w:hint="eastAsia"/>
          <w:b/>
          <w:sz w:val="24"/>
          <w:szCs w:val="28"/>
        </w:rPr>
        <w:t>二</w:t>
      </w:r>
      <w:r>
        <w:rPr>
          <w:b/>
          <w:sz w:val="24"/>
          <w:szCs w:val="28"/>
        </w:rPr>
        <w:t>）矿山资源及储量</w:t>
      </w:r>
      <w:bookmarkEnd w:id="875"/>
    </w:p>
    <w:p w:rsidR="009C5C1F" w:rsidRDefault="004D2E0D">
      <w:pPr>
        <w:spacing w:line="500" w:lineRule="exact"/>
        <w:ind w:firstLineChars="200" w:firstLine="480"/>
        <w:rPr>
          <w:rFonts w:hAnsi="宋体"/>
          <w:kern w:val="0"/>
          <w:sz w:val="24"/>
        </w:rPr>
      </w:pPr>
      <w:bookmarkStart w:id="876" w:name="_Toc213687919"/>
      <w:r>
        <w:rPr>
          <w:rFonts w:hAnsi="宋体"/>
          <w:kern w:val="0"/>
          <w:sz w:val="24"/>
        </w:rPr>
        <w:t>根据</w:t>
      </w:r>
      <w:r>
        <w:rPr>
          <w:rFonts w:hAnsi="宋体" w:hint="eastAsia"/>
          <w:kern w:val="0"/>
          <w:sz w:val="24"/>
        </w:rPr>
        <w:t>《开发利用方案》，</w:t>
      </w:r>
      <w:r>
        <w:rPr>
          <w:rFonts w:hAnsi="宋体"/>
          <w:kern w:val="0"/>
          <w:sz w:val="24"/>
        </w:rPr>
        <w:t>由甘肃</w:t>
      </w:r>
      <w:r>
        <w:rPr>
          <w:rFonts w:hAnsi="宋体" w:hint="eastAsia"/>
          <w:kern w:val="0"/>
          <w:sz w:val="24"/>
        </w:rPr>
        <w:t>有色金属地质</w:t>
      </w:r>
      <w:proofErr w:type="gramStart"/>
      <w:r>
        <w:rPr>
          <w:rFonts w:hAnsi="宋体" w:hint="eastAsia"/>
          <w:kern w:val="0"/>
          <w:sz w:val="24"/>
        </w:rPr>
        <w:t>勘查局张掖</w:t>
      </w:r>
      <w:proofErr w:type="gramEnd"/>
      <w:r>
        <w:rPr>
          <w:rFonts w:hAnsi="宋体" w:hint="eastAsia"/>
          <w:kern w:val="0"/>
          <w:sz w:val="24"/>
        </w:rPr>
        <w:t>矿产勘察院</w:t>
      </w:r>
      <w:r>
        <w:rPr>
          <w:rFonts w:hAnsi="宋体"/>
          <w:kern w:val="0"/>
          <w:sz w:val="24"/>
        </w:rPr>
        <w:t>提供的《甘肃省</w:t>
      </w:r>
      <w:r>
        <w:rPr>
          <w:rFonts w:hAnsi="宋体" w:hint="eastAsia"/>
          <w:kern w:val="0"/>
          <w:sz w:val="24"/>
        </w:rPr>
        <w:t>板桥镇壕洼村</w:t>
      </w:r>
      <w:r>
        <w:rPr>
          <w:rFonts w:hint="eastAsia"/>
          <w:sz w:val="24"/>
        </w:rPr>
        <w:t>正北山西侧砖瓦用粘土矿</w:t>
      </w:r>
      <w:r>
        <w:rPr>
          <w:rFonts w:hAnsi="宋体" w:hint="eastAsia"/>
          <w:kern w:val="0"/>
          <w:sz w:val="24"/>
          <w:lang w:val="zh-CN"/>
        </w:rPr>
        <w:t>普查</w:t>
      </w:r>
      <w:r>
        <w:rPr>
          <w:rFonts w:hAnsi="宋体"/>
          <w:kern w:val="0"/>
          <w:sz w:val="24"/>
          <w:lang w:val="zh-CN"/>
        </w:rPr>
        <w:t>报告》</w:t>
      </w:r>
      <w:r>
        <w:rPr>
          <w:rFonts w:hAnsi="宋体" w:hint="eastAsia"/>
          <w:kern w:val="0"/>
          <w:sz w:val="24"/>
        </w:rPr>
        <w:t>（</w:t>
      </w:r>
      <w:r>
        <w:rPr>
          <w:rFonts w:hAnsi="宋体" w:hint="eastAsia"/>
          <w:kern w:val="0"/>
          <w:sz w:val="24"/>
        </w:rPr>
        <w:t>202</w:t>
      </w:r>
      <w:r>
        <w:rPr>
          <w:rFonts w:hAnsi="宋体"/>
          <w:kern w:val="0"/>
          <w:sz w:val="24"/>
        </w:rPr>
        <w:t>2</w:t>
      </w:r>
      <w:r>
        <w:rPr>
          <w:rFonts w:hAnsi="宋体" w:hint="eastAsia"/>
          <w:kern w:val="0"/>
          <w:sz w:val="24"/>
        </w:rPr>
        <w:t>.</w:t>
      </w:r>
      <w:r>
        <w:rPr>
          <w:rFonts w:hAnsi="宋体"/>
          <w:kern w:val="0"/>
          <w:sz w:val="24"/>
        </w:rPr>
        <w:t>1</w:t>
      </w:r>
      <w:r>
        <w:rPr>
          <w:rFonts w:hAnsi="宋体" w:hint="eastAsia"/>
          <w:kern w:val="0"/>
          <w:sz w:val="24"/>
        </w:rPr>
        <w:t>）资料可知，临泽县</w:t>
      </w:r>
      <w:proofErr w:type="gramStart"/>
      <w:r>
        <w:rPr>
          <w:rFonts w:hAnsi="宋体" w:hint="eastAsia"/>
          <w:kern w:val="0"/>
          <w:sz w:val="24"/>
        </w:rPr>
        <w:t>板桥镇矿权</w:t>
      </w:r>
      <w:proofErr w:type="gramEnd"/>
      <w:r>
        <w:rPr>
          <w:rFonts w:hAnsi="宋体" w:hint="eastAsia"/>
          <w:kern w:val="0"/>
          <w:sz w:val="24"/>
        </w:rPr>
        <w:t>范围内查明资源储量为</w:t>
      </w:r>
      <w:bookmarkStart w:id="877" w:name="_Hlk151665641"/>
      <w:r>
        <w:rPr>
          <w:rFonts w:hAnsi="宋体" w:hint="eastAsia"/>
          <w:kern w:val="0"/>
          <w:sz w:val="24"/>
        </w:rPr>
        <w:t>1</w:t>
      </w:r>
      <w:r>
        <w:rPr>
          <w:rFonts w:hAnsi="宋体"/>
          <w:kern w:val="0"/>
          <w:sz w:val="24"/>
        </w:rPr>
        <w:t>24.1</w:t>
      </w:r>
      <w:r>
        <w:rPr>
          <w:rFonts w:hAnsi="宋体"/>
          <w:kern w:val="0"/>
          <w:sz w:val="24"/>
        </w:rPr>
        <w:t>×</w:t>
      </w:r>
      <w:r>
        <w:rPr>
          <w:rFonts w:hAnsi="宋体" w:hint="eastAsia"/>
          <w:kern w:val="0"/>
          <w:sz w:val="24"/>
        </w:rPr>
        <w:t>10</w:t>
      </w:r>
      <w:bookmarkEnd w:id="877"/>
      <w:r>
        <w:rPr>
          <w:rFonts w:hAnsi="宋体" w:hint="eastAsia"/>
          <w:kern w:val="0"/>
          <w:sz w:val="24"/>
          <w:vertAlign w:val="superscript"/>
        </w:rPr>
        <w:t>4</w:t>
      </w:r>
      <w:r>
        <w:rPr>
          <w:rFonts w:hAnsi="宋体" w:hint="eastAsia"/>
          <w:kern w:val="0"/>
          <w:sz w:val="24"/>
        </w:rPr>
        <w:t>m</w:t>
      </w:r>
      <w:r>
        <w:rPr>
          <w:rFonts w:hAnsi="宋体" w:hint="eastAsia"/>
          <w:kern w:val="0"/>
          <w:sz w:val="24"/>
          <w:vertAlign w:val="superscript"/>
        </w:rPr>
        <w:t>3</w:t>
      </w:r>
      <w:r>
        <w:rPr>
          <w:rFonts w:hAnsi="宋体" w:hint="eastAsia"/>
          <w:kern w:val="0"/>
          <w:sz w:val="24"/>
        </w:rPr>
        <w:t>。考虑到该区域矿体赋存条件较好，则资源的利用率取最大可信度系数数值为</w:t>
      </w:r>
      <w:r>
        <w:rPr>
          <w:rFonts w:hAnsi="宋体" w:hint="eastAsia"/>
          <w:kern w:val="0"/>
          <w:sz w:val="24"/>
        </w:rPr>
        <w:t>1</w:t>
      </w:r>
      <w:r>
        <w:rPr>
          <w:rFonts w:hAnsi="宋体" w:hint="eastAsia"/>
          <w:kern w:val="0"/>
          <w:sz w:val="24"/>
        </w:rPr>
        <w:t>，则矿山可利用资源量为</w:t>
      </w:r>
      <w:r>
        <w:rPr>
          <w:rFonts w:hAnsi="宋体" w:hint="eastAsia"/>
          <w:kern w:val="0"/>
          <w:sz w:val="24"/>
        </w:rPr>
        <w:t>1</w:t>
      </w:r>
      <w:r>
        <w:rPr>
          <w:rFonts w:hAnsi="宋体"/>
          <w:kern w:val="0"/>
          <w:sz w:val="24"/>
        </w:rPr>
        <w:t>24.1</w:t>
      </w:r>
      <w:r>
        <w:rPr>
          <w:rFonts w:hAnsi="宋体" w:hint="eastAsia"/>
          <w:kern w:val="0"/>
          <w:sz w:val="24"/>
        </w:rPr>
        <w:t>×</w:t>
      </w:r>
      <w:r>
        <w:rPr>
          <w:rFonts w:hAnsi="宋体" w:hint="eastAsia"/>
          <w:kern w:val="0"/>
          <w:sz w:val="24"/>
        </w:rPr>
        <w:t>10</w:t>
      </w:r>
      <w:r>
        <w:rPr>
          <w:rFonts w:hAnsi="宋体" w:hint="eastAsia"/>
          <w:kern w:val="0"/>
          <w:sz w:val="24"/>
          <w:vertAlign w:val="superscript"/>
        </w:rPr>
        <w:t>4</w:t>
      </w:r>
      <w:r>
        <w:rPr>
          <w:rFonts w:hAnsi="宋体" w:hint="eastAsia"/>
          <w:kern w:val="0"/>
          <w:sz w:val="24"/>
        </w:rPr>
        <w:t>m</w:t>
      </w:r>
      <w:r>
        <w:rPr>
          <w:rFonts w:hAnsi="宋体" w:hint="eastAsia"/>
          <w:kern w:val="0"/>
          <w:sz w:val="24"/>
          <w:vertAlign w:val="superscript"/>
        </w:rPr>
        <w:t>3</w:t>
      </w:r>
      <w:r>
        <w:rPr>
          <w:rFonts w:hAnsi="宋体" w:hint="eastAsia"/>
          <w:kern w:val="0"/>
          <w:sz w:val="24"/>
        </w:rPr>
        <w:t>。</w:t>
      </w:r>
    </w:p>
    <w:p w:rsidR="009C5C1F" w:rsidRDefault="004D2E0D">
      <w:pPr>
        <w:spacing w:line="500" w:lineRule="exact"/>
        <w:ind w:firstLineChars="200" w:firstLine="472"/>
        <w:rPr>
          <w:rFonts w:ascii="宋体" w:hAnsi="宋体" w:cs="宋体"/>
          <w:spacing w:val="-2"/>
          <w:sz w:val="24"/>
        </w:rPr>
      </w:pPr>
      <w:r>
        <w:rPr>
          <w:rFonts w:ascii="宋体" w:hAnsi="宋体" w:cs="宋体" w:hint="eastAsia"/>
          <w:spacing w:val="-2"/>
          <w:sz w:val="24"/>
        </w:rPr>
        <w:t>根据实地考察以及普查报告，矿区西北</w:t>
      </w:r>
      <w:proofErr w:type="gramStart"/>
      <w:r>
        <w:rPr>
          <w:rFonts w:ascii="宋体" w:hAnsi="宋体" w:cs="宋体" w:hint="eastAsia"/>
          <w:spacing w:val="-2"/>
          <w:sz w:val="24"/>
        </w:rPr>
        <w:t>角存在</w:t>
      </w:r>
      <w:proofErr w:type="gramEnd"/>
      <w:r>
        <w:rPr>
          <w:rFonts w:ascii="宋体" w:hAnsi="宋体" w:cs="宋体" w:hint="eastAsia"/>
          <w:spacing w:val="-2"/>
          <w:sz w:val="24"/>
        </w:rPr>
        <w:t>两条交叉的1</w:t>
      </w:r>
      <w:r>
        <w:rPr>
          <w:rFonts w:ascii="宋体" w:hAnsi="宋体" w:cs="宋体"/>
          <w:spacing w:val="-2"/>
          <w:sz w:val="24"/>
        </w:rPr>
        <w:t>0KV</w:t>
      </w:r>
      <w:r>
        <w:rPr>
          <w:rFonts w:ascii="宋体" w:hAnsi="宋体" w:cs="宋体" w:hint="eastAsia"/>
          <w:spacing w:val="-2"/>
          <w:sz w:val="24"/>
        </w:rPr>
        <w:t>电线，为保证安全等因素，将扣除高压线及高压线外扩2</w:t>
      </w:r>
      <w:r>
        <w:rPr>
          <w:rFonts w:ascii="宋体" w:hAnsi="宋体" w:cs="宋体"/>
          <w:spacing w:val="-2"/>
          <w:sz w:val="24"/>
        </w:rPr>
        <w:t>0m</w:t>
      </w:r>
      <w:r>
        <w:rPr>
          <w:rFonts w:ascii="宋体" w:hAnsi="宋体" w:cs="宋体" w:hint="eastAsia"/>
          <w:spacing w:val="-2"/>
          <w:sz w:val="24"/>
        </w:rPr>
        <w:t>范围内的资源量，资源量按平均厚度</w:t>
      </w:r>
      <w:r>
        <w:rPr>
          <w:rFonts w:ascii="宋体" w:hAnsi="宋体" w:cs="宋体"/>
          <w:spacing w:val="-2"/>
          <w:sz w:val="24"/>
        </w:rPr>
        <w:t>4m</w:t>
      </w:r>
      <w:r>
        <w:rPr>
          <w:rFonts w:ascii="宋体" w:hAnsi="宋体" w:cs="宋体" w:hint="eastAsia"/>
          <w:spacing w:val="-2"/>
          <w:sz w:val="24"/>
        </w:rPr>
        <w:t>估算，经估算，两条高压线附近资源量约为</w:t>
      </w:r>
      <w:r>
        <w:rPr>
          <w:rFonts w:ascii="宋体" w:hAnsi="宋体" w:cs="宋体"/>
          <w:spacing w:val="-2"/>
          <w:sz w:val="24"/>
        </w:rPr>
        <w:t>6.4</w:t>
      </w:r>
      <w:r>
        <w:rPr>
          <w:rFonts w:ascii="宋体" w:hAnsi="宋体" w:cs="宋体" w:hint="eastAsia"/>
          <w:spacing w:val="-2"/>
          <w:sz w:val="24"/>
        </w:rPr>
        <w:t>×10</w:t>
      </w:r>
      <w:r>
        <w:rPr>
          <w:rFonts w:ascii="宋体" w:hAnsi="宋体" w:cs="宋体" w:hint="eastAsia"/>
          <w:spacing w:val="-2"/>
          <w:sz w:val="24"/>
          <w:vertAlign w:val="superscript"/>
        </w:rPr>
        <w:t>4</w:t>
      </w:r>
      <w:r>
        <w:rPr>
          <w:rFonts w:ascii="宋体" w:hAnsi="宋体" w:cs="宋体" w:hint="eastAsia"/>
          <w:spacing w:val="-2"/>
          <w:sz w:val="24"/>
        </w:rPr>
        <w:t>m</w:t>
      </w:r>
      <w:r>
        <w:rPr>
          <w:rFonts w:ascii="宋体" w:hAnsi="宋体" w:cs="宋体" w:hint="eastAsia"/>
          <w:spacing w:val="-2"/>
          <w:sz w:val="24"/>
          <w:vertAlign w:val="superscript"/>
        </w:rPr>
        <w:t>3</w:t>
      </w:r>
      <w:r>
        <w:rPr>
          <w:rFonts w:ascii="宋体" w:hAnsi="宋体" w:cs="宋体"/>
          <w:spacing w:val="-2"/>
          <w:sz w:val="24"/>
          <w:vertAlign w:val="superscript"/>
        </w:rPr>
        <w:t>,</w:t>
      </w:r>
      <w:r>
        <w:rPr>
          <w:rFonts w:ascii="宋体" w:hAnsi="宋体" w:cs="宋体" w:hint="eastAsia"/>
          <w:spacing w:val="-2"/>
          <w:sz w:val="24"/>
        </w:rPr>
        <w:t>，故该粘土</w:t>
      </w:r>
      <w:proofErr w:type="gramStart"/>
      <w:r>
        <w:rPr>
          <w:rFonts w:ascii="宋体" w:hAnsi="宋体" w:cs="宋体" w:hint="eastAsia"/>
          <w:spacing w:val="-2"/>
          <w:sz w:val="24"/>
        </w:rPr>
        <w:t>矿设计</w:t>
      </w:r>
      <w:proofErr w:type="gramEnd"/>
      <w:r>
        <w:rPr>
          <w:rFonts w:ascii="宋体" w:hAnsi="宋体" w:cs="宋体" w:hint="eastAsia"/>
          <w:spacing w:val="-2"/>
          <w:sz w:val="24"/>
        </w:rPr>
        <w:t>可利用资源量为1</w:t>
      </w:r>
      <w:r>
        <w:rPr>
          <w:rFonts w:ascii="宋体" w:hAnsi="宋体" w:cs="宋体"/>
          <w:spacing w:val="-2"/>
          <w:sz w:val="24"/>
        </w:rPr>
        <w:t>17.7</w:t>
      </w:r>
      <w:r>
        <w:rPr>
          <w:rFonts w:ascii="宋体" w:hAnsi="宋体" w:cs="宋体" w:hint="eastAsia"/>
          <w:spacing w:val="-2"/>
          <w:sz w:val="24"/>
        </w:rPr>
        <w:t>×</w:t>
      </w:r>
      <w:r>
        <w:rPr>
          <w:rFonts w:ascii="宋体" w:hAnsi="宋体" w:cs="宋体"/>
          <w:spacing w:val="-2"/>
          <w:sz w:val="24"/>
        </w:rPr>
        <w:t>10</w:t>
      </w:r>
      <w:r>
        <w:rPr>
          <w:rFonts w:ascii="宋体" w:hAnsi="宋体" w:cs="宋体"/>
          <w:spacing w:val="-2"/>
          <w:sz w:val="24"/>
          <w:vertAlign w:val="superscript"/>
        </w:rPr>
        <w:t>4</w:t>
      </w:r>
      <w:r>
        <w:rPr>
          <w:rFonts w:ascii="宋体" w:hAnsi="宋体" w:cs="宋体"/>
          <w:spacing w:val="-2"/>
          <w:sz w:val="24"/>
        </w:rPr>
        <w:t>m</w:t>
      </w:r>
      <w:r>
        <w:rPr>
          <w:rFonts w:ascii="宋体" w:hAnsi="宋体" w:cs="宋体"/>
          <w:spacing w:val="-2"/>
          <w:sz w:val="24"/>
          <w:vertAlign w:val="superscript"/>
        </w:rPr>
        <w:t>3</w:t>
      </w:r>
      <w:r>
        <w:rPr>
          <w:rFonts w:ascii="宋体" w:hAnsi="宋体" w:cs="宋体"/>
          <w:spacing w:val="-2"/>
          <w:sz w:val="24"/>
        </w:rPr>
        <w:t>.</w:t>
      </w:r>
    </w:p>
    <w:p w:rsidR="009C5C1F" w:rsidRDefault="004D2E0D">
      <w:pPr>
        <w:suppressAutoHyphens/>
        <w:wordWrap w:val="0"/>
        <w:topLinePunct/>
        <w:spacing w:line="480" w:lineRule="exact"/>
        <w:ind w:firstLineChars="200" w:firstLine="480"/>
        <w:rPr>
          <w:rFonts w:hAnsi="宋体"/>
          <w:kern w:val="0"/>
          <w:sz w:val="24"/>
        </w:rPr>
      </w:pPr>
      <w:r>
        <w:rPr>
          <w:rFonts w:hAnsi="宋体" w:hint="eastAsia"/>
          <w:kern w:val="0"/>
          <w:sz w:val="24"/>
        </w:rPr>
        <w:t>根据张掖市内其他同类矿山相对比及矿山实际情况，本次开发利用方案矿山开采损失主要为矿体最终边坡及开采过程中石料的抛散而造成的损失，该部分矿石损失量约占设计利用的</w:t>
      </w:r>
      <w:r>
        <w:rPr>
          <w:rFonts w:hAnsi="宋体" w:hint="eastAsia"/>
          <w:kern w:val="0"/>
          <w:sz w:val="24"/>
        </w:rPr>
        <w:t>5%</w:t>
      </w:r>
      <w:r>
        <w:rPr>
          <w:rFonts w:hAnsi="宋体" w:hint="eastAsia"/>
          <w:kern w:val="0"/>
          <w:sz w:val="24"/>
        </w:rPr>
        <w:t>，则：</w:t>
      </w:r>
    </w:p>
    <w:p w:rsidR="009C5C1F" w:rsidRDefault="004D2E0D">
      <w:pPr>
        <w:suppressAutoHyphens/>
        <w:wordWrap w:val="0"/>
        <w:topLinePunct/>
        <w:spacing w:line="480" w:lineRule="exact"/>
        <w:ind w:firstLineChars="200" w:firstLine="480"/>
        <w:rPr>
          <w:rFonts w:hAnsi="宋体"/>
          <w:kern w:val="0"/>
          <w:sz w:val="24"/>
        </w:rPr>
      </w:pPr>
      <w:r>
        <w:rPr>
          <w:rFonts w:hAnsi="宋体" w:hint="eastAsia"/>
          <w:kern w:val="0"/>
          <w:sz w:val="24"/>
        </w:rPr>
        <w:t>设计可采资源量</w:t>
      </w:r>
      <w:r>
        <w:rPr>
          <w:rFonts w:hAnsi="宋体" w:hint="eastAsia"/>
          <w:kern w:val="0"/>
          <w:sz w:val="24"/>
        </w:rPr>
        <w:t>=</w:t>
      </w:r>
      <w:r>
        <w:rPr>
          <w:rFonts w:hAnsi="宋体" w:hint="eastAsia"/>
          <w:kern w:val="0"/>
          <w:sz w:val="24"/>
        </w:rPr>
        <w:t>设计可利用资源量</w:t>
      </w:r>
      <w:r>
        <w:rPr>
          <w:rFonts w:hAnsi="宋体" w:hint="eastAsia"/>
          <w:kern w:val="0"/>
          <w:sz w:val="24"/>
        </w:rPr>
        <w:t>-</w:t>
      </w:r>
      <w:r>
        <w:rPr>
          <w:rFonts w:hAnsi="宋体" w:hint="eastAsia"/>
          <w:kern w:val="0"/>
          <w:sz w:val="24"/>
        </w:rPr>
        <w:t>损失量</w:t>
      </w:r>
    </w:p>
    <w:p w:rsidR="009C5C1F" w:rsidRDefault="004D2E0D">
      <w:pPr>
        <w:suppressAutoHyphens/>
        <w:wordWrap w:val="0"/>
        <w:topLinePunct/>
        <w:spacing w:line="480" w:lineRule="exact"/>
        <w:ind w:firstLineChars="900" w:firstLine="2160"/>
        <w:rPr>
          <w:rFonts w:hAnsi="宋体"/>
          <w:kern w:val="0"/>
          <w:sz w:val="24"/>
        </w:rPr>
      </w:pPr>
      <w:r>
        <w:rPr>
          <w:rFonts w:hAnsi="宋体" w:hint="eastAsia"/>
          <w:kern w:val="0"/>
          <w:sz w:val="24"/>
        </w:rPr>
        <w:t>=</w:t>
      </w:r>
      <w:r>
        <w:rPr>
          <w:rFonts w:hAnsi="宋体"/>
          <w:kern w:val="0"/>
          <w:sz w:val="24"/>
        </w:rPr>
        <w:t>117.7</w:t>
      </w:r>
      <w:r>
        <w:rPr>
          <w:rFonts w:hAnsi="宋体"/>
          <w:kern w:val="0"/>
          <w:sz w:val="24"/>
        </w:rPr>
        <w:t>×</w:t>
      </w:r>
      <w:r>
        <w:rPr>
          <w:rFonts w:hAnsi="宋体" w:hint="eastAsia"/>
          <w:kern w:val="0"/>
          <w:sz w:val="24"/>
        </w:rPr>
        <w:t>10</w:t>
      </w:r>
      <w:r>
        <w:rPr>
          <w:rFonts w:hAnsi="宋体" w:hint="eastAsia"/>
          <w:kern w:val="0"/>
          <w:sz w:val="24"/>
          <w:vertAlign w:val="superscript"/>
        </w:rPr>
        <w:t>4</w:t>
      </w:r>
      <w:r>
        <w:rPr>
          <w:rFonts w:hAnsi="宋体" w:hint="eastAsia"/>
          <w:kern w:val="0"/>
          <w:sz w:val="24"/>
        </w:rPr>
        <w:t>m</w:t>
      </w:r>
      <w:r>
        <w:rPr>
          <w:rFonts w:hAnsi="宋体" w:hint="eastAsia"/>
          <w:kern w:val="0"/>
          <w:sz w:val="24"/>
          <w:vertAlign w:val="superscript"/>
        </w:rPr>
        <w:t>3</w:t>
      </w:r>
      <w:r>
        <w:rPr>
          <w:rFonts w:hAnsi="宋体" w:hint="eastAsia"/>
          <w:kern w:val="0"/>
          <w:sz w:val="24"/>
        </w:rPr>
        <w:t>×（</w:t>
      </w:r>
      <w:r>
        <w:rPr>
          <w:rFonts w:hAnsi="宋体" w:hint="eastAsia"/>
          <w:kern w:val="0"/>
          <w:sz w:val="24"/>
        </w:rPr>
        <w:t>1-5%</w:t>
      </w:r>
      <w:r>
        <w:rPr>
          <w:rFonts w:hAnsi="宋体" w:hint="eastAsia"/>
          <w:kern w:val="0"/>
          <w:sz w:val="24"/>
        </w:rPr>
        <w:t>）</w:t>
      </w:r>
      <w:r>
        <w:rPr>
          <w:rFonts w:hAnsi="宋体" w:hint="eastAsia"/>
          <w:kern w:val="0"/>
          <w:sz w:val="24"/>
        </w:rPr>
        <w:t>=</w:t>
      </w:r>
      <w:r>
        <w:rPr>
          <w:rFonts w:hAnsi="宋体"/>
          <w:kern w:val="0"/>
          <w:sz w:val="24"/>
        </w:rPr>
        <w:t>111.815</w:t>
      </w:r>
      <w:r>
        <w:rPr>
          <w:rFonts w:hAnsi="宋体" w:hint="eastAsia"/>
          <w:kern w:val="0"/>
          <w:sz w:val="24"/>
        </w:rPr>
        <w:t>×</w:t>
      </w:r>
      <w:r>
        <w:rPr>
          <w:rFonts w:hAnsi="宋体"/>
          <w:kern w:val="0"/>
          <w:sz w:val="24"/>
        </w:rPr>
        <w:t>10</w:t>
      </w:r>
      <w:r>
        <w:rPr>
          <w:rFonts w:hAnsi="宋体" w:hint="eastAsia"/>
          <w:kern w:val="0"/>
          <w:sz w:val="24"/>
          <w:vertAlign w:val="superscript"/>
        </w:rPr>
        <w:t>4</w:t>
      </w:r>
      <w:r>
        <w:rPr>
          <w:rFonts w:hAnsi="宋体" w:hint="eastAsia"/>
          <w:kern w:val="0"/>
          <w:sz w:val="24"/>
        </w:rPr>
        <w:t>m</w:t>
      </w:r>
      <w:r>
        <w:rPr>
          <w:rFonts w:hAnsi="宋体" w:hint="eastAsia"/>
          <w:kern w:val="0"/>
          <w:sz w:val="24"/>
          <w:vertAlign w:val="superscript"/>
        </w:rPr>
        <w:t>3</w:t>
      </w:r>
      <w:r>
        <w:rPr>
          <w:rFonts w:hAnsi="宋体" w:hint="eastAsia"/>
          <w:kern w:val="0"/>
          <w:sz w:val="24"/>
        </w:rPr>
        <w:t>。</w:t>
      </w:r>
    </w:p>
    <w:p w:rsidR="009C5C1F" w:rsidRDefault="004D2E0D">
      <w:pPr>
        <w:suppressAutoHyphens/>
        <w:wordWrap w:val="0"/>
        <w:topLinePunct/>
        <w:spacing w:line="480" w:lineRule="exact"/>
        <w:ind w:firstLineChars="200" w:firstLine="480"/>
        <w:rPr>
          <w:rFonts w:hAnsi="宋体"/>
          <w:kern w:val="0"/>
          <w:sz w:val="24"/>
        </w:rPr>
      </w:pPr>
      <w:r>
        <w:rPr>
          <w:rFonts w:hAnsi="宋体" w:hint="eastAsia"/>
          <w:kern w:val="0"/>
          <w:sz w:val="24"/>
        </w:rPr>
        <w:t>因此，设计可采资源量为</w:t>
      </w:r>
      <w:r>
        <w:rPr>
          <w:rFonts w:hAnsi="宋体" w:hint="eastAsia"/>
          <w:kern w:val="0"/>
          <w:sz w:val="24"/>
        </w:rPr>
        <w:t xml:space="preserve"> </w:t>
      </w:r>
      <w:r>
        <w:rPr>
          <w:rFonts w:hAnsi="宋体"/>
          <w:kern w:val="0"/>
          <w:sz w:val="24"/>
        </w:rPr>
        <w:t>111.815</w:t>
      </w:r>
      <w:r>
        <w:rPr>
          <w:rFonts w:hAnsi="宋体" w:hint="eastAsia"/>
          <w:kern w:val="0"/>
          <w:sz w:val="24"/>
        </w:rPr>
        <w:t>×</w:t>
      </w:r>
      <w:r>
        <w:rPr>
          <w:rFonts w:hAnsi="宋体" w:hint="eastAsia"/>
          <w:kern w:val="0"/>
          <w:sz w:val="24"/>
        </w:rPr>
        <w:t>10</w:t>
      </w:r>
      <w:r>
        <w:rPr>
          <w:rFonts w:hAnsi="宋体" w:hint="eastAsia"/>
          <w:kern w:val="0"/>
          <w:sz w:val="24"/>
          <w:vertAlign w:val="superscript"/>
        </w:rPr>
        <w:t>4</w:t>
      </w:r>
      <w:r>
        <w:rPr>
          <w:rFonts w:hAnsi="宋体" w:hint="eastAsia"/>
          <w:kern w:val="0"/>
          <w:sz w:val="24"/>
        </w:rPr>
        <w:t>m</w:t>
      </w:r>
      <w:r>
        <w:rPr>
          <w:rFonts w:hAnsi="宋体" w:hint="eastAsia"/>
          <w:kern w:val="0"/>
          <w:sz w:val="24"/>
          <w:vertAlign w:val="superscript"/>
        </w:rPr>
        <w:t>3</w:t>
      </w:r>
      <w:r>
        <w:rPr>
          <w:rFonts w:hAnsi="宋体" w:hint="eastAsia"/>
          <w:kern w:val="0"/>
          <w:sz w:val="24"/>
        </w:rPr>
        <w:t xml:space="preserve"> </w:t>
      </w:r>
      <w:r>
        <w:rPr>
          <w:rFonts w:hAnsi="宋体" w:hint="eastAsia"/>
          <w:kern w:val="0"/>
          <w:sz w:val="24"/>
        </w:rPr>
        <w:t>。</w:t>
      </w:r>
    </w:p>
    <w:bookmarkEnd w:id="876"/>
    <w:p w:rsidR="009C5C1F" w:rsidRDefault="004D2E0D">
      <w:pPr>
        <w:suppressAutoHyphens/>
        <w:wordWrap w:val="0"/>
        <w:topLinePunct/>
        <w:spacing w:line="480" w:lineRule="exact"/>
        <w:ind w:firstLineChars="200" w:firstLine="482"/>
        <w:rPr>
          <w:b/>
          <w:sz w:val="24"/>
          <w:szCs w:val="28"/>
        </w:rPr>
      </w:pPr>
      <w:r>
        <w:rPr>
          <w:b/>
          <w:sz w:val="24"/>
          <w:szCs w:val="28"/>
        </w:rPr>
        <w:t>（</w:t>
      </w:r>
      <w:r>
        <w:rPr>
          <w:rFonts w:hint="eastAsia"/>
          <w:b/>
          <w:sz w:val="24"/>
          <w:szCs w:val="28"/>
        </w:rPr>
        <w:t>三</w:t>
      </w:r>
      <w:r>
        <w:rPr>
          <w:b/>
          <w:sz w:val="24"/>
          <w:szCs w:val="28"/>
        </w:rPr>
        <w:t>）工程规模及主要技术特征</w:t>
      </w:r>
    </w:p>
    <w:p w:rsidR="009C5C1F" w:rsidRDefault="004D2E0D">
      <w:pPr>
        <w:suppressAutoHyphens/>
        <w:wordWrap w:val="0"/>
        <w:topLinePunct/>
        <w:spacing w:line="480" w:lineRule="exact"/>
        <w:ind w:firstLineChars="200" w:firstLine="480"/>
        <w:rPr>
          <w:kern w:val="0"/>
          <w:sz w:val="24"/>
        </w:rPr>
      </w:pPr>
      <w:r>
        <w:rPr>
          <w:rFonts w:hint="eastAsia"/>
          <w:kern w:val="0"/>
          <w:sz w:val="24"/>
        </w:rPr>
        <w:t>甘肃省临泽县板桥</w:t>
      </w:r>
      <w:proofErr w:type="gramStart"/>
      <w:r>
        <w:rPr>
          <w:rFonts w:hint="eastAsia"/>
          <w:kern w:val="0"/>
          <w:sz w:val="24"/>
        </w:rPr>
        <w:t>镇壕洼村</w:t>
      </w:r>
      <w:proofErr w:type="gramEnd"/>
      <w:r>
        <w:rPr>
          <w:rFonts w:hint="eastAsia"/>
          <w:sz w:val="24"/>
        </w:rPr>
        <w:t>正北山西侧砖瓦用粘土矿</w:t>
      </w:r>
      <w:r>
        <w:rPr>
          <w:kern w:val="0"/>
          <w:sz w:val="24"/>
        </w:rPr>
        <w:t>矿山建设项目设计规模年采矿石</w:t>
      </w:r>
      <w:r>
        <w:rPr>
          <w:kern w:val="0"/>
          <w:sz w:val="24"/>
        </w:rPr>
        <w:t>1</w:t>
      </w:r>
      <w:r>
        <w:rPr>
          <w:rFonts w:hint="eastAsia"/>
          <w:kern w:val="0"/>
          <w:sz w:val="24"/>
        </w:rPr>
        <w:t>0</w:t>
      </w:r>
      <w:r>
        <w:rPr>
          <w:rFonts w:hint="eastAsia"/>
          <w:kern w:val="0"/>
          <w:sz w:val="24"/>
        </w:rPr>
        <w:t>万立方米</w:t>
      </w:r>
      <w:r>
        <w:rPr>
          <w:kern w:val="0"/>
          <w:sz w:val="24"/>
        </w:rPr>
        <w:t>，属小型矿山。矿山设计服务年限为</w:t>
      </w:r>
      <w:r>
        <w:rPr>
          <w:kern w:val="0"/>
          <w:sz w:val="24"/>
        </w:rPr>
        <w:t>11</w:t>
      </w:r>
      <w:r>
        <w:rPr>
          <w:kern w:val="0"/>
          <w:sz w:val="24"/>
        </w:rPr>
        <w:t>年</w:t>
      </w:r>
      <w:r>
        <w:rPr>
          <w:rFonts w:ascii="宋体" w:hAnsi="宋体" w:cs="宋体" w:hint="eastAsia"/>
          <w:kern w:val="0"/>
          <w:sz w:val="24"/>
        </w:rPr>
        <w:t>（不包含基建期）</w:t>
      </w:r>
      <w:r>
        <w:rPr>
          <w:kern w:val="0"/>
          <w:sz w:val="24"/>
        </w:rPr>
        <w:t>。</w:t>
      </w:r>
    </w:p>
    <w:p w:rsidR="009C5C1F" w:rsidRDefault="004D2E0D">
      <w:pPr>
        <w:suppressAutoHyphens/>
        <w:wordWrap w:val="0"/>
        <w:topLinePunct/>
        <w:spacing w:line="480" w:lineRule="exact"/>
        <w:ind w:firstLineChars="200" w:firstLine="480"/>
        <w:rPr>
          <w:kern w:val="0"/>
          <w:sz w:val="24"/>
        </w:rPr>
      </w:pPr>
      <w:r>
        <w:rPr>
          <w:kern w:val="0"/>
          <w:sz w:val="24"/>
        </w:rPr>
        <w:t>其它技术指标如下：</w:t>
      </w:r>
    </w:p>
    <w:p w:rsidR="009C5C1F" w:rsidRDefault="004D2E0D">
      <w:pPr>
        <w:suppressAutoHyphens/>
        <w:wordWrap w:val="0"/>
        <w:topLinePunct/>
        <w:spacing w:line="480" w:lineRule="exact"/>
        <w:ind w:firstLineChars="200" w:firstLine="480"/>
        <w:rPr>
          <w:kern w:val="0"/>
          <w:sz w:val="24"/>
        </w:rPr>
      </w:pPr>
      <w:r>
        <w:rPr>
          <w:kern w:val="0"/>
          <w:sz w:val="24"/>
        </w:rPr>
        <w:t>1</w:t>
      </w:r>
      <w:r>
        <w:rPr>
          <w:kern w:val="0"/>
          <w:sz w:val="24"/>
        </w:rPr>
        <w:t>、矿山开采方式：露天开采。</w:t>
      </w:r>
    </w:p>
    <w:p w:rsidR="009C5C1F" w:rsidRDefault="004D2E0D">
      <w:pPr>
        <w:suppressAutoHyphens/>
        <w:wordWrap w:val="0"/>
        <w:topLinePunct/>
        <w:spacing w:line="480" w:lineRule="exact"/>
        <w:ind w:firstLineChars="200" w:firstLine="480"/>
        <w:rPr>
          <w:kern w:val="0"/>
          <w:sz w:val="24"/>
        </w:rPr>
      </w:pPr>
      <w:r>
        <w:rPr>
          <w:kern w:val="0"/>
          <w:sz w:val="24"/>
        </w:rPr>
        <w:t>2</w:t>
      </w:r>
      <w:r>
        <w:rPr>
          <w:kern w:val="0"/>
          <w:sz w:val="24"/>
        </w:rPr>
        <w:t>、矿山开拓方式：</w:t>
      </w:r>
      <w:r>
        <w:rPr>
          <w:rFonts w:hint="eastAsia"/>
          <w:kern w:val="0"/>
          <w:sz w:val="24"/>
        </w:rPr>
        <w:t>汽车运输开拓</w:t>
      </w:r>
      <w:r>
        <w:rPr>
          <w:kern w:val="0"/>
          <w:sz w:val="24"/>
        </w:rPr>
        <w:t>。</w:t>
      </w:r>
    </w:p>
    <w:p w:rsidR="009C5C1F" w:rsidRDefault="004D2E0D">
      <w:pPr>
        <w:suppressAutoHyphens/>
        <w:wordWrap w:val="0"/>
        <w:topLinePunct/>
        <w:spacing w:line="480" w:lineRule="exact"/>
        <w:ind w:firstLineChars="200" w:firstLine="480"/>
        <w:rPr>
          <w:kern w:val="0"/>
          <w:sz w:val="24"/>
        </w:rPr>
      </w:pPr>
      <w:r>
        <w:rPr>
          <w:kern w:val="0"/>
          <w:sz w:val="24"/>
        </w:rPr>
        <w:t>3</w:t>
      </w:r>
      <w:r>
        <w:rPr>
          <w:kern w:val="0"/>
          <w:sz w:val="24"/>
        </w:rPr>
        <w:t>、项目投资情况：总投资为</w:t>
      </w:r>
      <w:r>
        <w:rPr>
          <w:rFonts w:ascii="宋体" w:hAnsi="宋体" w:cs="宋体"/>
          <w:kern w:val="0"/>
          <w:sz w:val="24"/>
        </w:rPr>
        <w:t>175</w:t>
      </w:r>
      <w:r>
        <w:rPr>
          <w:kern w:val="0"/>
          <w:sz w:val="24"/>
        </w:rPr>
        <w:t>万元。</w:t>
      </w:r>
    </w:p>
    <w:p w:rsidR="009C5C1F" w:rsidRDefault="004D2E0D">
      <w:pPr>
        <w:suppressAutoHyphens/>
        <w:wordWrap w:val="0"/>
        <w:topLinePunct/>
        <w:spacing w:line="480" w:lineRule="exact"/>
        <w:ind w:firstLineChars="200" w:firstLine="480"/>
        <w:rPr>
          <w:kern w:val="0"/>
          <w:sz w:val="24"/>
        </w:rPr>
      </w:pPr>
      <w:r>
        <w:rPr>
          <w:kern w:val="0"/>
          <w:sz w:val="24"/>
        </w:rPr>
        <w:t>4</w:t>
      </w:r>
      <w:r>
        <w:rPr>
          <w:kern w:val="0"/>
          <w:sz w:val="24"/>
        </w:rPr>
        <w:t>、项目效益情况：</w:t>
      </w:r>
      <w:r>
        <w:rPr>
          <w:rFonts w:hint="eastAsia"/>
          <w:kern w:val="0"/>
          <w:sz w:val="24"/>
        </w:rPr>
        <w:t>经济效益较好，年税后利润</w:t>
      </w:r>
      <w:r>
        <w:rPr>
          <w:kern w:val="0"/>
          <w:sz w:val="24"/>
        </w:rPr>
        <w:t>109.5</w:t>
      </w:r>
      <w:r>
        <w:rPr>
          <w:rFonts w:hint="eastAsia"/>
          <w:kern w:val="0"/>
          <w:sz w:val="24"/>
        </w:rPr>
        <w:t>万元。</w:t>
      </w:r>
    </w:p>
    <w:p w:rsidR="009C5C1F" w:rsidRDefault="004D2E0D">
      <w:pPr>
        <w:suppressAutoHyphens/>
        <w:wordWrap w:val="0"/>
        <w:topLinePunct/>
        <w:spacing w:beforeLines="100" w:before="240" w:afterLines="50" w:after="120"/>
        <w:jc w:val="center"/>
        <w:rPr>
          <w:rFonts w:hAnsi="宋体"/>
          <w:b/>
          <w:bCs/>
          <w:sz w:val="24"/>
        </w:rPr>
      </w:pPr>
      <w:r>
        <w:rPr>
          <w:rFonts w:hAnsi="宋体"/>
          <w:b/>
          <w:bCs/>
          <w:sz w:val="24"/>
        </w:rPr>
        <w:t>表</w:t>
      </w:r>
      <w:r>
        <w:rPr>
          <w:rFonts w:hAnsi="宋体"/>
          <w:b/>
          <w:bCs/>
          <w:sz w:val="24"/>
        </w:rPr>
        <w:t xml:space="preserve">1-2          </w:t>
      </w:r>
      <w:r>
        <w:rPr>
          <w:rFonts w:hAnsi="宋体"/>
          <w:b/>
          <w:bCs/>
          <w:sz w:val="24"/>
        </w:rPr>
        <w:t>综合技术经济指标表</w:t>
      </w:r>
      <w:r>
        <w:rPr>
          <w:rFonts w:hAnsi="宋体"/>
          <w:b/>
          <w:bCs/>
          <w:sz w:val="24"/>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11"/>
        <w:gridCol w:w="2582"/>
        <w:gridCol w:w="1653"/>
        <w:gridCol w:w="1664"/>
        <w:gridCol w:w="1766"/>
      </w:tblGrid>
      <w:tr w:rsidR="009C5C1F">
        <w:trPr>
          <w:trHeight w:hRule="exact" w:val="411"/>
          <w:tblHeader/>
          <w:jc w:val="center"/>
        </w:trPr>
        <w:tc>
          <w:tcPr>
            <w:tcW w:w="1111" w:type="dxa"/>
            <w:vAlign w:val="center"/>
          </w:tcPr>
          <w:p w:rsidR="009C5C1F" w:rsidRDefault="004D2E0D">
            <w:pPr>
              <w:suppressAutoHyphens/>
              <w:wordWrap w:val="0"/>
              <w:topLinePunct/>
              <w:spacing w:line="360" w:lineRule="auto"/>
              <w:ind w:firstLineChars="200" w:firstLine="420"/>
              <w:rPr>
                <w:kern w:val="0"/>
                <w:szCs w:val="21"/>
              </w:rPr>
            </w:pPr>
            <w:r>
              <w:rPr>
                <w:rFonts w:hAnsi="宋体"/>
                <w:kern w:val="0"/>
                <w:szCs w:val="21"/>
              </w:rPr>
              <w:t>序</w:t>
            </w:r>
            <w:r>
              <w:rPr>
                <w:kern w:val="0"/>
                <w:szCs w:val="21"/>
              </w:rPr>
              <w:t xml:space="preserve">  </w:t>
            </w:r>
            <w:r>
              <w:rPr>
                <w:rFonts w:hAnsi="宋体"/>
                <w:kern w:val="0"/>
                <w:szCs w:val="21"/>
              </w:rPr>
              <w:t>号</w:t>
            </w:r>
          </w:p>
        </w:tc>
        <w:tc>
          <w:tcPr>
            <w:tcW w:w="2582" w:type="dxa"/>
            <w:vAlign w:val="center"/>
          </w:tcPr>
          <w:p w:rsidR="009C5C1F" w:rsidRDefault="004D2E0D">
            <w:pPr>
              <w:suppressAutoHyphens/>
              <w:wordWrap w:val="0"/>
              <w:topLinePunct/>
              <w:spacing w:line="360" w:lineRule="auto"/>
              <w:ind w:firstLineChars="200" w:firstLine="420"/>
              <w:rPr>
                <w:kern w:val="0"/>
                <w:szCs w:val="21"/>
              </w:rPr>
            </w:pPr>
            <w:r>
              <w:rPr>
                <w:rFonts w:hAnsi="宋体"/>
                <w:kern w:val="0"/>
                <w:szCs w:val="21"/>
              </w:rPr>
              <w:t>指标名称</w:t>
            </w:r>
          </w:p>
        </w:tc>
        <w:tc>
          <w:tcPr>
            <w:tcW w:w="1653" w:type="dxa"/>
            <w:vAlign w:val="center"/>
          </w:tcPr>
          <w:p w:rsidR="009C5C1F" w:rsidRDefault="004D2E0D">
            <w:pPr>
              <w:suppressAutoHyphens/>
              <w:wordWrap w:val="0"/>
              <w:topLinePunct/>
              <w:spacing w:line="360" w:lineRule="auto"/>
              <w:ind w:firstLineChars="200" w:firstLine="420"/>
              <w:rPr>
                <w:kern w:val="0"/>
                <w:szCs w:val="21"/>
              </w:rPr>
            </w:pPr>
            <w:r>
              <w:rPr>
                <w:rFonts w:hAnsi="宋体"/>
                <w:kern w:val="0"/>
                <w:szCs w:val="21"/>
              </w:rPr>
              <w:t>单位</w:t>
            </w:r>
          </w:p>
        </w:tc>
        <w:tc>
          <w:tcPr>
            <w:tcW w:w="1664" w:type="dxa"/>
            <w:vAlign w:val="center"/>
          </w:tcPr>
          <w:p w:rsidR="009C5C1F" w:rsidRDefault="004D2E0D">
            <w:pPr>
              <w:suppressAutoHyphens/>
              <w:wordWrap w:val="0"/>
              <w:topLinePunct/>
              <w:spacing w:line="360" w:lineRule="auto"/>
              <w:ind w:firstLineChars="200" w:firstLine="420"/>
              <w:rPr>
                <w:kern w:val="0"/>
                <w:szCs w:val="21"/>
              </w:rPr>
            </w:pPr>
            <w:r>
              <w:rPr>
                <w:rFonts w:hAnsi="宋体"/>
                <w:kern w:val="0"/>
                <w:szCs w:val="21"/>
              </w:rPr>
              <w:t>数</w:t>
            </w:r>
            <w:r>
              <w:rPr>
                <w:kern w:val="0"/>
                <w:szCs w:val="21"/>
              </w:rPr>
              <w:t xml:space="preserve">  </w:t>
            </w:r>
            <w:r>
              <w:rPr>
                <w:rFonts w:hAnsi="宋体"/>
                <w:kern w:val="0"/>
                <w:szCs w:val="21"/>
              </w:rPr>
              <w:t>量</w:t>
            </w:r>
          </w:p>
        </w:tc>
        <w:tc>
          <w:tcPr>
            <w:tcW w:w="1766" w:type="dxa"/>
            <w:vAlign w:val="center"/>
          </w:tcPr>
          <w:p w:rsidR="009C5C1F" w:rsidRDefault="004D2E0D">
            <w:pPr>
              <w:suppressAutoHyphens/>
              <w:wordWrap w:val="0"/>
              <w:topLinePunct/>
              <w:spacing w:line="360" w:lineRule="auto"/>
              <w:ind w:firstLineChars="200" w:firstLine="420"/>
              <w:rPr>
                <w:kern w:val="0"/>
                <w:szCs w:val="21"/>
              </w:rPr>
            </w:pPr>
            <w:r>
              <w:rPr>
                <w:rFonts w:hAnsi="宋体"/>
                <w:kern w:val="0"/>
                <w:szCs w:val="21"/>
              </w:rPr>
              <w:t>备注</w:t>
            </w:r>
          </w:p>
        </w:tc>
      </w:tr>
      <w:tr w:rsidR="009C5C1F">
        <w:trPr>
          <w:trHeight w:hRule="exact" w:val="317"/>
          <w:jc w:val="center"/>
        </w:trPr>
        <w:tc>
          <w:tcPr>
            <w:tcW w:w="1111"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lastRenderedPageBreak/>
              <w:t>1</w:t>
            </w:r>
          </w:p>
        </w:tc>
        <w:tc>
          <w:tcPr>
            <w:tcW w:w="2582"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项目总投资</w:t>
            </w:r>
          </w:p>
        </w:tc>
        <w:tc>
          <w:tcPr>
            <w:tcW w:w="1653"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万元</w:t>
            </w:r>
          </w:p>
        </w:tc>
        <w:tc>
          <w:tcPr>
            <w:tcW w:w="1664" w:type="dxa"/>
            <w:vAlign w:val="center"/>
          </w:tcPr>
          <w:p w:rsidR="009C5C1F" w:rsidRDefault="004D2E0D">
            <w:pPr>
              <w:spacing w:line="220" w:lineRule="exact"/>
              <w:jc w:val="center"/>
              <w:rPr>
                <w:rFonts w:ascii="宋体" w:hAnsi="宋体" w:cs="宋体"/>
                <w:szCs w:val="21"/>
                <w:lang w:val="zh-CN"/>
              </w:rPr>
            </w:pPr>
            <w:r>
              <w:rPr>
                <w:rFonts w:ascii="宋体" w:hAnsi="宋体" w:cs="宋体"/>
                <w:szCs w:val="21"/>
              </w:rPr>
              <w:t>175</w:t>
            </w:r>
          </w:p>
        </w:tc>
        <w:tc>
          <w:tcPr>
            <w:tcW w:w="1766" w:type="dxa"/>
            <w:vAlign w:val="center"/>
          </w:tcPr>
          <w:p w:rsidR="009C5C1F" w:rsidRDefault="009C5C1F">
            <w:pPr>
              <w:spacing w:line="220" w:lineRule="exact"/>
              <w:jc w:val="center"/>
              <w:rPr>
                <w:rFonts w:ascii="宋体" w:hAnsi="宋体" w:cs="宋体"/>
                <w:szCs w:val="21"/>
                <w:lang w:val="zh-CN"/>
              </w:rPr>
            </w:pPr>
          </w:p>
        </w:tc>
      </w:tr>
      <w:tr w:rsidR="009C5C1F">
        <w:trPr>
          <w:trHeight w:hRule="exact" w:val="317"/>
          <w:jc w:val="center"/>
        </w:trPr>
        <w:tc>
          <w:tcPr>
            <w:tcW w:w="1111"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2</w:t>
            </w:r>
          </w:p>
        </w:tc>
        <w:tc>
          <w:tcPr>
            <w:tcW w:w="2582"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财务指标</w:t>
            </w:r>
          </w:p>
        </w:tc>
        <w:tc>
          <w:tcPr>
            <w:tcW w:w="1653" w:type="dxa"/>
            <w:vAlign w:val="center"/>
          </w:tcPr>
          <w:p w:rsidR="009C5C1F" w:rsidRDefault="009C5C1F">
            <w:pPr>
              <w:spacing w:line="220" w:lineRule="exact"/>
              <w:jc w:val="center"/>
              <w:rPr>
                <w:rFonts w:ascii="宋体" w:hAnsi="宋体" w:cs="宋体"/>
                <w:szCs w:val="21"/>
                <w:lang w:val="zh-CN"/>
              </w:rPr>
            </w:pPr>
          </w:p>
        </w:tc>
        <w:tc>
          <w:tcPr>
            <w:tcW w:w="1664" w:type="dxa"/>
            <w:vAlign w:val="center"/>
          </w:tcPr>
          <w:p w:rsidR="009C5C1F" w:rsidRDefault="009C5C1F">
            <w:pPr>
              <w:spacing w:line="220" w:lineRule="exact"/>
              <w:jc w:val="center"/>
              <w:rPr>
                <w:rFonts w:ascii="宋体" w:hAnsi="宋体" w:cs="宋体"/>
                <w:szCs w:val="21"/>
                <w:lang w:val="zh-CN"/>
              </w:rPr>
            </w:pPr>
          </w:p>
        </w:tc>
        <w:tc>
          <w:tcPr>
            <w:tcW w:w="1766" w:type="dxa"/>
            <w:vAlign w:val="center"/>
          </w:tcPr>
          <w:p w:rsidR="009C5C1F" w:rsidRDefault="009C5C1F">
            <w:pPr>
              <w:spacing w:line="220" w:lineRule="exact"/>
              <w:jc w:val="center"/>
              <w:rPr>
                <w:rFonts w:ascii="宋体" w:hAnsi="宋体" w:cs="宋体"/>
                <w:szCs w:val="21"/>
                <w:lang w:val="zh-CN"/>
              </w:rPr>
            </w:pPr>
          </w:p>
        </w:tc>
      </w:tr>
      <w:tr w:rsidR="009C5C1F">
        <w:trPr>
          <w:trHeight w:hRule="exact" w:val="317"/>
          <w:jc w:val="center"/>
        </w:trPr>
        <w:tc>
          <w:tcPr>
            <w:tcW w:w="1111"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2.1</w:t>
            </w:r>
          </w:p>
        </w:tc>
        <w:tc>
          <w:tcPr>
            <w:tcW w:w="2582"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产品年销售收入</w:t>
            </w:r>
          </w:p>
        </w:tc>
        <w:tc>
          <w:tcPr>
            <w:tcW w:w="1653"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万元</w:t>
            </w:r>
          </w:p>
        </w:tc>
        <w:tc>
          <w:tcPr>
            <w:tcW w:w="1664" w:type="dxa"/>
            <w:vAlign w:val="center"/>
          </w:tcPr>
          <w:p w:rsidR="009C5C1F" w:rsidRDefault="004D2E0D">
            <w:pPr>
              <w:spacing w:line="220" w:lineRule="exact"/>
              <w:jc w:val="center"/>
              <w:rPr>
                <w:rFonts w:ascii="宋体" w:hAnsi="宋体" w:cs="宋体"/>
                <w:szCs w:val="21"/>
                <w:lang w:val="zh-CN"/>
              </w:rPr>
            </w:pPr>
            <w:r>
              <w:rPr>
                <w:rFonts w:ascii="宋体" w:hAnsi="宋体" w:cs="宋体"/>
                <w:szCs w:val="21"/>
              </w:rPr>
              <w:t>350</w:t>
            </w:r>
          </w:p>
        </w:tc>
        <w:tc>
          <w:tcPr>
            <w:tcW w:w="1766" w:type="dxa"/>
            <w:vAlign w:val="center"/>
          </w:tcPr>
          <w:p w:rsidR="009C5C1F" w:rsidRDefault="009C5C1F">
            <w:pPr>
              <w:spacing w:line="220" w:lineRule="exact"/>
              <w:jc w:val="center"/>
              <w:rPr>
                <w:rFonts w:ascii="宋体" w:hAnsi="宋体" w:cs="宋体"/>
                <w:szCs w:val="21"/>
                <w:lang w:val="zh-CN"/>
              </w:rPr>
            </w:pPr>
          </w:p>
        </w:tc>
      </w:tr>
      <w:tr w:rsidR="009C5C1F">
        <w:trPr>
          <w:trHeight w:hRule="exact" w:val="317"/>
          <w:jc w:val="center"/>
        </w:trPr>
        <w:tc>
          <w:tcPr>
            <w:tcW w:w="1111"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2.2</w:t>
            </w:r>
          </w:p>
        </w:tc>
        <w:tc>
          <w:tcPr>
            <w:tcW w:w="2582"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年总生产成本费用</w:t>
            </w:r>
          </w:p>
        </w:tc>
        <w:tc>
          <w:tcPr>
            <w:tcW w:w="1653"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万元</w:t>
            </w:r>
          </w:p>
        </w:tc>
        <w:tc>
          <w:tcPr>
            <w:tcW w:w="1664" w:type="dxa"/>
            <w:vAlign w:val="center"/>
          </w:tcPr>
          <w:p w:rsidR="009C5C1F" w:rsidRDefault="004D2E0D">
            <w:pPr>
              <w:spacing w:line="220" w:lineRule="exact"/>
              <w:jc w:val="center"/>
              <w:rPr>
                <w:rFonts w:ascii="宋体" w:hAnsi="宋体" w:cs="宋体"/>
                <w:szCs w:val="21"/>
                <w:lang w:val="zh-CN"/>
              </w:rPr>
            </w:pPr>
            <w:r>
              <w:rPr>
                <w:rFonts w:ascii="宋体" w:hAnsi="宋体" w:cs="宋体"/>
                <w:szCs w:val="21"/>
              </w:rPr>
              <w:t>150</w:t>
            </w:r>
          </w:p>
        </w:tc>
        <w:tc>
          <w:tcPr>
            <w:tcW w:w="1766" w:type="dxa"/>
            <w:vAlign w:val="center"/>
          </w:tcPr>
          <w:p w:rsidR="009C5C1F" w:rsidRDefault="009C5C1F">
            <w:pPr>
              <w:spacing w:line="220" w:lineRule="exact"/>
              <w:jc w:val="center"/>
              <w:rPr>
                <w:rFonts w:ascii="宋体" w:hAnsi="宋体" w:cs="宋体"/>
                <w:szCs w:val="21"/>
                <w:lang w:val="zh-CN"/>
              </w:rPr>
            </w:pPr>
          </w:p>
        </w:tc>
      </w:tr>
      <w:tr w:rsidR="009C5C1F">
        <w:trPr>
          <w:trHeight w:hRule="exact" w:val="317"/>
          <w:jc w:val="center"/>
        </w:trPr>
        <w:tc>
          <w:tcPr>
            <w:tcW w:w="1111"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2.3</w:t>
            </w:r>
          </w:p>
        </w:tc>
        <w:tc>
          <w:tcPr>
            <w:tcW w:w="2582"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年利润总额</w:t>
            </w:r>
          </w:p>
        </w:tc>
        <w:tc>
          <w:tcPr>
            <w:tcW w:w="1653"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万元</w:t>
            </w:r>
          </w:p>
        </w:tc>
        <w:tc>
          <w:tcPr>
            <w:tcW w:w="1664" w:type="dxa"/>
            <w:vAlign w:val="center"/>
          </w:tcPr>
          <w:p w:rsidR="009C5C1F" w:rsidRDefault="004D2E0D">
            <w:pPr>
              <w:spacing w:line="220" w:lineRule="exact"/>
              <w:jc w:val="center"/>
              <w:rPr>
                <w:rFonts w:ascii="宋体" w:hAnsi="宋体" w:cs="宋体"/>
                <w:szCs w:val="21"/>
                <w:lang w:val="zh-CN"/>
              </w:rPr>
            </w:pPr>
            <w:r>
              <w:rPr>
                <w:rFonts w:ascii="宋体" w:hAnsi="宋体" w:cs="宋体"/>
                <w:szCs w:val="21"/>
              </w:rPr>
              <w:t>200</w:t>
            </w:r>
          </w:p>
        </w:tc>
        <w:tc>
          <w:tcPr>
            <w:tcW w:w="1766" w:type="dxa"/>
            <w:vAlign w:val="center"/>
          </w:tcPr>
          <w:p w:rsidR="009C5C1F" w:rsidRDefault="009C5C1F">
            <w:pPr>
              <w:spacing w:line="220" w:lineRule="exact"/>
              <w:jc w:val="center"/>
              <w:rPr>
                <w:rFonts w:ascii="宋体" w:hAnsi="宋体" w:cs="宋体"/>
                <w:szCs w:val="21"/>
                <w:lang w:val="zh-CN"/>
              </w:rPr>
            </w:pPr>
          </w:p>
        </w:tc>
      </w:tr>
      <w:tr w:rsidR="009C5C1F">
        <w:trPr>
          <w:trHeight w:hRule="exact" w:val="317"/>
          <w:jc w:val="center"/>
        </w:trPr>
        <w:tc>
          <w:tcPr>
            <w:tcW w:w="1111"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2.4</w:t>
            </w:r>
          </w:p>
        </w:tc>
        <w:tc>
          <w:tcPr>
            <w:tcW w:w="2582"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各类税费</w:t>
            </w:r>
          </w:p>
        </w:tc>
        <w:tc>
          <w:tcPr>
            <w:tcW w:w="1653"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万元</w:t>
            </w:r>
          </w:p>
        </w:tc>
        <w:tc>
          <w:tcPr>
            <w:tcW w:w="1664"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5</w:t>
            </w:r>
            <w:r>
              <w:rPr>
                <w:rFonts w:ascii="宋体" w:hAnsi="宋体" w:cs="宋体"/>
                <w:szCs w:val="21"/>
                <w:lang w:val="zh-CN"/>
              </w:rPr>
              <w:t>3.946</w:t>
            </w:r>
          </w:p>
        </w:tc>
        <w:tc>
          <w:tcPr>
            <w:tcW w:w="1766" w:type="dxa"/>
            <w:vAlign w:val="center"/>
          </w:tcPr>
          <w:p w:rsidR="009C5C1F" w:rsidRDefault="009C5C1F">
            <w:pPr>
              <w:spacing w:line="220" w:lineRule="exact"/>
              <w:jc w:val="center"/>
              <w:rPr>
                <w:rFonts w:ascii="宋体" w:hAnsi="宋体" w:cs="宋体"/>
                <w:szCs w:val="21"/>
                <w:lang w:val="zh-CN"/>
              </w:rPr>
            </w:pPr>
          </w:p>
        </w:tc>
      </w:tr>
      <w:tr w:rsidR="009C5C1F">
        <w:trPr>
          <w:trHeight w:hRule="exact" w:val="317"/>
          <w:jc w:val="center"/>
        </w:trPr>
        <w:tc>
          <w:tcPr>
            <w:tcW w:w="1111"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2.5</w:t>
            </w:r>
          </w:p>
        </w:tc>
        <w:tc>
          <w:tcPr>
            <w:tcW w:w="2582"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年缴纳所得税</w:t>
            </w:r>
          </w:p>
        </w:tc>
        <w:tc>
          <w:tcPr>
            <w:tcW w:w="1653"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万元</w:t>
            </w:r>
          </w:p>
        </w:tc>
        <w:tc>
          <w:tcPr>
            <w:tcW w:w="1664" w:type="dxa"/>
            <w:vAlign w:val="center"/>
          </w:tcPr>
          <w:p w:rsidR="009C5C1F" w:rsidRDefault="004D2E0D">
            <w:pPr>
              <w:spacing w:line="220" w:lineRule="exact"/>
              <w:jc w:val="center"/>
              <w:rPr>
                <w:rFonts w:ascii="宋体" w:hAnsi="宋体" w:cs="宋体"/>
                <w:szCs w:val="21"/>
                <w:lang w:val="zh-CN"/>
              </w:rPr>
            </w:pPr>
            <w:r>
              <w:rPr>
                <w:rFonts w:ascii="宋体" w:hAnsi="宋体" w:cs="宋体"/>
                <w:szCs w:val="21"/>
              </w:rPr>
              <w:t>36.5135</w:t>
            </w:r>
          </w:p>
        </w:tc>
        <w:tc>
          <w:tcPr>
            <w:tcW w:w="1766" w:type="dxa"/>
            <w:vAlign w:val="center"/>
          </w:tcPr>
          <w:p w:rsidR="009C5C1F" w:rsidRDefault="009C5C1F">
            <w:pPr>
              <w:spacing w:line="220" w:lineRule="exact"/>
              <w:jc w:val="center"/>
              <w:rPr>
                <w:rFonts w:ascii="宋体" w:hAnsi="宋体" w:cs="宋体"/>
                <w:szCs w:val="21"/>
                <w:lang w:val="zh-CN"/>
              </w:rPr>
            </w:pPr>
          </w:p>
        </w:tc>
      </w:tr>
      <w:tr w:rsidR="009C5C1F">
        <w:trPr>
          <w:trHeight w:hRule="exact" w:val="317"/>
          <w:jc w:val="center"/>
        </w:trPr>
        <w:tc>
          <w:tcPr>
            <w:tcW w:w="1111"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2.6</w:t>
            </w:r>
          </w:p>
        </w:tc>
        <w:tc>
          <w:tcPr>
            <w:tcW w:w="2582"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年税后利润</w:t>
            </w:r>
          </w:p>
        </w:tc>
        <w:tc>
          <w:tcPr>
            <w:tcW w:w="1653"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万元</w:t>
            </w:r>
          </w:p>
        </w:tc>
        <w:tc>
          <w:tcPr>
            <w:tcW w:w="1664" w:type="dxa"/>
            <w:vAlign w:val="center"/>
          </w:tcPr>
          <w:p w:rsidR="009C5C1F" w:rsidRDefault="004D2E0D">
            <w:pPr>
              <w:spacing w:line="220" w:lineRule="exact"/>
              <w:jc w:val="center"/>
              <w:rPr>
                <w:rFonts w:ascii="宋体" w:hAnsi="宋体" w:cs="宋体"/>
                <w:szCs w:val="21"/>
                <w:lang w:val="zh-CN"/>
              </w:rPr>
            </w:pPr>
            <w:r>
              <w:rPr>
                <w:rFonts w:ascii="宋体" w:hAnsi="宋体" w:cs="宋体"/>
                <w:szCs w:val="21"/>
              </w:rPr>
              <w:t>109.5405</w:t>
            </w:r>
          </w:p>
        </w:tc>
        <w:tc>
          <w:tcPr>
            <w:tcW w:w="1766" w:type="dxa"/>
            <w:vAlign w:val="center"/>
          </w:tcPr>
          <w:p w:rsidR="009C5C1F" w:rsidRDefault="009C5C1F">
            <w:pPr>
              <w:spacing w:line="220" w:lineRule="exact"/>
              <w:jc w:val="center"/>
              <w:rPr>
                <w:rFonts w:ascii="宋体" w:hAnsi="宋体" w:cs="宋体"/>
                <w:szCs w:val="21"/>
                <w:lang w:val="zh-CN"/>
              </w:rPr>
            </w:pPr>
          </w:p>
        </w:tc>
      </w:tr>
      <w:tr w:rsidR="009C5C1F">
        <w:trPr>
          <w:trHeight w:hRule="exact" w:val="317"/>
          <w:jc w:val="center"/>
        </w:trPr>
        <w:tc>
          <w:tcPr>
            <w:tcW w:w="1111"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3</w:t>
            </w:r>
          </w:p>
        </w:tc>
        <w:tc>
          <w:tcPr>
            <w:tcW w:w="2582"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经济效益指标</w:t>
            </w:r>
          </w:p>
        </w:tc>
        <w:tc>
          <w:tcPr>
            <w:tcW w:w="1653" w:type="dxa"/>
            <w:vAlign w:val="center"/>
          </w:tcPr>
          <w:p w:rsidR="009C5C1F" w:rsidRDefault="009C5C1F">
            <w:pPr>
              <w:spacing w:line="220" w:lineRule="exact"/>
              <w:jc w:val="center"/>
              <w:rPr>
                <w:rFonts w:ascii="宋体" w:hAnsi="宋体" w:cs="宋体"/>
                <w:szCs w:val="21"/>
                <w:lang w:val="zh-CN"/>
              </w:rPr>
            </w:pPr>
          </w:p>
        </w:tc>
        <w:tc>
          <w:tcPr>
            <w:tcW w:w="1664" w:type="dxa"/>
            <w:vAlign w:val="center"/>
          </w:tcPr>
          <w:p w:rsidR="009C5C1F" w:rsidRDefault="009C5C1F">
            <w:pPr>
              <w:spacing w:line="220" w:lineRule="exact"/>
              <w:jc w:val="center"/>
              <w:rPr>
                <w:rFonts w:ascii="宋体" w:hAnsi="宋体" w:cs="宋体"/>
                <w:szCs w:val="21"/>
                <w:lang w:val="zh-CN"/>
              </w:rPr>
            </w:pPr>
          </w:p>
        </w:tc>
        <w:tc>
          <w:tcPr>
            <w:tcW w:w="1766" w:type="dxa"/>
            <w:vAlign w:val="center"/>
          </w:tcPr>
          <w:p w:rsidR="009C5C1F" w:rsidRDefault="009C5C1F">
            <w:pPr>
              <w:spacing w:line="220" w:lineRule="exact"/>
              <w:jc w:val="center"/>
              <w:rPr>
                <w:rFonts w:ascii="宋体" w:hAnsi="宋体" w:cs="宋体"/>
                <w:szCs w:val="21"/>
                <w:lang w:val="zh-CN"/>
              </w:rPr>
            </w:pPr>
          </w:p>
        </w:tc>
      </w:tr>
      <w:tr w:rsidR="009C5C1F">
        <w:trPr>
          <w:trHeight w:hRule="exact" w:val="317"/>
          <w:jc w:val="center"/>
        </w:trPr>
        <w:tc>
          <w:tcPr>
            <w:tcW w:w="1111"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3.1</w:t>
            </w:r>
          </w:p>
        </w:tc>
        <w:tc>
          <w:tcPr>
            <w:tcW w:w="2582"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年投资利润率</w:t>
            </w:r>
          </w:p>
        </w:tc>
        <w:tc>
          <w:tcPr>
            <w:tcW w:w="1653"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w:t>
            </w:r>
          </w:p>
        </w:tc>
        <w:tc>
          <w:tcPr>
            <w:tcW w:w="1664" w:type="dxa"/>
            <w:vAlign w:val="center"/>
          </w:tcPr>
          <w:p w:rsidR="009C5C1F" w:rsidRDefault="004D2E0D">
            <w:pPr>
              <w:spacing w:line="220" w:lineRule="exact"/>
              <w:jc w:val="center"/>
              <w:rPr>
                <w:rFonts w:ascii="宋体" w:hAnsi="宋体" w:cs="宋体"/>
                <w:szCs w:val="21"/>
                <w:lang w:val="zh-CN"/>
              </w:rPr>
            </w:pPr>
            <w:r>
              <w:rPr>
                <w:rFonts w:ascii="宋体" w:hAnsi="宋体" w:cs="宋体"/>
                <w:szCs w:val="21"/>
              </w:rPr>
              <w:t>62.59</w:t>
            </w:r>
          </w:p>
        </w:tc>
        <w:tc>
          <w:tcPr>
            <w:tcW w:w="1766" w:type="dxa"/>
            <w:vAlign w:val="center"/>
          </w:tcPr>
          <w:p w:rsidR="009C5C1F" w:rsidRDefault="009C5C1F">
            <w:pPr>
              <w:spacing w:line="220" w:lineRule="exact"/>
              <w:jc w:val="center"/>
              <w:rPr>
                <w:rFonts w:ascii="宋体" w:hAnsi="宋体" w:cs="宋体"/>
                <w:szCs w:val="21"/>
                <w:lang w:val="zh-CN"/>
              </w:rPr>
            </w:pPr>
          </w:p>
        </w:tc>
      </w:tr>
      <w:tr w:rsidR="009C5C1F">
        <w:trPr>
          <w:trHeight w:hRule="exact" w:val="317"/>
          <w:jc w:val="center"/>
        </w:trPr>
        <w:tc>
          <w:tcPr>
            <w:tcW w:w="1111"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3.2</w:t>
            </w:r>
          </w:p>
        </w:tc>
        <w:tc>
          <w:tcPr>
            <w:tcW w:w="2582"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投资回收期</w:t>
            </w:r>
          </w:p>
        </w:tc>
        <w:tc>
          <w:tcPr>
            <w:tcW w:w="1653"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a</w:t>
            </w:r>
          </w:p>
        </w:tc>
        <w:tc>
          <w:tcPr>
            <w:tcW w:w="1664" w:type="dxa"/>
            <w:vAlign w:val="center"/>
          </w:tcPr>
          <w:p w:rsidR="009C5C1F" w:rsidRDefault="004D2E0D">
            <w:pPr>
              <w:spacing w:line="220" w:lineRule="exact"/>
              <w:jc w:val="center"/>
              <w:rPr>
                <w:rFonts w:ascii="宋体" w:hAnsi="宋体" w:cs="宋体"/>
                <w:szCs w:val="21"/>
                <w:lang w:val="zh-CN"/>
              </w:rPr>
            </w:pPr>
            <w:r>
              <w:rPr>
                <w:rFonts w:ascii="宋体" w:hAnsi="宋体" w:cs="宋体"/>
                <w:szCs w:val="21"/>
              </w:rPr>
              <w:t>1.598</w:t>
            </w:r>
          </w:p>
        </w:tc>
        <w:tc>
          <w:tcPr>
            <w:tcW w:w="1766" w:type="dxa"/>
            <w:vAlign w:val="center"/>
          </w:tcPr>
          <w:p w:rsidR="009C5C1F" w:rsidRDefault="004D2E0D">
            <w:pPr>
              <w:spacing w:line="220" w:lineRule="exact"/>
              <w:jc w:val="center"/>
              <w:rPr>
                <w:rFonts w:ascii="宋体" w:hAnsi="宋体" w:cs="宋体"/>
                <w:szCs w:val="21"/>
                <w:lang w:val="zh-CN"/>
              </w:rPr>
            </w:pPr>
            <w:r>
              <w:rPr>
                <w:rFonts w:ascii="宋体" w:hAnsi="宋体" w:cs="宋体" w:hint="eastAsia"/>
                <w:szCs w:val="21"/>
                <w:lang w:val="zh-CN"/>
              </w:rPr>
              <w:t>不含基建期</w:t>
            </w:r>
          </w:p>
        </w:tc>
      </w:tr>
    </w:tbl>
    <w:p w:rsidR="009C5C1F" w:rsidRDefault="004D2E0D">
      <w:pPr>
        <w:keepNext/>
        <w:keepLines/>
        <w:suppressAutoHyphens/>
        <w:wordWrap w:val="0"/>
        <w:topLinePunct/>
        <w:spacing w:line="580" w:lineRule="exact"/>
        <w:ind w:firstLineChars="200" w:firstLine="482"/>
        <w:outlineLvl w:val="2"/>
        <w:rPr>
          <w:b/>
          <w:sz w:val="24"/>
          <w:szCs w:val="28"/>
        </w:rPr>
      </w:pPr>
      <w:bookmarkStart w:id="878" w:name="_Toc70589833"/>
      <w:r>
        <w:rPr>
          <w:b/>
          <w:sz w:val="24"/>
          <w:szCs w:val="28"/>
        </w:rPr>
        <w:t>（</w:t>
      </w:r>
      <w:r>
        <w:rPr>
          <w:rFonts w:hint="eastAsia"/>
          <w:b/>
          <w:sz w:val="24"/>
          <w:szCs w:val="28"/>
        </w:rPr>
        <w:t>四</w:t>
      </w:r>
      <w:r>
        <w:rPr>
          <w:b/>
          <w:sz w:val="24"/>
          <w:szCs w:val="28"/>
        </w:rPr>
        <w:t>）采矿方法</w:t>
      </w:r>
      <w:bookmarkEnd w:id="878"/>
    </w:p>
    <w:p w:rsidR="009C5C1F" w:rsidRDefault="004D2E0D">
      <w:pPr>
        <w:spacing w:line="480" w:lineRule="exact"/>
        <w:ind w:firstLineChars="200" w:firstLine="480"/>
        <w:rPr>
          <w:kern w:val="0"/>
          <w:sz w:val="24"/>
        </w:rPr>
      </w:pPr>
      <w:r>
        <w:rPr>
          <w:rFonts w:hint="eastAsia"/>
          <w:kern w:val="0"/>
          <w:sz w:val="24"/>
        </w:rPr>
        <w:t>根据《开发利用方案》，开采工作按照正规作业循环组织安排各工序，工艺流程为：装、运→堆矿场。</w:t>
      </w:r>
    </w:p>
    <w:p w:rsidR="009C5C1F" w:rsidRDefault="004D2E0D">
      <w:pPr>
        <w:adjustRightInd w:val="0"/>
        <w:snapToGrid w:val="0"/>
        <w:spacing w:line="500" w:lineRule="exact"/>
        <w:ind w:firstLineChars="200" w:firstLine="480"/>
        <w:rPr>
          <w:rFonts w:ascii="宋体" w:hAnsi="宋体" w:cs="宋体"/>
          <w:sz w:val="24"/>
        </w:rPr>
      </w:pPr>
      <w:r>
        <w:rPr>
          <w:rFonts w:ascii="宋体" w:hAnsi="宋体" w:cs="宋体" w:hint="eastAsia"/>
          <w:sz w:val="24"/>
        </w:rPr>
        <w:t>由于该矿覆盖层薄，选矿产生的少量弃土、废渣在边生产边治理</w:t>
      </w:r>
      <w:proofErr w:type="gramStart"/>
      <w:r>
        <w:rPr>
          <w:rFonts w:ascii="宋体" w:hAnsi="宋体" w:cs="宋体" w:hint="eastAsia"/>
          <w:sz w:val="24"/>
        </w:rPr>
        <w:t>期部分</w:t>
      </w:r>
      <w:proofErr w:type="gramEnd"/>
      <w:r>
        <w:rPr>
          <w:rFonts w:ascii="宋体" w:hAnsi="宋体" w:cs="宋体" w:hint="eastAsia"/>
          <w:sz w:val="24"/>
        </w:rPr>
        <w:t>可用于铺垫道路、回填采空区等。剩余部分可在堆料场集中堆放，待矿体开采完毕之后将弃土、废渣回填</w:t>
      </w:r>
      <w:proofErr w:type="gramStart"/>
      <w:r>
        <w:rPr>
          <w:rFonts w:ascii="宋体" w:hAnsi="宋体" w:cs="宋体" w:hint="eastAsia"/>
          <w:sz w:val="24"/>
        </w:rPr>
        <w:t>采坑并</w:t>
      </w:r>
      <w:proofErr w:type="gramEnd"/>
      <w:r>
        <w:rPr>
          <w:rFonts w:ascii="宋体" w:hAnsi="宋体" w:cs="宋体" w:hint="eastAsia"/>
          <w:sz w:val="24"/>
        </w:rPr>
        <w:t>清理、整平、压实临时堆料场地面。</w:t>
      </w:r>
    </w:p>
    <w:p w:rsidR="009C5C1F" w:rsidRDefault="004D2E0D">
      <w:pPr>
        <w:pStyle w:val="a0"/>
        <w:spacing w:line="500" w:lineRule="exact"/>
        <w:ind w:firstLineChars="0" w:firstLine="0"/>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主要技术参数如下：</w:t>
      </w:r>
    </w:p>
    <w:p w:rsidR="009C5C1F" w:rsidRDefault="004D2E0D">
      <w:pPr>
        <w:pStyle w:val="a0"/>
        <w:spacing w:line="500" w:lineRule="exact"/>
        <w:ind w:firstLine="210"/>
        <w:rPr>
          <w:rFonts w:ascii="宋体" w:hAnsi="宋体"/>
          <w:sz w:val="24"/>
        </w:rPr>
      </w:pPr>
      <w:r>
        <w:rPr>
          <w:rFonts w:hint="eastAsia"/>
        </w:rPr>
        <w:t xml:space="preserve"> </w:t>
      </w:r>
      <w:r>
        <w:t xml:space="preserve">  </w:t>
      </w:r>
      <w:r>
        <w:rPr>
          <w:rFonts w:ascii="宋体" w:hAnsi="宋体" w:hint="eastAsia"/>
          <w:sz w:val="24"/>
        </w:rPr>
        <w:t>台阶高度5</w:t>
      </w:r>
      <w:r>
        <w:rPr>
          <w:rFonts w:ascii="宋体" w:hAnsi="宋体"/>
          <w:sz w:val="24"/>
        </w:rPr>
        <w:t>m</w:t>
      </w:r>
      <w:r>
        <w:rPr>
          <w:rFonts w:ascii="宋体" w:hAnsi="宋体" w:hint="eastAsia"/>
          <w:sz w:val="24"/>
        </w:rPr>
        <w:t>；</w:t>
      </w:r>
    </w:p>
    <w:p w:rsidR="009C5C1F" w:rsidRDefault="004D2E0D">
      <w:pPr>
        <w:pStyle w:val="a0"/>
        <w:spacing w:line="500" w:lineRule="exact"/>
        <w:ind w:firstLine="240"/>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台阶边坡角为4</w:t>
      </w:r>
      <w:r>
        <w:rPr>
          <w:rFonts w:ascii="宋体" w:hAnsi="宋体"/>
          <w:sz w:val="24"/>
        </w:rPr>
        <w:t>5</w:t>
      </w:r>
      <w:r>
        <w:rPr>
          <w:rFonts w:ascii="宋体" w:hAnsi="宋体" w:hint="eastAsia"/>
          <w:sz w:val="24"/>
        </w:rPr>
        <w:t>°；</w:t>
      </w:r>
    </w:p>
    <w:p w:rsidR="009C5C1F" w:rsidRDefault="004D2E0D">
      <w:pPr>
        <w:pStyle w:val="a0"/>
        <w:spacing w:line="500" w:lineRule="exact"/>
        <w:ind w:firstLine="240"/>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最终边坡角小于4</w:t>
      </w:r>
      <w:r>
        <w:rPr>
          <w:rFonts w:ascii="宋体" w:hAnsi="宋体"/>
          <w:sz w:val="24"/>
        </w:rPr>
        <w:t>5</w:t>
      </w:r>
      <w:r>
        <w:rPr>
          <w:rFonts w:ascii="宋体" w:hAnsi="宋体" w:hint="eastAsia"/>
          <w:sz w:val="24"/>
        </w:rPr>
        <w:t>°；</w:t>
      </w:r>
    </w:p>
    <w:p w:rsidR="009C5C1F" w:rsidRDefault="004D2E0D">
      <w:pPr>
        <w:pStyle w:val="a0"/>
        <w:spacing w:line="500" w:lineRule="exact"/>
        <w:ind w:firstLine="240"/>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采场工作平台的最小作业宽度计算：挖掘机活动空间取2</w:t>
      </w:r>
      <w:r>
        <w:rPr>
          <w:rFonts w:ascii="宋体" w:hAnsi="宋体"/>
          <w:sz w:val="24"/>
        </w:rPr>
        <w:t>0m</w:t>
      </w:r>
      <w:r>
        <w:rPr>
          <w:rFonts w:ascii="宋体" w:hAnsi="宋体" w:hint="eastAsia"/>
          <w:sz w:val="24"/>
        </w:rPr>
        <w:t>，边坡安全距离取5</w:t>
      </w:r>
      <w:r>
        <w:rPr>
          <w:rFonts w:ascii="宋体" w:hAnsi="宋体"/>
          <w:sz w:val="24"/>
        </w:rPr>
        <w:t>m</w:t>
      </w:r>
      <w:r>
        <w:rPr>
          <w:rFonts w:ascii="宋体" w:hAnsi="宋体" w:hint="eastAsia"/>
          <w:sz w:val="24"/>
        </w:rPr>
        <w:t>，则最小作业宽度为2</w:t>
      </w:r>
      <w:r>
        <w:rPr>
          <w:rFonts w:ascii="宋体" w:hAnsi="宋体"/>
          <w:sz w:val="24"/>
        </w:rPr>
        <w:t>5m</w:t>
      </w:r>
      <w:r>
        <w:rPr>
          <w:rFonts w:ascii="宋体" w:hAnsi="宋体" w:hint="eastAsia"/>
          <w:sz w:val="24"/>
        </w:rPr>
        <w:t>，因此工作平台的最小作业宽度取3</w:t>
      </w:r>
      <w:r>
        <w:rPr>
          <w:rFonts w:ascii="宋体" w:hAnsi="宋体"/>
          <w:sz w:val="24"/>
        </w:rPr>
        <w:t>0m</w:t>
      </w:r>
      <w:r>
        <w:rPr>
          <w:rFonts w:ascii="宋体" w:hAnsi="宋体" w:hint="eastAsia"/>
          <w:sz w:val="24"/>
        </w:rPr>
        <w:t>。</w:t>
      </w:r>
    </w:p>
    <w:p w:rsidR="009C5C1F" w:rsidRDefault="004D2E0D">
      <w:pPr>
        <w:pStyle w:val="a0"/>
        <w:spacing w:line="500" w:lineRule="exact"/>
        <w:ind w:firstLine="240"/>
        <w:rPr>
          <w:rFonts w:ascii="宋体" w:hAnsi="宋体"/>
          <w:sz w:val="24"/>
        </w:rPr>
      </w:pPr>
      <w:r>
        <w:rPr>
          <w:rFonts w:ascii="宋体" w:hAnsi="宋体" w:hint="eastAsia"/>
          <w:sz w:val="24"/>
        </w:rPr>
        <w:t xml:space="preserve"> </w:t>
      </w:r>
      <w:r>
        <w:rPr>
          <w:rFonts w:ascii="宋体" w:hAnsi="宋体"/>
          <w:sz w:val="24"/>
        </w:rPr>
        <w:t xml:space="preserve"> </w:t>
      </w:r>
      <w:r>
        <w:rPr>
          <w:rFonts w:ascii="宋体" w:hAnsi="宋体" w:hint="eastAsia"/>
          <w:sz w:val="24"/>
        </w:rPr>
        <w:t>运输道路宽4</w:t>
      </w:r>
      <w:r>
        <w:rPr>
          <w:rFonts w:ascii="宋体" w:hAnsi="宋体"/>
          <w:sz w:val="24"/>
        </w:rPr>
        <w:t>~6m</w:t>
      </w:r>
      <w:r>
        <w:rPr>
          <w:rFonts w:ascii="宋体" w:hAnsi="宋体" w:hint="eastAsia"/>
          <w:sz w:val="24"/>
        </w:rPr>
        <w:t>，最小转弯半径1</w:t>
      </w:r>
      <w:r>
        <w:rPr>
          <w:rFonts w:ascii="宋体" w:hAnsi="宋体"/>
          <w:sz w:val="24"/>
        </w:rPr>
        <w:t>5m</w:t>
      </w:r>
      <w:r>
        <w:rPr>
          <w:rFonts w:ascii="宋体" w:hAnsi="宋体" w:hint="eastAsia"/>
          <w:sz w:val="24"/>
        </w:rPr>
        <w:t>。</w:t>
      </w:r>
    </w:p>
    <w:p w:rsidR="009C5C1F" w:rsidRDefault="004D2E0D">
      <w:pPr>
        <w:keepNext/>
        <w:keepLines/>
        <w:suppressAutoHyphens/>
        <w:wordWrap w:val="0"/>
        <w:topLinePunct/>
        <w:spacing w:line="580" w:lineRule="exact"/>
        <w:ind w:firstLineChars="200" w:firstLine="482"/>
        <w:outlineLvl w:val="2"/>
        <w:rPr>
          <w:b/>
          <w:sz w:val="24"/>
          <w:szCs w:val="28"/>
        </w:rPr>
      </w:pPr>
      <w:bookmarkStart w:id="879" w:name="_Toc70589834"/>
      <w:r>
        <w:rPr>
          <w:b/>
          <w:sz w:val="24"/>
          <w:szCs w:val="28"/>
        </w:rPr>
        <w:t>（</w:t>
      </w:r>
      <w:r>
        <w:rPr>
          <w:rFonts w:hint="eastAsia"/>
          <w:b/>
          <w:sz w:val="24"/>
          <w:szCs w:val="28"/>
        </w:rPr>
        <w:t>五</w:t>
      </w:r>
      <w:r>
        <w:rPr>
          <w:b/>
          <w:sz w:val="24"/>
          <w:szCs w:val="28"/>
        </w:rPr>
        <w:t>）固体废弃物和废水的排放</w:t>
      </w:r>
      <w:bookmarkEnd w:id="879"/>
    </w:p>
    <w:p w:rsidR="009C5C1F" w:rsidRDefault="004D2E0D">
      <w:pPr>
        <w:suppressAutoHyphens/>
        <w:wordWrap w:val="0"/>
        <w:topLinePunct/>
        <w:spacing w:line="480" w:lineRule="exact"/>
        <w:ind w:firstLineChars="200" w:firstLine="480"/>
        <w:rPr>
          <w:kern w:val="0"/>
          <w:sz w:val="24"/>
        </w:rPr>
      </w:pPr>
      <w:r>
        <w:rPr>
          <w:rFonts w:hint="eastAsia"/>
          <w:kern w:val="0"/>
          <w:sz w:val="24"/>
        </w:rPr>
        <w:t>1.</w:t>
      </w:r>
      <w:r>
        <w:rPr>
          <w:rFonts w:hint="eastAsia"/>
          <w:kern w:val="0"/>
          <w:sz w:val="24"/>
        </w:rPr>
        <w:t>废渣的处理</w:t>
      </w:r>
    </w:p>
    <w:p w:rsidR="009C5C1F" w:rsidRDefault="004D2E0D">
      <w:pPr>
        <w:suppressAutoHyphens/>
        <w:wordWrap w:val="0"/>
        <w:topLinePunct/>
        <w:spacing w:line="480" w:lineRule="exact"/>
        <w:ind w:firstLineChars="200" w:firstLine="480"/>
        <w:rPr>
          <w:kern w:val="0"/>
          <w:sz w:val="24"/>
        </w:rPr>
      </w:pPr>
      <w:r>
        <w:rPr>
          <w:rFonts w:hint="eastAsia"/>
          <w:kern w:val="0"/>
          <w:sz w:val="24"/>
        </w:rPr>
        <w:t>矿山产生的废渣主要是采矿表土及生活垃圾。废石应该分层压实堆放，防止废弃物乱堆乱排，同时防止降雨引发泥石流。另外堆料场场地最终确定进行适当洒水，以保护生态环境。矿区生活垃圾应拉运至指定垃圾处理场，最大程度减小对环境的影响。</w:t>
      </w:r>
    </w:p>
    <w:p w:rsidR="009C5C1F" w:rsidRDefault="004D2E0D">
      <w:pPr>
        <w:suppressAutoHyphens/>
        <w:wordWrap w:val="0"/>
        <w:topLinePunct/>
        <w:spacing w:line="480" w:lineRule="exact"/>
        <w:ind w:firstLineChars="200" w:firstLine="480"/>
        <w:rPr>
          <w:kern w:val="0"/>
          <w:sz w:val="24"/>
        </w:rPr>
      </w:pPr>
      <w:r>
        <w:rPr>
          <w:rFonts w:hint="eastAsia"/>
          <w:kern w:val="0"/>
          <w:sz w:val="24"/>
        </w:rPr>
        <w:t>2.</w:t>
      </w:r>
      <w:r>
        <w:rPr>
          <w:rFonts w:hint="eastAsia"/>
          <w:kern w:val="0"/>
          <w:sz w:val="24"/>
        </w:rPr>
        <w:t>废水的处理</w:t>
      </w:r>
    </w:p>
    <w:p w:rsidR="009C5C1F" w:rsidRDefault="004D2E0D">
      <w:pPr>
        <w:suppressAutoHyphens/>
        <w:wordWrap w:val="0"/>
        <w:topLinePunct/>
        <w:spacing w:line="480" w:lineRule="exact"/>
        <w:ind w:firstLineChars="200" w:firstLine="480"/>
        <w:rPr>
          <w:kern w:val="0"/>
          <w:sz w:val="24"/>
        </w:rPr>
      </w:pPr>
      <w:r>
        <w:rPr>
          <w:rFonts w:hint="eastAsia"/>
          <w:kern w:val="0"/>
          <w:sz w:val="24"/>
        </w:rPr>
        <w:t xml:space="preserve"> </w:t>
      </w:r>
      <w:r>
        <w:rPr>
          <w:rFonts w:hint="eastAsia"/>
          <w:kern w:val="0"/>
          <w:sz w:val="24"/>
        </w:rPr>
        <w:t>采矿排出的废水主要是喷雾降尘废水，此废水除浊度偏高外，受污染较轻，不含</w:t>
      </w:r>
      <w:r>
        <w:rPr>
          <w:rFonts w:hint="eastAsia"/>
          <w:kern w:val="0"/>
          <w:sz w:val="24"/>
        </w:rPr>
        <w:lastRenderedPageBreak/>
        <w:t>有害物质，且由于露天开采矿石，此水与采场少量涌水</w:t>
      </w:r>
      <w:proofErr w:type="gramStart"/>
      <w:r>
        <w:rPr>
          <w:rFonts w:hint="eastAsia"/>
          <w:kern w:val="0"/>
          <w:sz w:val="24"/>
        </w:rPr>
        <w:t>一并经</w:t>
      </w:r>
      <w:proofErr w:type="gramEnd"/>
      <w:r>
        <w:rPr>
          <w:rFonts w:hint="eastAsia"/>
          <w:kern w:val="0"/>
          <w:sz w:val="24"/>
        </w:rPr>
        <w:t>水沟自然沉淀后排放，用于采场及矿区道路的除尘或矿区植被的灌溉。生活中产生的废水污水量较少，可采用排放至化粪池的方式集中处理。</w:t>
      </w:r>
    </w:p>
    <w:p w:rsidR="009C5C1F" w:rsidRDefault="004D2E0D">
      <w:pPr>
        <w:suppressAutoHyphens/>
        <w:wordWrap w:val="0"/>
        <w:topLinePunct/>
        <w:spacing w:line="480" w:lineRule="exact"/>
        <w:ind w:firstLineChars="200" w:firstLine="480"/>
        <w:rPr>
          <w:kern w:val="0"/>
          <w:sz w:val="24"/>
        </w:rPr>
      </w:pPr>
      <w:r>
        <w:rPr>
          <w:rFonts w:hint="eastAsia"/>
          <w:kern w:val="0"/>
          <w:sz w:val="24"/>
        </w:rPr>
        <w:t>3.</w:t>
      </w:r>
      <w:r>
        <w:rPr>
          <w:rFonts w:hint="eastAsia"/>
          <w:kern w:val="0"/>
          <w:sz w:val="24"/>
        </w:rPr>
        <w:t>废气的排放与防尘</w:t>
      </w:r>
    </w:p>
    <w:p w:rsidR="009C5C1F" w:rsidRDefault="004D2E0D">
      <w:pPr>
        <w:suppressAutoHyphens/>
        <w:wordWrap w:val="0"/>
        <w:topLinePunct/>
        <w:spacing w:line="480" w:lineRule="exact"/>
        <w:ind w:firstLineChars="200" w:firstLine="480"/>
        <w:rPr>
          <w:kern w:val="0"/>
          <w:sz w:val="24"/>
        </w:rPr>
      </w:pPr>
      <w:r>
        <w:rPr>
          <w:rFonts w:hint="eastAsia"/>
          <w:kern w:val="0"/>
          <w:sz w:val="24"/>
        </w:rPr>
        <w:t xml:space="preserve"> </w:t>
      </w:r>
      <w:r>
        <w:rPr>
          <w:rFonts w:hint="eastAsia"/>
          <w:kern w:val="0"/>
          <w:sz w:val="24"/>
        </w:rPr>
        <w:t>矿区主要产尘、产生废气的地点有采场、装卸矿点等场所，以及有关的运输环节等。设计采取以下防降尘、仿废气措施：</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hint="eastAsia"/>
          <w:kern w:val="0"/>
          <w:sz w:val="24"/>
        </w:rPr>
        <w:t>（</w:t>
      </w:r>
      <w:r>
        <w:rPr>
          <w:rFonts w:ascii="宋体" w:cs="宋体"/>
          <w:kern w:val="0"/>
          <w:sz w:val="24"/>
        </w:rPr>
        <w:t>1</w:t>
      </w:r>
      <w:r>
        <w:rPr>
          <w:rFonts w:ascii="宋体" w:cs="宋体" w:hint="eastAsia"/>
          <w:kern w:val="0"/>
          <w:sz w:val="24"/>
        </w:rPr>
        <w:t>）为使采场空气含尘量小于</w:t>
      </w:r>
      <w:r>
        <w:rPr>
          <w:rFonts w:ascii="宋体" w:cs="宋体"/>
          <w:kern w:val="0"/>
          <w:sz w:val="24"/>
        </w:rPr>
        <w:t>2mg/</w:t>
      </w:r>
      <w:r>
        <w:rPr>
          <w:rFonts w:ascii="宋体" w:cs="宋体" w:hint="eastAsia"/>
          <w:kern w:val="0"/>
          <w:sz w:val="24"/>
        </w:rPr>
        <w:t>吨以下，坑内采用湿式凿岩；除对各粉尘产生地点进行喷雾洒水外，定期对露天坑壁和道路进行洒水冲洗；加强个人防护，佩戴防尘口罩等。</w:t>
      </w:r>
    </w:p>
    <w:p w:rsidR="009C5C1F" w:rsidRDefault="004D2E0D">
      <w:pPr>
        <w:autoSpaceDE w:val="0"/>
        <w:autoSpaceDN w:val="0"/>
        <w:adjustRightInd w:val="0"/>
        <w:spacing w:line="500" w:lineRule="exact"/>
        <w:ind w:firstLineChars="200" w:firstLine="480"/>
        <w:rPr>
          <w:rFonts w:ascii="宋体" w:cs="宋体"/>
          <w:kern w:val="0"/>
          <w:sz w:val="24"/>
        </w:rPr>
      </w:pPr>
      <w:r>
        <w:rPr>
          <w:rFonts w:ascii="宋体" w:cs="宋体" w:hint="eastAsia"/>
          <w:kern w:val="0"/>
          <w:sz w:val="24"/>
        </w:rPr>
        <w:t>（</w:t>
      </w:r>
      <w:r>
        <w:rPr>
          <w:rFonts w:ascii="宋体" w:cs="宋体"/>
          <w:kern w:val="0"/>
          <w:sz w:val="24"/>
        </w:rPr>
        <w:t>2</w:t>
      </w:r>
      <w:r>
        <w:rPr>
          <w:rFonts w:ascii="宋体" w:cs="宋体" w:hint="eastAsia"/>
          <w:kern w:val="0"/>
          <w:sz w:val="24"/>
        </w:rPr>
        <w:t>）地表矿石堆放点、装（卸）载点设水龙头洒水降尘。</w:t>
      </w:r>
    </w:p>
    <w:p w:rsidR="009C5C1F" w:rsidRDefault="004D2E0D">
      <w:pPr>
        <w:suppressAutoHyphens/>
        <w:topLinePunct/>
        <w:spacing w:line="500" w:lineRule="exact"/>
        <w:ind w:firstLineChars="250" w:firstLine="600"/>
        <w:rPr>
          <w:kern w:val="0"/>
          <w:sz w:val="24"/>
        </w:rPr>
      </w:pPr>
      <w:r>
        <w:rPr>
          <w:rFonts w:ascii="宋体" w:cs="宋体" w:hint="eastAsia"/>
          <w:kern w:val="0"/>
          <w:sz w:val="24"/>
        </w:rPr>
        <w:t>（</w:t>
      </w:r>
      <w:r>
        <w:rPr>
          <w:rFonts w:ascii="宋体" w:cs="宋体"/>
          <w:kern w:val="0"/>
          <w:sz w:val="24"/>
        </w:rPr>
        <w:t>3</w:t>
      </w:r>
      <w:r>
        <w:rPr>
          <w:rFonts w:ascii="宋体" w:cs="宋体" w:hint="eastAsia"/>
          <w:kern w:val="0"/>
          <w:sz w:val="24"/>
        </w:rPr>
        <w:t>）运输车辆在运输过程中进行遮盖，防治二次扬尘。</w:t>
      </w:r>
    </w:p>
    <w:p w:rsidR="009C5C1F" w:rsidRDefault="004D2E0D">
      <w:pPr>
        <w:suppressAutoHyphens/>
        <w:wordWrap w:val="0"/>
        <w:topLinePunct/>
        <w:spacing w:line="480" w:lineRule="exact"/>
        <w:ind w:firstLineChars="200" w:firstLine="480"/>
        <w:rPr>
          <w:kern w:val="0"/>
          <w:sz w:val="24"/>
        </w:rPr>
      </w:pPr>
      <w:r>
        <w:rPr>
          <w:rFonts w:hint="eastAsia"/>
          <w:kern w:val="0"/>
          <w:sz w:val="24"/>
        </w:rPr>
        <w:t>4.</w:t>
      </w:r>
      <w:r>
        <w:rPr>
          <w:rFonts w:hint="eastAsia"/>
          <w:kern w:val="0"/>
          <w:sz w:val="24"/>
        </w:rPr>
        <w:t>噪声的治理</w:t>
      </w:r>
    </w:p>
    <w:p w:rsidR="009C5C1F" w:rsidRDefault="004D2E0D">
      <w:pPr>
        <w:suppressAutoHyphens/>
        <w:wordWrap w:val="0"/>
        <w:topLinePunct/>
        <w:spacing w:line="480" w:lineRule="exact"/>
        <w:ind w:firstLineChars="200" w:firstLine="480"/>
        <w:rPr>
          <w:kern w:val="0"/>
          <w:sz w:val="24"/>
        </w:rPr>
      </w:pPr>
      <w:r>
        <w:rPr>
          <w:rFonts w:hint="eastAsia"/>
          <w:kern w:val="0"/>
          <w:sz w:val="24"/>
        </w:rPr>
        <w:t>该砂石矿噪音主要来源于装载机和露天采场装运等作业产生的噪音，由于是露天开采，适当采取个体防护措施后（可采用耳塞、</w:t>
      </w:r>
      <w:proofErr w:type="gramStart"/>
      <w:r>
        <w:rPr>
          <w:rFonts w:hint="eastAsia"/>
          <w:kern w:val="0"/>
          <w:sz w:val="24"/>
        </w:rPr>
        <w:t>防声棉等</w:t>
      </w:r>
      <w:proofErr w:type="gramEnd"/>
      <w:r>
        <w:rPr>
          <w:rFonts w:hint="eastAsia"/>
          <w:kern w:val="0"/>
          <w:sz w:val="24"/>
        </w:rPr>
        <w:t>），可将噪声控制在《工业企业</w:t>
      </w:r>
      <w:r>
        <w:rPr>
          <w:rFonts w:hint="eastAsia"/>
          <w:kern w:val="0"/>
          <w:sz w:val="24"/>
        </w:rPr>
        <w:t xml:space="preserve"> </w:t>
      </w:r>
      <w:r>
        <w:rPr>
          <w:rFonts w:hint="eastAsia"/>
          <w:kern w:val="0"/>
          <w:sz w:val="24"/>
        </w:rPr>
        <w:t>噪声卫生标准》规定的范围之内。设计采取了以下防、降噪声措施。</w:t>
      </w:r>
    </w:p>
    <w:p w:rsidR="009C5C1F" w:rsidRDefault="004D2E0D">
      <w:pPr>
        <w:suppressAutoHyphens/>
        <w:wordWrap w:val="0"/>
        <w:topLinePunct/>
        <w:spacing w:line="480" w:lineRule="exact"/>
        <w:ind w:firstLineChars="200" w:firstLine="480"/>
        <w:rPr>
          <w:kern w:val="0"/>
          <w:sz w:val="24"/>
        </w:rPr>
      </w:pPr>
      <w:r>
        <w:rPr>
          <w:rFonts w:hint="eastAsia"/>
          <w:kern w:val="0"/>
          <w:sz w:val="24"/>
        </w:rPr>
        <w:t>（</w:t>
      </w:r>
      <w:r>
        <w:rPr>
          <w:rFonts w:hint="eastAsia"/>
          <w:kern w:val="0"/>
          <w:sz w:val="24"/>
        </w:rPr>
        <w:t>1</w:t>
      </w:r>
      <w:r>
        <w:rPr>
          <w:rFonts w:hint="eastAsia"/>
          <w:kern w:val="0"/>
          <w:sz w:val="24"/>
        </w:rPr>
        <w:t>）机械加装消声装置；</w:t>
      </w:r>
    </w:p>
    <w:p w:rsidR="009C5C1F" w:rsidRDefault="004D2E0D">
      <w:pPr>
        <w:suppressAutoHyphens/>
        <w:wordWrap w:val="0"/>
        <w:topLinePunct/>
        <w:spacing w:line="480" w:lineRule="exact"/>
        <w:ind w:firstLineChars="200" w:firstLine="480"/>
        <w:rPr>
          <w:kern w:val="0"/>
          <w:sz w:val="24"/>
        </w:rPr>
      </w:pPr>
      <w:r>
        <w:rPr>
          <w:rFonts w:hint="eastAsia"/>
          <w:kern w:val="0"/>
          <w:sz w:val="24"/>
        </w:rPr>
        <w:t>（</w:t>
      </w:r>
      <w:r>
        <w:rPr>
          <w:rFonts w:hint="eastAsia"/>
          <w:kern w:val="0"/>
          <w:sz w:val="24"/>
        </w:rPr>
        <w:t>2</w:t>
      </w:r>
      <w:r>
        <w:rPr>
          <w:rFonts w:hint="eastAsia"/>
          <w:kern w:val="0"/>
          <w:sz w:val="24"/>
        </w:rPr>
        <w:t>）将生活区与采矿场分隔布置；</w:t>
      </w:r>
    </w:p>
    <w:p w:rsidR="009C5C1F" w:rsidRDefault="004D2E0D">
      <w:pPr>
        <w:suppressAutoHyphens/>
        <w:wordWrap w:val="0"/>
        <w:topLinePunct/>
        <w:spacing w:line="480" w:lineRule="exact"/>
        <w:ind w:firstLineChars="200" w:firstLine="480"/>
        <w:rPr>
          <w:kern w:val="0"/>
          <w:sz w:val="24"/>
        </w:rPr>
      </w:pPr>
      <w:r>
        <w:rPr>
          <w:rFonts w:hint="eastAsia"/>
          <w:kern w:val="0"/>
          <w:sz w:val="24"/>
        </w:rPr>
        <w:t>（</w:t>
      </w:r>
      <w:r>
        <w:rPr>
          <w:rFonts w:hint="eastAsia"/>
          <w:kern w:val="0"/>
          <w:sz w:val="24"/>
        </w:rPr>
        <w:t>3</w:t>
      </w:r>
      <w:r>
        <w:rPr>
          <w:rFonts w:hint="eastAsia"/>
          <w:kern w:val="0"/>
          <w:sz w:val="24"/>
        </w:rPr>
        <w:t>）对操作工人加强劳动保护和个人防护措施。</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880" w:name="_Toc511226462"/>
      <w:bookmarkStart w:id="881" w:name="_Toc70589835"/>
      <w:bookmarkStart w:id="882" w:name="_Toc153130772"/>
      <w:bookmarkStart w:id="883" w:name="_Toc447615048"/>
      <w:r>
        <w:rPr>
          <w:rFonts w:eastAsia="黑体" w:hint="eastAsia"/>
          <w:b/>
          <w:bCs/>
          <w:sz w:val="28"/>
          <w:szCs w:val="30"/>
        </w:rPr>
        <w:t>四、</w:t>
      </w:r>
      <w:r>
        <w:rPr>
          <w:rFonts w:eastAsia="黑体"/>
          <w:b/>
          <w:bCs/>
          <w:sz w:val="28"/>
          <w:szCs w:val="30"/>
        </w:rPr>
        <w:t>矿山开采历史及现状</w:t>
      </w:r>
      <w:bookmarkEnd w:id="880"/>
      <w:bookmarkEnd w:id="881"/>
      <w:bookmarkEnd w:id="882"/>
      <w:bookmarkEnd w:id="883"/>
    </w:p>
    <w:p w:rsidR="009C5C1F" w:rsidRDefault="004D2E0D">
      <w:pPr>
        <w:topLinePunct/>
        <w:spacing w:line="360" w:lineRule="auto"/>
        <w:ind w:firstLineChars="200" w:firstLine="480"/>
        <w:rPr>
          <w:sz w:val="24"/>
        </w:rPr>
      </w:pPr>
      <w:r>
        <w:rPr>
          <w:rFonts w:hint="eastAsia"/>
          <w:sz w:val="24"/>
        </w:rPr>
        <w:t>甘肃省临泽县板桥</w:t>
      </w:r>
      <w:proofErr w:type="gramStart"/>
      <w:r>
        <w:rPr>
          <w:rFonts w:hint="eastAsia"/>
          <w:sz w:val="24"/>
        </w:rPr>
        <w:t>镇壕洼村</w:t>
      </w:r>
      <w:proofErr w:type="gramEnd"/>
      <w:r>
        <w:rPr>
          <w:rFonts w:hint="eastAsia"/>
          <w:sz w:val="24"/>
        </w:rPr>
        <w:t>正北山西侧砖瓦用粘土矿是新建矿山，本次方案设计所依据的资源量是由甘肃有色金属地质勘察局张掖矿产勘察院提供的《甘肃省板桥镇壕洼村正北山西侧砖瓦用粘土矿普查报告》（</w:t>
      </w:r>
      <w:r>
        <w:rPr>
          <w:rFonts w:hint="eastAsia"/>
          <w:sz w:val="24"/>
        </w:rPr>
        <w:t>202</w:t>
      </w:r>
      <w:r>
        <w:rPr>
          <w:sz w:val="24"/>
        </w:rPr>
        <w:t>2</w:t>
      </w:r>
      <w:r>
        <w:rPr>
          <w:rFonts w:hint="eastAsia"/>
          <w:sz w:val="24"/>
        </w:rPr>
        <w:t>年</w:t>
      </w:r>
      <w:r>
        <w:rPr>
          <w:sz w:val="24"/>
        </w:rPr>
        <w:t>1</w:t>
      </w:r>
      <w:r>
        <w:rPr>
          <w:rFonts w:hint="eastAsia"/>
          <w:sz w:val="24"/>
        </w:rPr>
        <w:t>月）资料可知，甘肃省板桥</w:t>
      </w:r>
      <w:proofErr w:type="gramStart"/>
      <w:r>
        <w:rPr>
          <w:rFonts w:hint="eastAsia"/>
          <w:sz w:val="24"/>
        </w:rPr>
        <w:t>镇壕洼村</w:t>
      </w:r>
      <w:proofErr w:type="gramEnd"/>
      <w:r>
        <w:rPr>
          <w:rFonts w:hint="eastAsia"/>
          <w:sz w:val="24"/>
        </w:rPr>
        <w:t>正北山西侧砖瓦用粘土矿</w:t>
      </w:r>
      <w:proofErr w:type="gramStart"/>
      <w:r>
        <w:rPr>
          <w:rFonts w:hint="eastAsia"/>
          <w:sz w:val="24"/>
        </w:rPr>
        <w:t>矿</w:t>
      </w:r>
      <w:proofErr w:type="gramEnd"/>
      <w:r>
        <w:rPr>
          <w:rFonts w:hint="eastAsia"/>
          <w:sz w:val="24"/>
        </w:rPr>
        <w:t>权范围内总资源量为</w:t>
      </w:r>
      <w:r>
        <w:rPr>
          <w:rFonts w:hint="eastAsia"/>
          <w:sz w:val="24"/>
        </w:rPr>
        <w:t>1</w:t>
      </w:r>
      <w:r>
        <w:rPr>
          <w:sz w:val="24"/>
        </w:rPr>
        <w:t>24.1×</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w:t>
      </w:r>
    </w:p>
    <w:p w:rsidR="009C5C1F" w:rsidRDefault="004D2E0D">
      <w:pPr>
        <w:topLinePunct/>
        <w:spacing w:line="360" w:lineRule="auto"/>
        <w:ind w:firstLineChars="200" w:firstLine="480"/>
        <w:rPr>
          <w:sz w:val="24"/>
        </w:rPr>
      </w:pPr>
      <w:r>
        <w:rPr>
          <w:rFonts w:hint="eastAsia"/>
          <w:sz w:val="24"/>
        </w:rPr>
        <w:t>经市场调查、与矿权人协商并通过设计论证，本次设计确定该矿开采规模定为</w:t>
      </w:r>
      <w:r>
        <w:rPr>
          <w:sz w:val="24"/>
        </w:rPr>
        <w:t>1</w:t>
      </w:r>
      <w:r>
        <w:rPr>
          <w:rFonts w:hint="eastAsia"/>
          <w:sz w:val="24"/>
        </w:rPr>
        <w:t>0</w:t>
      </w:r>
      <w:r>
        <w:rPr>
          <w:sz w:val="24"/>
        </w:rPr>
        <w:t>×</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/a</w:t>
      </w:r>
      <w:r>
        <w:rPr>
          <w:rFonts w:hint="eastAsia"/>
          <w:sz w:val="24"/>
        </w:rPr>
        <w:t>，则矿山服务年限为</w:t>
      </w:r>
      <w:r>
        <w:rPr>
          <w:sz w:val="24"/>
        </w:rPr>
        <w:t>11</w:t>
      </w:r>
      <w:r>
        <w:rPr>
          <w:rFonts w:hint="eastAsia"/>
          <w:sz w:val="24"/>
        </w:rPr>
        <w:t>a</w:t>
      </w:r>
      <w:r>
        <w:rPr>
          <w:rFonts w:hint="eastAsia"/>
          <w:sz w:val="24"/>
        </w:rPr>
        <w:t>（不含基建期），矿山开采的机械设备主要有装载机、挖掘机等，并相应的在矿区附近设计修建堆料场地，计划将粘土开采后进行外销，矿山整体开采环境良好。</w:t>
      </w:r>
    </w:p>
    <w:p w:rsidR="009C5C1F" w:rsidRDefault="009C5C1F">
      <w:pPr>
        <w:topLinePunct/>
        <w:spacing w:line="360" w:lineRule="auto"/>
        <w:ind w:firstLineChars="200" w:firstLine="480"/>
        <w:rPr>
          <w:sz w:val="24"/>
        </w:rPr>
      </w:pPr>
    </w:p>
    <w:p w:rsidR="009C5C1F" w:rsidRDefault="009C5C1F">
      <w:pPr>
        <w:topLinePunct/>
        <w:spacing w:line="360" w:lineRule="auto"/>
        <w:ind w:firstLineChars="200" w:firstLine="480"/>
        <w:rPr>
          <w:sz w:val="24"/>
        </w:rPr>
      </w:pPr>
    </w:p>
    <w:p w:rsidR="009C5C1F" w:rsidRDefault="009C5C1F">
      <w:pPr>
        <w:suppressAutoHyphens/>
        <w:wordWrap w:val="0"/>
        <w:topLinePunct/>
        <w:spacing w:line="360" w:lineRule="auto"/>
        <w:rPr>
          <w:sz w:val="24"/>
        </w:rPr>
        <w:sectPr w:rsidR="009C5C1F">
          <w:pgSz w:w="11907" w:h="16840"/>
          <w:pgMar w:top="1418" w:right="1418" w:bottom="1418" w:left="1588" w:header="851" w:footer="737" w:gutter="0"/>
          <w:cols w:space="425"/>
          <w:docGrid w:linePitch="598" w:charSpace="-518"/>
        </w:sectPr>
      </w:pPr>
    </w:p>
    <w:p w:rsidR="009C5C1F" w:rsidRDefault="004D2E0D">
      <w:pPr>
        <w:keepNext/>
        <w:keepLines/>
        <w:suppressAutoHyphens/>
        <w:wordWrap w:val="0"/>
        <w:topLinePunct/>
        <w:spacing w:beforeLines="50" w:before="120" w:afterLines="50" w:after="120" w:line="580" w:lineRule="exact"/>
        <w:jc w:val="center"/>
        <w:outlineLvl w:val="0"/>
        <w:rPr>
          <w:b/>
          <w:bCs/>
          <w:kern w:val="44"/>
          <w:sz w:val="36"/>
          <w:szCs w:val="36"/>
        </w:rPr>
      </w:pPr>
      <w:bookmarkStart w:id="884" w:name="_Toc447615050"/>
      <w:bookmarkStart w:id="885" w:name="_Toc70589836"/>
      <w:bookmarkStart w:id="886" w:name="_Toc153130773"/>
      <w:bookmarkStart w:id="887" w:name="_Toc511226463"/>
      <w:r>
        <w:rPr>
          <w:rFonts w:hint="eastAsia"/>
          <w:b/>
          <w:bCs/>
          <w:kern w:val="44"/>
          <w:sz w:val="36"/>
          <w:szCs w:val="36"/>
        </w:rPr>
        <w:lastRenderedPageBreak/>
        <w:t>第二章</w:t>
      </w:r>
      <w:r>
        <w:rPr>
          <w:rFonts w:hint="eastAsia"/>
          <w:b/>
          <w:bCs/>
          <w:kern w:val="44"/>
          <w:sz w:val="36"/>
          <w:szCs w:val="36"/>
        </w:rPr>
        <w:t xml:space="preserve">  </w:t>
      </w:r>
      <w:r>
        <w:rPr>
          <w:b/>
          <w:bCs/>
          <w:kern w:val="44"/>
          <w:sz w:val="36"/>
          <w:szCs w:val="36"/>
        </w:rPr>
        <w:t xml:space="preserve"> </w:t>
      </w:r>
      <w:bookmarkEnd w:id="884"/>
      <w:r>
        <w:rPr>
          <w:rFonts w:hint="eastAsia"/>
          <w:b/>
          <w:bCs/>
          <w:kern w:val="44"/>
          <w:sz w:val="36"/>
          <w:szCs w:val="36"/>
        </w:rPr>
        <w:t>矿区基础信息</w:t>
      </w:r>
      <w:bookmarkEnd w:id="885"/>
      <w:bookmarkEnd w:id="886"/>
      <w:bookmarkEnd w:id="887"/>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888" w:name="_Toc70589837"/>
      <w:bookmarkStart w:id="889" w:name="_Toc447615051"/>
      <w:bookmarkStart w:id="890" w:name="_Toc153130774"/>
      <w:bookmarkStart w:id="891" w:name="_Toc511226464"/>
      <w:r>
        <w:rPr>
          <w:rFonts w:eastAsia="黑体" w:hint="eastAsia"/>
          <w:b/>
          <w:bCs/>
          <w:sz w:val="28"/>
          <w:szCs w:val="30"/>
        </w:rPr>
        <w:t>一、矿区</w:t>
      </w:r>
      <w:r>
        <w:rPr>
          <w:rFonts w:eastAsia="黑体"/>
          <w:b/>
          <w:bCs/>
          <w:sz w:val="28"/>
          <w:szCs w:val="30"/>
        </w:rPr>
        <w:t>自然地理</w:t>
      </w:r>
      <w:bookmarkEnd w:id="888"/>
      <w:bookmarkEnd w:id="889"/>
      <w:bookmarkEnd w:id="890"/>
      <w:bookmarkEnd w:id="891"/>
    </w:p>
    <w:p w:rsidR="009C5C1F" w:rsidRDefault="004D2E0D">
      <w:pPr>
        <w:keepNext/>
        <w:keepLines/>
        <w:suppressAutoHyphens/>
        <w:topLinePunct/>
        <w:spacing w:line="360" w:lineRule="auto"/>
        <w:ind w:firstLineChars="200" w:firstLine="482"/>
        <w:outlineLvl w:val="2"/>
        <w:rPr>
          <w:b/>
          <w:sz w:val="24"/>
          <w:szCs w:val="28"/>
        </w:rPr>
      </w:pPr>
      <w:bookmarkStart w:id="892" w:name="_Toc70589838"/>
      <w:r>
        <w:rPr>
          <w:b/>
          <w:sz w:val="24"/>
          <w:szCs w:val="28"/>
        </w:rPr>
        <w:t>（一）</w:t>
      </w:r>
      <w:r>
        <w:rPr>
          <w:rFonts w:hint="eastAsia"/>
          <w:b/>
          <w:sz w:val="24"/>
          <w:szCs w:val="28"/>
        </w:rPr>
        <w:t>气候</w:t>
      </w:r>
      <w:bookmarkEnd w:id="892"/>
    </w:p>
    <w:p w:rsidR="009C5C1F" w:rsidRDefault="004D2E0D">
      <w:pPr>
        <w:spacing w:line="360" w:lineRule="auto"/>
        <w:ind w:firstLineChars="200" w:firstLine="480"/>
        <w:rPr>
          <w:sz w:val="24"/>
        </w:rPr>
      </w:pPr>
      <w:r>
        <w:rPr>
          <w:rFonts w:hint="eastAsia"/>
          <w:color w:val="000000"/>
          <w:sz w:val="24"/>
        </w:rPr>
        <w:t>矿区</w:t>
      </w:r>
      <w:r>
        <w:rPr>
          <w:color w:val="000000"/>
          <w:sz w:val="24"/>
        </w:rPr>
        <w:t>属大陆性荒漠草原气候。气候干燥，降雨稀少，蒸发量大，多风。气候特征是四季分明，冬季寒冷而漫长，夏季炎热而短暂，春季升温快，秋季降温较慢。四季云量少，晴天多，光照充足，太阳辐射强</w:t>
      </w:r>
      <w:r>
        <w:rPr>
          <w:rFonts w:hint="eastAsia"/>
          <w:color w:val="000000"/>
          <w:sz w:val="24"/>
        </w:rPr>
        <w:t>，</w:t>
      </w:r>
      <w:r>
        <w:rPr>
          <w:color w:val="000000"/>
          <w:sz w:val="24"/>
        </w:rPr>
        <w:t>年平均日照时数为</w:t>
      </w:r>
      <w:r>
        <w:rPr>
          <w:color w:val="000000"/>
          <w:sz w:val="24"/>
        </w:rPr>
        <w:t>3052.9</w:t>
      </w:r>
      <w:r>
        <w:rPr>
          <w:color w:val="000000"/>
          <w:sz w:val="24"/>
        </w:rPr>
        <w:t>小时，</w:t>
      </w:r>
      <w:hyperlink r:id="rId31" w:tgtFrame="_blank" w:history="1">
        <w:r>
          <w:rPr>
            <w:color w:val="000000"/>
            <w:sz w:val="24"/>
          </w:rPr>
          <w:t>气温日较差</w:t>
        </w:r>
      </w:hyperlink>
      <w:r>
        <w:rPr>
          <w:color w:val="000000"/>
          <w:sz w:val="24"/>
        </w:rPr>
        <w:t>大，年平均日较差</w:t>
      </w:r>
      <w:r>
        <w:rPr>
          <w:color w:val="000000"/>
          <w:sz w:val="24"/>
        </w:rPr>
        <w:t>14</w:t>
      </w:r>
      <w:r>
        <w:rPr>
          <w:rFonts w:hint="eastAsia"/>
          <w:color w:val="000000"/>
          <w:sz w:val="24"/>
        </w:rPr>
        <w:t>℃</w:t>
      </w:r>
      <w:r>
        <w:rPr>
          <w:color w:val="000000"/>
          <w:sz w:val="24"/>
        </w:rPr>
        <w:t>，年平均气温为</w:t>
      </w:r>
      <w:r>
        <w:rPr>
          <w:color w:val="000000"/>
          <w:sz w:val="24"/>
        </w:rPr>
        <w:t>7.7</w:t>
      </w:r>
      <w:r>
        <w:rPr>
          <w:rFonts w:hint="eastAsia"/>
          <w:color w:val="000000"/>
          <w:sz w:val="24"/>
        </w:rPr>
        <w:t>℃</w:t>
      </w:r>
      <w:r>
        <w:rPr>
          <w:color w:val="000000"/>
          <w:sz w:val="24"/>
        </w:rPr>
        <w:t>。年均无霜期</w:t>
      </w:r>
      <w:r>
        <w:rPr>
          <w:color w:val="000000"/>
          <w:sz w:val="24"/>
        </w:rPr>
        <w:t>176</w:t>
      </w:r>
      <w:r>
        <w:rPr>
          <w:color w:val="000000"/>
          <w:sz w:val="24"/>
        </w:rPr>
        <w:t>天。年均降水量</w:t>
      </w:r>
      <w:r>
        <w:rPr>
          <w:color w:val="000000"/>
          <w:sz w:val="24"/>
        </w:rPr>
        <w:t>118.4</w:t>
      </w:r>
      <w:r>
        <w:rPr>
          <w:color w:val="000000"/>
          <w:sz w:val="24"/>
        </w:rPr>
        <w:t>毫米</w:t>
      </w:r>
      <w:r>
        <w:rPr>
          <w:color w:val="000000"/>
          <w:sz w:val="24"/>
        </w:rPr>
        <w:t>,</w:t>
      </w:r>
      <w:r>
        <w:rPr>
          <w:color w:val="000000"/>
          <w:sz w:val="24"/>
        </w:rPr>
        <w:t>蒸发量</w:t>
      </w:r>
      <w:r>
        <w:rPr>
          <w:color w:val="000000"/>
          <w:sz w:val="24"/>
        </w:rPr>
        <w:t>1830.4</w:t>
      </w:r>
      <w:r>
        <w:rPr>
          <w:color w:val="000000"/>
          <w:sz w:val="24"/>
        </w:rPr>
        <w:t>毫米</w:t>
      </w:r>
      <w:r>
        <w:rPr>
          <w:rFonts w:hint="eastAsia"/>
          <w:color w:val="000000"/>
          <w:sz w:val="24"/>
        </w:rPr>
        <w:t>，</w:t>
      </w:r>
      <w:r>
        <w:rPr>
          <w:color w:val="000000"/>
          <w:sz w:val="24"/>
        </w:rPr>
        <w:t>平均相对湿度为</w:t>
      </w:r>
      <w:r>
        <w:rPr>
          <w:color w:val="000000"/>
          <w:sz w:val="24"/>
        </w:rPr>
        <w:t>4</w:t>
      </w:r>
      <w:r>
        <w:rPr>
          <w:rFonts w:hint="eastAsia"/>
          <w:color w:val="000000"/>
          <w:sz w:val="24"/>
        </w:rPr>
        <w:t>7</w:t>
      </w:r>
      <w:r>
        <w:rPr>
          <w:color w:val="000000"/>
          <w:sz w:val="24"/>
        </w:rPr>
        <w:t>%</w:t>
      </w:r>
      <w:r>
        <w:rPr>
          <w:color w:val="000000"/>
          <w:sz w:val="24"/>
        </w:rPr>
        <w:t>，常年以西北风和东风为主</w:t>
      </w:r>
      <w:r>
        <w:rPr>
          <w:rFonts w:hint="eastAsia"/>
          <w:color w:val="000000"/>
          <w:sz w:val="24"/>
        </w:rPr>
        <w:t>，</w:t>
      </w:r>
      <w:r>
        <w:rPr>
          <w:color w:val="000000"/>
          <w:sz w:val="24"/>
        </w:rPr>
        <w:t>平均风速为</w:t>
      </w:r>
      <w:r>
        <w:rPr>
          <w:color w:val="000000"/>
          <w:sz w:val="24"/>
        </w:rPr>
        <w:t>2</w:t>
      </w:r>
      <w:r>
        <w:rPr>
          <w:rFonts w:hint="eastAsia"/>
          <w:color w:val="000000"/>
          <w:sz w:val="24"/>
        </w:rPr>
        <w:t>.34</w:t>
      </w:r>
      <w:r>
        <w:rPr>
          <w:color w:val="000000"/>
          <w:sz w:val="24"/>
        </w:rPr>
        <w:t>m/s</w:t>
      </w:r>
      <w:r>
        <w:rPr>
          <w:color w:val="000000"/>
          <w:sz w:val="24"/>
        </w:rPr>
        <w:t>，。</w:t>
      </w:r>
      <w:r>
        <w:rPr>
          <w:sz w:val="24"/>
        </w:rPr>
        <w:t>主要灾害性天气有大风、沙尘暴、干旱、低温冻害、干热风、局地暴雨、霜冻等（资料来源：</w:t>
      </w:r>
      <w:r>
        <w:rPr>
          <w:rFonts w:ascii="宋体" w:hAnsi="宋体" w:cs="宋体" w:hint="eastAsia"/>
          <w:kern w:val="0"/>
          <w:sz w:val="24"/>
        </w:rPr>
        <w:t>中国</w:t>
      </w:r>
      <w:proofErr w:type="gramStart"/>
      <w:r>
        <w:rPr>
          <w:rFonts w:ascii="宋体" w:hAnsi="宋体" w:cs="宋体" w:hint="eastAsia"/>
          <w:kern w:val="0"/>
          <w:sz w:val="24"/>
        </w:rPr>
        <w:t>天气网</w:t>
      </w:r>
      <w:proofErr w:type="gramEnd"/>
      <w:r>
        <w:rPr>
          <w:rFonts w:ascii="宋体" w:hAnsi="宋体" w:cs="宋体" w:hint="eastAsia"/>
          <w:kern w:val="0"/>
          <w:sz w:val="24"/>
        </w:rPr>
        <w:t>[引用2021-12-28]）</w:t>
      </w:r>
      <w:r>
        <w:rPr>
          <w:sz w:val="24"/>
        </w:rPr>
        <w:t>）。</w:t>
      </w:r>
    </w:p>
    <w:p w:rsidR="009C5C1F" w:rsidRDefault="004D2E0D">
      <w:pPr>
        <w:keepNext/>
        <w:keepLines/>
        <w:suppressAutoHyphens/>
        <w:topLinePunct/>
        <w:spacing w:line="360" w:lineRule="auto"/>
        <w:ind w:firstLineChars="200" w:firstLine="482"/>
        <w:outlineLvl w:val="2"/>
        <w:rPr>
          <w:b/>
          <w:sz w:val="24"/>
          <w:szCs w:val="28"/>
        </w:rPr>
      </w:pPr>
      <w:bookmarkStart w:id="893" w:name="_Toc70589839"/>
      <w:r>
        <w:rPr>
          <w:b/>
          <w:sz w:val="24"/>
          <w:szCs w:val="28"/>
        </w:rPr>
        <w:t>（二）</w:t>
      </w:r>
      <w:r>
        <w:rPr>
          <w:rFonts w:hint="eastAsia"/>
          <w:b/>
          <w:sz w:val="24"/>
          <w:szCs w:val="28"/>
        </w:rPr>
        <w:t>水文</w:t>
      </w:r>
      <w:bookmarkEnd w:id="893"/>
    </w:p>
    <w:p w:rsidR="009C5C1F" w:rsidRDefault="004D2E0D">
      <w:pPr>
        <w:pStyle w:val="5-"/>
        <w:adjustRightInd w:val="0"/>
        <w:snapToGrid w:val="0"/>
        <w:spacing w:line="500" w:lineRule="exact"/>
        <w:rPr>
          <w:rFonts w:ascii="宋体" w:hAnsi="宋体" w:cs="___WRD_EMBED_SUB_38"/>
          <w:color w:val="auto"/>
          <w:sz w:val="28"/>
          <w:szCs w:val="28"/>
        </w:rPr>
      </w:pPr>
      <w:r>
        <w:rPr>
          <w:rFonts w:hint="eastAsia"/>
          <w:color w:val="000000"/>
        </w:rPr>
        <w:t>区域</w:t>
      </w:r>
      <w:r>
        <w:rPr>
          <w:color w:val="000000"/>
        </w:rPr>
        <w:t>内仅见发源于祁连山的黑河以人工水利灌溉干渠从</w:t>
      </w:r>
      <w:r>
        <w:rPr>
          <w:rFonts w:hint="eastAsia"/>
          <w:color w:val="000000"/>
        </w:rPr>
        <w:t>矿</w:t>
      </w:r>
      <w:r>
        <w:rPr>
          <w:color w:val="000000"/>
        </w:rPr>
        <w:t>区</w:t>
      </w:r>
      <w:r>
        <w:rPr>
          <w:rFonts w:hint="eastAsia"/>
          <w:color w:val="000000"/>
        </w:rPr>
        <w:t>南</w:t>
      </w:r>
      <w:r>
        <w:rPr>
          <w:color w:val="000000"/>
        </w:rPr>
        <w:t>侧流过，地表无常年流水，仅在雨季山洪暴发时有暂时性流水，流量为降水量所制约。</w:t>
      </w:r>
      <w:r>
        <w:rPr>
          <w:rFonts w:hint="eastAsia"/>
          <w:color w:val="000000"/>
        </w:rPr>
        <w:t>矿</w:t>
      </w:r>
      <w:r>
        <w:rPr>
          <w:color w:val="000000"/>
        </w:rPr>
        <w:t>区周边有</w:t>
      </w:r>
      <w:proofErr w:type="gramStart"/>
      <w:r>
        <w:rPr>
          <w:color w:val="000000"/>
        </w:rPr>
        <w:t>少量井</w:t>
      </w:r>
      <w:proofErr w:type="gramEnd"/>
      <w:r>
        <w:rPr>
          <w:color w:val="000000"/>
        </w:rPr>
        <w:t>泉，但属咸水，不宜饮用。</w:t>
      </w:r>
      <w:r>
        <w:rPr>
          <w:rFonts w:hint="eastAsia"/>
          <w:color w:val="000000"/>
        </w:rPr>
        <w:t>矿</w:t>
      </w:r>
      <w:r>
        <w:rPr>
          <w:color w:val="000000"/>
        </w:rPr>
        <w:t>区内无井泉。</w:t>
      </w:r>
    </w:p>
    <w:p w:rsidR="009C5C1F" w:rsidRDefault="004D2E0D">
      <w:pPr>
        <w:keepNext/>
        <w:keepLines/>
        <w:suppressAutoHyphens/>
        <w:topLinePunct/>
        <w:spacing w:line="360" w:lineRule="auto"/>
        <w:ind w:firstLineChars="200" w:firstLine="482"/>
        <w:outlineLvl w:val="2"/>
        <w:rPr>
          <w:b/>
          <w:sz w:val="24"/>
          <w:lang w:val="zh-TW"/>
        </w:rPr>
      </w:pPr>
      <w:bookmarkStart w:id="894" w:name="_Toc70589840"/>
      <w:r>
        <w:rPr>
          <w:b/>
          <w:sz w:val="24"/>
          <w:lang w:val="zh-TW"/>
        </w:rPr>
        <w:t>（</w:t>
      </w:r>
      <w:r>
        <w:rPr>
          <w:rFonts w:hint="eastAsia"/>
          <w:b/>
          <w:sz w:val="24"/>
          <w:lang w:val="zh-TW"/>
        </w:rPr>
        <w:t>三</w:t>
      </w:r>
      <w:r>
        <w:rPr>
          <w:b/>
          <w:sz w:val="24"/>
          <w:lang w:val="zh-TW"/>
        </w:rPr>
        <w:t>）</w:t>
      </w:r>
      <w:r>
        <w:rPr>
          <w:rFonts w:hint="eastAsia"/>
          <w:b/>
          <w:sz w:val="24"/>
          <w:lang w:val="zh-TW"/>
        </w:rPr>
        <w:t>地形地貌</w:t>
      </w:r>
      <w:bookmarkEnd w:id="894"/>
    </w:p>
    <w:p w:rsidR="009C5C1F" w:rsidRDefault="004D2E0D">
      <w:pPr>
        <w:spacing w:line="360" w:lineRule="auto"/>
        <w:ind w:firstLineChars="200" w:firstLine="480"/>
        <w:rPr>
          <w:rFonts w:ascii="宋体" w:hAnsi="宋体"/>
          <w:color w:val="000000"/>
          <w:sz w:val="24"/>
        </w:rPr>
      </w:pPr>
      <w:r>
        <w:rPr>
          <w:rFonts w:ascii="宋体" w:hAnsi="宋体" w:hint="eastAsia"/>
          <w:color w:val="000000"/>
          <w:sz w:val="24"/>
        </w:rPr>
        <w:t>普查区地处黑河流域高台一临泽以北，巴丹吉林沙漠西侧</w:t>
      </w:r>
      <w:proofErr w:type="gramStart"/>
      <w:r>
        <w:rPr>
          <w:rFonts w:ascii="宋体" w:hAnsi="宋体" w:hint="eastAsia"/>
          <w:color w:val="000000"/>
          <w:sz w:val="24"/>
        </w:rPr>
        <w:t>之杨台洼滩</w:t>
      </w:r>
      <w:proofErr w:type="gramEnd"/>
      <w:r>
        <w:rPr>
          <w:rFonts w:ascii="宋体" w:hAnsi="宋体" w:hint="eastAsia"/>
          <w:color w:val="000000"/>
          <w:sz w:val="24"/>
        </w:rPr>
        <w:t>盆地之中</w:t>
      </w:r>
      <w:r>
        <w:rPr>
          <w:rFonts w:ascii="宋体" w:hAnsi="宋体"/>
          <w:sz w:val="24"/>
        </w:rPr>
        <w:t>，为一平坦的戈壁荒漠地貌，</w:t>
      </w:r>
      <w:r>
        <w:rPr>
          <w:rFonts w:ascii="宋体" w:hAnsi="宋体"/>
          <w:color w:val="000000"/>
          <w:sz w:val="24"/>
        </w:rPr>
        <w:t>海拔在1</w:t>
      </w:r>
      <w:r>
        <w:rPr>
          <w:rFonts w:ascii="宋体" w:hAnsi="宋体" w:hint="eastAsia"/>
          <w:color w:val="000000"/>
          <w:sz w:val="24"/>
        </w:rPr>
        <w:t>353</w:t>
      </w:r>
      <w:r>
        <w:rPr>
          <w:rFonts w:ascii="宋体" w:hAnsi="宋体"/>
          <w:color w:val="000000"/>
          <w:sz w:val="24"/>
        </w:rPr>
        <w:t>～1</w:t>
      </w:r>
      <w:r>
        <w:rPr>
          <w:rFonts w:ascii="宋体" w:hAnsi="宋体" w:hint="eastAsia"/>
          <w:color w:val="000000"/>
          <w:sz w:val="24"/>
        </w:rPr>
        <w:t>385</w:t>
      </w:r>
      <w:r>
        <w:rPr>
          <w:rFonts w:ascii="宋体" w:hAnsi="宋体"/>
          <w:color w:val="000000"/>
          <w:sz w:val="24"/>
        </w:rPr>
        <w:t>m，地势总体</w:t>
      </w:r>
      <w:r>
        <w:rPr>
          <w:rFonts w:ascii="宋体" w:hAnsi="宋体" w:hint="eastAsia"/>
          <w:color w:val="000000"/>
          <w:sz w:val="24"/>
        </w:rPr>
        <w:t>东</w:t>
      </w:r>
      <w:r>
        <w:rPr>
          <w:rFonts w:ascii="宋体" w:hAnsi="宋体"/>
          <w:color w:val="000000"/>
          <w:sz w:val="24"/>
        </w:rPr>
        <w:t>高</w:t>
      </w:r>
      <w:r>
        <w:rPr>
          <w:rFonts w:ascii="宋体" w:hAnsi="宋体" w:hint="eastAsia"/>
          <w:color w:val="000000"/>
          <w:sz w:val="24"/>
        </w:rPr>
        <w:t>西</w:t>
      </w:r>
      <w:r>
        <w:rPr>
          <w:rFonts w:ascii="宋体" w:hAnsi="宋体"/>
          <w:color w:val="000000"/>
          <w:sz w:val="24"/>
        </w:rPr>
        <w:t>低，地形平缓，</w:t>
      </w:r>
      <w:r>
        <w:rPr>
          <w:rFonts w:ascii="宋体" w:hAnsi="宋体" w:hint="eastAsia"/>
          <w:color w:val="000000"/>
          <w:sz w:val="24"/>
        </w:rPr>
        <w:t>最大</w:t>
      </w:r>
      <w:r>
        <w:rPr>
          <w:rFonts w:ascii="宋体" w:hAnsi="宋体"/>
          <w:color w:val="000000"/>
          <w:sz w:val="24"/>
        </w:rPr>
        <w:t>高差</w:t>
      </w:r>
      <w:r>
        <w:rPr>
          <w:rFonts w:ascii="宋体" w:hAnsi="宋体" w:hint="eastAsia"/>
          <w:color w:val="000000"/>
          <w:sz w:val="24"/>
        </w:rPr>
        <w:t>约32</w:t>
      </w:r>
      <w:r>
        <w:rPr>
          <w:rFonts w:ascii="宋体" w:hAnsi="宋体"/>
          <w:color w:val="000000"/>
          <w:sz w:val="24"/>
        </w:rPr>
        <w:t>m。</w:t>
      </w:r>
    </w:p>
    <w:p w:rsidR="009C5C1F" w:rsidRDefault="004D2E0D">
      <w:pPr>
        <w:keepNext/>
        <w:keepLines/>
        <w:suppressAutoHyphens/>
        <w:wordWrap w:val="0"/>
        <w:topLinePunct/>
        <w:spacing w:line="360" w:lineRule="auto"/>
        <w:ind w:firstLineChars="200" w:firstLine="482"/>
        <w:outlineLvl w:val="2"/>
        <w:rPr>
          <w:b/>
          <w:sz w:val="24"/>
          <w:szCs w:val="28"/>
        </w:rPr>
      </w:pPr>
      <w:bookmarkStart w:id="895" w:name="_Toc70589841"/>
      <w:r>
        <w:rPr>
          <w:b/>
          <w:sz w:val="24"/>
          <w:szCs w:val="28"/>
        </w:rPr>
        <w:t>（</w:t>
      </w:r>
      <w:r>
        <w:rPr>
          <w:rFonts w:hint="eastAsia"/>
          <w:b/>
          <w:sz w:val="24"/>
          <w:szCs w:val="28"/>
        </w:rPr>
        <w:t>四</w:t>
      </w:r>
      <w:r>
        <w:rPr>
          <w:b/>
          <w:sz w:val="24"/>
          <w:szCs w:val="28"/>
        </w:rPr>
        <w:t>）植被</w:t>
      </w:r>
      <w:bookmarkEnd w:id="895"/>
    </w:p>
    <w:p w:rsidR="009C5C1F" w:rsidRDefault="004D2E0D">
      <w:pPr>
        <w:spacing w:line="480" w:lineRule="exact"/>
        <w:ind w:firstLineChars="200" w:firstLine="480"/>
        <w:rPr>
          <w:rFonts w:ascii="宋体" w:hAnsi="宋体"/>
          <w:kern w:val="0"/>
          <w:sz w:val="24"/>
        </w:rPr>
      </w:pPr>
      <w:r>
        <w:rPr>
          <w:rFonts w:ascii="宋体" w:hAnsi="宋体" w:hint="eastAsia"/>
          <w:kern w:val="0"/>
          <w:sz w:val="24"/>
        </w:rPr>
        <w:t>区内地</w:t>
      </w:r>
      <w:r>
        <w:rPr>
          <w:rFonts w:ascii="宋体" w:hAnsi="宋体"/>
          <w:kern w:val="0"/>
          <w:sz w:val="24"/>
        </w:rPr>
        <w:t>表植被稀疏，</w:t>
      </w:r>
      <w:r>
        <w:rPr>
          <w:rFonts w:ascii="宋体" w:hAnsi="宋体" w:hint="eastAsia"/>
          <w:kern w:val="0"/>
          <w:sz w:val="24"/>
        </w:rPr>
        <w:t>植被覆盖率小于10％，以旱</w:t>
      </w:r>
      <w:proofErr w:type="gramStart"/>
      <w:r>
        <w:rPr>
          <w:rFonts w:ascii="宋体" w:hAnsi="宋体" w:hint="eastAsia"/>
          <w:kern w:val="0"/>
          <w:sz w:val="24"/>
        </w:rPr>
        <w:t>生植</w:t>
      </w:r>
      <w:proofErr w:type="gramEnd"/>
      <w:r>
        <w:rPr>
          <w:rFonts w:ascii="宋体" w:hAnsi="宋体" w:hint="eastAsia"/>
          <w:kern w:val="0"/>
          <w:sz w:val="24"/>
        </w:rPr>
        <w:t>被为主，主要有芨芨草、刺蓬等。区域属温带荒漠带，项目区无国家及地方保护植物种存在。</w:t>
      </w:r>
    </w:p>
    <w:p w:rsidR="009C5C1F" w:rsidRDefault="004D2E0D">
      <w:pPr>
        <w:pStyle w:val="a0"/>
        <w:ind w:firstLine="240"/>
        <w:jc w:val="center"/>
      </w:pPr>
      <w:r>
        <w:rPr>
          <w:rFonts w:ascii="宋体" w:hAnsi="宋体"/>
          <w:noProof/>
          <w:kern w:val="0"/>
          <w:sz w:val="24"/>
        </w:rPr>
        <w:drawing>
          <wp:anchor distT="0" distB="0" distL="114300" distR="114300" simplePos="0" relativeHeight="251669504" behindDoc="0" locked="0" layoutInCell="1" allowOverlap="1">
            <wp:simplePos x="0" y="0"/>
            <wp:positionH relativeFrom="page">
              <wp:posOffset>1866900</wp:posOffset>
            </wp:positionH>
            <wp:positionV relativeFrom="page">
              <wp:posOffset>7791450</wp:posOffset>
            </wp:positionV>
            <wp:extent cx="3648075" cy="2365375"/>
            <wp:effectExtent l="0" t="0" r="0" b="0"/>
            <wp:wrapTopAndBottom/>
            <wp:docPr id="314442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42046" name="图片 1"/>
                    <pic:cNvPicPr>
                      <a:picLocks noChangeAspect="1"/>
                    </pic:cNvPicPr>
                  </pic:nvPicPr>
                  <pic:blipFill>
                    <a:blip r:embed="rId32" cstate="print">
                      <a:extLst>
                        <a:ext uri="{28A0092B-C50C-407E-A947-70E740481C1C}">
                          <a14:useLocalDpi xmlns:a14="http://schemas.microsoft.com/office/drawing/2010/main" val="0"/>
                        </a:ext>
                      </a:extLst>
                    </a:blip>
                    <a:srcRect l="24162" t="27650" r="1" b="35438"/>
                    <a:stretch>
                      <a:fillRect/>
                    </a:stretch>
                  </pic:blipFill>
                  <pic:spPr>
                    <a:xfrm>
                      <a:off x="0" y="0"/>
                      <a:ext cx="3648075" cy="2365375"/>
                    </a:xfrm>
                    <a:prstGeom prst="rect">
                      <a:avLst/>
                    </a:prstGeom>
                    <a:ln>
                      <a:noFill/>
                    </a:ln>
                  </pic:spPr>
                </pic:pic>
              </a:graphicData>
            </a:graphic>
          </wp:anchor>
        </w:drawing>
      </w:r>
      <w:r>
        <w:rPr>
          <w:rFonts w:hint="eastAsia"/>
        </w:rPr>
        <w:t>图</w:t>
      </w:r>
      <w:r>
        <w:rPr>
          <w:rFonts w:hint="eastAsia"/>
        </w:rPr>
        <w:t>2</w:t>
      </w:r>
      <w:r>
        <w:t xml:space="preserve">-1 </w:t>
      </w:r>
      <w:r>
        <w:rPr>
          <w:rFonts w:hint="eastAsia"/>
        </w:rPr>
        <w:t>矿区植被图</w:t>
      </w:r>
    </w:p>
    <w:p w:rsidR="009C5C1F" w:rsidRDefault="004D2E0D">
      <w:pPr>
        <w:keepNext/>
        <w:keepLines/>
        <w:suppressAutoHyphens/>
        <w:wordWrap w:val="0"/>
        <w:topLinePunct/>
        <w:spacing w:line="360" w:lineRule="auto"/>
        <w:ind w:firstLineChars="200" w:firstLine="482"/>
        <w:outlineLvl w:val="2"/>
        <w:rPr>
          <w:b/>
          <w:sz w:val="24"/>
          <w:szCs w:val="28"/>
        </w:rPr>
      </w:pPr>
      <w:bookmarkStart w:id="896" w:name="_Toc70589842"/>
      <w:bookmarkStart w:id="897" w:name="_Toc447615052"/>
      <w:r>
        <w:rPr>
          <w:rFonts w:hint="eastAsia"/>
          <w:b/>
          <w:sz w:val="24"/>
          <w:szCs w:val="28"/>
        </w:rPr>
        <w:lastRenderedPageBreak/>
        <w:t>（五）</w:t>
      </w:r>
      <w:r>
        <w:rPr>
          <w:b/>
          <w:sz w:val="24"/>
          <w:szCs w:val="28"/>
        </w:rPr>
        <w:t>土壤</w:t>
      </w:r>
      <w:bookmarkEnd w:id="896"/>
    </w:p>
    <w:p w:rsidR="009C5C1F" w:rsidRDefault="004D2E0D">
      <w:pPr>
        <w:suppressAutoHyphens/>
        <w:wordWrap w:val="0"/>
        <w:topLinePunct/>
        <w:spacing w:line="360" w:lineRule="auto"/>
        <w:ind w:firstLine="482"/>
        <w:rPr>
          <w:sz w:val="24"/>
        </w:rPr>
      </w:pPr>
      <w:r>
        <w:rPr>
          <w:rFonts w:hint="eastAsia"/>
          <w:sz w:val="24"/>
        </w:rPr>
        <w:t>区内粘土呈砖红色、杂色，颗粒较细，结构紧密，呈厚层致密块状，质地坚硬，属易溶粘土，具粘性及塑性。</w:t>
      </w:r>
    </w:p>
    <w:p w:rsidR="009C5C1F" w:rsidRDefault="004D2E0D">
      <w:pPr>
        <w:pStyle w:val="a0"/>
        <w:ind w:firstLine="210"/>
        <w:jc w:val="center"/>
      </w:pPr>
      <w:r>
        <w:rPr>
          <w:rFonts w:hint="eastAsia"/>
          <w:noProof/>
        </w:rPr>
        <w:drawing>
          <wp:anchor distT="0" distB="0" distL="114300" distR="114300" simplePos="0" relativeHeight="251670528" behindDoc="0" locked="0" layoutInCell="1" allowOverlap="1">
            <wp:simplePos x="0" y="0"/>
            <wp:positionH relativeFrom="column">
              <wp:posOffset>1258570</wp:posOffset>
            </wp:positionH>
            <wp:positionV relativeFrom="paragraph">
              <wp:posOffset>305435</wp:posOffset>
            </wp:positionV>
            <wp:extent cx="3272155" cy="3258185"/>
            <wp:effectExtent l="0" t="0" r="4445" b="0"/>
            <wp:wrapTopAndBottom/>
            <wp:docPr id="11790676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67669" name="图片 2"/>
                    <pic:cNvPicPr>
                      <a:picLocks noChangeAspect="1"/>
                    </pic:cNvPicPr>
                  </pic:nvPicPr>
                  <pic:blipFill>
                    <a:blip r:embed="rId33">
                      <a:extLst>
                        <a:ext uri="{28A0092B-C50C-407E-A947-70E740481C1C}">
                          <a14:useLocalDpi xmlns:a14="http://schemas.microsoft.com/office/drawing/2010/main" val="0"/>
                        </a:ext>
                      </a:extLst>
                    </a:blip>
                    <a:srcRect l="42467" t="43244" r="-337" b="13513"/>
                    <a:stretch>
                      <a:fillRect/>
                    </a:stretch>
                  </pic:blipFill>
                  <pic:spPr>
                    <a:xfrm>
                      <a:off x="0" y="0"/>
                      <a:ext cx="3272400" cy="3258000"/>
                    </a:xfrm>
                    <a:prstGeom prst="rect">
                      <a:avLst/>
                    </a:prstGeom>
                    <a:ln>
                      <a:noFill/>
                    </a:ln>
                  </pic:spPr>
                </pic:pic>
              </a:graphicData>
            </a:graphic>
          </wp:anchor>
        </w:drawing>
      </w:r>
      <w:r>
        <w:rPr>
          <w:rFonts w:hint="eastAsia"/>
        </w:rPr>
        <w:t>图</w:t>
      </w:r>
      <w:r>
        <w:rPr>
          <w:rFonts w:hint="eastAsia"/>
        </w:rPr>
        <w:t>2</w:t>
      </w:r>
      <w:r>
        <w:t xml:space="preserve">-2 </w:t>
      </w:r>
      <w:r>
        <w:rPr>
          <w:rFonts w:hint="eastAsia"/>
        </w:rPr>
        <w:t>矿区土壤图</w:t>
      </w:r>
    </w:p>
    <w:p w:rsidR="009C5C1F" w:rsidRDefault="009C5C1F">
      <w:pPr>
        <w:pStyle w:val="a0"/>
        <w:ind w:firstLine="210"/>
        <w:jc w:val="center"/>
      </w:pP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898" w:name="_Toc511226465"/>
      <w:bookmarkStart w:id="899" w:name="_Toc153130775"/>
      <w:bookmarkStart w:id="900" w:name="_Toc70589843"/>
      <w:bookmarkEnd w:id="897"/>
      <w:r>
        <w:rPr>
          <w:rFonts w:eastAsia="黑体" w:hint="eastAsia"/>
          <w:b/>
          <w:bCs/>
          <w:sz w:val="28"/>
          <w:szCs w:val="30"/>
        </w:rPr>
        <w:t>二、矿区地质环境背景</w:t>
      </w:r>
      <w:bookmarkEnd w:id="898"/>
      <w:bookmarkEnd w:id="899"/>
      <w:bookmarkEnd w:id="900"/>
    </w:p>
    <w:p w:rsidR="009C5C1F" w:rsidRDefault="004D2E0D">
      <w:pPr>
        <w:keepNext/>
        <w:keepLines/>
        <w:suppressAutoHyphens/>
        <w:wordWrap w:val="0"/>
        <w:topLinePunct/>
        <w:spacing w:line="360" w:lineRule="auto"/>
        <w:ind w:firstLineChars="200" w:firstLine="482"/>
        <w:outlineLvl w:val="2"/>
        <w:rPr>
          <w:b/>
          <w:sz w:val="24"/>
          <w:szCs w:val="28"/>
        </w:rPr>
      </w:pPr>
      <w:bookmarkStart w:id="901" w:name="_Toc70589844"/>
      <w:r>
        <w:rPr>
          <w:b/>
          <w:sz w:val="24"/>
          <w:szCs w:val="28"/>
        </w:rPr>
        <w:t>（一）地层岩性</w:t>
      </w:r>
      <w:bookmarkEnd w:id="901"/>
    </w:p>
    <w:p w:rsidR="009C5C1F" w:rsidRDefault="004D2E0D">
      <w:pPr>
        <w:spacing w:line="360" w:lineRule="auto"/>
        <w:ind w:firstLine="480"/>
        <w:rPr>
          <w:sz w:val="24"/>
        </w:rPr>
      </w:pPr>
      <w:r>
        <w:rPr>
          <w:rFonts w:hint="eastAsia"/>
          <w:sz w:val="24"/>
        </w:rPr>
        <w:t>新近系渐新统白杨河组（</w:t>
      </w:r>
      <w:r>
        <w:rPr>
          <w:rFonts w:hint="eastAsia"/>
          <w:sz w:val="24"/>
        </w:rPr>
        <w:t>E</w:t>
      </w:r>
      <w:r>
        <w:rPr>
          <w:sz w:val="24"/>
        </w:rPr>
        <w:t>b</w:t>
      </w:r>
      <w:r>
        <w:rPr>
          <w:rFonts w:hint="eastAsia"/>
          <w:sz w:val="24"/>
        </w:rPr>
        <w:t>）、第四系晚更新统洪积物（</w:t>
      </w:r>
      <w:r>
        <w:rPr>
          <w:rFonts w:hint="eastAsia"/>
          <w:sz w:val="24"/>
        </w:rPr>
        <w:t>Q</w:t>
      </w:r>
      <w:r>
        <w:rPr>
          <w:sz w:val="24"/>
        </w:rPr>
        <w:t>p</w:t>
      </w:r>
      <w:r>
        <w:rPr>
          <w:sz w:val="24"/>
          <w:vertAlign w:val="superscript"/>
        </w:rPr>
        <w:t>3pl</w:t>
      </w:r>
      <w:r>
        <w:rPr>
          <w:rFonts w:hint="eastAsia"/>
          <w:sz w:val="24"/>
        </w:rPr>
        <w:t>）是板桥</w:t>
      </w:r>
      <w:proofErr w:type="gramStart"/>
      <w:r>
        <w:rPr>
          <w:rFonts w:hint="eastAsia"/>
          <w:sz w:val="24"/>
        </w:rPr>
        <w:t>镇壕洼村</w:t>
      </w:r>
      <w:proofErr w:type="gramEnd"/>
      <w:r>
        <w:rPr>
          <w:rFonts w:hint="eastAsia"/>
          <w:sz w:val="24"/>
        </w:rPr>
        <w:t>正北山西侧砖瓦用粘土矿</w:t>
      </w:r>
      <w:proofErr w:type="gramStart"/>
      <w:r>
        <w:rPr>
          <w:rFonts w:hint="eastAsia"/>
          <w:sz w:val="24"/>
        </w:rPr>
        <w:t>主要赋矿地层</w:t>
      </w:r>
      <w:proofErr w:type="gramEnd"/>
      <w:r>
        <w:rPr>
          <w:rFonts w:hint="eastAsia"/>
          <w:sz w:val="24"/>
        </w:rPr>
        <w:t>。主要岩性为砖红色泥质粉砂岩、砂岩、杂色砂质泥岩夹可采石膏层及泥岩，为粉砂岩—泥岩建造。另外出露岩性为洪积物粘土</w:t>
      </w:r>
      <w:proofErr w:type="gramStart"/>
      <w:r>
        <w:rPr>
          <w:rFonts w:hint="eastAsia"/>
          <w:sz w:val="24"/>
        </w:rPr>
        <w:t>层夹灰</w:t>
      </w:r>
      <w:proofErr w:type="gramEnd"/>
      <w:r>
        <w:rPr>
          <w:rFonts w:hint="eastAsia"/>
          <w:sz w:val="24"/>
        </w:rPr>
        <w:t>褐色砾石层。</w:t>
      </w:r>
    </w:p>
    <w:p w:rsidR="009C5C1F" w:rsidRDefault="004D2E0D">
      <w:pPr>
        <w:keepNext/>
        <w:keepLines/>
        <w:suppressAutoHyphens/>
        <w:wordWrap w:val="0"/>
        <w:topLinePunct/>
        <w:spacing w:line="360" w:lineRule="auto"/>
        <w:ind w:firstLineChars="200" w:firstLine="482"/>
        <w:outlineLvl w:val="2"/>
        <w:rPr>
          <w:b/>
          <w:sz w:val="24"/>
          <w:szCs w:val="28"/>
        </w:rPr>
      </w:pPr>
      <w:bookmarkStart w:id="902" w:name="_Toc70589845"/>
      <w:r>
        <w:rPr>
          <w:b/>
          <w:sz w:val="24"/>
          <w:szCs w:val="28"/>
        </w:rPr>
        <w:t>（二）地质构造及岩浆岩</w:t>
      </w:r>
      <w:bookmarkEnd w:id="902"/>
    </w:p>
    <w:p w:rsidR="009C5C1F" w:rsidRDefault="004D2E0D">
      <w:pPr>
        <w:spacing w:line="360" w:lineRule="auto"/>
        <w:ind w:firstLine="482"/>
        <w:rPr>
          <w:sz w:val="24"/>
        </w:rPr>
      </w:pPr>
      <w:r>
        <w:rPr>
          <w:rFonts w:hint="eastAsia"/>
          <w:sz w:val="24"/>
        </w:rPr>
        <w:t>区域内断裂构造简单，有一组北西向断裂。该断裂为大孤山—正北山构造带的次级断裂。断层两侧岩层产状紊乱，岩石遭受强烈挤压破碎，拖褶皱发育，可见断层角砾岩，断层性质不明。该断层对矿区无影响，矿区内未发现岩浆岩及变质作用。</w:t>
      </w:r>
    </w:p>
    <w:p w:rsidR="009C5C1F" w:rsidRDefault="004D2E0D">
      <w:pPr>
        <w:keepNext/>
        <w:keepLines/>
        <w:suppressAutoHyphens/>
        <w:wordWrap w:val="0"/>
        <w:topLinePunct/>
        <w:spacing w:line="360" w:lineRule="auto"/>
        <w:ind w:firstLineChars="200" w:firstLine="482"/>
        <w:outlineLvl w:val="2"/>
        <w:rPr>
          <w:b/>
          <w:sz w:val="24"/>
          <w:szCs w:val="28"/>
        </w:rPr>
      </w:pPr>
      <w:bookmarkStart w:id="903" w:name="_Toc70589846"/>
      <w:bookmarkStart w:id="904" w:name="_Toc447615054"/>
      <w:r>
        <w:rPr>
          <w:rFonts w:hint="eastAsia"/>
          <w:b/>
          <w:sz w:val="24"/>
          <w:szCs w:val="28"/>
        </w:rPr>
        <w:t>（三）</w:t>
      </w:r>
      <w:r>
        <w:rPr>
          <w:b/>
          <w:sz w:val="24"/>
          <w:szCs w:val="28"/>
        </w:rPr>
        <w:t>水文地质</w:t>
      </w:r>
      <w:bookmarkEnd w:id="903"/>
      <w:bookmarkEnd w:id="904"/>
    </w:p>
    <w:p w:rsidR="009C5C1F" w:rsidRDefault="004D2E0D">
      <w:pPr>
        <w:pStyle w:val="a0"/>
        <w:ind w:firstLineChars="200" w:firstLine="480"/>
        <w:rPr>
          <w:sz w:val="24"/>
        </w:rPr>
      </w:pPr>
      <w:bookmarkStart w:id="905" w:name="_Toc447615055"/>
      <w:bookmarkStart w:id="906" w:name="_Toc70589847"/>
      <w:r>
        <w:rPr>
          <w:rFonts w:hint="eastAsia"/>
          <w:sz w:val="24"/>
        </w:rPr>
        <w:t>矿区含、隔水层及其特征：</w:t>
      </w:r>
    </w:p>
    <w:p w:rsidR="009C5C1F" w:rsidRDefault="004D2E0D">
      <w:pPr>
        <w:spacing w:line="360" w:lineRule="auto"/>
        <w:ind w:firstLineChars="200" w:firstLine="480"/>
        <w:rPr>
          <w:rFonts w:ascii="宋体" w:hAnsi="宋体"/>
          <w:sz w:val="24"/>
        </w:rPr>
      </w:pPr>
      <w:r>
        <w:rPr>
          <w:rFonts w:ascii="宋体" w:hAnsi="宋体"/>
          <w:sz w:val="24"/>
        </w:rPr>
        <w:t>1.含、隔水岩组</w:t>
      </w:r>
    </w:p>
    <w:p w:rsidR="009C5C1F" w:rsidRDefault="004D2E0D">
      <w:pPr>
        <w:spacing w:line="360" w:lineRule="auto"/>
        <w:ind w:firstLineChars="200" w:firstLine="480"/>
        <w:rPr>
          <w:rFonts w:ascii="宋体" w:hAnsi="宋体"/>
          <w:color w:val="000000"/>
          <w:sz w:val="24"/>
        </w:rPr>
      </w:pPr>
      <w:r>
        <w:rPr>
          <w:rFonts w:ascii="宋体" w:hAnsi="宋体" w:hint="eastAsia"/>
          <w:color w:val="000000"/>
          <w:sz w:val="24"/>
        </w:rPr>
        <w:t>矿</w:t>
      </w:r>
      <w:r>
        <w:rPr>
          <w:rFonts w:ascii="宋体" w:hAnsi="宋体"/>
          <w:color w:val="000000"/>
          <w:sz w:val="24"/>
        </w:rPr>
        <w:t>区出露地层均为第四系晚更新统洪积物，为冲洪积</w:t>
      </w:r>
      <w:r>
        <w:rPr>
          <w:rFonts w:ascii="宋体" w:hAnsi="宋体" w:hint="eastAsia"/>
          <w:color w:val="000000"/>
          <w:sz w:val="24"/>
        </w:rPr>
        <w:t>物</w:t>
      </w:r>
      <w:proofErr w:type="gramStart"/>
      <w:r>
        <w:rPr>
          <w:rFonts w:ascii="宋体" w:hAnsi="宋体" w:hint="eastAsia"/>
          <w:color w:val="000000"/>
          <w:sz w:val="24"/>
        </w:rPr>
        <w:t>粘土层夹砾石</w:t>
      </w:r>
      <w:proofErr w:type="gramEnd"/>
      <w:r>
        <w:rPr>
          <w:rFonts w:ascii="宋体" w:hAnsi="宋体" w:hint="eastAsia"/>
          <w:color w:val="000000"/>
          <w:sz w:val="24"/>
        </w:rPr>
        <w:t>层</w:t>
      </w:r>
      <w:r>
        <w:rPr>
          <w:rFonts w:ascii="宋体" w:hAnsi="宋体"/>
          <w:color w:val="000000"/>
          <w:sz w:val="24"/>
        </w:rPr>
        <w:t>，</w:t>
      </w:r>
      <w:r>
        <w:rPr>
          <w:rFonts w:ascii="宋体" w:hAnsi="宋体" w:hint="eastAsia"/>
          <w:color w:val="000000"/>
          <w:sz w:val="24"/>
        </w:rPr>
        <w:t>粘土层</w:t>
      </w:r>
      <w:r>
        <w:rPr>
          <w:rFonts w:ascii="宋体" w:hAnsi="宋体" w:hint="eastAsia"/>
          <w:color w:val="000000"/>
          <w:sz w:val="24"/>
        </w:rPr>
        <w:lastRenderedPageBreak/>
        <w:t>主要由粘土</w:t>
      </w:r>
      <w:proofErr w:type="gramStart"/>
      <w:r>
        <w:rPr>
          <w:rFonts w:ascii="宋体" w:hAnsi="宋体" w:hint="eastAsia"/>
          <w:color w:val="000000"/>
          <w:sz w:val="24"/>
        </w:rPr>
        <w:t>土</w:t>
      </w:r>
      <w:proofErr w:type="gramEnd"/>
      <w:r>
        <w:rPr>
          <w:rFonts w:ascii="宋体" w:hAnsi="宋体" w:hint="eastAsia"/>
          <w:color w:val="000000"/>
          <w:sz w:val="24"/>
        </w:rPr>
        <w:t>组成，砾石层主要为白垩系砂砾岩与粉砂岩-泥岩、砾岩夹砂岩</w:t>
      </w:r>
      <w:r>
        <w:rPr>
          <w:rFonts w:ascii="宋体" w:hAnsi="宋体"/>
          <w:color w:val="000000"/>
          <w:sz w:val="24"/>
        </w:rPr>
        <w:t>，蓄水性、富水性均较差，不利于水的积聚，属透水而</w:t>
      </w:r>
      <w:proofErr w:type="gramStart"/>
      <w:r>
        <w:rPr>
          <w:rFonts w:ascii="宋体" w:hAnsi="宋体"/>
          <w:color w:val="000000"/>
          <w:sz w:val="24"/>
        </w:rPr>
        <w:t>不</w:t>
      </w:r>
      <w:proofErr w:type="gramEnd"/>
      <w:r>
        <w:rPr>
          <w:rFonts w:ascii="宋体" w:hAnsi="宋体"/>
          <w:color w:val="000000"/>
          <w:sz w:val="24"/>
        </w:rPr>
        <w:t>含水层，无隔水层。</w:t>
      </w:r>
    </w:p>
    <w:p w:rsidR="009C5C1F" w:rsidRDefault="004D2E0D">
      <w:pPr>
        <w:spacing w:line="360" w:lineRule="auto"/>
        <w:ind w:firstLineChars="200" w:firstLine="480"/>
        <w:rPr>
          <w:rFonts w:ascii="宋体" w:hAnsi="宋体"/>
          <w:sz w:val="24"/>
        </w:rPr>
      </w:pPr>
      <w:r>
        <w:rPr>
          <w:rFonts w:ascii="宋体" w:hAnsi="宋体"/>
          <w:sz w:val="24"/>
        </w:rPr>
        <w:t>2.地下水补给、径流、排泄条件</w:t>
      </w:r>
    </w:p>
    <w:p w:rsidR="009C5C1F" w:rsidRDefault="004D2E0D">
      <w:pPr>
        <w:spacing w:line="360" w:lineRule="auto"/>
        <w:ind w:firstLineChars="200" w:firstLine="480"/>
        <w:rPr>
          <w:rFonts w:ascii="宋体" w:hAnsi="宋体"/>
          <w:sz w:val="24"/>
        </w:rPr>
      </w:pPr>
      <w:r>
        <w:rPr>
          <w:rFonts w:ascii="宋体" w:hAnsi="宋体"/>
          <w:sz w:val="24"/>
        </w:rPr>
        <w:t>大气降水入渗是区内地下水的主要补给来源，由于该区大气降水极少，补给贫乏，含水层富水性弱，地下水以静储量为主，水量很少，地表径流及地下径流均表现微弱，不会对采矿造成不良影响。地下水埋藏较深，采矿不受地下水的影响，水文地质条件</w:t>
      </w:r>
      <w:proofErr w:type="gramStart"/>
      <w:r>
        <w:rPr>
          <w:rFonts w:ascii="宋体" w:hAnsi="宋体"/>
          <w:sz w:val="24"/>
        </w:rPr>
        <w:t>属简单</w:t>
      </w:r>
      <w:proofErr w:type="gramEnd"/>
      <w:r>
        <w:rPr>
          <w:rFonts w:ascii="宋体" w:hAnsi="宋体"/>
          <w:sz w:val="24"/>
        </w:rPr>
        <w:t>类型。</w:t>
      </w:r>
    </w:p>
    <w:p w:rsidR="009C5C1F" w:rsidRDefault="004D2E0D">
      <w:pPr>
        <w:spacing w:line="360" w:lineRule="auto"/>
        <w:ind w:firstLineChars="200" w:firstLine="480"/>
        <w:rPr>
          <w:rFonts w:ascii="宋体" w:hAnsi="宋体"/>
          <w:color w:val="000000"/>
          <w:sz w:val="24"/>
        </w:rPr>
      </w:pPr>
      <w:r>
        <w:rPr>
          <w:rFonts w:ascii="宋体" w:hAnsi="宋体"/>
          <w:color w:val="000000"/>
          <w:sz w:val="24"/>
        </w:rPr>
        <w:t>区内地下水排泄，一是通过地下水径流由</w:t>
      </w:r>
      <w:r>
        <w:rPr>
          <w:rFonts w:ascii="宋体" w:hAnsi="宋体" w:hint="eastAsia"/>
          <w:color w:val="000000"/>
          <w:sz w:val="24"/>
        </w:rPr>
        <w:t>东</w:t>
      </w:r>
      <w:r>
        <w:rPr>
          <w:rFonts w:ascii="宋体" w:hAnsi="宋体"/>
          <w:color w:val="000000"/>
          <w:sz w:val="24"/>
        </w:rPr>
        <w:t>向</w:t>
      </w:r>
      <w:r>
        <w:rPr>
          <w:rFonts w:ascii="宋体" w:hAnsi="宋体" w:hint="eastAsia"/>
          <w:color w:val="000000"/>
          <w:sz w:val="24"/>
        </w:rPr>
        <w:t>西</w:t>
      </w:r>
      <w:r>
        <w:rPr>
          <w:rFonts w:ascii="宋体" w:hAnsi="宋体"/>
          <w:color w:val="000000"/>
          <w:sz w:val="24"/>
        </w:rPr>
        <w:t>排泄，二是在地下水位较浅的地段通过陆面蒸发和植物蒸腾的方式垂直排泄。</w:t>
      </w:r>
    </w:p>
    <w:p w:rsidR="009C5C1F" w:rsidRDefault="004D2E0D">
      <w:pPr>
        <w:spacing w:line="360" w:lineRule="auto"/>
        <w:ind w:firstLineChars="200" w:firstLine="480"/>
        <w:rPr>
          <w:rFonts w:ascii="宋体" w:hAnsi="宋体"/>
          <w:sz w:val="24"/>
        </w:rPr>
      </w:pPr>
      <w:r>
        <w:rPr>
          <w:rFonts w:ascii="宋体" w:hAnsi="宋体" w:hint="eastAsia"/>
          <w:sz w:val="24"/>
        </w:rPr>
        <w:t>矿</w:t>
      </w:r>
      <w:r>
        <w:rPr>
          <w:rFonts w:ascii="宋体" w:hAnsi="宋体"/>
          <w:sz w:val="24"/>
        </w:rPr>
        <w:t>区内矿体最低赋存标高远高于地下水位标高，地下水对开采无影响。</w:t>
      </w:r>
    </w:p>
    <w:p w:rsidR="009C5C1F" w:rsidRDefault="004D2E0D">
      <w:pPr>
        <w:keepNext/>
        <w:keepLines/>
        <w:suppressAutoHyphens/>
        <w:wordWrap w:val="0"/>
        <w:topLinePunct/>
        <w:spacing w:line="360" w:lineRule="auto"/>
        <w:ind w:firstLineChars="200" w:firstLine="482"/>
        <w:outlineLvl w:val="2"/>
        <w:rPr>
          <w:b/>
          <w:sz w:val="24"/>
          <w:szCs w:val="28"/>
        </w:rPr>
      </w:pPr>
      <w:r>
        <w:rPr>
          <w:rFonts w:hint="eastAsia"/>
          <w:b/>
          <w:sz w:val="24"/>
          <w:szCs w:val="28"/>
        </w:rPr>
        <w:t>（四）</w:t>
      </w:r>
      <w:r>
        <w:rPr>
          <w:b/>
          <w:sz w:val="24"/>
          <w:szCs w:val="28"/>
        </w:rPr>
        <w:t>工程地质</w:t>
      </w:r>
      <w:bookmarkEnd w:id="905"/>
      <w:bookmarkEnd w:id="906"/>
    </w:p>
    <w:p w:rsidR="009C5C1F" w:rsidRDefault="004D2E0D">
      <w:pPr>
        <w:spacing w:line="360" w:lineRule="auto"/>
        <w:ind w:firstLineChars="200" w:firstLine="480"/>
        <w:rPr>
          <w:sz w:val="24"/>
        </w:rPr>
      </w:pPr>
      <w:bookmarkStart w:id="907" w:name="_Toc70589848"/>
      <w:bookmarkStart w:id="908" w:name="_Toc447615056"/>
      <w:r>
        <w:rPr>
          <w:sz w:val="24"/>
        </w:rPr>
        <w:t>矿区内粘土呈</w:t>
      </w:r>
      <w:r>
        <w:rPr>
          <w:rFonts w:hint="eastAsia"/>
          <w:sz w:val="24"/>
        </w:rPr>
        <w:t>灰褐</w:t>
      </w:r>
      <w:r>
        <w:rPr>
          <w:sz w:val="24"/>
        </w:rPr>
        <w:t>色，结构紧密，呈厚层致密块状，质地坚硬，属易溶粘土，具粘性及塑性</w:t>
      </w:r>
      <w:proofErr w:type="gramStart"/>
      <w:r>
        <w:rPr>
          <w:sz w:val="24"/>
        </w:rPr>
        <w:t>坚硬岩类土</w:t>
      </w:r>
      <w:proofErr w:type="gramEnd"/>
      <w:r>
        <w:rPr>
          <w:sz w:val="24"/>
        </w:rPr>
        <w:t>体。</w:t>
      </w:r>
      <w:r>
        <w:rPr>
          <w:rFonts w:hint="eastAsia"/>
          <w:sz w:val="24"/>
        </w:rPr>
        <w:t>无</w:t>
      </w:r>
      <w:r>
        <w:rPr>
          <w:sz w:val="24"/>
        </w:rPr>
        <w:t>顶板</w:t>
      </w:r>
      <w:r>
        <w:rPr>
          <w:rFonts w:hint="eastAsia"/>
          <w:sz w:val="24"/>
        </w:rPr>
        <w:t>围岩</w:t>
      </w:r>
      <w:r>
        <w:rPr>
          <w:sz w:val="24"/>
        </w:rPr>
        <w:t>。底板为</w:t>
      </w:r>
      <w:r>
        <w:rPr>
          <w:rFonts w:hint="eastAsia"/>
          <w:sz w:val="24"/>
        </w:rPr>
        <w:t>砂砾岩、粉砂岩</w:t>
      </w:r>
      <w:r>
        <w:rPr>
          <w:rFonts w:hint="eastAsia"/>
          <w:sz w:val="24"/>
        </w:rPr>
        <w:t>-</w:t>
      </w:r>
      <w:r>
        <w:rPr>
          <w:rFonts w:hint="eastAsia"/>
          <w:sz w:val="24"/>
        </w:rPr>
        <w:t>泥岩、</w:t>
      </w:r>
      <w:r>
        <w:rPr>
          <w:sz w:val="24"/>
        </w:rPr>
        <w:t>粘土岩，遇水易变形。</w:t>
      </w:r>
    </w:p>
    <w:p w:rsidR="009C5C1F" w:rsidRDefault="004D2E0D">
      <w:pPr>
        <w:spacing w:line="360" w:lineRule="auto"/>
        <w:ind w:firstLineChars="200" w:firstLine="480"/>
        <w:rPr>
          <w:sz w:val="24"/>
        </w:rPr>
      </w:pPr>
      <w:r>
        <w:rPr>
          <w:sz w:val="24"/>
        </w:rPr>
        <w:t>据地区经验，粘土容许承载力</w:t>
      </w:r>
      <w:r>
        <w:rPr>
          <w:sz w:val="24"/>
        </w:rPr>
        <w:t xml:space="preserve"> 400</w:t>
      </w:r>
      <w:r>
        <w:rPr>
          <w:sz w:val="24"/>
        </w:rPr>
        <w:t>～</w:t>
      </w:r>
      <w:r>
        <w:rPr>
          <w:sz w:val="24"/>
        </w:rPr>
        <w:t>800Kpa</w:t>
      </w:r>
      <w:r>
        <w:rPr>
          <w:sz w:val="24"/>
        </w:rPr>
        <w:t>，工程地质条件良</w:t>
      </w:r>
      <w:r>
        <w:rPr>
          <w:rFonts w:hint="eastAsia"/>
          <w:sz w:val="24"/>
        </w:rPr>
        <w:t>好。</w:t>
      </w:r>
    </w:p>
    <w:p w:rsidR="009C5C1F" w:rsidRDefault="004D2E0D">
      <w:pPr>
        <w:keepNext/>
        <w:keepLines/>
        <w:suppressAutoHyphens/>
        <w:wordWrap w:val="0"/>
        <w:topLinePunct/>
        <w:spacing w:line="360" w:lineRule="auto"/>
        <w:ind w:firstLineChars="200" w:firstLine="482"/>
        <w:outlineLvl w:val="2"/>
        <w:rPr>
          <w:b/>
          <w:sz w:val="24"/>
          <w:szCs w:val="28"/>
        </w:rPr>
      </w:pPr>
      <w:r>
        <w:rPr>
          <w:rFonts w:hint="eastAsia"/>
          <w:b/>
          <w:sz w:val="24"/>
          <w:szCs w:val="28"/>
        </w:rPr>
        <w:t>（五）</w:t>
      </w:r>
      <w:r>
        <w:rPr>
          <w:b/>
          <w:sz w:val="24"/>
          <w:szCs w:val="28"/>
        </w:rPr>
        <w:t>矿体地质特征</w:t>
      </w:r>
      <w:bookmarkEnd w:id="907"/>
      <w:bookmarkEnd w:id="908"/>
    </w:p>
    <w:p w:rsidR="009C5C1F" w:rsidRDefault="004D2E0D">
      <w:pPr>
        <w:spacing w:line="360" w:lineRule="auto"/>
        <w:ind w:firstLineChars="200" w:firstLine="480"/>
        <w:rPr>
          <w:rFonts w:ascii="宋体" w:hAnsi="宋体"/>
          <w:sz w:val="24"/>
        </w:rPr>
      </w:pPr>
      <w:r>
        <w:rPr>
          <w:rFonts w:ascii="宋体" w:hAnsi="宋体" w:hint="eastAsia"/>
          <w:sz w:val="24"/>
        </w:rPr>
        <w:t>临泽县板桥</w:t>
      </w:r>
      <w:proofErr w:type="gramStart"/>
      <w:r>
        <w:rPr>
          <w:rFonts w:ascii="宋体" w:hAnsi="宋体" w:hint="eastAsia"/>
          <w:sz w:val="24"/>
        </w:rPr>
        <w:t>镇壕洼村</w:t>
      </w:r>
      <w:proofErr w:type="gramEnd"/>
      <w:r>
        <w:rPr>
          <w:rFonts w:hint="eastAsia"/>
          <w:sz w:val="24"/>
        </w:rPr>
        <w:t>正北山西侧砖瓦用粘土矿</w:t>
      </w:r>
      <w:r>
        <w:rPr>
          <w:rFonts w:ascii="宋体" w:hAnsi="宋体" w:cs="仿宋_GB2312" w:hint="eastAsia"/>
          <w:color w:val="000000"/>
          <w:kern w:val="0"/>
          <w:sz w:val="24"/>
        </w:rPr>
        <w:t>矿体赋存于第四系晚更新统洪积物粘土层，呈红褐色，</w:t>
      </w:r>
      <w:r>
        <w:rPr>
          <w:rFonts w:ascii="宋体" w:hAnsi="宋体" w:hint="eastAsia"/>
          <w:color w:val="000000"/>
          <w:sz w:val="24"/>
        </w:rPr>
        <w:t>矿体自然形态具水平层</w:t>
      </w:r>
      <w:r>
        <w:rPr>
          <w:rFonts w:ascii="宋体" w:hAnsi="宋体" w:hint="eastAsia"/>
          <w:sz w:val="24"/>
        </w:rPr>
        <w:t>理，沉积韵律明显</w:t>
      </w:r>
      <w:r>
        <w:rPr>
          <w:rFonts w:ascii="宋体" w:hAnsi="宋体"/>
          <w:sz w:val="24"/>
        </w:rPr>
        <w:t>，</w:t>
      </w:r>
      <w:r>
        <w:rPr>
          <w:rFonts w:ascii="宋体" w:hAnsi="宋体" w:hint="eastAsia"/>
          <w:color w:val="000000"/>
          <w:sz w:val="24"/>
        </w:rPr>
        <w:t>粘土层自上而下，</w:t>
      </w:r>
      <w:r>
        <w:rPr>
          <w:rFonts w:ascii="宋体" w:hAnsi="宋体"/>
          <w:sz w:val="24"/>
        </w:rPr>
        <w:t>无</w:t>
      </w:r>
      <w:r>
        <w:rPr>
          <w:rFonts w:ascii="宋体" w:hAnsi="宋体" w:hint="eastAsia"/>
          <w:sz w:val="24"/>
        </w:rPr>
        <w:t>明显</w:t>
      </w:r>
      <w:r>
        <w:rPr>
          <w:rFonts w:ascii="宋体" w:hAnsi="宋体"/>
          <w:sz w:val="24"/>
        </w:rPr>
        <w:t>的变化</w:t>
      </w:r>
      <w:r>
        <w:rPr>
          <w:rFonts w:ascii="宋体" w:hAnsi="宋体" w:hint="eastAsia"/>
          <w:sz w:val="24"/>
        </w:rPr>
        <w:t>，矿体形态、</w:t>
      </w:r>
      <w:proofErr w:type="gramStart"/>
      <w:r>
        <w:rPr>
          <w:rFonts w:ascii="宋体" w:hAnsi="宋体" w:hint="eastAsia"/>
          <w:sz w:val="24"/>
        </w:rPr>
        <w:t>规模受矿权</w:t>
      </w:r>
      <w:proofErr w:type="gramEnd"/>
      <w:r>
        <w:rPr>
          <w:rFonts w:ascii="宋体" w:hAnsi="宋体" w:hint="eastAsia"/>
          <w:sz w:val="24"/>
        </w:rPr>
        <w:t>范围限制，依地形呈面状分布，呈块状，局部表面呈蜂窝状，较松散，胶结程度中等。矿体的覆盖层主要为第四系晚更新统洪积物粘土</w:t>
      </w:r>
      <w:proofErr w:type="gramStart"/>
      <w:r>
        <w:rPr>
          <w:rFonts w:ascii="宋体" w:hAnsi="宋体" w:hint="eastAsia"/>
          <w:sz w:val="24"/>
        </w:rPr>
        <w:t>层夹灰</w:t>
      </w:r>
      <w:proofErr w:type="gramEnd"/>
      <w:r>
        <w:rPr>
          <w:rFonts w:ascii="宋体" w:hAnsi="宋体" w:hint="eastAsia"/>
          <w:sz w:val="24"/>
        </w:rPr>
        <w:t>褐色砾石层，矿体为第四系晚更新统洪积物粘土</w:t>
      </w:r>
      <w:proofErr w:type="gramStart"/>
      <w:r>
        <w:rPr>
          <w:rFonts w:ascii="宋体" w:hAnsi="宋体" w:hint="eastAsia"/>
          <w:sz w:val="24"/>
        </w:rPr>
        <w:t>层夹灰</w:t>
      </w:r>
      <w:proofErr w:type="gramEnd"/>
      <w:r>
        <w:rPr>
          <w:rFonts w:ascii="宋体" w:hAnsi="宋体" w:hint="eastAsia"/>
          <w:sz w:val="24"/>
        </w:rPr>
        <w:t>褐色砾石层，砾石层厚约0.1-0.3m，小于夹石剔除厚度1.0m，无顶板围岩，矿体底板为白垩系砂砾岩、粉砂岩-泥岩、砾岩夹砂岩。</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09" w:name="_Toc153130776"/>
      <w:bookmarkStart w:id="910" w:name="_Toc70589849"/>
      <w:bookmarkStart w:id="911" w:name="_Toc511226466"/>
      <w:bookmarkStart w:id="912" w:name="_Toc447615057"/>
      <w:r>
        <w:rPr>
          <w:rFonts w:eastAsia="黑体" w:hint="eastAsia"/>
          <w:b/>
          <w:bCs/>
          <w:sz w:val="28"/>
          <w:szCs w:val="30"/>
        </w:rPr>
        <w:t>三、矿区社会经济概况</w:t>
      </w:r>
      <w:bookmarkEnd w:id="909"/>
      <w:bookmarkEnd w:id="910"/>
      <w:bookmarkEnd w:id="911"/>
    </w:p>
    <w:p w:rsidR="009C5C1F" w:rsidRDefault="004D2E0D" w:rsidP="009135C6">
      <w:pPr>
        <w:spacing w:line="480" w:lineRule="atLeast"/>
        <w:ind w:firstLineChars="182" w:firstLine="437"/>
        <w:rPr>
          <w:kern w:val="0"/>
          <w:sz w:val="24"/>
        </w:rPr>
      </w:pPr>
      <w:r>
        <w:rPr>
          <w:rFonts w:hint="eastAsia"/>
          <w:kern w:val="0"/>
          <w:sz w:val="24"/>
        </w:rPr>
        <w:t>临泽县地处河西走廊中段，东邻甘州区，南连肃南裕固族自治县，西靠高台县，北与内蒙古自治区阿拉善右旗接壤。</w:t>
      </w:r>
    </w:p>
    <w:p w:rsidR="009C5C1F" w:rsidRDefault="004D2E0D" w:rsidP="009135C6">
      <w:pPr>
        <w:spacing w:line="480" w:lineRule="atLeast"/>
        <w:ind w:firstLineChars="182" w:firstLine="437"/>
        <w:rPr>
          <w:kern w:val="0"/>
          <w:sz w:val="24"/>
        </w:rPr>
      </w:pPr>
      <w:r>
        <w:rPr>
          <w:rFonts w:hint="eastAsia"/>
          <w:kern w:val="0"/>
          <w:sz w:val="24"/>
        </w:rPr>
        <w:t>全县现辖</w:t>
      </w:r>
      <w:r>
        <w:rPr>
          <w:rFonts w:hint="eastAsia"/>
          <w:kern w:val="0"/>
          <w:sz w:val="24"/>
        </w:rPr>
        <w:t>5</w:t>
      </w:r>
      <w:r>
        <w:rPr>
          <w:rFonts w:hint="eastAsia"/>
          <w:kern w:val="0"/>
          <w:sz w:val="24"/>
        </w:rPr>
        <w:t>镇、</w:t>
      </w:r>
      <w:r>
        <w:rPr>
          <w:rFonts w:hint="eastAsia"/>
          <w:kern w:val="0"/>
          <w:sz w:val="24"/>
        </w:rPr>
        <w:t>2</w:t>
      </w:r>
      <w:r>
        <w:rPr>
          <w:rFonts w:hint="eastAsia"/>
          <w:kern w:val="0"/>
          <w:sz w:val="24"/>
        </w:rPr>
        <w:t>乡，</w:t>
      </w:r>
      <w:r>
        <w:rPr>
          <w:rFonts w:hint="eastAsia"/>
          <w:kern w:val="0"/>
          <w:sz w:val="24"/>
        </w:rPr>
        <w:t>5</w:t>
      </w:r>
      <w:r>
        <w:rPr>
          <w:rFonts w:hint="eastAsia"/>
          <w:kern w:val="0"/>
          <w:sz w:val="24"/>
        </w:rPr>
        <w:t>个居委会，</w:t>
      </w:r>
      <w:r>
        <w:rPr>
          <w:rFonts w:hint="eastAsia"/>
          <w:kern w:val="0"/>
          <w:sz w:val="24"/>
        </w:rPr>
        <w:t>7</w:t>
      </w:r>
      <w:r>
        <w:rPr>
          <w:kern w:val="0"/>
          <w:sz w:val="24"/>
        </w:rPr>
        <w:t>1</w:t>
      </w:r>
      <w:r>
        <w:rPr>
          <w:rFonts w:hint="eastAsia"/>
          <w:kern w:val="0"/>
          <w:sz w:val="24"/>
        </w:rPr>
        <w:t>个行政村，总人口</w:t>
      </w:r>
      <w:r>
        <w:rPr>
          <w:rFonts w:hint="eastAsia"/>
          <w:kern w:val="0"/>
          <w:sz w:val="24"/>
        </w:rPr>
        <w:t>1</w:t>
      </w:r>
      <w:r>
        <w:rPr>
          <w:kern w:val="0"/>
          <w:sz w:val="24"/>
        </w:rPr>
        <w:t>50081</w:t>
      </w:r>
      <w:r>
        <w:rPr>
          <w:rFonts w:hint="eastAsia"/>
          <w:kern w:val="0"/>
          <w:sz w:val="24"/>
        </w:rPr>
        <w:t>人，土地总面积</w:t>
      </w:r>
      <w:r>
        <w:rPr>
          <w:rFonts w:hint="eastAsia"/>
          <w:kern w:val="0"/>
          <w:sz w:val="24"/>
        </w:rPr>
        <w:t>2</w:t>
      </w:r>
      <w:r>
        <w:rPr>
          <w:kern w:val="0"/>
          <w:sz w:val="24"/>
        </w:rPr>
        <w:t>729.75Km</w:t>
      </w:r>
      <w:r>
        <w:rPr>
          <w:kern w:val="0"/>
          <w:sz w:val="24"/>
          <w:vertAlign w:val="superscript"/>
        </w:rPr>
        <w:t>3</w:t>
      </w:r>
      <w:r>
        <w:rPr>
          <w:rFonts w:hint="eastAsia"/>
          <w:kern w:val="0"/>
          <w:sz w:val="24"/>
        </w:rPr>
        <w:t>。</w:t>
      </w:r>
    </w:p>
    <w:p w:rsidR="009C5C1F" w:rsidRDefault="004D2E0D" w:rsidP="009135C6">
      <w:pPr>
        <w:spacing w:line="480" w:lineRule="atLeast"/>
        <w:ind w:firstLineChars="182" w:firstLine="437"/>
        <w:rPr>
          <w:kern w:val="0"/>
          <w:sz w:val="24"/>
        </w:rPr>
      </w:pPr>
      <w:r>
        <w:rPr>
          <w:rFonts w:hint="eastAsia"/>
          <w:kern w:val="0"/>
          <w:sz w:val="24"/>
        </w:rPr>
        <w:t>近年来，随着国家宏观调控措施的逐步落实，临泽县国民经济持续快速发展。据</w:t>
      </w:r>
      <w:r>
        <w:rPr>
          <w:rFonts w:ascii="宋体" w:hAnsi="宋体" w:hint="eastAsia"/>
          <w:kern w:val="0"/>
          <w:sz w:val="24"/>
        </w:rPr>
        <w:t>«</w:t>
      </w:r>
      <w:r>
        <w:rPr>
          <w:rFonts w:ascii="宋体" w:hAnsi="宋体" w:hint="eastAsia"/>
          <w:kern w:val="0"/>
          <w:sz w:val="24"/>
        </w:rPr>
        <w:lastRenderedPageBreak/>
        <w:t>临泽2</w:t>
      </w:r>
      <w:r>
        <w:rPr>
          <w:rFonts w:ascii="宋体" w:hAnsi="宋体"/>
          <w:kern w:val="0"/>
          <w:sz w:val="24"/>
        </w:rPr>
        <w:t>022</w:t>
      </w:r>
      <w:r>
        <w:rPr>
          <w:rFonts w:ascii="宋体" w:hAnsi="宋体" w:hint="eastAsia"/>
          <w:kern w:val="0"/>
          <w:sz w:val="24"/>
        </w:rPr>
        <w:t>年统计年鉴»，全县实现国内生产总值5</w:t>
      </w:r>
      <w:r>
        <w:rPr>
          <w:rFonts w:ascii="宋体" w:hAnsi="宋体"/>
          <w:kern w:val="0"/>
          <w:sz w:val="24"/>
        </w:rPr>
        <w:t>0.14</w:t>
      </w:r>
      <m:oMath>
        <m:r>
          <w:rPr>
            <w:rFonts w:ascii="Cambria Math" w:hAnsi="Cambria Math"/>
            <w:kern w:val="0"/>
            <w:sz w:val="24"/>
          </w:rPr>
          <m:t>×</m:t>
        </m:r>
      </m:oMath>
      <w:r>
        <w:rPr>
          <w:rFonts w:ascii="宋体" w:hAnsi="宋体" w:hint="eastAsia"/>
          <w:kern w:val="0"/>
          <w:sz w:val="24"/>
        </w:rPr>
        <w:t>1</w:t>
      </w:r>
      <w:r>
        <w:rPr>
          <w:rFonts w:ascii="宋体" w:hAnsi="宋体"/>
          <w:kern w:val="0"/>
          <w:sz w:val="24"/>
        </w:rPr>
        <w:t>0</w:t>
      </w:r>
      <w:r>
        <w:rPr>
          <w:rFonts w:ascii="宋体" w:hAnsi="宋体"/>
          <w:kern w:val="0"/>
          <w:sz w:val="24"/>
          <w:vertAlign w:val="superscript"/>
        </w:rPr>
        <w:t>8</w:t>
      </w:r>
      <w:r>
        <w:rPr>
          <w:rFonts w:ascii="宋体" w:hAnsi="宋体" w:hint="eastAsia"/>
          <w:kern w:val="0"/>
          <w:sz w:val="24"/>
        </w:rPr>
        <w:t>，同比增长7</w:t>
      </w:r>
      <w:r>
        <w:rPr>
          <w:rFonts w:ascii="宋体" w:hAnsi="宋体"/>
          <w:kern w:val="0"/>
          <w:sz w:val="24"/>
        </w:rPr>
        <w:t>.6</w:t>
      </w:r>
      <w:r>
        <w:rPr>
          <w:rFonts w:ascii="宋体" w:hAnsi="宋体" w:hint="eastAsia"/>
          <w:kern w:val="0"/>
          <w:sz w:val="24"/>
        </w:rPr>
        <w:t>％，其中：第一产业增加值1</w:t>
      </w:r>
      <w:r>
        <w:rPr>
          <w:rFonts w:ascii="宋体" w:hAnsi="宋体"/>
          <w:kern w:val="0"/>
          <w:sz w:val="24"/>
        </w:rPr>
        <w:t>5.43</w:t>
      </w:r>
      <m:oMath>
        <m:r>
          <w:rPr>
            <w:rFonts w:ascii="Cambria Math" w:hAnsi="Cambria Math"/>
            <w:kern w:val="0"/>
            <w:sz w:val="24"/>
          </w:rPr>
          <m:t>×</m:t>
        </m:r>
      </m:oMath>
      <w:r>
        <w:rPr>
          <w:rFonts w:ascii="宋体" w:hAnsi="宋体" w:hint="eastAsia"/>
          <w:kern w:val="0"/>
          <w:sz w:val="24"/>
        </w:rPr>
        <w:t>1</w:t>
      </w:r>
      <w:r>
        <w:rPr>
          <w:rFonts w:ascii="宋体" w:hAnsi="宋体"/>
          <w:kern w:val="0"/>
          <w:sz w:val="24"/>
        </w:rPr>
        <w:t>0</w:t>
      </w:r>
      <w:r>
        <w:rPr>
          <w:rFonts w:ascii="宋体" w:hAnsi="宋体"/>
          <w:kern w:val="0"/>
          <w:sz w:val="24"/>
          <w:vertAlign w:val="superscript"/>
        </w:rPr>
        <w:t>8</w:t>
      </w:r>
      <w:r>
        <w:rPr>
          <w:rFonts w:hint="eastAsia"/>
          <w:kern w:val="0"/>
          <w:sz w:val="24"/>
        </w:rPr>
        <w:t>元，同比增长</w:t>
      </w:r>
      <w:r>
        <w:rPr>
          <w:rFonts w:hint="eastAsia"/>
          <w:kern w:val="0"/>
          <w:sz w:val="24"/>
        </w:rPr>
        <w:t>5</w:t>
      </w:r>
      <w:r>
        <w:rPr>
          <w:kern w:val="0"/>
          <w:sz w:val="24"/>
        </w:rPr>
        <w:t>.7</w:t>
      </w:r>
      <w:r>
        <w:rPr>
          <w:rFonts w:ascii="宋体" w:hAnsi="宋体" w:hint="eastAsia"/>
          <w:kern w:val="0"/>
          <w:sz w:val="24"/>
        </w:rPr>
        <w:t>％</w:t>
      </w:r>
      <w:r>
        <w:rPr>
          <w:rFonts w:hint="eastAsia"/>
          <w:kern w:val="0"/>
          <w:sz w:val="24"/>
        </w:rPr>
        <w:t>；第二产业增加值</w:t>
      </w:r>
      <w:r>
        <w:rPr>
          <w:rFonts w:hint="eastAsia"/>
          <w:kern w:val="0"/>
          <w:sz w:val="24"/>
        </w:rPr>
        <w:t>1</w:t>
      </w:r>
      <w:r>
        <w:rPr>
          <w:kern w:val="0"/>
          <w:sz w:val="24"/>
        </w:rPr>
        <w:t>2.56</w:t>
      </w:r>
      <m:oMath>
        <m:r>
          <w:rPr>
            <w:rFonts w:ascii="Cambria Math" w:hAnsi="Cambria Math"/>
            <w:kern w:val="0"/>
            <w:sz w:val="24"/>
          </w:rPr>
          <m:t>×</m:t>
        </m:r>
      </m:oMath>
      <w:r>
        <w:rPr>
          <w:rFonts w:hint="eastAsia"/>
          <w:kern w:val="0"/>
          <w:sz w:val="24"/>
        </w:rPr>
        <w:t>1</w:t>
      </w:r>
      <w:r>
        <w:rPr>
          <w:kern w:val="0"/>
          <w:sz w:val="24"/>
        </w:rPr>
        <w:t>0</w:t>
      </w:r>
      <w:r>
        <w:rPr>
          <w:kern w:val="0"/>
          <w:sz w:val="24"/>
          <w:vertAlign w:val="superscript"/>
        </w:rPr>
        <w:t>8</w:t>
      </w:r>
      <w:r>
        <w:rPr>
          <w:rFonts w:hint="eastAsia"/>
          <w:kern w:val="0"/>
          <w:sz w:val="24"/>
        </w:rPr>
        <w:t>元，同比增长</w:t>
      </w:r>
      <w:r>
        <w:rPr>
          <w:rFonts w:hint="eastAsia"/>
          <w:kern w:val="0"/>
          <w:sz w:val="24"/>
        </w:rPr>
        <w:t>5</w:t>
      </w:r>
      <w:r>
        <w:rPr>
          <w:kern w:val="0"/>
          <w:sz w:val="24"/>
        </w:rPr>
        <w:t>.6</w:t>
      </w:r>
      <w:r>
        <w:rPr>
          <w:rFonts w:ascii="宋体" w:hAnsi="宋体" w:hint="eastAsia"/>
          <w:kern w:val="0"/>
          <w:sz w:val="24"/>
        </w:rPr>
        <w:t>％</w:t>
      </w:r>
      <w:r>
        <w:rPr>
          <w:rFonts w:hint="eastAsia"/>
          <w:kern w:val="0"/>
          <w:sz w:val="24"/>
        </w:rPr>
        <w:t>；第三产业增加值</w:t>
      </w:r>
      <w:r>
        <w:rPr>
          <w:rFonts w:hint="eastAsia"/>
          <w:kern w:val="0"/>
          <w:sz w:val="24"/>
        </w:rPr>
        <w:t>2</w:t>
      </w:r>
      <w:r>
        <w:rPr>
          <w:kern w:val="0"/>
          <w:sz w:val="24"/>
        </w:rPr>
        <w:t>2.15</w:t>
      </w:r>
      <m:oMath>
        <m:r>
          <w:rPr>
            <w:rFonts w:ascii="Cambria Math" w:hAnsi="Cambria Math"/>
            <w:kern w:val="0"/>
            <w:sz w:val="24"/>
          </w:rPr>
          <m:t>×</m:t>
        </m:r>
      </m:oMath>
      <w:r>
        <w:rPr>
          <w:rFonts w:hint="eastAsia"/>
          <w:kern w:val="0"/>
          <w:sz w:val="24"/>
        </w:rPr>
        <w:t>1</w:t>
      </w:r>
      <w:r>
        <w:rPr>
          <w:kern w:val="0"/>
          <w:sz w:val="24"/>
        </w:rPr>
        <w:t>0</w:t>
      </w:r>
      <w:r>
        <w:rPr>
          <w:kern w:val="0"/>
          <w:sz w:val="24"/>
          <w:vertAlign w:val="superscript"/>
        </w:rPr>
        <w:t>8</w:t>
      </w:r>
      <w:r>
        <w:rPr>
          <w:rFonts w:hint="eastAsia"/>
          <w:kern w:val="0"/>
          <w:sz w:val="24"/>
        </w:rPr>
        <w:t>元，同比增长</w:t>
      </w:r>
      <w:r>
        <w:rPr>
          <w:rFonts w:hint="eastAsia"/>
          <w:kern w:val="0"/>
          <w:sz w:val="24"/>
        </w:rPr>
        <w:t>1</w:t>
      </w:r>
      <w:r>
        <w:rPr>
          <w:kern w:val="0"/>
          <w:sz w:val="24"/>
        </w:rPr>
        <w:t>0.0</w:t>
      </w:r>
      <w:r>
        <w:rPr>
          <w:rFonts w:ascii="宋体" w:hAnsi="宋体" w:hint="eastAsia"/>
          <w:kern w:val="0"/>
          <w:sz w:val="24"/>
        </w:rPr>
        <w:t>％</w:t>
      </w:r>
      <w:r>
        <w:rPr>
          <w:rFonts w:hint="eastAsia"/>
          <w:kern w:val="0"/>
          <w:sz w:val="24"/>
        </w:rPr>
        <w:t>；人均国内生产总值</w:t>
      </w:r>
      <w:r>
        <w:rPr>
          <w:rFonts w:hint="eastAsia"/>
          <w:kern w:val="0"/>
          <w:sz w:val="24"/>
        </w:rPr>
        <w:t>3</w:t>
      </w:r>
      <w:r>
        <w:rPr>
          <w:kern w:val="0"/>
          <w:sz w:val="24"/>
        </w:rPr>
        <w:t>6815</w:t>
      </w:r>
      <w:r>
        <w:rPr>
          <w:rFonts w:hint="eastAsia"/>
          <w:kern w:val="0"/>
          <w:sz w:val="24"/>
        </w:rPr>
        <w:t>元，较上年增长</w:t>
      </w:r>
      <w:r>
        <w:rPr>
          <w:rFonts w:hint="eastAsia"/>
          <w:kern w:val="0"/>
          <w:sz w:val="24"/>
        </w:rPr>
        <w:t>7</w:t>
      </w:r>
      <w:r>
        <w:rPr>
          <w:kern w:val="0"/>
          <w:sz w:val="24"/>
        </w:rPr>
        <w:t>.3</w:t>
      </w:r>
      <w:r>
        <w:rPr>
          <w:rFonts w:ascii="宋体" w:hAnsi="宋体" w:hint="eastAsia"/>
          <w:kern w:val="0"/>
          <w:sz w:val="24"/>
        </w:rPr>
        <w:t>％</w:t>
      </w:r>
      <w:r>
        <w:rPr>
          <w:rFonts w:hint="eastAsia"/>
          <w:kern w:val="0"/>
          <w:sz w:val="24"/>
        </w:rPr>
        <w:t>。单位</w:t>
      </w:r>
      <w:r>
        <w:rPr>
          <w:rFonts w:hint="eastAsia"/>
          <w:kern w:val="0"/>
          <w:sz w:val="24"/>
        </w:rPr>
        <w:t>G</w:t>
      </w:r>
      <w:r>
        <w:rPr>
          <w:kern w:val="0"/>
          <w:sz w:val="24"/>
        </w:rPr>
        <w:t>DP</w:t>
      </w:r>
      <w:r>
        <w:rPr>
          <w:rFonts w:hint="eastAsia"/>
          <w:kern w:val="0"/>
          <w:sz w:val="24"/>
        </w:rPr>
        <w:t>综合能耗比上年降低</w:t>
      </w:r>
      <w:r>
        <w:rPr>
          <w:rFonts w:hint="eastAsia"/>
          <w:kern w:val="0"/>
          <w:sz w:val="24"/>
        </w:rPr>
        <w:t>8</w:t>
      </w:r>
      <w:r>
        <w:rPr>
          <w:kern w:val="0"/>
          <w:sz w:val="24"/>
        </w:rPr>
        <w:t>.9</w:t>
      </w:r>
      <w:r>
        <w:rPr>
          <w:rFonts w:ascii="宋体" w:hAnsi="宋体" w:hint="eastAsia"/>
          <w:kern w:val="0"/>
          <w:sz w:val="24"/>
        </w:rPr>
        <w:t>％</w:t>
      </w:r>
      <w:r>
        <w:rPr>
          <w:rFonts w:hint="eastAsia"/>
          <w:kern w:val="0"/>
          <w:sz w:val="24"/>
        </w:rPr>
        <w:t>。</w:t>
      </w:r>
    </w:p>
    <w:p w:rsidR="009C5C1F" w:rsidRDefault="004D2E0D" w:rsidP="009135C6">
      <w:pPr>
        <w:spacing w:line="480" w:lineRule="atLeast"/>
        <w:ind w:firstLineChars="182" w:firstLine="437"/>
        <w:rPr>
          <w:kern w:val="0"/>
          <w:sz w:val="24"/>
        </w:rPr>
      </w:pPr>
      <w:r>
        <w:rPr>
          <w:rFonts w:hint="eastAsia"/>
          <w:kern w:val="0"/>
          <w:sz w:val="24"/>
        </w:rPr>
        <w:t>县境内矿藏资源主要有石膏、煤、铁、钛、锰、石英、白云岩、</w:t>
      </w:r>
      <w:proofErr w:type="gramStart"/>
      <w:r>
        <w:rPr>
          <w:rFonts w:hint="eastAsia"/>
          <w:kern w:val="0"/>
          <w:sz w:val="24"/>
        </w:rPr>
        <w:t>凹凸棒石等</w:t>
      </w:r>
      <w:proofErr w:type="gramEnd"/>
      <w:r>
        <w:rPr>
          <w:rFonts w:hint="eastAsia"/>
          <w:kern w:val="0"/>
          <w:sz w:val="24"/>
        </w:rPr>
        <w:t>，其中石膏储量大，质量优。</w:t>
      </w:r>
    </w:p>
    <w:p w:rsidR="009C5C1F" w:rsidRDefault="004D2E0D" w:rsidP="009135C6">
      <w:pPr>
        <w:spacing w:line="480" w:lineRule="atLeast"/>
        <w:ind w:firstLineChars="182" w:firstLine="437"/>
        <w:rPr>
          <w:kern w:val="0"/>
          <w:sz w:val="24"/>
        </w:rPr>
      </w:pPr>
      <w:r>
        <w:rPr>
          <w:rFonts w:hint="eastAsia"/>
          <w:kern w:val="0"/>
          <w:sz w:val="24"/>
        </w:rPr>
        <w:t>临泽县依托本地资源优势，目前已形成以制种、番茄、草畜、红枣为主的特色产业格局，种子加工、玉米深加工、番茄加工、草畜产品加工、水电资源和矿产品开发为主的地方工业体系正在蓬勃发展，全面拉动了全县工业经济的发展，增加了财政收入。矿区范围内无居民点及耕地。</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13" w:name="_Toc511226467"/>
      <w:bookmarkStart w:id="914" w:name="_Toc70589850"/>
      <w:bookmarkStart w:id="915" w:name="_Toc153130777"/>
      <w:r>
        <w:rPr>
          <w:rFonts w:eastAsia="黑体" w:hint="eastAsia"/>
          <w:b/>
          <w:bCs/>
          <w:sz w:val="28"/>
          <w:szCs w:val="30"/>
        </w:rPr>
        <w:t>四、矿区土地利用现状</w:t>
      </w:r>
      <w:bookmarkEnd w:id="913"/>
      <w:bookmarkEnd w:id="914"/>
      <w:bookmarkEnd w:id="915"/>
    </w:p>
    <w:p w:rsidR="009C5C1F" w:rsidRDefault="004D2E0D">
      <w:pPr>
        <w:suppressAutoHyphens/>
        <w:wordWrap w:val="0"/>
        <w:topLinePunct/>
        <w:adjustRightInd w:val="0"/>
        <w:snapToGrid w:val="0"/>
        <w:spacing w:line="360" w:lineRule="auto"/>
        <w:ind w:firstLineChars="200" w:firstLine="480"/>
        <w:rPr>
          <w:sz w:val="24"/>
        </w:rPr>
      </w:pPr>
      <w:r>
        <w:rPr>
          <w:rFonts w:hint="eastAsia"/>
          <w:bCs/>
          <w:sz w:val="24"/>
        </w:rPr>
        <w:t>根据第二次土地调查及实地踏勘，</w:t>
      </w:r>
      <w:r>
        <w:rPr>
          <w:bCs/>
          <w:sz w:val="24"/>
        </w:rPr>
        <w:t>矿区采矿权范围内土地类型</w:t>
      </w:r>
      <w:proofErr w:type="gramStart"/>
      <w:r>
        <w:rPr>
          <w:bCs/>
          <w:sz w:val="24"/>
        </w:rPr>
        <w:t>主要</w:t>
      </w:r>
      <w:r>
        <w:rPr>
          <w:rFonts w:hint="eastAsia"/>
          <w:bCs/>
          <w:sz w:val="24"/>
        </w:rPr>
        <w:t>为裸土地</w:t>
      </w:r>
      <w:proofErr w:type="gramEnd"/>
      <w:r>
        <w:rPr>
          <w:rFonts w:hint="eastAsia"/>
          <w:bCs/>
          <w:sz w:val="24"/>
        </w:rPr>
        <w:t>（</w:t>
      </w:r>
      <w:r>
        <w:rPr>
          <w:rFonts w:hint="eastAsia"/>
          <w:bCs/>
          <w:sz w:val="24"/>
        </w:rPr>
        <w:t>120</w:t>
      </w:r>
      <w:r>
        <w:rPr>
          <w:bCs/>
          <w:sz w:val="24"/>
        </w:rPr>
        <w:t>6</w:t>
      </w:r>
      <w:r>
        <w:rPr>
          <w:rFonts w:hint="eastAsia"/>
          <w:bCs/>
          <w:sz w:val="24"/>
        </w:rPr>
        <w:t>）</w:t>
      </w:r>
      <w:r>
        <w:rPr>
          <w:bCs/>
          <w:sz w:val="24"/>
        </w:rPr>
        <w:t>。</w:t>
      </w:r>
      <w:r>
        <w:rPr>
          <w:sz w:val="24"/>
        </w:rPr>
        <w:t>该矿山为一</w:t>
      </w:r>
      <w:r>
        <w:rPr>
          <w:rFonts w:hint="eastAsia"/>
          <w:sz w:val="24"/>
        </w:rPr>
        <w:t>新建</w:t>
      </w:r>
      <w:r>
        <w:rPr>
          <w:sz w:val="24"/>
        </w:rPr>
        <w:t>矿山，</w:t>
      </w:r>
      <w:r>
        <w:rPr>
          <w:rFonts w:hint="eastAsia"/>
          <w:sz w:val="24"/>
        </w:rPr>
        <w:t>为了办理</w:t>
      </w:r>
      <w:r>
        <w:rPr>
          <w:sz w:val="24"/>
        </w:rPr>
        <w:t>采矿许可证</w:t>
      </w:r>
      <w:r>
        <w:rPr>
          <w:rFonts w:hint="eastAsia"/>
          <w:sz w:val="24"/>
        </w:rPr>
        <w:t>，</w:t>
      </w:r>
      <w:r>
        <w:rPr>
          <w:sz w:val="24"/>
        </w:rPr>
        <w:t>现正在按自然资源管理部门规定办理相关事宜。</w:t>
      </w:r>
    </w:p>
    <w:p w:rsidR="009C5C1F" w:rsidRDefault="004D2E0D">
      <w:pPr>
        <w:suppressAutoHyphens/>
        <w:wordWrap w:val="0"/>
        <w:topLinePunct/>
        <w:adjustRightInd w:val="0"/>
        <w:snapToGrid w:val="0"/>
        <w:spacing w:line="360" w:lineRule="auto"/>
        <w:ind w:firstLineChars="200" w:firstLine="480"/>
        <w:rPr>
          <w:bCs/>
          <w:sz w:val="24"/>
        </w:rPr>
      </w:pPr>
      <w:r>
        <w:rPr>
          <w:rFonts w:hint="eastAsia"/>
          <w:bCs/>
          <w:sz w:val="24"/>
        </w:rPr>
        <w:t>矿区总面积为</w:t>
      </w:r>
      <w:r>
        <w:rPr>
          <w:bCs/>
          <w:sz w:val="24"/>
        </w:rPr>
        <w:t>35hm</w:t>
      </w:r>
      <w:r>
        <w:rPr>
          <w:bCs/>
          <w:sz w:val="24"/>
          <w:vertAlign w:val="superscript"/>
        </w:rPr>
        <w:t>2</w:t>
      </w:r>
      <w:r>
        <w:rPr>
          <w:rFonts w:hint="eastAsia"/>
          <w:bCs/>
          <w:sz w:val="24"/>
        </w:rPr>
        <w:t>，土地利用现状详见表</w:t>
      </w:r>
      <w:r>
        <w:rPr>
          <w:bCs/>
          <w:sz w:val="24"/>
        </w:rPr>
        <w:t>2-1</w:t>
      </w:r>
      <w:r>
        <w:rPr>
          <w:rFonts w:hint="eastAsia"/>
          <w:bCs/>
          <w:sz w:val="24"/>
        </w:rPr>
        <w:t>。</w:t>
      </w:r>
    </w:p>
    <w:p w:rsidR="009C5C1F" w:rsidRDefault="004D2E0D">
      <w:pPr>
        <w:suppressAutoHyphens/>
        <w:wordWrap w:val="0"/>
        <w:topLinePunct/>
        <w:spacing w:beforeLines="50" w:before="120" w:afterLines="50" w:after="120"/>
        <w:jc w:val="center"/>
        <w:rPr>
          <w:b/>
          <w:bCs/>
          <w:sz w:val="24"/>
        </w:rPr>
      </w:pPr>
      <w:r>
        <w:rPr>
          <w:rFonts w:hint="eastAsia"/>
          <w:b/>
          <w:bCs/>
          <w:sz w:val="24"/>
        </w:rPr>
        <w:t>表</w:t>
      </w:r>
      <w:r>
        <w:rPr>
          <w:b/>
          <w:bCs/>
          <w:sz w:val="24"/>
        </w:rPr>
        <w:t>2-1</w:t>
      </w:r>
      <w:r>
        <w:rPr>
          <w:rFonts w:hint="eastAsia"/>
          <w:b/>
          <w:bCs/>
          <w:sz w:val="24"/>
        </w:rPr>
        <w:t xml:space="preserve">           </w:t>
      </w:r>
      <w:r>
        <w:rPr>
          <w:rFonts w:hint="eastAsia"/>
          <w:b/>
          <w:bCs/>
          <w:sz w:val="24"/>
        </w:rPr>
        <w:t>矿区土地利用现状表</w:t>
      </w:r>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920"/>
        <w:gridCol w:w="825"/>
        <w:gridCol w:w="1265"/>
        <w:gridCol w:w="993"/>
        <w:gridCol w:w="1316"/>
        <w:gridCol w:w="980"/>
        <w:gridCol w:w="1117"/>
      </w:tblGrid>
      <w:tr w:rsidR="009C5C1F">
        <w:trPr>
          <w:trHeight w:val="340"/>
        </w:trPr>
        <w:tc>
          <w:tcPr>
            <w:tcW w:w="1634" w:type="dxa"/>
            <w:vAlign w:val="center"/>
          </w:tcPr>
          <w:p w:rsidR="009C5C1F" w:rsidRDefault="009C5C1F">
            <w:pPr>
              <w:spacing w:line="240" w:lineRule="atLeast"/>
              <w:jc w:val="center"/>
              <w:rPr>
                <w:kern w:val="0"/>
                <w:sz w:val="18"/>
                <w:szCs w:val="18"/>
              </w:rPr>
            </w:pPr>
          </w:p>
        </w:tc>
        <w:tc>
          <w:tcPr>
            <w:tcW w:w="920" w:type="dxa"/>
            <w:vAlign w:val="center"/>
          </w:tcPr>
          <w:p w:rsidR="009C5C1F" w:rsidRDefault="004D2E0D">
            <w:pPr>
              <w:widowControl/>
              <w:spacing w:line="240" w:lineRule="atLeast"/>
              <w:jc w:val="center"/>
              <w:rPr>
                <w:kern w:val="0"/>
                <w:sz w:val="18"/>
                <w:szCs w:val="18"/>
              </w:rPr>
            </w:pPr>
            <w:r>
              <w:rPr>
                <w:rFonts w:hAnsi="宋体"/>
                <w:kern w:val="0"/>
                <w:sz w:val="18"/>
                <w:szCs w:val="18"/>
              </w:rPr>
              <w:t>土地</w:t>
            </w:r>
          </w:p>
          <w:p w:rsidR="009C5C1F" w:rsidRDefault="004D2E0D">
            <w:pPr>
              <w:widowControl/>
              <w:spacing w:line="240" w:lineRule="atLeast"/>
              <w:jc w:val="center"/>
              <w:rPr>
                <w:kern w:val="0"/>
                <w:sz w:val="18"/>
                <w:szCs w:val="18"/>
              </w:rPr>
            </w:pPr>
            <w:r>
              <w:rPr>
                <w:rFonts w:hAnsi="宋体"/>
                <w:kern w:val="0"/>
                <w:sz w:val="18"/>
                <w:szCs w:val="18"/>
              </w:rPr>
              <w:t>权属</w:t>
            </w:r>
          </w:p>
        </w:tc>
        <w:tc>
          <w:tcPr>
            <w:tcW w:w="2090" w:type="dxa"/>
            <w:gridSpan w:val="2"/>
            <w:vAlign w:val="center"/>
          </w:tcPr>
          <w:p w:rsidR="009C5C1F" w:rsidRDefault="004D2E0D">
            <w:pPr>
              <w:widowControl/>
              <w:spacing w:line="240" w:lineRule="atLeast"/>
              <w:jc w:val="center"/>
              <w:rPr>
                <w:kern w:val="0"/>
                <w:sz w:val="18"/>
                <w:szCs w:val="18"/>
              </w:rPr>
            </w:pPr>
            <w:r>
              <w:rPr>
                <w:rFonts w:hAnsi="宋体"/>
                <w:kern w:val="0"/>
                <w:sz w:val="18"/>
                <w:szCs w:val="18"/>
              </w:rPr>
              <w:t>一级类</w:t>
            </w:r>
          </w:p>
        </w:tc>
        <w:tc>
          <w:tcPr>
            <w:tcW w:w="2309" w:type="dxa"/>
            <w:gridSpan w:val="2"/>
            <w:vAlign w:val="center"/>
          </w:tcPr>
          <w:p w:rsidR="009C5C1F" w:rsidRDefault="004D2E0D">
            <w:pPr>
              <w:spacing w:line="240" w:lineRule="atLeast"/>
              <w:jc w:val="center"/>
              <w:rPr>
                <w:kern w:val="0"/>
                <w:sz w:val="18"/>
                <w:szCs w:val="18"/>
              </w:rPr>
            </w:pPr>
            <w:r>
              <w:rPr>
                <w:rFonts w:hAnsi="宋体"/>
                <w:kern w:val="0"/>
                <w:sz w:val="18"/>
                <w:szCs w:val="18"/>
              </w:rPr>
              <w:t>二级类</w:t>
            </w:r>
          </w:p>
        </w:tc>
        <w:tc>
          <w:tcPr>
            <w:tcW w:w="980" w:type="dxa"/>
            <w:vMerge w:val="restart"/>
            <w:vAlign w:val="center"/>
          </w:tcPr>
          <w:p w:rsidR="009C5C1F" w:rsidRDefault="004D2E0D">
            <w:pPr>
              <w:widowControl/>
              <w:spacing w:line="240" w:lineRule="atLeast"/>
              <w:jc w:val="center"/>
              <w:rPr>
                <w:kern w:val="0"/>
                <w:sz w:val="18"/>
                <w:szCs w:val="18"/>
              </w:rPr>
            </w:pPr>
            <w:r>
              <w:rPr>
                <w:rFonts w:hAnsi="宋体"/>
                <w:kern w:val="0"/>
                <w:sz w:val="18"/>
                <w:szCs w:val="18"/>
              </w:rPr>
              <w:t>面积（</w:t>
            </w:r>
            <w:r>
              <w:rPr>
                <w:kern w:val="0"/>
                <w:sz w:val="18"/>
                <w:szCs w:val="18"/>
              </w:rPr>
              <w:t>hm</w:t>
            </w:r>
            <w:r>
              <w:rPr>
                <w:kern w:val="0"/>
                <w:sz w:val="18"/>
                <w:szCs w:val="18"/>
                <w:vertAlign w:val="superscript"/>
              </w:rPr>
              <w:t>2</w:t>
            </w:r>
            <w:r>
              <w:rPr>
                <w:rFonts w:hAnsi="宋体"/>
                <w:kern w:val="0"/>
                <w:sz w:val="18"/>
                <w:szCs w:val="18"/>
              </w:rPr>
              <w:t>）</w:t>
            </w:r>
          </w:p>
        </w:tc>
        <w:tc>
          <w:tcPr>
            <w:tcW w:w="1117" w:type="dxa"/>
            <w:vMerge w:val="restart"/>
            <w:vAlign w:val="center"/>
          </w:tcPr>
          <w:p w:rsidR="009C5C1F" w:rsidRDefault="004D2E0D">
            <w:pPr>
              <w:widowControl/>
              <w:spacing w:line="240" w:lineRule="atLeast"/>
              <w:jc w:val="center"/>
              <w:rPr>
                <w:kern w:val="0"/>
                <w:sz w:val="18"/>
                <w:szCs w:val="18"/>
              </w:rPr>
            </w:pPr>
            <w:r>
              <w:rPr>
                <w:rFonts w:hAnsi="宋体"/>
                <w:kern w:val="0"/>
                <w:sz w:val="18"/>
                <w:szCs w:val="18"/>
              </w:rPr>
              <w:t>占总面积比例</w:t>
            </w:r>
            <w:r>
              <w:rPr>
                <w:kern w:val="0"/>
                <w:sz w:val="18"/>
                <w:szCs w:val="18"/>
              </w:rPr>
              <w:t>(%)</w:t>
            </w:r>
          </w:p>
        </w:tc>
      </w:tr>
      <w:tr w:rsidR="009C5C1F">
        <w:trPr>
          <w:trHeight w:val="340"/>
        </w:trPr>
        <w:tc>
          <w:tcPr>
            <w:tcW w:w="1634" w:type="dxa"/>
            <w:vMerge w:val="restart"/>
            <w:vAlign w:val="center"/>
          </w:tcPr>
          <w:p w:rsidR="009C5C1F" w:rsidRDefault="004D2E0D">
            <w:pPr>
              <w:spacing w:line="240" w:lineRule="atLeast"/>
              <w:jc w:val="center"/>
              <w:rPr>
                <w:kern w:val="0"/>
                <w:sz w:val="18"/>
                <w:szCs w:val="18"/>
              </w:rPr>
            </w:pPr>
            <w:r>
              <w:rPr>
                <w:rFonts w:hAnsi="宋体"/>
                <w:sz w:val="18"/>
                <w:szCs w:val="18"/>
              </w:rPr>
              <w:t>甘肃省</w:t>
            </w:r>
            <w:r>
              <w:rPr>
                <w:rFonts w:hAnsi="宋体" w:hint="eastAsia"/>
                <w:sz w:val="18"/>
                <w:szCs w:val="18"/>
              </w:rPr>
              <w:t>临泽县板桥</w:t>
            </w:r>
            <w:proofErr w:type="gramStart"/>
            <w:r>
              <w:rPr>
                <w:rFonts w:hAnsi="宋体" w:hint="eastAsia"/>
                <w:sz w:val="18"/>
                <w:szCs w:val="18"/>
              </w:rPr>
              <w:t>镇壕洼村</w:t>
            </w:r>
            <w:proofErr w:type="gramEnd"/>
            <w:r>
              <w:rPr>
                <w:rFonts w:hint="eastAsia"/>
                <w:sz w:val="18"/>
                <w:szCs w:val="18"/>
              </w:rPr>
              <w:t>正北山西侧砖瓦用粘土矿</w:t>
            </w:r>
          </w:p>
        </w:tc>
        <w:tc>
          <w:tcPr>
            <w:tcW w:w="920" w:type="dxa"/>
            <w:vMerge w:val="restart"/>
            <w:vAlign w:val="center"/>
          </w:tcPr>
          <w:p w:rsidR="009C5C1F" w:rsidRDefault="004D2E0D">
            <w:pPr>
              <w:spacing w:line="240" w:lineRule="atLeast"/>
              <w:jc w:val="center"/>
              <w:rPr>
                <w:sz w:val="18"/>
                <w:szCs w:val="18"/>
              </w:rPr>
            </w:pPr>
            <w:r>
              <w:rPr>
                <w:rFonts w:hAnsi="宋体"/>
                <w:sz w:val="18"/>
                <w:szCs w:val="18"/>
              </w:rPr>
              <w:t>国有</w:t>
            </w:r>
          </w:p>
          <w:p w:rsidR="009C5C1F" w:rsidRDefault="004D2E0D">
            <w:pPr>
              <w:spacing w:line="240" w:lineRule="atLeast"/>
              <w:jc w:val="center"/>
              <w:rPr>
                <w:kern w:val="0"/>
                <w:sz w:val="18"/>
                <w:szCs w:val="18"/>
              </w:rPr>
            </w:pPr>
            <w:r>
              <w:rPr>
                <w:rFonts w:hAnsi="宋体"/>
                <w:sz w:val="18"/>
                <w:szCs w:val="18"/>
              </w:rPr>
              <w:t>土地</w:t>
            </w:r>
          </w:p>
        </w:tc>
        <w:tc>
          <w:tcPr>
            <w:tcW w:w="825" w:type="dxa"/>
            <w:vAlign w:val="center"/>
          </w:tcPr>
          <w:p w:rsidR="009C5C1F" w:rsidRDefault="004D2E0D">
            <w:pPr>
              <w:spacing w:line="240" w:lineRule="atLeast"/>
              <w:jc w:val="center"/>
              <w:rPr>
                <w:kern w:val="0"/>
                <w:sz w:val="18"/>
                <w:szCs w:val="18"/>
              </w:rPr>
            </w:pPr>
            <w:r>
              <w:rPr>
                <w:rFonts w:hAnsi="宋体"/>
                <w:kern w:val="0"/>
                <w:sz w:val="18"/>
                <w:szCs w:val="18"/>
              </w:rPr>
              <w:t>地类</w:t>
            </w:r>
          </w:p>
          <w:p w:rsidR="009C5C1F" w:rsidRDefault="004D2E0D">
            <w:pPr>
              <w:spacing w:line="240" w:lineRule="atLeast"/>
              <w:jc w:val="center"/>
              <w:rPr>
                <w:kern w:val="0"/>
                <w:sz w:val="18"/>
                <w:szCs w:val="18"/>
              </w:rPr>
            </w:pPr>
            <w:r>
              <w:rPr>
                <w:rFonts w:hAnsi="宋体"/>
                <w:kern w:val="0"/>
                <w:sz w:val="18"/>
                <w:szCs w:val="18"/>
              </w:rPr>
              <w:t>编号</w:t>
            </w:r>
          </w:p>
        </w:tc>
        <w:tc>
          <w:tcPr>
            <w:tcW w:w="1265" w:type="dxa"/>
            <w:vAlign w:val="center"/>
          </w:tcPr>
          <w:p w:rsidR="009C5C1F" w:rsidRDefault="004D2E0D">
            <w:pPr>
              <w:spacing w:line="240" w:lineRule="atLeast"/>
              <w:jc w:val="center"/>
              <w:rPr>
                <w:kern w:val="0"/>
                <w:sz w:val="18"/>
                <w:szCs w:val="18"/>
              </w:rPr>
            </w:pPr>
            <w:r>
              <w:rPr>
                <w:rFonts w:hAnsi="宋体"/>
                <w:kern w:val="0"/>
                <w:sz w:val="18"/>
                <w:szCs w:val="18"/>
              </w:rPr>
              <w:t>地类名称</w:t>
            </w:r>
          </w:p>
        </w:tc>
        <w:tc>
          <w:tcPr>
            <w:tcW w:w="993" w:type="dxa"/>
            <w:vAlign w:val="center"/>
          </w:tcPr>
          <w:p w:rsidR="009C5C1F" w:rsidRDefault="004D2E0D">
            <w:pPr>
              <w:spacing w:line="240" w:lineRule="atLeast"/>
              <w:jc w:val="center"/>
              <w:rPr>
                <w:kern w:val="0"/>
                <w:sz w:val="18"/>
                <w:szCs w:val="18"/>
              </w:rPr>
            </w:pPr>
            <w:r>
              <w:rPr>
                <w:rFonts w:hAnsi="宋体"/>
                <w:kern w:val="0"/>
                <w:sz w:val="18"/>
                <w:szCs w:val="18"/>
              </w:rPr>
              <w:t>地类</w:t>
            </w:r>
          </w:p>
          <w:p w:rsidR="009C5C1F" w:rsidRDefault="004D2E0D">
            <w:pPr>
              <w:spacing w:line="240" w:lineRule="atLeast"/>
              <w:jc w:val="center"/>
              <w:rPr>
                <w:kern w:val="0"/>
                <w:sz w:val="18"/>
                <w:szCs w:val="18"/>
              </w:rPr>
            </w:pPr>
            <w:r>
              <w:rPr>
                <w:rFonts w:hAnsi="宋体"/>
                <w:kern w:val="0"/>
                <w:sz w:val="18"/>
                <w:szCs w:val="18"/>
              </w:rPr>
              <w:t>编号</w:t>
            </w:r>
          </w:p>
        </w:tc>
        <w:tc>
          <w:tcPr>
            <w:tcW w:w="1316" w:type="dxa"/>
            <w:vAlign w:val="center"/>
          </w:tcPr>
          <w:p w:rsidR="009C5C1F" w:rsidRDefault="004D2E0D">
            <w:pPr>
              <w:spacing w:line="240" w:lineRule="atLeast"/>
              <w:jc w:val="center"/>
              <w:rPr>
                <w:kern w:val="0"/>
                <w:sz w:val="18"/>
                <w:szCs w:val="18"/>
              </w:rPr>
            </w:pPr>
            <w:r>
              <w:rPr>
                <w:rFonts w:hAnsi="宋体"/>
                <w:kern w:val="0"/>
                <w:sz w:val="18"/>
                <w:szCs w:val="18"/>
              </w:rPr>
              <w:t>地类名称</w:t>
            </w:r>
          </w:p>
        </w:tc>
        <w:tc>
          <w:tcPr>
            <w:tcW w:w="980" w:type="dxa"/>
            <w:vMerge/>
            <w:vAlign w:val="center"/>
          </w:tcPr>
          <w:p w:rsidR="009C5C1F" w:rsidRDefault="009C5C1F">
            <w:pPr>
              <w:widowControl/>
              <w:spacing w:line="240" w:lineRule="atLeast"/>
              <w:jc w:val="center"/>
              <w:rPr>
                <w:kern w:val="0"/>
                <w:sz w:val="18"/>
                <w:szCs w:val="18"/>
              </w:rPr>
            </w:pPr>
          </w:p>
        </w:tc>
        <w:tc>
          <w:tcPr>
            <w:tcW w:w="1117" w:type="dxa"/>
            <w:vMerge/>
            <w:vAlign w:val="center"/>
          </w:tcPr>
          <w:p w:rsidR="009C5C1F" w:rsidRDefault="009C5C1F">
            <w:pPr>
              <w:widowControl/>
              <w:spacing w:line="240" w:lineRule="atLeast"/>
              <w:jc w:val="center"/>
              <w:rPr>
                <w:kern w:val="0"/>
                <w:sz w:val="18"/>
                <w:szCs w:val="18"/>
              </w:rPr>
            </w:pPr>
          </w:p>
        </w:tc>
      </w:tr>
      <w:tr w:rsidR="009C5C1F">
        <w:trPr>
          <w:trHeight w:val="340"/>
        </w:trPr>
        <w:tc>
          <w:tcPr>
            <w:tcW w:w="1634" w:type="dxa"/>
            <w:vMerge/>
            <w:vAlign w:val="center"/>
          </w:tcPr>
          <w:p w:rsidR="009C5C1F" w:rsidRDefault="009C5C1F">
            <w:pPr>
              <w:spacing w:line="240" w:lineRule="atLeast"/>
              <w:jc w:val="center"/>
              <w:rPr>
                <w:kern w:val="0"/>
                <w:sz w:val="18"/>
                <w:szCs w:val="18"/>
              </w:rPr>
            </w:pPr>
          </w:p>
        </w:tc>
        <w:tc>
          <w:tcPr>
            <w:tcW w:w="920" w:type="dxa"/>
            <w:vMerge/>
            <w:vAlign w:val="center"/>
          </w:tcPr>
          <w:p w:rsidR="009C5C1F" w:rsidRDefault="009C5C1F">
            <w:pPr>
              <w:spacing w:line="240" w:lineRule="atLeast"/>
              <w:jc w:val="center"/>
              <w:rPr>
                <w:kern w:val="0"/>
                <w:sz w:val="18"/>
                <w:szCs w:val="18"/>
              </w:rPr>
            </w:pPr>
          </w:p>
        </w:tc>
        <w:tc>
          <w:tcPr>
            <w:tcW w:w="825" w:type="dxa"/>
            <w:vAlign w:val="center"/>
          </w:tcPr>
          <w:p w:rsidR="009C5C1F" w:rsidRDefault="004D2E0D">
            <w:pPr>
              <w:spacing w:line="240" w:lineRule="atLeast"/>
              <w:jc w:val="center"/>
              <w:rPr>
                <w:kern w:val="0"/>
                <w:sz w:val="18"/>
                <w:szCs w:val="18"/>
              </w:rPr>
            </w:pPr>
            <w:r>
              <w:rPr>
                <w:kern w:val="0"/>
                <w:sz w:val="18"/>
                <w:szCs w:val="18"/>
              </w:rPr>
              <w:t>12</w:t>
            </w:r>
          </w:p>
        </w:tc>
        <w:tc>
          <w:tcPr>
            <w:tcW w:w="1265" w:type="dxa"/>
            <w:vAlign w:val="center"/>
          </w:tcPr>
          <w:p w:rsidR="009C5C1F" w:rsidRDefault="004D2E0D">
            <w:pPr>
              <w:spacing w:line="240" w:lineRule="atLeast"/>
              <w:jc w:val="center"/>
              <w:rPr>
                <w:rFonts w:hAnsi="宋体"/>
                <w:kern w:val="0"/>
                <w:sz w:val="18"/>
                <w:szCs w:val="18"/>
              </w:rPr>
            </w:pPr>
            <w:r>
              <w:rPr>
                <w:rFonts w:hAnsi="宋体"/>
                <w:kern w:val="0"/>
                <w:sz w:val="18"/>
                <w:szCs w:val="18"/>
              </w:rPr>
              <w:t>其它土地</w:t>
            </w:r>
          </w:p>
        </w:tc>
        <w:tc>
          <w:tcPr>
            <w:tcW w:w="993" w:type="dxa"/>
            <w:vAlign w:val="center"/>
          </w:tcPr>
          <w:p w:rsidR="009C5C1F" w:rsidRDefault="004D2E0D">
            <w:pPr>
              <w:spacing w:line="240" w:lineRule="atLeast"/>
              <w:jc w:val="center"/>
              <w:rPr>
                <w:kern w:val="0"/>
                <w:sz w:val="18"/>
                <w:szCs w:val="18"/>
              </w:rPr>
            </w:pPr>
            <w:r>
              <w:rPr>
                <w:kern w:val="0"/>
                <w:sz w:val="18"/>
                <w:szCs w:val="18"/>
              </w:rPr>
              <w:t>12</w:t>
            </w:r>
            <w:r>
              <w:rPr>
                <w:rFonts w:hint="eastAsia"/>
                <w:kern w:val="0"/>
                <w:sz w:val="18"/>
                <w:szCs w:val="18"/>
              </w:rPr>
              <w:t>0</w:t>
            </w:r>
            <w:r>
              <w:rPr>
                <w:kern w:val="0"/>
                <w:sz w:val="18"/>
                <w:szCs w:val="18"/>
              </w:rPr>
              <w:t>6</w:t>
            </w:r>
          </w:p>
        </w:tc>
        <w:tc>
          <w:tcPr>
            <w:tcW w:w="1316" w:type="dxa"/>
            <w:vAlign w:val="center"/>
          </w:tcPr>
          <w:p w:rsidR="009C5C1F" w:rsidRDefault="004D2E0D">
            <w:pPr>
              <w:spacing w:line="240" w:lineRule="atLeast"/>
              <w:jc w:val="center"/>
              <w:rPr>
                <w:rFonts w:hAnsi="宋体"/>
                <w:kern w:val="0"/>
                <w:sz w:val="18"/>
                <w:szCs w:val="18"/>
              </w:rPr>
            </w:pPr>
            <w:proofErr w:type="gramStart"/>
            <w:r>
              <w:rPr>
                <w:rFonts w:hAnsi="宋体"/>
                <w:kern w:val="0"/>
                <w:sz w:val="18"/>
                <w:szCs w:val="18"/>
              </w:rPr>
              <w:t>裸</w:t>
            </w:r>
            <w:proofErr w:type="gramEnd"/>
            <w:r>
              <w:rPr>
                <w:rFonts w:hAnsi="宋体" w:hint="eastAsia"/>
                <w:kern w:val="0"/>
                <w:sz w:val="18"/>
                <w:szCs w:val="18"/>
              </w:rPr>
              <w:t>土</w:t>
            </w:r>
            <w:r>
              <w:rPr>
                <w:rFonts w:hAnsi="宋体"/>
                <w:kern w:val="0"/>
                <w:sz w:val="18"/>
                <w:szCs w:val="18"/>
              </w:rPr>
              <w:t>地</w:t>
            </w:r>
          </w:p>
        </w:tc>
        <w:tc>
          <w:tcPr>
            <w:tcW w:w="980" w:type="dxa"/>
            <w:vAlign w:val="center"/>
          </w:tcPr>
          <w:p w:rsidR="009C5C1F" w:rsidRDefault="004D2E0D">
            <w:pPr>
              <w:spacing w:line="240" w:lineRule="atLeast"/>
              <w:jc w:val="center"/>
              <w:rPr>
                <w:kern w:val="0"/>
                <w:sz w:val="18"/>
                <w:szCs w:val="18"/>
                <w:lang w:val="zh-CN"/>
              </w:rPr>
            </w:pPr>
            <w:r>
              <w:rPr>
                <w:kern w:val="0"/>
                <w:sz w:val="18"/>
                <w:szCs w:val="18"/>
                <w:lang w:val="zh-CN"/>
              </w:rPr>
              <w:t>35</w:t>
            </w:r>
          </w:p>
        </w:tc>
        <w:tc>
          <w:tcPr>
            <w:tcW w:w="1117" w:type="dxa"/>
            <w:vAlign w:val="center"/>
          </w:tcPr>
          <w:p w:rsidR="009C5C1F" w:rsidRDefault="004D2E0D">
            <w:pPr>
              <w:spacing w:line="240" w:lineRule="atLeast"/>
              <w:jc w:val="center"/>
              <w:rPr>
                <w:sz w:val="18"/>
                <w:szCs w:val="18"/>
              </w:rPr>
            </w:pPr>
            <w:r>
              <w:rPr>
                <w:rFonts w:hint="eastAsia"/>
                <w:sz w:val="18"/>
                <w:szCs w:val="18"/>
              </w:rPr>
              <w:t>1</w:t>
            </w:r>
            <w:r>
              <w:rPr>
                <w:sz w:val="18"/>
                <w:szCs w:val="18"/>
              </w:rPr>
              <w:t>00</w:t>
            </w:r>
          </w:p>
        </w:tc>
      </w:tr>
      <w:tr w:rsidR="009C5C1F">
        <w:trPr>
          <w:trHeight w:val="404"/>
        </w:trPr>
        <w:tc>
          <w:tcPr>
            <w:tcW w:w="6953" w:type="dxa"/>
            <w:gridSpan w:val="6"/>
            <w:vAlign w:val="center"/>
          </w:tcPr>
          <w:p w:rsidR="009C5C1F" w:rsidRDefault="004D2E0D">
            <w:pPr>
              <w:spacing w:line="240" w:lineRule="atLeast"/>
              <w:jc w:val="center"/>
              <w:rPr>
                <w:sz w:val="18"/>
                <w:szCs w:val="18"/>
              </w:rPr>
            </w:pPr>
            <w:r>
              <w:rPr>
                <w:rFonts w:hAnsi="宋体"/>
                <w:kern w:val="0"/>
                <w:sz w:val="18"/>
                <w:szCs w:val="18"/>
              </w:rPr>
              <w:t>合计</w:t>
            </w:r>
          </w:p>
        </w:tc>
        <w:tc>
          <w:tcPr>
            <w:tcW w:w="980" w:type="dxa"/>
            <w:vAlign w:val="center"/>
          </w:tcPr>
          <w:p w:rsidR="009C5C1F" w:rsidRDefault="004D2E0D">
            <w:pPr>
              <w:spacing w:line="240" w:lineRule="atLeast"/>
              <w:jc w:val="center"/>
              <w:rPr>
                <w:sz w:val="18"/>
                <w:szCs w:val="18"/>
              </w:rPr>
            </w:pPr>
            <w:r>
              <w:rPr>
                <w:sz w:val="18"/>
                <w:szCs w:val="18"/>
              </w:rPr>
              <w:t>35</w:t>
            </w:r>
          </w:p>
        </w:tc>
        <w:tc>
          <w:tcPr>
            <w:tcW w:w="1117" w:type="dxa"/>
            <w:vAlign w:val="center"/>
          </w:tcPr>
          <w:p w:rsidR="009C5C1F" w:rsidRDefault="004D2E0D">
            <w:pPr>
              <w:widowControl/>
              <w:spacing w:line="240" w:lineRule="atLeast"/>
              <w:jc w:val="center"/>
              <w:rPr>
                <w:sz w:val="18"/>
                <w:szCs w:val="18"/>
              </w:rPr>
            </w:pPr>
            <w:r>
              <w:rPr>
                <w:kern w:val="0"/>
                <w:sz w:val="18"/>
                <w:szCs w:val="18"/>
              </w:rPr>
              <w:t>100</w:t>
            </w:r>
          </w:p>
        </w:tc>
      </w:tr>
    </w:tbl>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16" w:name="_Toc511226468"/>
      <w:bookmarkStart w:id="917" w:name="_Toc70589851"/>
      <w:bookmarkStart w:id="918" w:name="_Toc153130778"/>
      <w:r>
        <w:rPr>
          <w:rFonts w:eastAsia="黑体" w:hint="eastAsia"/>
          <w:b/>
          <w:bCs/>
          <w:sz w:val="28"/>
          <w:szCs w:val="30"/>
        </w:rPr>
        <w:t>五、矿山及周边其他人类重大工程活动</w:t>
      </w:r>
      <w:bookmarkEnd w:id="916"/>
      <w:bookmarkEnd w:id="917"/>
      <w:bookmarkEnd w:id="918"/>
    </w:p>
    <w:p w:rsidR="009C5C1F" w:rsidRDefault="004D2E0D">
      <w:pPr>
        <w:autoSpaceDE w:val="0"/>
        <w:autoSpaceDN w:val="0"/>
        <w:adjustRightInd w:val="0"/>
        <w:spacing w:line="360" w:lineRule="auto"/>
        <w:ind w:firstLineChars="200" w:firstLine="480"/>
        <w:jc w:val="left"/>
        <w:rPr>
          <w:rFonts w:ascii="宋体" w:cs="宋体"/>
          <w:kern w:val="0"/>
          <w:sz w:val="24"/>
        </w:rPr>
      </w:pPr>
      <w:r>
        <w:rPr>
          <w:rFonts w:ascii="宋体" w:hAnsi="宋体" w:hint="eastAsia"/>
          <w:kern w:val="0"/>
          <w:sz w:val="24"/>
        </w:rPr>
        <w:t>临泽县板桥镇</w:t>
      </w:r>
      <w:r>
        <w:rPr>
          <w:rFonts w:hint="eastAsia"/>
          <w:sz w:val="24"/>
        </w:rPr>
        <w:t>正北山西侧砖瓦用粘土矿</w:t>
      </w:r>
      <w:r>
        <w:rPr>
          <w:rFonts w:ascii="宋体" w:hAnsi="宋体" w:hint="eastAsia"/>
          <w:kern w:val="0"/>
          <w:sz w:val="24"/>
        </w:rPr>
        <w:t>为一新建矿山</w:t>
      </w:r>
      <w:r>
        <w:rPr>
          <w:rFonts w:hint="eastAsia"/>
          <w:sz w:val="24"/>
        </w:rPr>
        <w:t>，周边无重要建筑设施，远离各级自然保护区及旅游景区，</w:t>
      </w:r>
      <w:r>
        <w:rPr>
          <w:rFonts w:ascii="宋体" w:cs="宋体" w:hint="eastAsia"/>
          <w:kern w:val="0"/>
          <w:sz w:val="24"/>
        </w:rPr>
        <w:t>无重要水源地，无名胜古迹，无可保护的文物、古建筑、地质遗迹。矿区及周边无常住居民，对区内地质环境的破坏较轻矿区及周边无任何厂矿企业，村庄等人类活动。总体上，区内主要的人类工程活动主要是矿山矿业活动对矿山地质环境造成破坏。矿山及周边没有其他人类工程活动。</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19" w:name="_Toc511226469"/>
      <w:bookmarkStart w:id="920" w:name="_Toc70589852"/>
      <w:bookmarkStart w:id="921" w:name="_Toc153130779"/>
      <w:r>
        <w:rPr>
          <w:rFonts w:eastAsia="黑体" w:hint="eastAsia"/>
          <w:b/>
          <w:bCs/>
          <w:sz w:val="28"/>
          <w:szCs w:val="30"/>
        </w:rPr>
        <w:lastRenderedPageBreak/>
        <w:t>六、矿山及周边矿山地质环境治理与土地复垦案例分析</w:t>
      </w:r>
      <w:bookmarkEnd w:id="919"/>
      <w:bookmarkEnd w:id="920"/>
      <w:bookmarkEnd w:id="921"/>
    </w:p>
    <w:p w:rsidR="009C5C1F" w:rsidRDefault="004D2E0D">
      <w:pPr>
        <w:autoSpaceDE w:val="0"/>
        <w:autoSpaceDN w:val="0"/>
        <w:adjustRightInd w:val="0"/>
        <w:spacing w:line="360" w:lineRule="auto"/>
        <w:ind w:firstLineChars="200" w:firstLine="480"/>
        <w:rPr>
          <w:rFonts w:ascii="宋体" w:cs="宋体"/>
          <w:kern w:val="0"/>
          <w:sz w:val="24"/>
        </w:rPr>
      </w:pPr>
      <w:r>
        <w:rPr>
          <w:rFonts w:ascii="宋体" w:cs="宋体" w:hint="eastAsia"/>
          <w:kern w:val="0"/>
          <w:sz w:val="24"/>
        </w:rPr>
        <w:t>矿山地质环境保护与土地复垦是一项综合性的系统工程，涉及到技术、组织和管理等多个方面的工作。在矿区环境保护与综合治理中，土地复垦与植被恢复是最有效的途径。其影响环境保护与土地复垦工作的主要因素有以下几点：</w:t>
      </w:r>
    </w:p>
    <w:p w:rsidR="009C5C1F" w:rsidRDefault="004D2E0D">
      <w:pPr>
        <w:autoSpaceDE w:val="0"/>
        <w:autoSpaceDN w:val="0"/>
        <w:adjustRightInd w:val="0"/>
        <w:spacing w:line="360" w:lineRule="auto"/>
        <w:ind w:firstLineChars="200" w:firstLine="480"/>
        <w:rPr>
          <w:rFonts w:ascii="宋体" w:cs="宋体"/>
          <w:kern w:val="0"/>
          <w:sz w:val="24"/>
        </w:rPr>
      </w:pPr>
      <w:r>
        <w:rPr>
          <w:rFonts w:ascii="宋体" w:cs="宋体"/>
          <w:kern w:val="0"/>
          <w:sz w:val="24"/>
        </w:rPr>
        <w:t>1.</w:t>
      </w:r>
      <w:r>
        <w:rPr>
          <w:rFonts w:ascii="宋体" w:cs="宋体" w:hint="eastAsia"/>
          <w:kern w:val="0"/>
          <w:sz w:val="24"/>
        </w:rPr>
        <w:t>矿山所在的地区本身生态环境脆弱，易遭到破坏，且生态恢复周期长。西北</w:t>
      </w:r>
    </w:p>
    <w:p w:rsidR="009C5C1F" w:rsidRDefault="004D2E0D">
      <w:pPr>
        <w:autoSpaceDE w:val="0"/>
        <w:autoSpaceDN w:val="0"/>
        <w:adjustRightInd w:val="0"/>
        <w:spacing w:line="360" w:lineRule="auto"/>
        <w:rPr>
          <w:rFonts w:ascii="宋体" w:cs="宋体"/>
          <w:kern w:val="0"/>
          <w:sz w:val="24"/>
        </w:rPr>
      </w:pPr>
      <w:r>
        <w:rPr>
          <w:rFonts w:ascii="宋体" w:cs="宋体" w:hint="eastAsia"/>
          <w:kern w:val="0"/>
          <w:sz w:val="24"/>
        </w:rPr>
        <w:t>干旱半干旱的荒漠化地区：降水少、土质差、风沙大、土壤的保水性差。随着矿山的开采，地面植被</w:t>
      </w:r>
      <w:proofErr w:type="gramStart"/>
      <w:r>
        <w:rPr>
          <w:rFonts w:ascii="宋体" w:cs="宋体" w:hint="eastAsia"/>
          <w:kern w:val="0"/>
          <w:sz w:val="24"/>
        </w:rPr>
        <w:t>被</w:t>
      </w:r>
      <w:proofErr w:type="gramEnd"/>
      <w:r>
        <w:rPr>
          <w:rFonts w:ascii="宋体" w:cs="宋体" w:hint="eastAsia"/>
          <w:kern w:val="0"/>
          <w:sz w:val="24"/>
        </w:rPr>
        <w:t>破坏，地面滑塌，水位降低，生态环境恢复更加困难。</w:t>
      </w:r>
    </w:p>
    <w:p w:rsidR="009C5C1F" w:rsidRDefault="004D2E0D">
      <w:pPr>
        <w:autoSpaceDE w:val="0"/>
        <w:autoSpaceDN w:val="0"/>
        <w:adjustRightInd w:val="0"/>
        <w:spacing w:line="360" w:lineRule="auto"/>
        <w:ind w:firstLineChars="200" w:firstLine="480"/>
        <w:rPr>
          <w:rFonts w:ascii="宋体" w:cs="宋体"/>
          <w:kern w:val="0"/>
          <w:sz w:val="24"/>
        </w:rPr>
      </w:pPr>
      <w:r>
        <w:rPr>
          <w:rFonts w:ascii="宋体" w:cs="宋体"/>
          <w:kern w:val="0"/>
          <w:sz w:val="24"/>
        </w:rPr>
        <w:t>2.</w:t>
      </w:r>
      <w:r>
        <w:rPr>
          <w:rFonts w:ascii="宋体" w:cs="宋体" w:hint="eastAsia"/>
          <w:kern w:val="0"/>
          <w:sz w:val="24"/>
        </w:rPr>
        <w:t>矿产资源管理制度不健全。目前，我国矿产资源资产化管理比较落后，矿山环</w:t>
      </w:r>
    </w:p>
    <w:p w:rsidR="009C5C1F" w:rsidRDefault="004D2E0D">
      <w:pPr>
        <w:autoSpaceDE w:val="0"/>
        <w:autoSpaceDN w:val="0"/>
        <w:adjustRightInd w:val="0"/>
        <w:spacing w:line="360" w:lineRule="auto"/>
        <w:rPr>
          <w:rFonts w:ascii="宋体" w:cs="宋体"/>
          <w:kern w:val="0"/>
          <w:sz w:val="24"/>
        </w:rPr>
      </w:pPr>
      <w:proofErr w:type="gramStart"/>
      <w:r>
        <w:rPr>
          <w:rFonts w:ascii="宋体" w:cs="宋体" w:hint="eastAsia"/>
          <w:kern w:val="0"/>
          <w:sz w:val="24"/>
        </w:rPr>
        <w:t>境治理</w:t>
      </w:r>
      <w:proofErr w:type="gramEnd"/>
      <w:r>
        <w:rPr>
          <w:rFonts w:ascii="宋体" w:cs="宋体" w:hint="eastAsia"/>
          <w:kern w:val="0"/>
          <w:sz w:val="24"/>
        </w:rPr>
        <w:t>的资金投入严重不足，矿山环境恢复治理的压力很大。</w:t>
      </w:r>
    </w:p>
    <w:p w:rsidR="009C5C1F" w:rsidRDefault="004D2E0D">
      <w:pPr>
        <w:autoSpaceDE w:val="0"/>
        <w:autoSpaceDN w:val="0"/>
        <w:adjustRightInd w:val="0"/>
        <w:spacing w:line="360" w:lineRule="auto"/>
        <w:ind w:firstLineChars="200" w:firstLine="480"/>
        <w:rPr>
          <w:rFonts w:ascii="宋体" w:cs="宋体"/>
          <w:kern w:val="0"/>
          <w:sz w:val="24"/>
        </w:rPr>
      </w:pPr>
      <w:r>
        <w:rPr>
          <w:rFonts w:ascii="宋体" w:cs="宋体"/>
          <w:kern w:val="0"/>
          <w:sz w:val="24"/>
        </w:rPr>
        <w:t>3.</w:t>
      </w:r>
      <w:r>
        <w:rPr>
          <w:rFonts w:ascii="宋体" w:cs="宋体" w:hint="eastAsia"/>
          <w:kern w:val="0"/>
          <w:sz w:val="24"/>
        </w:rPr>
        <w:t>矿山建设初期对地表植被破坏大。由于建设初期没有废弃物排放场地，且一些</w:t>
      </w:r>
    </w:p>
    <w:p w:rsidR="009C5C1F" w:rsidRDefault="004D2E0D">
      <w:pPr>
        <w:autoSpaceDE w:val="0"/>
        <w:autoSpaceDN w:val="0"/>
        <w:adjustRightInd w:val="0"/>
        <w:spacing w:line="360" w:lineRule="auto"/>
        <w:rPr>
          <w:rFonts w:ascii="宋体" w:cs="宋体"/>
          <w:kern w:val="0"/>
          <w:sz w:val="24"/>
        </w:rPr>
      </w:pPr>
      <w:r>
        <w:rPr>
          <w:rFonts w:ascii="宋体" w:cs="宋体" w:hint="eastAsia"/>
          <w:kern w:val="0"/>
          <w:sz w:val="24"/>
        </w:rPr>
        <w:t>环保设施未建设投用，固体、液体废弃物多就近排放，破坏了植被污染了环境。</w:t>
      </w:r>
    </w:p>
    <w:p w:rsidR="009C5C1F" w:rsidRDefault="004D2E0D">
      <w:pPr>
        <w:autoSpaceDE w:val="0"/>
        <w:autoSpaceDN w:val="0"/>
        <w:adjustRightInd w:val="0"/>
        <w:spacing w:line="360" w:lineRule="auto"/>
        <w:ind w:firstLineChars="200" w:firstLine="480"/>
        <w:rPr>
          <w:rFonts w:ascii="宋体" w:cs="宋体"/>
          <w:kern w:val="0"/>
          <w:sz w:val="24"/>
        </w:rPr>
      </w:pPr>
      <w:r>
        <w:rPr>
          <w:rFonts w:ascii="宋体" w:cs="宋体"/>
          <w:kern w:val="0"/>
          <w:sz w:val="24"/>
        </w:rPr>
        <w:t>4.</w:t>
      </w:r>
      <w:r>
        <w:rPr>
          <w:rFonts w:ascii="宋体" w:cs="宋体" w:hint="eastAsia"/>
          <w:kern w:val="0"/>
          <w:sz w:val="24"/>
        </w:rPr>
        <w:t>矿产资源开发利用粗放。一些矿山企业环境意识淡薄，采取粗放式开发利用方</w:t>
      </w:r>
    </w:p>
    <w:p w:rsidR="009C5C1F" w:rsidRDefault="004D2E0D">
      <w:pPr>
        <w:autoSpaceDE w:val="0"/>
        <w:autoSpaceDN w:val="0"/>
        <w:adjustRightInd w:val="0"/>
        <w:spacing w:line="360" w:lineRule="auto"/>
        <w:rPr>
          <w:rFonts w:ascii="宋体" w:cs="宋体"/>
          <w:kern w:val="0"/>
          <w:sz w:val="24"/>
        </w:rPr>
      </w:pPr>
      <w:r>
        <w:rPr>
          <w:rFonts w:ascii="宋体" w:cs="宋体" w:hint="eastAsia"/>
          <w:kern w:val="0"/>
          <w:sz w:val="24"/>
        </w:rPr>
        <w:t>式，重开发、轻保护，甚至只开发不保护。这在很大程度上使矿山及周围的生态环境</w:t>
      </w:r>
    </w:p>
    <w:p w:rsidR="009C5C1F" w:rsidRDefault="004D2E0D">
      <w:pPr>
        <w:autoSpaceDE w:val="0"/>
        <w:autoSpaceDN w:val="0"/>
        <w:adjustRightInd w:val="0"/>
        <w:spacing w:line="360" w:lineRule="auto"/>
        <w:rPr>
          <w:rFonts w:ascii="宋体" w:cs="宋体"/>
          <w:kern w:val="0"/>
          <w:sz w:val="24"/>
        </w:rPr>
      </w:pPr>
      <w:r>
        <w:rPr>
          <w:rFonts w:ascii="宋体" w:cs="宋体" w:hint="eastAsia"/>
          <w:kern w:val="0"/>
          <w:sz w:val="24"/>
        </w:rPr>
        <w:t>遭到一定程度的破坏。</w:t>
      </w:r>
    </w:p>
    <w:p w:rsidR="009C5C1F" w:rsidRDefault="004D2E0D">
      <w:pPr>
        <w:autoSpaceDE w:val="0"/>
        <w:autoSpaceDN w:val="0"/>
        <w:adjustRightInd w:val="0"/>
        <w:spacing w:line="360" w:lineRule="auto"/>
        <w:ind w:firstLineChars="200" w:firstLine="480"/>
        <w:rPr>
          <w:rFonts w:ascii="宋体" w:cs="宋体"/>
          <w:kern w:val="0"/>
          <w:sz w:val="24"/>
        </w:rPr>
      </w:pPr>
      <w:r>
        <w:rPr>
          <w:rFonts w:ascii="宋体" w:cs="宋体"/>
          <w:kern w:val="0"/>
          <w:sz w:val="24"/>
        </w:rPr>
        <w:t>5.</w:t>
      </w:r>
      <w:r>
        <w:rPr>
          <w:rFonts w:ascii="宋体" w:cs="宋体" w:hint="eastAsia"/>
          <w:kern w:val="0"/>
          <w:sz w:val="24"/>
        </w:rPr>
        <w:t>生产经营过程中，产生的工业垃圾进入周边环境，占用土地、破坏当地植被的</w:t>
      </w:r>
    </w:p>
    <w:p w:rsidR="009C5C1F" w:rsidRDefault="004D2E0D">
      <w:pPr>
        <w:autoSpaceDE w:val="0"/>
        <w:autoSpaceDN w:val="0"/>
        <w:adjustRightInd w:val="0"/>
        <w:spacing w:line="360" w:lineRule="auto"/>
        <w:rPr>
          <w:rFonts w:ascii="宋体" w:cs="宋体"/>
          <w:kern w:val="0"/>
          <w:sz w:val="24"/>
        </w:rPr>
      </w:pPr>
      <w:r>
        <w:rPr>
          <w:rFonts w:ascii="宋体" w:cs="宋体" w:hint="eastAsia"/>
          <w:kern w:val="0"/>
          <w:sz w:val="24"/>
        </w:rPr>
        <w:t>生长，引起植被死亡，土地退化。</w:t>
      </w:r>
    </w:p>
    <w:p w:rsidR="009C5C1F" w:rsidRDefault="004D2E0D">
      <w:pPr>
        <w:autoSpaceDE w:val="0"/>
        <w:autoSpaceDN w:val="0"/>
        <w:adjustRightInd w:val="0"/>
        <w:spacing w:line="360" w:lineRule="auto"/>
        <w:ind w:firstLineChars="200" w:firstLine="480"/>
        <w:rPr>
          <w:rFonts w:ascii="宋体" w:cs="宋体"/>
          <w:kern w:val="0"/>
          <w:sz w:val="24"/>
        </w:rPr>
      </w:pPr>
      <w:r>
        <w:rPr>
          <w:rFonts w:ascii="宋体" w:cs="宋体"/>
          <w:kern w:val="0"/>
          <w:sz w:val="24"/>
        </w:rPr>
        <w:t>6.</w:t>
      </w:r>
      <w:r>
        <w:rPr>
          <w:rFonts w:ascii="宋体" w:cs="宋体" w:hint="eastAsia"/>
          <w:kern w:val="0"/>
          <w:sz w:val="24"/>
        </w:rPr>
        <w:t>企业生产经营目的是追求利润，与环境保护投资是一矛盾体。矿山企业资源占</w:t>
      </w:r>
    </w:p>
    <w:p w:rsidR="009C5C1F" w:rsidRDefault="004D2E0D">
      <w:pPr>
        <w:autoSpaceDE w:val="0"/>
        <w:autoSpaceDN w:val="0"/>
        <w:adjustRightInd w:val="0"/>
        <w:spacing w:line="360" w:lineRule="auto"/>
        <w:rPr>
          <w:rFonts w:ascii="宋体" w:cs="宋体"/>
          <w:kern w:val="0"/>
          <w:sz w:val="24"/>
        </w:rPr>
      </w:pPr>
      <w:r>
        <w:rPr>
          <w:rFonts w:ascii="宋体" w:cs="宋体" w:hint="eastAsia"/>
          <w:kern w:val="0"/>
          <w:sz w:val="24"/>
        </w:rPr>
        <w:t>地面积大，投入资金多，土地复垦和生态修复周期长，生态效益见效慢，导致大部分</w:t>
      </w:r>
    </w:p>
    <w:p w:rsidR="009C5C1F" w:rsidRDefault="004D2E0D">
      <w:pPr>
        <w:autoSpaceDE w:val="0"/>
        <w:autoSpaceDN w:val="0"/>
        <w:adjustRightInd w:val="0"/>
        <w:spacing w:line="360" w:lineRule="auto"/>
        <w:rPr>
          <w:rFonts w:ascii="宋体" w:cs="宋体"/>
          <w:kern w:val="0"/>
          <w:sz w:val="24"/>
        </w:rPr>
      </w:pPr>
      <w:r>
        <w:rPr>
          <w:rFonts w:ascii="宋体" w:cs="宋体" w:hint="eastAsia"/>
          <w:kern w:val="0"/>
          <w:sz w:val="24"/>
        </w:rPr>
        <w:t>企业为节约投资、减少生产外的成本支出，对环境治理投入少，特别是塌陷区的土地</w:t>
      </w:r>
    </w:p>
    <w:p w:rsidR="009C5C1F" w:rsidRDefault="004D2E0D">
      <w:pPr>
        <w:autoSpaceDE w:val="0"/>
        <w:autoSpaceDN w:val="0"/>
        <w:adjustRightInd w:val="0"/>
        <w:spacing w:line="360" w:lineRule="auto"/>
        <w:rPr>
          <w:rFonts w:ascii="宋体" w:cs="宋体"/>
          <w:kern w:val="0"/>
          <w:sz w:val="24"/>
        </w:rPr>
      </w:pPr>
      <w:r>
        <w:rPr>
          <w:rFonts w:ascii="宋体" w:cs="宋体" w:hint="eastAsia"/>
          <w:kern w:val="0"/>
          <w:sz w:val="24"/>
        </w:rPr>
        <w:t>复垦。不论是土地复垦，还是生态重建，其根本是造地、造土。因为采矿破坏的是土地资源、土壤资源、水资源。水资源与土地资源、土壤资源是密切联系的，如降水、河湖、地下水都与土地、土壤有关。然而，现代化的大生产，在生产过程中破坏的土地面积可达数平方公里，地貌改变、地下水位下降、河湖干枯、植被群落消灭、土地不能利用、土壤无生产能力。所以造地、造土，即土地资源合理开发利用就成了矿区土地复垦与生态重建的基础工程</w:t>
      </w:r>
      <w:r>
        <w:rPr>
          <w:rFonts w:hint="eastAsia"/>
          <w:sz w:val="24"/>
        </w:rPr>
        <w:t>。</w:t>
      </w:r>
    </w:p>
    <w:p w:rsidR="009C5C1F" w:rsidRDefault="004D2E0D">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目前就甘肃地区露天开采矿山来说，地质环境治理与土地复垦主要工程为：前期</w:t>
      </w:r>
    </w:p>
    <w:p w:rsidR="009C5C1F" w:rsidRDefault="004D2E0D">
      <w:pPr>
        <w:autoSpaceDE w:val="0"/>
        <w:autoSpaceDN w:val="0"/>
        <w:adjustRightInd w:val="0"/>
        <w:spacing w:line="360" w:lineRule="auto"/>
        <w:jc w:val="left"/>
        <w:rPr>
          <w:rFonts w:ascii="宋体" w:cs="宋体"/>
          <w:kern w:val="0"/>
          <w:sz w:val="24"/>
        </w:rPr>
      </w:pPr>
      <w:r>
        <w:rPr>
          <w:rFonts w:ascii="宋体" w:cs="宋体" w:hint="eastAsia"/>
          <w:kern w:val="0"/>
          <w:sz w:val="24"/>
        </w:rPr>
        <w:t>对采场悬挂警示牌、后期利用剥离废渣</w:t>
      </w:r>
      <w:proofErr w:type="gramStart"/>
      <w:r>
        <w:rPr>
          <w:rFonts w:ascii="宋体" w:cs="宋体" w:hint="eastAsia"/>
          <w:kern w:val="0"/>
          <w:sz w:val="24"/>
        </w:rPr>
        <w:t>对采坑回填</w:t>
      </w:r>
      <w:proofErr w:type="gramEnd"/>
      <w:r>
        <w:rPr>
          <w:rFonts w:ascii="宋体" w:cs="宋体" w:hint="eastAsia"/>
          <w:kern w:val="0"/>
          <w:sz w:val="24"/>
        </w:rPr>
        <w:t>、放缓开采边坡、地表砌体拆除、</w:t>
      </w:r>
    </w:p>
    <w:p w:rsidR="009C5C1F" w:rsidRDefault="004D2E0D">
      <w:pPr>
        <w:autoSpaceDE w:val="0"/>
        <w:autoSpaceDN w:val="0"/>
        <w:adjustRightInd w:val="0"/>
        <w:spacing w:line="360" w:lineRule="auto"/>
        <w:jc w:val="left"/>
        <w:rPr>
          <w:rFonts w:ascii="宋体" w:cs="宋体"/>
          <w:kern w:val="0"/>
          <w:sz w:val="24"/>
        </w:rPr>
      </w:pPr>
      <w:r>
        <w:rPr>
          <w:rFonts w:ascii="宋体" w:cs="宋体" w:hint="eastAsia"/>
          <w:kern w:val="0"/>
          <w:sz w:val="24"/>
        </w:rPr>
        <w:t>对矿山道路土地开翻、对破坏土地进行覆土、平整及植被恢复等，这些工程均属于常</w:t>
      </w:r>
    </w:p>
    <w:p w:rsidR="009C5C1F" w:rsidRDefault="004D2E0D">
      <w:pPr>
        <w:autoSpaceDE w:val="0"/>
        <w:autoSpaceDN w:val="0"/>
        <w:adjustRightInd w:val="0"/>
        <w:spacing w:line="360" w:lineRule="auto"/>
        <w:jc w:val="left"/>
        <w:rPr>
          <w:rFonts w:ascii="宋体" w:cs="宋体"/>
          <w:kern w:val="0"/>
          <w:sz w:val="24"/>
        </w:rPr>
      </w:pPr>
      <w:proofErr w:type="gramStart"/>
      <w:r>
        <w:rPr>
          <w:rFonts w:ascii="宋体" w:cs="宋体" w:hint="eastAsia"/>
          <w:kern w:val="0"/>
          <w:sz w:val="24"/>
        </w:rPr>
        <w:t>规</w:t>
      </w:r>
      <w:proofErr w:type="gramEnd"/>
      <w:r>
        <w:rPr>
          <w:rFonts w:ascii="宋体" w:cs="宋体" w:hint="eastAsia"/>
          <w:kern w:val="0"/>
          <w:sz w:val="24"/>
        </w:rPr>
        <w:t>措施，施工简单，可操作性强，均达到了矿山地质环境治理与土地复垦的目的。</w:t>
      </w:r>
    </w:p>
    <w:p w:rsidR="009C5C1F" w:rsidRDefault="004D2E0D">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lastRenderedPageBreak/>
        <w:t>本矿山参照的甘肃省其它矿区成功的恢复治理经验，结合本矿区实际情况，进行</w:t>
      </w:r>
    </w:p>
    <w:p w:rsidR="009C5C1F" w:rsidRDefault="004D2E0D">
      <w:pPr>
        <w:autoSpaceDE w:val="0"/>
        <w:autoSpaceDN w:val="0"/>
        <w:adjustRightInd w:val="0"/>
        <w:spacing w:line="360" w:lineRule="auto"/>
        <w:jc w:val="left"/>
        <w:rPr>
          <w:rFonts w:ascii="宋体" w:cs="宋体"/>
          <w:kern w:val="0"/>
          <w:sz w:val="24"/>
        </w:rPr>
      </w:pPr>
      <w:r>
        <w:rPr>
          <w:rFonts w:ascii="宋体" w:cs="宋体" w:hint="eastAsia"/>
          <w:kern w:val="0"/>
          <w:sz w:val="24"/>
        </w:rPr>
        <w:t>适当的调整，为甘肃省临泽县板桥</w:t>
      </w:r>
      <w:proofErr w:type="gramStart"/>
      <w:r>
        <w:rPr>
          <w:rFonts w:ascii="宋体" w:cs="宋体" w:hint="eastAsia"/>
          <w:kern w:val="0"/>
          <w:sz w:val="24"/>
        </w:rPr>
        <w:t>镇壕洼村</w:t>
      </w:r>
      <w:proofErr w:type="gramEnd"/>
      <w:r>
        <w:rPr>
          <w:rFonts w:hint="eastAsia"/>
          <w:sz w:val="24"/>
        </w:rPr>
        <w:t>正北山西侧砖瓦用粘土</w:t>
      </w:r>
      <w:proofErr w:type="gramStart"/>
      <w:r>
        <w:rPr>
          <w:rFonts w:hint="eastAsia"/>
          <w:sz w:val="24"/>
        </w:rPr>
        <w:t>矿</w:t>
      </w:r>
      <w:proofErr w:type="gramEnd"/>
      <w:r>
        <w:rPr>
          <w:rFonts w:ascii="宋体" w:cs="宋体" w:hint="eastAsia"/>
          <w:kern w:val="0"/>
          <w:sz w:val="24"/>
        </w:rPr>
        <w:t>矿山地质环境保护与土地复垦提供可行的方向，仅作为矿山未来综合治理工程参考使用，届时矿山应委托设计部门进行专项工程的设计及施工组织安排，并以此为准。</w:t>
      </w:r>
    </w:p>
    <w:p w:rsidR="009C5C1F" w:rsidRDefault="009C5C1F">
      <w:pPr>
        <w:suppressAutoHyphens/>
        <w:wordWrap w:val="0"/>
        <w:topLinePunct/>
        <w:spacing w:line="360" w:lineRule="auto"/>
        <w:ind w:firstLineChars="200" w:firstLine="480"/>
        <w:rPr>
          <w:sz w:val="24"/>
        </w:rPr>
      </w:pPr>
    </w:p>
    <w:bookmarkEnd w:id="912"/>
    <w:p w:rsidR="009C5C1F" w:rsidRDefault="009C5C1F">
      <w:pPr>
        <w:suppressAutoHyphens/>
        <w:wordWrap w:val="0"/>
        <w:topLinePunct/>
        <w:spacing w:line="360" w:lineRule="auto"/>
        <w:ind w:firstLineChars="200" w:firstLine="480"/>
        <w:rPr>
          <w:sz w:val="24"/>
        </w:rPr>
        <w:sectPr w:rsidR="009C5C1F">
          <w:footerReference w:type="even" r:id="rId34"/>
          <w:pgSz w:w="11907" w:h="16840"/>
          <w:pgMar w:top="1418" w:right="1418" w:bottom="1418" w:left="1588" w:header="851" w:footer="737" w:gutter="0"/>
          <w:cols w:space="425"/>
          <w:docGrid w:linePitch="598" w:charSpace="-518"/>
        </w:sectPr>
      </w:pPr>
    </w:p>
    <w:p w:rsidR="009C5C1F" w:rsidRDefault="004D2E0D">
      <w:pPr>
        <w:keepNext/>
        <w:keepLines/>
        <w:suppressAutoHyphens/>
        <w:wordWrap w:val="0"/>
        <w:topLinePunct/>
        <w:spacing w:beforeLines="50" w:before="120" w:afterLines="50" w:after="120" w:line="580" w:lineRule="exact"/>
        <w:jc w:val="center"/>
        <w:outlineLvl w:val="0"/>
        <w:rPr>
          <w:b/>
          <w:bCs/>
          <w:kern w:val="44"/>
          <w:sz w:val="36"/>
          <w:szCs w:val="36"/>
        </w:rPr>
      </w:pPr>
      <w:bookmarkStart w:id="922" w:name="_Toc447615058"/>
      <w:bookmarkStart w:id="923" w:name="_Toc70589853"/>
      <w:bookmarkStart w:id="924" w:name="_Toc153130780"/>
      <w:bookmarkStart w:id="925" w:name="_Toc511226470"/>
      <w:r>
        <w:rPr>
          <w:rFonts w:hint="eastAsia"/>
          <w:b/>
          <w:bCs/>
          <w:kern w:val="44"/>
          <w:sz w:val="36"/>
          <w:szCs w:val="36"/>
        </w:rPr>
        <w:lastRenderedPageBreak/>
        <w:t>第三章</w:t>
      </w:r>
      <w:r>
        <w:rPr>
          <w:rFonts w:hint="eastAsia"/>
          <w:b/>
          <w:bCs/>
          <w:kern w:val="44"/>
          <w:sz w:val="36"/>
          <w:szCs w:val="36"/>
        </w:rPr>
        <w:t xml:space="preserve">   </w:t>
      </w:r>
      <w:r>
        <w:rPr>
          <w:rFonts w:hint="eastAsia"/>
          <w:b/>
          <w:bCs/>
          <w:kern w:val="44"/>
          <w:sz w:val="36"/>
          <w:szCs w:val="36"/>
        </w:rPr>
        <w:t>矿山</w:t>
      </w:r>
      <w:r>
        <w:rPr>
          <w:b/>
          <w:bCs/>
          <w:kern w:val="44"/>
          <w:sz w:val="36"/>
          <w:szCs w:val="36"/>
        </w:rPr>
        <w:t>地质环境影响评估</w:t>
      </w:r>
      <w:bookmarkEnd w:id="922"/>
      <w:r>
        <w:rPr>
          <w:rFonts w:hint="eastAsia"/>
          <w:b/>
          <w:bCs/>
          <w:kern w:val="44"/>
          <w:sz w:val="36"/>
          <w:szCs w:val="36"/>
        </w:rPr>
        <w:t>和土地损毁评估</w:t>
      </w:r>
      <w:bookmarkEnd w:id="923"/>
      <w:bookmarkEnd w:id="924"/>
      <w:bookmarkEnd w:id="925"/>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26" w:name="_Toc511226471"/>
      <w:bookmarkStart w:id="927" w:name="_Toc153130781"/>
      <w:bookmarkStart w:id="928" w:name="_Toc70589854"/>
      <w:bookmarkStart w:id="929" w:name="_Toc385930025"/>
      <w:bookmarkStart w:id="930" w:name="_Toc447615059"/>
      <w:r>
        <w:rPr>
          <w:rFonts w:eastAsia="黑体" w:hint="eastAsia"/>
          <w:b/>
          <w:bCs/>
          <w:sz w:val="28"/>
          <w:szCs w:val="30"/>
        </w:rPr>
        <w:t>一、矿山地质环境与土地资源调查概述</w:t>
      </w:r>
      <w:bookmarkEnd w:id="926"/>
      <w:bookmarkEnd w:id="927"/>
      <w:bookmarkEnd w:id="928"/>
    </w:p>
    <w:p w:rsidR="009C5C1F" w:rsidRDefault="004D2E0D">
      <w:pPr>
        <w:suppressAutoHyphens/>
        <w:wordWrap w:val="0"/>
        <w:topLinePunct/>
        <w:spacing w:line="360" w:lineRule="auto"/>
        <w:ind w:firstLineChars="200" w:firstLine="480"/>
        <w:rPr>
          <w:sz w:val="24"/>
        </w:rPr>
      </w:pPr>
      <w:r>
        <w:rPr>
          <w:rFonts w:hint="eastAsia"/>
          <w:sz w:val="24"/>
        </w:rPr>
        <w:t>据《开发利用方案》及搜集的相关资料，设计开采方式为露天开采，该矿山在今后的工程建设和矿体开采过程中：开采活动</w:t>
      </w:r>
      <w:proofErr w:type="gramStart"/>
      <w:r>
        <w:rPr>
          <w:rFonts w:hint="eastAsia"/>
          <w:sz w:val="24"/>
        </w:rPr>
        <w:t>发生于矿权</w:t>
      </w:r>
      <w:proofErr w:type="gramEnd"/>
      <w:r>
        <w:rPr>
          <w:rFonts w:hint="eastAsia"/>
          <w:sz w:val="24"/>
        </w:rPr>
        <w:t>界限内，采场影响范围限于矿权范围；堆料场的堆积破坏地形地貌、压占土地资源，其影响范围限于矿权范围内；堆料场的场地破坏地形地貌、压占土地资源，其影响范围限于矿权范围内；办公生活区压占土地资源，影响范围处于矿权范围内。因此，矿山生产影响范围主要在矿权范围内。</w:t>
      </w:r>
    </w:p>
    <w:p w:rsidR="009C5C1F" w:rsidRDefault="004D2E0D">
      <w:pPr>
        <w:suppressAutoHyphens/>
        <w:wordWrap w:val="0"/>
        <w:topLinePunct/>
        <w:spacing w:line="360" w:lineRule="auto"/>
        <w:ind w:firstLineChars="200" w:firstLine="480"/>
        <w:rPr>
          <w:sz w:val="24"/>
        </w:rPr>
      </w:pPr>
      <w:r>
        <w:rPr>
          <w:rFonts w:hint="eastAsia"/>
          <w:sz w:val="24"/>
        </w:rPr>
        <w:t>根据搜集的土地利用现状图，结合现场调查，甘肃省临泽县板桥</w:t>
      </w:r>
      <w:proofErr w:type="gramStart"/>
      <w:r>
        <w:rPr>
          <w:rFonts w:hint="eastAsia"/>
          <w:sz w:val="24"/>
        </w:rPr>
        <w:t>镇壕洼村</w:t>
      </w:r>
      <w:proofErr w:type="gramEnd"/>
      <w:r>
        <w:rPr>
          <w:rFonts w:hint="eastAsia"/>
          <w:sz w:val="24"/>
        </w:rPr>
        <w:t>正北山西侧砖瓦用粘土矿</w:t>
      </w:r>
      <w:r>
        <w:rPr>
          <w:sz w:val="24"/>
        </w:rPr>
        <w:t>采矿权范围内土地类型</w:t>
      </w:r>
      <w:proofErr w:type="gramStart"/>
      <w:r>
        <w:rPr>
          <w:sz w:val="24"/>
        </w:rPr>
        <w:t>主要</w:t>
      </w:r>
      <w:r>
        <w:rPr>
          <w:rFonts w:hint="eastAsia"/>
          <w:sz w:val="24"/>
        </w:rPr>
        <w:t>为裸土地</w:t>
      </w:r>
      <w:proofErr w:type="gramEnd"/>
      <w:r>
        <w:rPr>
          <w:rFonts w:hint="eastAsia"/>
          <w:sz w:val="24"/>
        </w:rPr>
        <w:t>（</w:t>
      </w:r>
      <w:r>
        <w:rPr>
          <w:rFonts w:hint="eastAsia"/>
          <w:sz w:val="24"/>
        </w:rPr>
        <w:t>1</w:t>
      </w:r>
      <w:r>
        <w:rPr>
          <w:sz w:val="24"/>
        </w:rPr>
        <w:t>206</w:t>
      </w:r>
      <w:r>
        <w:rPr>
          <w:rFonts w:hint="eastAsia"/>
          <w:sz w:val="24"/>
        </w:rPr>
        <w:t>），项目区被破坏的</w:t>
      </w:r>
      <w:proofErr w:type="gramStart"/>
      <w:r>
        <w:rPr>
          <w:rFonts w:hint="eastAsia"/>
          <w:sz w:val="24"/>
        </w:rPr>
        <w:t>土地类型为裸土地</w:t>
      </w:r>
      <w:proofErr w:type="gramEnd"/>
      <w:r>
        <w:rPr>
          <w:rFonts w:hint="eastAsia"/>
          <w:sz w:val="24"/>
        </w:rPr>
        <w:t>（</w:t>
      </w:r>
      <w:r>
        <w:rPr>
          <w:rFonts w:hint="eastAsia"/>
          <w:sz w:val="24"/>
        </w:rPr>
        <w:t>1</w:t>
      </w:r>
      <w:r>
        <w:rPr>
          <w:sz w:val="24"/>
        </w:rPr>
        <w:t>206</w:t>
      </w:r>
      <w:r>
        <w:rPr>
          <w:rFonts w:hint="eastAsia"/>
          <w:sz w:val="24"/>
        </w:rPr>
        <w:t>）</w:t>
      </w:r>
      <w:r>
        <w:rPr>
          <w:sz w:val="24"/>
        </w:rPr>
        <w:t>。</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31" w:name="_Toc511226472"/>
      <w:bookmarkStart w:id="932" w:name="_Toc70589855"/>
      <w:bookmarkStart w:id="933" w:name="_Toc153130782"/>
      <w:r>
        <w:rPr>
          <w:rFonts w:eastAsia="黑体" w:hint="eastAsia"/>
          <w:b/>
          <w:bCs/>
          <w:sz w:val="28"/>
          <w:szCs w:val="30"/>
        </w:rPr>
        <w:t>二、矿山地质环境影响评估</w:t>
      </w:r>
      <w:bookmarkEnd w:id="931"/>
      <w:bookmarkEnd w:id="932"/>
      <w:bookmarkEnd w:id="933"/>
    </w:p>
    <w:p w:rsidR="009C5C1F" w:rsidRDefault="004D2E0D">
      <w:pPr>
        <w:keepNext/>
        <w:keepLines/>
        <w:suppressAutoHyphens/>
        <w:wordWrap w:val="0"/>
        <w:topLinePunct/>
        <w:spacing w:line="360" w:lineRule="auto"/>
        <w:ind w:firstLineChars="200" w:firstLine="482"/>
        <w:outlineLvl w:val="2"/>
        <w:rPr>
          <w:b/>
          <w:sz w:val="24"/>
          <w:szCs w:val="28"/>
        </w:rPr>
      </w:pPr>
      <w:bookmarkStart w:id="934" w:name="_Toc70589856"/>
      <w:r>
        <w:rPr>
          <w:rFonts w:hint="eastAsia"/>
          <w:b/>
          <w:sz w:val="24"/>
          <w:szCs w:val="28"/>
        </w:rPr>
        <w:t>（一）评估范围和评估级别</w:t>
      </w:r>
      <w:bookmarkEnd w:id="934"/>
    </w:p>
    <w:bookmarkEnd w:id="929"/>
    <w:bookmarkEnd w:id="930"/>
    <w:p w:rsidR="009C5C1F" w:rsidRDefault="004D2E0D">
      <w:pPr>
        <w:suppressAutoHyphens/>
        <w:wordWrap w:val="0"/>
        <w:topLinePunct/>
        <w:spacing w:line="360" w:lineRule="auto"/>
        <w:ind w:firstLineChars="200" w:firstLine="480"/>
        <w:rPr>
          <w:sz w:val="24"/>
        </w:rPr>
      </w:pPr>
      <w:r>
        <w:rPr>
          <w:rFonts w:hint="eastAsia"/>
          <w:sz w:val="24"/>
        </w:rPr>
        <w:t>临泽县板桥</w:t>
      </w:r>
      <w:proofErr w:type="gramStart"/>
      <w:r>
        <w:rPr>
          <w:rFonts w:hint="eastAsia"/>
          <w:sz w:val="24"/>
        </w:rPr>
        <w:t>镇壕洼村</w:t>
      </w:r>
      <w:proofErr w:type="gramEnd"/>
      <w:r>
        <w:rPr>
          <w:rFonts w:hint="eastAsia"/>
          <w:sz w:val="24"/>
        </w:rPr>
        <w:t>正北山西侧砖瓦用粘土矿为新建矿山，现状条件下未对矿区地质环境造成影响。</w:t>
      </w:r>
    </w:p>
    <w:p w:rsidR="009C5C1F" w:rsidRDefault="004D2E0D">
      <w:pPr>
        <w:suppressAutoHyphens/>
        <w:wordWrap w:val="0"/>
        <w:topLinePunct/>
        <w:spacing w:line="360" w:lineRule="auto"/>
        <w:ind w:firstLineChars="200" w:firstLine="480"/>
        <w:rPr>
          <w:sz w:val="24"/>
        </w:rPr>
      </w:pPr>
      <w:r>
        <w:rPr>
          <w:rFonts w:hint="eastAsia"/>
          <w:sz w:val="24"/>
        </w:rPr>
        <w:t>矿山环境影响评估是根据对矿山及周边环境、地质灾害的调查，依据《方案编制规范》附录</w:t>
      </w:r>
      <w:r>
        <w:rPr>
          <w:sz w:val="24"/>
        </w:rPr>
        <w:t>E</w:t>
      </w:r>
      <w:r>
        <w:rPr>
          <w:rFonts w:hint="eastAsia"/>
          <w:sz w:val="24"/>
        </w:rPr>
        <w:t>表</w:t>
      </w:r>
      <w:r>
        <w:rPr>
          <w:sz w:val="24"/>
        </w:rPr>
        <w:t>E.1</w:t>
      </w:r>
      <w:r>
        <w:rPr>
          <w:rFonts w:hint="eastAsia"/>
          <w:sz w:val="24"/>
        </w:rPr>
        <w:t>“矿山地质环境影响程度分级表”（表</w:t>
      </w:r>
      <w:r>
        <w:rPr>
          <w:sz w:val="24"/>
        </w:rPr>
        <w:t>3-11</w:t>
      </w:r>
      <w:r>
        <w:rPr>
          <w:rFonts w:hint="eastAsia"/>
          <w:sz w:val="24"/>
        </w:rPr>
        <w:t>）定性或定量地评价和估算采矿活动对地质环境的影响程度。</w:t>
      </w:r>
    </w:p>
    <w:p w:rsidR="009C5C1F" w:rsidRDefault="004D2E0D">
      <w:pPr>
        <w:suppressAutoHyphens/>
        <w:wordWrap w:val="0"/>
        <w:topLinePunct/>
        <w:spacing w:line="360" w:lineRule="auto"/>
        <w:ind w:firstLineChars="200" w:firstLine="482"/>
        <w:rPr>
          <w:b/>
          <w:sz w:val="24"/>
        </w:rPr>
      </w:pPr>
      <w:r>
        <w:rPr>
          <w:rFonts w:hint="eastAsia"/>
          <w:b/>
          <w:sz w:val="24"/>
        </w:rPr>
        <w:t>1</w:t>
      </w:r>
      <w:r>
        <w:rPr>
          <w:rFonts w:hint="eastAsia"/>
          <w:b/>
          <w:sz w:val="24"/>
        </w:rPr>
        <w:t>、</w:t>
      </w:r>
      <w:r>
        <w:rPr>
          <w:b/>
          <w:sz w:val="24"/>
        </w:rPr>
        <w:t>评估范围</w:t>
      </w:r>
    </w:p>
    <w:p w:rsidR="009C5C1F" w:rsidRDefault="004D2E0D">
      <w:pPr>
        <w:suppressAutoHyphens/>
        <w:wordWrap w:val="0"/>
        <w:topLinePunct/>
        <w:spacing w:beforeLines="50" w:before="120" w:line="360" w:lineRule="auto"/>
        <w:ind w:firstLineChars="200" w:firstLine="480"/>
        <w:jc w:val="left"/>
        <w:rPr>
          <w:b/>
          <w:sz w:val="24"/>
        </w:rPr>
      </w:pPr>
      <w:r>
        <w:rPr>
          <w:rFonts w:hint="eastAsia"/>
          <w:sz w:val="24"/>
        </w:rPr>
        <w:t>甘肃省临泽县板桥</w:t>
      </w:r>
      <w:proofErr w:type="gramStart"/>
      <w:r>
        <w:rPr>
          <w:rFonts w:hint="eastAsia"/>
          <w:sz w:val="24"/>
        </w:rPr>
        <w:t>镇壕洼村</w:t>
      </w:r>
      <w:proofErr w:type="gramEnd"/>
      <w:r>
        <w:rPr>
          <w:rFonts w:hint="eastAsia"/>
          <w:sz w:val="24"/>
        </w:rPr>
        <w:t>正北山西侧砖瓦用粘土矿矿区面积为</w:t>
      </w:r>
      <w:r>
        <w:rPr>
          <w:rFonts w:hint="eastAsia"/>
          <w:sz w:val="24"/>
        </w:rPr>
        <w:t>0</w:t>
      </w:r>
      <w:r>
        <w:rPr>
          <w:sz w:val="24"/>
        </w:rPr>
        <w:t>.35km</w:t>
      </w:r>
      <w:r>
        <w:rPr>
          <w:sz w:val="24"/>
          <w:vertAlign w:val="superscript"/>
        </w:rPr>
        <w:t>2</w:t>
      </w:r>
      <w:r>
        <w:rPr>
          <w:rFonts w:hint="eastAsia"/>
          <w:sz w:val="24"/>
        </w:rPr>
        <w:t>，据《方案编制规范》，在充分收集前人资料的基础上，通过综合分析，野外实地踏勘，结合地质灾害危险性评估有关要求而确定，依据地质灾害发育的构造、地貌单元等地形地质条件及矿区具体情况，确定本次评估范围为矿业活动影响范围外推约</w:t>
      </w:r>
      <w:r>
        <w:rPr>
          <w:rFonts w:hint="eastAsia"/>
          <w:sz w:val="24"/>
        </w:rPr>
        <w:t>5</w:t>
      </w:r>
      <w:r>
        <w:rPr>
          <w:sz w:val="24"/>
        </w:rPr>
        <w:t>0m</w:t>
      </w:r>
      <w:r>
        <w:rPr>
          <w:rFonts w:hint="eastAsia"/>
          <w:sz w:val="24"/>
        </w:rPr>
        <w:t>～</w:t>
      </w:r>
      <w:r>
        <w:rPr>
          <w:rFonts w:hint="eastAsia"/>
          <w:sz w:val="24"/>
        </w:rPr>
        <w:t>20</w:t>
      </w:r>
      <w:r>
        <w:rPr>
          <w:sz w:val="24"/>
        </w:rPr>
        <w:t>0m</w:t>
      </w:r>
      <w:r>
        <w:rPr>
          <w:rFonts w:hint="eastAsia"/>
          <w:sz w:val="24"/>
        </w:rPr>
        <w:t>，面积</w:t>
      </w:r>
      <w:r>
        <w:rPr>
          <w:rFonts w:hint="eastAsia"/>
          <w:sz w:val="24"/>
        </w:rPr>
        <w:t>1</w:t>
      </w:r>
      <w:r>
        <w:rPr>
          <w:sz w:val="24"/>
        </w:rPr>
        <w:t>km²</w:t>
      </w:r>
      <w:r>
        <w:rPr>
          <w:rFonts w:hint="eastAsia"/>
          <w:sz w:val="24"/>
        </w:rPr>
        <w:t>。</w:t>
      </w:r>
    </w:p>
    <w:p w:rsidR="009C5C1F" w:rsidRDefault="004D2E0D">
      <w:pPr>
        <w:suppressAutoHyphens/>
        <w:wordWrap w:val="0"/>
        <w:topLinePunct/>
        <w:spacing w:beforeLines="50" w:before="120" w:line="360" w:lineRule="auto"/>
        <w:ind w:firstLineChars="200" w:firstLine="482"/>
        <w:rPr>
          <w:b/>
          <w:sz w:val="24"/>
        </w:rPr>
      </w:pPr>
      <w:r>
        <w:rPr>
          <w:rFonts w:hint="eastAsia"/>
          <w:b/>
          <w:sz w:val="24"/>
        </w:rPr>
        <w:t>2</w:t>
      </w:r>
      <w:r>
        <w:rPr>
          <w:rFonts w:hint="eastAsia"/>
          <w:b/>
          <w:sz w:val="24"/>
        </w:rPr>
        <w:t>、</w:t>
      </w:r>
      <w:r>
        <w:rPr>
          <w:b/>
          <w:sz w:val="24"/>
        </w:rPr>
        <w:t>评估级别</w:t>
      </w:r>
    </w:p>
    <w:p w:rsidR="009C5C1F" w:rsidRDefault="004D2E0D">
      <w:pPr>
        <w:suppressAutoHyphens/>
        <w:wordWrap w:val="0"/>
        <w:topLinePunct/>
        <w:spacing w:beforeLines="50" w:before="120" w:line="360" w:lineRule="auto"/>
        <w:ind w:firstLineChars="200" w:firstLine="480"/>
        <w:rPr>
          <w:sz w:val="24"/>
        </w:rPr>
      </w:pPr>
      <w:r>
        <w:rPr>
          <w:sz w:val="24"/>
        </w:rPr>
        <w:t>矿山环境影响评估级别是根据</w:t>
      </w:r>
      <w:proofErr w:type="gramStart"/>
      <w:r>
        <w:rPr>
          <w:sz w:val="24"/>
        </w:rPr>
        <w:t>评估区</w:t>
      </w:r>
      <w:proofErr w:type="gramEnd"/>
      <w:r>
        <w:rPr>
          <w:sz w:val="24"/>
        </w:rPr>
        <w:t>重要程度、矿山地质环境条件复杂程度、矿山生产建设规模综合确定。</w:t>
      </w:r>
    </w:p>
    <w:p w:rsidR="009C5C1F" w:rsidRDefault="004D2E0D">
      <w:pPr>
        <w:suppressAutoHyphens/>
        <w:wordWrap w:val="0"/>
        <w:topLinePunct/>
        <w:spacing w:line="360" w:lineRule="auto"/>
        <w:ind w:firstLineChars="200" w:firstLine="482"/>
        <w:rPr>
          <w:b/>
          <w:sz w:val="24"/>
        </w:rPr>
      </w:pPr>
      <w:r>
        <w:rPr>
          <w:rFonts w:hint="eastAsia"/>
          <w:b/>
          <w:sz w:val="24"/>
        </w:rPr>
        <w:lastRenderedPageBreak/>
        <w:t>（</w:t>
      </w:r>
      <w:r>
        <w:rPr>
          <w:rFonts w:hint="eastAsia"/>
          <w:b/>
          <w:sz w:val="24"/>
        </w:rPr>
        <w:t>1</w:t>
      </w:r>
      <w:r>
        <w:rPr>
          <w:rFonts w:hint="eastAsia"/>
          <w:b/>
          <w:sz w:val="24"/>
        </w:rPr>
        <w:t>）</w:t>
      </w:r>
      <w:proofErr w:type="gramStart"/>
      <w:r>
        <w:rPr>
          <w:b/>
          <w:sz w:val="24"/>
        </w:rPr>
        <w:t>评估区</w:t>
      </w:r>
      <w:proofErr w:type="gramEnd"/>
      <w:r>
        <w:rPr>
          <w:b/>
          <w:sz w:val="24"/>
        </w:rPr>
        <w:t>重要程度</w:t>
      </w:r>
    </w:p>
    <w:p w:rsidR="009C5C1F" w:rsidRDefault="004D2E0D">
      <w:pPr>
        <w:suppressAutoHyphens/>
        <w:wordWrap w:val="0"/>
        <w:topLinePunct/>
        <w:spacing w:line="360" w:lineRule="auto"/>
        <w:ind w:firstLineChars="200" w:firstLine="480"/>
        <w:jc w:val="left"/>
        <w:rPr>
          <w:sz w:val="24"/>
        </w:rPr>
      </w:pPr>
      <w:proofErr w:type="gramStart"/>
      <w:r>
        <w:rPr>
          <w:rFonts w:hint="eastAsia"/>
          <w:sz w:val="24"/>
        </w:rPr>
        <w:t>评估区</w:t>
      </w:r>
      <w:proofErr w:type="gramEnd"/>
      <w:r>
        <w:rPr>
          <w:rFonts w:hint="eastAsia"/>
          <w:sz w:val="24"/>
        </w:rPr>
        <w:t>远离居民住地，未占用耕地，无重要交通要道和建筑设施及水源地，矿区破坏土地类型</w:t>
      </w:r>
      <w:proofErr w:type="gramStart"/>
      <w:r>
        <w:rPr>
          <w:rFonts w:hint="eastAsia"/>
          <w:sz w:val="24"/>
        </w:rPr>
        <w:t>主要为裸土地</w:t>
      </w:r>
      <w:proofErr w:type="gramEnd"/>
      <w:r>
        <w:rPr>
          <w:rFonts w:hint="eastAsia"/>
          <w:sz w:val="24"/>
        </w:rPr>
        <w:t>。根据《方案编制规范》附录</w:t>
      </w:r>
      <w:r>
        <w:rPr>
          <w:sz w:val="24"/>
        </w:rPr>
        <w:t>B</w:t>
      </w:r>
      <w:r>
        <w:rPr>
          <w:rFonts w:hint="eastAsia"/>
          <w:sz w:val="24"/>
        </w:rPr>
        <w:t>的规定（见表</w:t>
      </w:r>
      <w:r>
        <w:rPr>
          <w:sz w:val="24"/>
        </w:rPr>
        <w:t>3-1</w:t>
      </w:r>
      <w:r>
        <w:rPr>
          <w:rFonts w:hint="eastAsia"/>
          <w:sz w:val="24"/>
        </w:rPr>
        <w:t>），确定</w:t>
      </w:r>
      <w:proofErr w:type="gramStart"/>
      <w:r>
        <w:rPr>
          <w:rFonts w:hint="eastAsia"/>
          <w:sz w:val="24"/>
        </w:rPr>
        <w:t>评估区</w:t>
      </w:r>
      <w:proofErr w:type="gramEnd"/>
      <w:r>
        <w:rPr>
          <w:rFonts w:hint="eastAsia"/>
          <w:sz w:val="24"/>
        </w:rPr>
        <w:t>重要程度属于</w:t>
      </w:r>
      <w:r>
        <w:rPr>
          <w:rFonts w:hint="eastAsia"/>
          <w:b/>
          <w:sz w:val="24"/>
        </w:rPr>
        <w:t>一般区</w:t>
      </w:r>
      <w:r>
        <w:rPr>
          <w:rFonts w:hint="eastAsia"/>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2"/>
        <w:gridCol w:w="2982"/>
        <w:gridCol w:w="2983"/>
      </w:tblGrid>
      <w:tr w:rsidR="009C5C1F">
        <w:trPr>
          <w:trHeight w:val="268"/>
        </w:trPr>
        <w:tc>
          <w:tcPr>
            <w:tcW w:w="8947" w:type="dxa"/>
            <w:gridSpan w:val="3"/>
            <w:tcBorders>
              <w:top w:val="nil"/>
              <w:left w:val="nil"/>
              <w:bottom w:val="single" w:sz="4" w:space="0" w:color="000000"/>
              <w:right w:val="nil"/>
            </w:tcBorders>
          </w:tcPr>
          <w:p w:rsidR="009C5C1F" w:rsidRDefault="004D2E0D">
            <w:pPr>
              <w:suppressAutoHyphens/>
              <w:wordWrap w:val="0"/>
              <w:topLinePunct/>
              <w:spacing w:beforeLines="50" w:before="120" w:afterLines="50" w:after="120"/>
              <w:jc w:val="center"/>
              <w:rPr>
                <w:b/>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3</w:t>
            </w:r>
            <w:r>
              <w:rPr>
                <w:rFonts w:hint="eastAsia"/>
                <w:b/>
                <w:bCs/>
                <w:sz w:val="24"/>
              </w:rPr>
              <w:t>—</w:t>
            </w:r>
            <w:r>
              <w:rPr>
                <w:rFonts w:hint="eastAsia"/>
                <w:b/>
                <w:bCs/>
                <w:sz w:val="24"/>
              </w:rPr>
              <w:t>1</w:t>
            </w:r>
            <w:r>
              <w:rPr>
                <w:b/>
                <w:bCs/>
                <w:sz w:val="24"/>
              </w:rPr>
              <w:t xml:space="preserve">     </w:t>
            </w:r>
            <w:proofErr w:type="gramStart"/>
            <w:r>
              <w:rPr>
                <w:b/>
                <w:bCs/>
                <w:sz w:val="24"/>
              </w:rPr>
              <w:t>评估区</w:t>
            </w:r>
            <w:proofErr w:type="gramEnd"/>
            <w:r>
              <w:rPr>
                <w:b/>
                <w:bCs/>
                <w:sz w:val="24"/>
              </w:rPr>
              <w:t>重要程度分级表</w:t>
            </w:r>
            <w:r>
              <w:rPr>
                <w:b/>
                <w:bCs/>
                <w:sz w:val="24"/>
              </w:rPr>
              <w:t xml:space="preserve">            </w:t>
            </w:r>
          </w:p>
        </w:tc>
      </w:tr>
      <w:tr w:rsidR="009C5C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293"/>
        </w:trPr>
        <w:tc>
          <w:tcPr>
            <w:tcW w:w="2982" w:type="dxa"/>
            <w:tcBorders>
              <w:top w:val="single" w:sz="4" w:space="0" w:color="000000"/>
              <w:left w:val="single" w:sz="4" w:space="0" w:color="000000"/>
              <w:bottom w:val="single" w:sz="4" w:space="0" w:color="000000"/>
              <w:right w:val="single" w:sz="4" w:space="0" w:color="000000"/>
            </w:tcBorders>
            <w:vAlign w:val="center"/>
          </w:tcPr>
          <w:p w:rsidR="009C5C1F" w:rsidRDefault="004D2E0D">
            <w:pPr>
              <w:suppressAutoHyphens/>
              <w:wordWrap w:val="0"/>
              <w:topLinePunct/>
              <w:adjustRightInd w:val="0"/>
              <w:jc w:val="center"/>
              <w:rPr>
                <w:szCs w:val="21"/>
              </w:rPr>
            </w:pPr>
            <w:r>
              <w:rPr>
                <w:szCs w:val="21"/>
              </w:rPr>
              <w:t>重要区</w:t>
            </w:r>
          </w:p>
        </w:tc>
        <w:tc>
          <w:tcPr>
            <w:tcW w:w="2982" w:type="dxa"/>
            <w:tcBorders>
              <w:top w:val="single" w:sz="4" w:space="0" w:color="000000"/>
              <w:left w:val="single" w:sz="4" w:space="0" w:color="000000"/>
              <w:bottom w:val="single" w:sz="4" w:space="0" w:color="000000"/>
              <w:right w:val="single" w:sz="4" w:space="0" w:color="000000"/>
            </w:tcBorders>
            <w:vAlign w:val="center"/>
          </w:tcPr>
          <w:p w:rsidR="009C5C1F" w:rsidRDefault="004D2E0D">
            <w:pPr>
              <w:suppressAutoHyphens/>
              <w:wordWrap w:val="0"/>
              <w:topLinePunct/>
              <w:adjustRightInd w:val="0"/>
              <w:jc w:val="center"/>
              <w:rPr>
                <w:szCs w:val="21"/>
              </w:rPr>
            </w:pPr>
            <w:r>
              <w:rPr>
                <w:szCs w:val="21"/>
              </w:rPr>
              <w:t>较重要区</w:t>
            </w:r>
          </w:p>
        </w:tc>
        <w:tc>
          <w:tcPr>
            <w:tcW w:w="2983" w:type="dxa"/>
            <w:tcBorders>
              <w:top w:val="single" w:sz="4" w:space="0" w:color="000000"/>
              <w:left w:val="single" w:sz="4" w:space="0" w:color="000000"/>
              <w:bottom w:val="single" w:sz="4" w:space="0" w:color="000000"/>
              <w:right w:val="single" w:sz="4" w:space="0" w:color="000000"/>
            </w:tcBorders>
            <w:vAlign w:val="center"/>
          </w:tcPr>
          <w:p w:rsidR="009C5C1F" w:rsidRDefault="004D2E0D">
            <w:pPr>
              <w:suppressAutoHyphens/>
              <w:wordWrap w:val="0"/>
              <w:topLinePunct/>
              <w:adjustRightInd w:val="0"/>
              <w:jc w:val="center"/>
              <w:rPr>
                <w:b/>
                <w:szCs w:val="21"/>
              </w:rPr>
            </w:pPr>
            <w:r>
              <w:rPr>
                <w:b/>
                <w:szCs w:val="21"/>
              </w:rPr>
              <w:t>一般区</w:t>
            </w:r>
          </w:p>
        </w:tc>
      </w:tr>
      <w:tr w:rsidR="009C5C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606"/>
        </w:trPr>
        <w:tc>
          <w:tcPr>
            <w:tcW w:w="2982"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1.</w:t>
            </w:r>
            <w:r>
              <w:rPr>
                <w:szCs w:val="21"/>
              </w:rPr>
              <w:t>分布有</w:t>
            </w:r>
            <w:r>
              <w:rPr>
                <w:szCs w:val="21"/>
              </w:rPr>
              <w:t>500</w:t>
            </w:r>
            <w:r>
              <w:rPr>
                <w:szCs w:val="21"/>
              </w:rPr>
              <w:t>人以上的居民集中居住区；</w:t>
            </w:r>
          </w:p>
        </w:tc>
        <w:tc>
          <w:tcPr>
            <w:tcW w:w="2982"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1.</w:t>
            </w:r>
            <w:r>
              <w:rPr>
                <w:szCs w:val="21"/>
              </w:rPr>
              <w:t>分布有</w:t>
            </w:r>
            <w:r>
              <w:rPr>
                <w:szCs w:val="21"/>
              </w:rPr>
              <w:t>200</w:t>
            </w:r>
            <w:r>
              <w:rPr>
                <w:szCs w:val="21"/>
              </w:rPr>
              <w:t>～</w:t>
            </w:r>
            <w:r>
              <w:rPr>
                <w:szCs w:val="21"/>
              </w:rPr>
              <w:t>500</w:t>
            </w:r>
            <w:r>
              <w:rPr>
                <w:szCs w:val="21"/>
              </w:rPr>
              <w:t>人的居民集中居住区；</w:t>
            </w:r>
          </w:p>
        </w:tc>
        <w:tc>
          <w:tcPr>
            <w:tcW w:w="2983"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1.</w:t>
            </w:r>
            <w:r>
              <w:rPr>
                <w:szCs w:val="21"/>
              </w:rPr>
              <w:t>居民居住分散，居民集中居住区人口在</w:t>
            </w:r>
            <w:r>
              <w:rPr>
                <w:szCs w:val="21"/>
              </w:rPr>
              <w:t>200</w:t>
            </w:r>
            <w:r>
              <w:rPr>
                <w:szCs w:val="21"/>
              </w:rPr>
              <w:t>人以下；</w:t>
            </w:r>
          </w:p>
        </w:tc>
      </w:tr>
      <w:tr w:rsidR="009C5C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898"/>
        </w:trPr>
        <w:tc>
          <w:tcPr>
            <w:tcW w:w="2982"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2.</w:t>
            </w:r>
            <w:r>
              <w:rPr>
                <w:szCs w:val="21"/>
              </w:rPr>
              <w:t>分布有高速公路、一级公路、铁路、中型以上水利、电力工程或其他重要建筑设施；</w:t>
            </w:r>
          </w:p>
        </w:tc>
        <w:tc>
          <w:tcPr>
            <w:tcW w:w="2982"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2.</w:t>
            </w:r>
            <w:r>
              <w:rPr>
                <w:szCs w:val="21"/>
              </w:rPr>
              <w:t>分布有二级公路、小型水利、电力工程或其他较重要建筑设施；</w:t>
            </w:r>
          </w:p>
        </w:tc>
        <w:tc>
          <w:tcPr>
            <w:tcW w:w="2983"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2.</w:t>
            </w:r>
            <w:r>
              <w:rPr>
                <w:szCs w:val="21"/>
              </w:rPr>
              <w:t>无重要交通要道或建筑设施；</w:t>
            </w:r>
          </w:p>
        </w:tc>
      </w:tr>
      <w:tr w:rsidR="009C5C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919"/>
        </w:trPr>
        <w:tc>
          <w:tcPr>
            <w:tcW w:w="2982"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3.</w:t>
            </w:r>
            <w:r>
              <w:rPr>
                <w:szCs w:val="21"/>
              </w:rPr>
              <w:t>矿区紧邻国家级自然保护区（含地质公园、风景名胜区等）或重要旅游景区（点）；</w:t>
            </w:r>
          </w:p>
        </w:tc>
        <w:tc>
          <w:tcPr>
            <w:tcW w:w="2982"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3.</w:t>
            </w:r>
            <w:r>
              <w:rPr>
                <w:szCs w:val="21"/>
              </w:rPr>
              <w:t>紧邻省级、县级自然保护区或较重要旅游景区（点）；</w:t>
            </w:r>
          </w:p>
        </w:tc>
        <w:tc>
          <w:tcPr>
            <w:tcW w:w="2983"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3.</w:t>
            </w:r>
            <w:r>
              <w:rPr>
                <w:szCs w:val="21"/>
              </w:rPr>
              <w:t>远离各级自然保护区及旅游景区（点）；</w:t>
            </w:r>
          </w:p>
        </w:tc>
      </w:tr>
      <w:tr w:rsidR="009C5C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293"/>
        </w:trPr>
        <w:tc>
          <w:tcPr>
            <w:tcW w:w="2982"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4.</w:t>
            </w:r>
            <w:r>
              <w:rPr>
                <w:szCs w:val="21"/>
              </w:rPr>
              <w:t>有重要水源地；</w:t>
            </w:r>
          </w:p>
        </w:tc>
        <w:tc>
          <w:tcPr>
            <w:tcW w:w="2982"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4.</w:t>
            </w:r>
            <w:r>
              <w:rPr>
                <w:szCs w:val="21"/>
              </w:rPr>
              <w:t>有较重要水源地；</w:t>
            </w:r>
          </w:p>
        </w:tc>
        <w:tc>
          <w:tcPr>
            <w:tcW w:w="2983"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4.</w:t>
            </w:r>
            <w:r>
              <w:rPr>
                <w:szCs w:val="21"/>
              </w:rPr>
              <w:t>无较重要水源地；</w:t>
            </w:r>
          </w:p>
        </w:tc>
      </w:tr>
      <w:tr w:rsidR="009C5C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293"/>
        </w:trPr>
        <w:tc>
          <w:tcPr>
            <w:tcW w:w="2982"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5.</w:t>
            </w:r>
            <w:r>
              <w:rPr>
                <w:szCs w:val="21"/>
              </w:rPr>
              <w:t>破坏耕地、园地</w:t>
            </w:r>
          </w:p>
        </w:tc>
        <w:tc>
          <w:tcPr>
            <w:tcW w:w="2982"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b/>
                <w:szCs w:val="21"/>
              </w:rPr>
            </w:pPr>
            <w:r>
              <w:rPr>
                <w:b/>
                <w:szCs w:val="21"/>
              </w:rPr>
              <w:t>5.</w:t>
            </w:r>
            <w:r>
              <w:rPr>
                <w:bCs/>
                <w:szCs w:val="21"/>
              </w:rPr>
              <w:t>破坏林地、草地</w:t>
            </w:r>
            <w:r>
              <w:rPr>
                <w:b/>
                <w:szCs w:val="21"/>
              </w:rPr>
              <w:t>；</w:t>
            </w:r>
          </w:p>
        </w:tc>
        <w:tc>
          <w:tcPr>
            <w:tcW w:w="2983" w:type="dxa"/>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5.</w:t>
            </w:r>
            <w:r>
              <w:rPr>
                <w:szCs w:val="21"/>
              </w:rPr>
              <w:t>破坏其它类型土地</w:t>
            </w:r>
          </w:p>
        </w:tc>
      </w:tr>
      <w:tr w:rsidR="009C5C1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rHeight w:val="314"/>
        </w:trPr>
        <w:tc>
          <w:tcPr>
            <w:tcW w:w="8947" w:type="dxa"/>
            <w:gridSpan w:val="3"/>
            <w:tcBorders>
              <w:top w:val="single" w:sz="4" w:space="0" w:color="000000"/>
              <w:left w:val="single" w:sz="4" w:space="0" w:color="000000"/>
              <w:bottom w:val="single" w:sz="4" w:space="0" w:color="000000"/>
              <w:right w:val="single" w:sz="4" w:space="0" w:color="000000"/>
            </w:tcBorders>
          </w:tcPr>
          <w:p w:rsidR="009C5C1F" w:rsidRDefault="004D2E0D">
            <w:pPr>
              <w:suppressAutoHyphens/>
              <w:wordWrap w:val="0"/>
              <w:topLinePunct/>
              <w:adjustRightInd w:val="0"/>
              <w:rPr>
                <w:szCs w:val="21"/>
              </w:rPr>
            </w:pPr>
            <w:r>
              <w:rPr>
                <w:szCs w:val="21"/>
              </w:rPr>
              <w:t>注：</w:t>
            </w:r>
            <w:proofErr w:type="gramStart"/>
            <w:r>
              <w:rPr>
                <w:szCs w:val="21"/>
              </w:rPr>
              <w:t>评估区</w:t>
            </w:r>
            <w:proofErr w:type="gramEnd"/>
            <w:r>
              <w:rPr>
                <w:szCs w:val="21"/>
              </w:rPr>
              <w:t>重要程度分级确定采取上一级别优先的原则，只要有一条符合者即为该级别</w:t>
            </w:r>
          </w:p>
        </w:tc>
      </w:tr>
    </w:tbl>
    <w:p w:rsidR="009C5C1F" w:rsidRDefault="004D2E0D">
      <w:pPr>
        <w:suppressAutoHyphens/>
        <w:wordWrap w:val="0"/>
        <w:topLinePunct/>
        <w:spacing w:beforeLines="50" w:before="120" w:line="360" w:lineRule="auto"/>
        <w:ind w:firstLineChars="200" w:firstLine="482"/>
        <w:rPr>
          <w:b/>
          <w:sz w:val="24"/>
        </w:rPr>
      </w:pPr>
      <w:r>
        <w:rPr>
          <w:rFonts w:hint="eastAsia"/>
          <w:b/>
          <w:sz w:val="24"/>
        </w:rPr>
        <w:t>（</w:t>
      </w:r>
      <w:r>
        <w:rPr>
          <w:rFonts w:hint="eastAsia"/>
          <w:b/>
          <w:sz w:val="24"/>
        </w:rPr>
        <w:t>2</w:t>
      </w:r>
      <w:r>
        <w:rPr>
          <w:rFonts w:hint="eastAsia"/>
          <w:b/>
          <w:sz w:val="24"/>
        </w:rPr>
        <w:t>）</w:t>
      </w:r>
      <w:r>
        <w:rPr>
          <w:b/>
          <w:sz w:val="24"/>
        </w:rPr>
        <w:t>矿山地质环境条件复杂程度</w:t>
      </w:r>
    </w:p>
    <w:p w:rsidR="009C5C1F" w:rsidRDefault="004D2E0D">
      <w:pPr>
        <w:suppressAutoHyphens/>
        <w:wordWrap w:val="0"/>
        <w:topLinePunct/>
        <w:spacing w:line="360" w:lineRule="auto"/>
        <w:ind w:firstLineChars="200" w:firstLine="480"/>
        <w:jc w:val="left"/>
        <w:rPr>
          <w:sz w:val="24"/>
        </w:rPr>
      </w:pPr>
      <w:r>
        <w:rPr>
          <w:rFonts w:hint="eastAsia"/>
          <w:sz w:val="24"/>
        </w:rPr>
        <w:t>a.</w:t>
      </w:r>
      <w:r>
        <w:rPr>
          <w:rFonts w:hint="eastAsia"/>
          <w:sz w:val="24"/>
        </w:rPr>
        <w:t>采矿体位于当地侵蚀基准面以上，采剥面积较小，且区内干旱少雨，蒸发量远远大于降雨量，采场与区域含水层联系不密切，矿区开采不易导致对含水层的影响和破坏，水文地质条件</w:t>
      </w:r>
      <w:proofErr w:type="gramStart"/>
      <w:r>
        <w:rPr>
          <w:rFonts w:hint="eastAsia"/>
          <w:sz w:val="24"/>
        </w:rPr>
        <w:t>属</w:t>
      </w:r>
      <w:r>
        <w:rPr>
          <w:rFonts w:hint="eastAsia"/>
          <w:b/>
          <w:bCs/>
          <w:sz w:val="24"/>
        </w:rPr>
        <w:t>简单</w:t>
      </w:r>
      <w:proofErr w:type="gramEnd"/>
      <w:r>
        <w:rPr>
          <w:rFonts w:hint="eastAsia"/>
          <w:sz w:val="24"/>
        </w:rPr>
        <w:t>类型。</w:t>
      </w:r>
    </w:p>
    <w:p w:rsidR="009C5C1F" w:rsidRDefault="004D2E0D">
      <w:pPr>
        <w:suppressAutoHyphens/>
        <w:wordWrap w:val="0"/>
        <w:topLinePunct/>
        <w:spacing w:line="360" w:lineRule="auto"/>
        <w:ind w:firstLineChars="200" w:firstLine="480"/>
        <w:jc w:val="left"/>
        <w:rPr>
          <w:sz w:val="24"/>
        </w:rPr>
      </w:pPr>
      <w:r>
        <w:rPr>
          <w:rFonts w:hint="eastAsia"/>
          <w:sz w:val="24"/>
        </w:rPr>
        <w:t>b.</w:t>
      </w:r>
      <w:r>
        <w:rPr>
          <w:sz w:val="24"/>
        </w:rPr>
        <w:t>工程地质条件</w:t>
      </w:r>
      <w:r>
        <w:rPr>
          <w:b/>
          <w:bCs/>
          <w:sz w:val="24"/>
        </w:rPr>
        <w:t>简单</w:t>
      </w:r>
      <w:r>
        <w:rPr>
          <w:sz w:val="24"/>
        </w:rPr>
        <w:t>，矿体稳定，风化层厚度小，</w:t>
      </w:r>
      <w:proofErr w:type="gramStart"/>
      <w:r>
        <w:rPr>
          <w:sz w:val="24"/>
        </w:rPr>
        <w:t>边坡较</w:t>
      </w:r>
      <w:proofErr w:type="gramEnd"/>
      <w:r>
        <w:rPr>
          <w:sz w:val="24"/>
        </w:rPr>
        <w:t>稳定；</w:t>
      </w:r>
    </w:p>
    <w:p w:rsidR="009C5C1F" w:rsidRDefault="004D2E0D">
      <w:pPr>
        <w:suppressAutoHyphens/>
        <w:wordWrap w:val="0"/>
        <w:topLinePunct/>
        <w:spacing w:line="360" w:lineRule="auto"/>
        <w:ind w:firstLineChars="200" w:firstLine="480"/>
        <w:jc w:val="left"/>
        <w:rPr>
          <w:sz w:val="24"/>
        </w:rPr>
      </w:pPr>
      <w:r>
        <w:rPr>
          <w:rFonts w:hint="eastAsia"/>
          <w:sz w:val="24"/>
        </w:rPr>
        <w:t>c.</w:t>
      </w:r>
      <w:r>
        <w:rPr>
          <w:sz w:val="24"/>
        </w:rPr>
        <w:t>地层岩性变化小，地质构造</w:t>
      </w:r>
      <w:r>
        <w:rPr>
          <w:b/>
          <w:bCs/>
          <w:sz w:val="24"/>
        </w:rPr>
        <w:t>简单</w:t>
      </w:r>
      <w:r>
        <w:rPr>
          <w:sz w:val="24"/>
        </w:rPr>
        <w:t>；</w:t>
      </w:r>
    </w:p>
    <w:p w:rsidR="009C5C1F" w:rsidRDefault="004D2E0D">
      <w:pPr>
        <w:suppressAutoHyphens/>
        <w:wordWrap w:val="0"/>
        <w:topLinePunct/>
        <w:spacing w:line="360" w:lineRule="auto"/>
        <w:ind w:firstLineChars="200" w:firstLine="480"/>
        <w:jc w:val="left"/>
        <w:rPr>
          <w:sz w:val="24"/>
        </w:rPr>
      </w:pPr>
      <w:r>
        <w:rPr>
          <w:rFonts w:hint="eastAsia"/>
          <w:sz w:val="24"/>
        </w:rPr>
        <w:t>d.</w:t>
      </w:r>
      <w:r>
        <w:rPr>
          <w:sz w:val="24"/>
        </w:rPr>
        <w:t>现状条件下矿山地质环境问题少，对人居环境及自然景观影响小；</w:t>
      </w:r>
    </w:p>
    <w:p w:rsidR="009C5C1F" w:rsidRDefault="004D2E0D">
      <w:pPr>
        <w:suppressAutoHyphens/>
        <w:wordWrap w:val="0"/>
        <w:topLinePunct/>
        <w:spacing w:line="360" w:lineRule="auto"/>
        <w:ind w:firstLineChars="200" w:firstLine="480"/>
        <w:jc w:val="left"/>
        <w:rPr>
          <w:sz w:val="24"/>
        </w:rPr>
      </w:pPr>
      <w:r>
        <w:rPr>
          <w:rFonts w:hint="eastAsia"/>
          <w:sz w:val="24"/>
        </w:rPr>
        <w:t>e.</w:t>
      </w:r>
      <w:r>
        <w:rPr>
          <w:sz w:val="24"/>
        </w:rPr>
        <w:t>采场面积及采场深度较小，</w:t>
      </w:r>
      <w:proofErr w:type="gramStart"/>
      <w:r>
        <w:rPr>
          <w:sz w:val="24"/>
        </w:rPr>
        <w:t>边坡较</w:t>
      </w:r>
      <w:proofErr w:type="gramEnd"/>
      <w:r>
        <w:rPr>
          <w:sz w:val="24"/>
        </w:rPr>
        <w:t>稳定，不易产生地质灾害；</w:t>
      </w:r>
    </w:p>
    <w:p w:rsidR="009C5C1F" w:rsidRDefault="004D2E0D">
      <w:pPr>
        <w:suppressAutoHyphens/>
        <w:wordWrap w:val="0"/>
        <w:topLinePunct/>
        <w:spacing w:line="360" w:lineRule="auto"/>
        <w:ind w:firstLineChars="200" w:firstLine="480"/>
        <w:jc w:val="left"/>
        <w:rPr>
          <w:sz w:val="24"/>
        </w:rPr>
      </w:pPr>
      <w:r>
        <w:rPr>
          <w:rFonts w:hint="eastAsia"/>
          <w:sz w:val="24"/>
        </w:rPr>
        <w:t>f.</w:t>
      </w:r>
      <w:r>
        <w:rPr>
          <w:sz w:val="24"/>
        </w:rPr>
        <w:t xml:space="preserve"> </w:t>
      </w:r>
      <w:r>
        <w:rPr>
          <w:sz w:val="24"/>
        </w:rPr>
        <w:t>矿区海拔</w:t>
      </w:r>
      <w:r>
        <w:rPr>
          <w:rFonts w:hint="eastAsia"/>
          <w:sz w:val="24"/>
        </w:rPr>
        <w:t>1</w:t>
      </w:r>
      <w:r>
        <w:rPr>
          <w:sz w:val="24"/>
        </w:rPr>
        <w:t>353</w:t>
      </w:r>
      <w:r>
        <w:rPr>
          <w:sz w:val="24"/>
        </w:rPr>
        <w:t>～</w:t>
      </w:r>
      <w:r>
        <w:rPr>
          <w:rFonts w:hint="eastAsia"/>
          <w:sz w:val="24"/>
        </w:rPr>
        <w:t>1</w:t>
      </w:r>
      <w:r>
        <w:rPr>
          <w:sz w:val="24"/>
        </w:rPr>
        <w:t>385m</w:t>
      </w:r>
      <w:r>
        <w:rPr>
          <w:sz w:val="24"/>
        </w:rPr>
        <w:t>，属低中山区。</w:t>
      </w:r>
      <w:r>
        <w:rPr>
          <w:rFonts w:hint="eastAsia"/>
          <w:sz w:val="24"/>
        </w:rPr>
        <w:t>矿区</w:t>
      </w:r>
      <w:r>
        <w:rPr>
          <w:sz w:val="24"/>
        </w:rPr>
        <w:t>地形起伏</w:t>
      </w:r>
      <w:r>
        <w:rPr>
          <w:rFonts w:hint="eastAsia"/>
          <w:sz w:val="24"/>
        </w:rPr>
        <w:t>总体</w:t>
      </w:r>
      <w:r>
        <w:rPr>
          <w:sz w:val="24"/>
        </w:rPr>
        <w:t>变化</w:t>
      </w:r>
      <w:r>
        <w:rPr>
          <w:rFonts w:hint="eastAsia"/>
          <w:sz w:val="24"/>
        </w:rPr>
        <w:t>小</w:t>
      </w:r>
      <w:r>
        <w:rPr>
          <w:sz w:val="24"/>
        </w:rPr>
        <w:t>，自然排水条件</w:t>
      </w:r>
      <w:r>
        <w:rPr>
          <w:rFonts w:hint="eastAsia"/>
          <w:sz w:val="24"/>
        </w:rPr>
        <w:t>一般</w:t>
      </w:r>
      <w:r>
        <w:rPr>
          <w:sz w:val="24"/>
        </w:rPr>
        <w:t>，</w:t>
      </w:r>
      <w:r>
        <w:rPr>
          <w:rFonts w:hint="eastAsia"/>
          <w:sz w:val="24"/>
        </w:rPr>
        <w:t>矿体的</w:t>
      </w:r>
      <w:r>
        <w:rPr>
          <w:sz w:val="24"/>
        </w:rPr>
        <w:t>坡度一般</w:t>
      </w:r>
      <w:r>
        <w:rPr>
          <w:rFonts w:hint="eastAsia"/>
          <w:sz w:val="24"/>
        </w:rPr>
        <w:t>较小</w:t>
      </w:r>
      <w:r>
        <w:rPr>
          <w:sz w:val="24"/>
        </w:rPr>
        <w:t>，</w:t>
      </w:r>
      <w:r>
        <w:rPr>
          <w:rFonts w:hint="eastAsia"/>
          <w:sz w:val="24"/>
        </w:rPr>
        <w:t>约为</w:t>
      </w:r>
      <w:r>
        <w:rPr>
          <w:sz w:val="24"/>
        </w:rPr>
        <w:t>20°</w:t>
      </w:r>
      <w:r>
        <w:rPr>
          <w:sz w:val="24"/>
        </w:rPr>
        <w:t>～</w:t>
      </w:r>
      <w:r>
        <w:rPr>
          <w:sz w:val="24"/>
        </w:rPr>
        <w:t>35°</w:t>
      </w:r>
      <w:r>
        <w:rPr>
          <w:rFonts w:hint="eastAsia"/>
          <w:sz w:val="24"/>
        </w:rPr>
        <w:t>，与地面</w:t>
      </w:r>
      <w:r>
        <w:rPr>
          <w:sz w:val="24"/>
        </w:rPr>
        <w:t>相对高差</w:t>
      </w:r>
      <w:r>
        <w:rPr>
          <w:rFonts w:hint="eastAsia"/>
          <w:sz w:val="24"/>
        </w:rPr>
        <w:t>不大</w:t>
      </w:r>
      <w:r>
        <w:rPr>
          <w:sz w:val="24"/>
        </w:rPr>
        <w:t>。</w:t>
      </w:r>
    </w:p>
    <w:p w:rsidR="009C5C1F" w:rsidRDefault="004D2E0D">
      <w:pPr>
        <w:suppressAutoHyphens/>
        <w:wordWrap w:val="0"/>
        <w:topLinePunct/>
        <w:spacing w:line="360" w:lineRule="auto"/>
        <w:ind w:firstLineChars="200" w:firstLine="480"/>
        <w:jc w:val="left"/>
        <w:rPr>
          <w:sz w:val="24"/>
        </w:rPr>
      </w:pPr>
      <w:r>
        <w:rPr>
          <w:sz w:val="24"/>
        </w:rPr>
        <w:t>据《矿山地质环境保护与恢复治理方案编制规范》（</w:t>
      </w:r>
      <w:r>
        <w:rPr>
          <w:sz w:val="24"/>
        </w:rPr>
        <w:t>DZ/T0223-2011</w:t>
      </w:r>
      <w:r>
        <w:rPr>
          <w:sz w:val="24"/>
        </w:rPr>
        <w:t>表</w:t>
      </w:r>
      <w:r>
        <w:rPr>
          <w:sz w:val="24"/>
        </w:rPr>
        <w:t>C.2</w:t>
      </w:r>
      <w:r>
        <w:rPr>
          <w:sz w:val="24"/>
        </w:rPr>
        <w:t>）（表</w:t>
      </w:r>
      <w:r>
        <w:rPr>
          <w:sz w:val="24"/>
        </w:rPr>
        <w:t>3-2</w:t>
      </w:r>
      <w:r>
        <w:rPr>
          <w:sz w:val="24"/>
        </w:rPr>
        <w:t>），矿山地质环境条件复杂程度为</w:t>
      </w:r>
      <w:r>
        <w:rPr>
          <w:rFonts w:hint="eastAsia"/>
          <w:b/>
          <w:sz w:val="24"/>
        </w:rPr>
        <w:t>简单</w:t>
      </w:r>
      <w:r>
        <w:rPr>
          <w:sz w:val="24"/>
        </w:rPr>
        <w:t>。</w:t>
      </w:r>
    </w:p>
    <w:p w:rsidR="009C5C1F" w:rsidRDefault="009C5C1F">
      <w:pPr>
        <w:suppressAutoHyphens/>
        <w:wordWrap w:val="0"/>
        <w:topLinePunct/>
        <w:spacing w:beforeLines="50" w:before="120" w:afterLines="50" w:after="120"/>
        <w:jc w:val="center"/>
        <w:rPr>
          <w:b/>
          <w:bCs/>
          <w:sz w:val="24"/>
        </w:rPr>
      </w:pPr>
    </w:p>
    <w:p w:rsidR="009C5C1F" w:rsidRDefault="009C5C1F">
      <w:pPr>
        <w:suppressAutoHyphens/>
        <w:wordWrap w:val="0"/>
        <w:topLinePunct/>
        <w:spacing w:beforeLines="50" w:before="120" w:afterLines="50" w:after="120"/>
        <w:jc w:val="center"/>
        <w:rPr>
          <w:b/>
          <w:bCs/>
          <w:sz w:val="24"/>
        </w:rPr>
      </w:pPr>
    </w:p>
    <w:p w:rsidR="009C5C1F" w:rsidRDefault="009C5C1F">
      <w:pPr>
        <w:suppressAutoHyphens/>
        <w:wordWrap w:val="0"/>
        <w:topLinePunct/>
        <w:spacing w:beforeLines="50" w:before="120" w:afterLines="50" w:after="120"/>
        <w:jc w:val="center"/>
        <w:rPr>
          <w:b/>
          <w:bCs/>
          <w:sz w:val="24"/>
        </w:rPr>
      </w:pPr>
    </w:p>
    <w:p w:rsidR="009C5C1F" w:rsidRDefault="009C5C1F">
      <w:pPr>
        <w:suppressAutoHyphens/>
        <w:wordWrap w:val="0"/>
        <w:topLinePunct/>
        <w:spacing w:beforeLines="50" w:before="120" w:afterLines="50" w:after="120"/>
        <w:jc w:val="center"/>
        <w:rPr>
          <w:b/>
          <w:bCs/>
          <w:sz w:val="24"/>
        </w:rPr>
      </w:pPr>
    </w:p>
    <w:p w:rsidR="009C5C1F" w:rsidRDefault="009C5C1F">
      <w:pPr>
        <w:suppressAutoHyphens/>
        <w:wordWrap w:val="0"/>
        <w:topLinePunct/>
        <w:spacing w:beforeLines="50" w:before="120" w:afterLines="50" w:after="120"/>
        <w:jc w:val="center"/>
        <w:rPr>
          <w:b/>
          <w:bCs/>
          <w:sz w:val="24"/>
        </w:rPr>
      </w:pPr>
    </w:p>
    <w:p w:rsidR="009C5C1F" w:rsidRDefault="004D2E0D">
      <w:pPr>
        <w:suppressAutoHyphens/>
        <w:wordWrap w:val="0"/>
        <w:topLinePunct/>
        <w:spacing w:beforeLines="50" w:before="120" w:afterLines="50" w:after="120"/>
        <w:jc w:val="center"/>
        <w:rPr>
          <w:b/>
          <w:bCs/>
          <w:sz w:val="24"/>
        </w:rPr>
      </w:pPr>
      <w:r>
        <w:rPr>
          <w:rFonts w:hint="eastAsia"/>
          <w:b/>
          <w:bCs/>
          <w:sz w:val="24"/>
        </w:rPr>
        <w:lastRenderedPageBreak/>
        <w:t>表</w:t>
      </w:r>
      <w:r>
        <w:rPr>
          <w:rFonts w:hint="eastAsia"/>
          <w:b/>
          <w:bCs/>
          <w:sz w:val="24"/>
        </w:rPr>
        <w:t>3</w:t>
      </w:r>
      <w:r>
        <w:rPr>
          <w:rFonts w:hint="eastAsia"/>
          <w:b/>
          <w:bCs/>
          <w:sz w:val="24"/>
        </w:rPr>
        <w:t>—</w:t>
      </w:r>
      <w:r>
        <w:rPr>
          <w:rFonts w:hint="eastAsia"/>
          <w:b/>
          <w:bCs/>
          <w:sz w:val="24"/>
        </w:rPr>
        <w:t>2</w:t>
      </w:r>
      <w:r>
        <w:rPr>
          <w:b/>
          <w:bCs/>
          <w:sz w:val="24"/>
        </w:rPr>
        <w:t>露天开采矿山地质环境条件复杂程度分级表</w:t>
      </w:r>
      <w:r>
        <w:rPr>
          <w:b/>
          <w:bCs/>
          <w:sz w:val="24"/>
        </w:rPr>
        <w:t xml:space="preserve">  </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3418"/>
        <w:gridCol w:w="2693"/>
      </w:tblGrid>
      <w:tr w:rsidR="009C5C1F">
        <w:trPr>
          <w:trHeight w:val="318"/>
          <w:tblHeader/>
          <w:jc w:val="center"/>
        </w:trPr>
        <w:tc>
          <w:tcPr>
            <w:tcW w:w="3044" w:type="dxa"/>
            <w:vAlign w:val="center"/>
          </w:tcPr>
          <w:p w:rsidR="009C5C1F" w:rsidRDefault="004D2E0D">
            <w:pPr>
              <w:suppressAutoHyphens/>
              <w:wordWrap w:val="0"/>
              <w:topLinePunct/>
              <w:spacing w:line="340" w:lineRule="atLeast"/>
              <w:jc w:val="center"/>
              <w:rPr>
                <w:sz w:val="22"/>
                <w:szCs w:val="21"/>
              </w:rPr>
            </w:pPr>
            <w:r>
              <w:rPr>
                <w:sz w:val="22"/>
                <w:szCs w:val="21"/>
              </w:rPr>
              <w:t>复杂</w:t>
            </w:r>
          </w:p>
        </w:tc>
        <w:tc>
          <w:tcPr>
            <w:tcW w:w="3418" w:type="dxa"/>
            <w:vAlign w:val="center"/>
          </w:tcPr>
          <w:p w:rsidR="009C5C1F" w:rsidRDefault="004D2E0D">
            <w:pPr>
              <w:suppressAutoHyphens/>
              <w:wordWrap w:val="0"/>
              <w:topLinePunct/>
              <w:spacing w:line="340" w:lineRule="atLeast"/>
              <w:jc w:val="center"/>
              <w:rPr>
                <w:sz w:val="22"/>
                <w:szCs w:val="21"/>
              </w:rPr>
            </w:pPr>
            <w:r>
              <w:rPr>
                <w:sz w:val="22"/>
                <w:szCs w:val="21"/>
              </w:rPr>
              <w:t>中等</w:t>
            </w:r>
          </w:p>
        </w:tc>
        <w:tc>
          <w:tcPr>
            <w:tcW w:w="2693" w:type="dxa"/>
            <w:vAlign w:val="center"/>
          </w:tcPr>
          <w:p w:rsidR="009C5C1F" w:rsidRDefault="004D2E0D">
            <w:pPr>
              <w:suppressAutoHyphens/>
              <w:wordWrap w:val="0"/>
              <w:topLinePunct/>
              <w:spacing w:line="340" w:lineRule="atLeast"/>
              <w:jc w:val="center"/>
              <w:rPr>
                <w:b/>
                <w:sz w:val="22"/>
                <w:szCs w:val="21"/>
              </w:rPr>
            </w:pPr>
            <w:r>
              <w:rPr>
                <w:b/>
                <w:sz w:val="22"/>
                <w:szCs w:val="21"/>
              </w:rPr>
              <w:t>简单</w:t>
            </w:r>
          </w:p>
        </w:tc>
      </w:tr>
      <w:tr w:rsidR="009C5C1F">
        <w:trPr>
          <w:trHeight w:val="2275"/>
          <w:jc w:val="center"/>
        </w:trPr>
        <w:tc>
          <w:tcPr>
            <w:tcW w:w="3044" w:type="dxa"/>
          </w:tcPr>
          <w:p w:rsidR="009C5C1F" w:rsidRDefault="004D2E0D">
            <w:pPr>
              <w:suppressAutoHyphens/>
              <w:wordWrap w:val="0"/>
              <w:topLinePunct/>
              <w:rPr>
                <w:szCs w:val="21"/>
              </w:rPr>
            </w:pPr>
            <w:r>
              <w:rPr>
                <w:szCs w:val="21"/>
              </w:rPr>
              <w:t>采场矿层（体）位于地下水位以下</w:t>
            </w:r>
            <w:r>
              <w:rPr>
                <w:szCs w:val="21"/>
              </w:rPr>
              <w:t>,</w:t>
            </w:r>
            <w:r>
              <w:rPr>
                <w:szCs w:val="21"/>
              </w:rPr>
              <w:t>采场汇水面积大，采场进水边界条件复杂，与区域含水层或地表水联系密切，地下水补给径流条件好，采场正常涌水量大于</w:t>
            </w:r>
            <w:r>
              <w:rPr>
                <w:szCs w:val="21"/>
              </w:rPr>
              <w:t>10000m</w:t>
            </w:r>
            <w:r>
              <w:rPr>
                <w:szCs w:val="21"/>
                <w:vertAlign w:val="superscript"/>
              </w:rPr>
              <w:t>3</w:t>
            </w:r>
            <w:r>
              <w:rPr>
                <w:szCs w:val="21"/>
              </w:rPr>
              <w:t>/d</w:t>
            </w:r>
            <w:r>
              <w:rPr>
                <w:szCs w:val="21"/>
              </w:rPr>
              <w:t>，采矿活动和</w:t>
            </w:r>
            <w:proofErr w:type="gramStart"/>
            <w:r>
              <w:rPr>
                <w:szCs w:val="21"/>
              </w:rPr>
              <w:t>疏干</w:t>
            </w:r>
            <w:proofErr w:type="gramEnd"/>
            <w:r>
              <w:rPr>
                <w:szCs w:val="21"/>
              </w:rPr>
              <w:t>排水容易导致主要区域含水层破坏</w:t>
            </w:r>
          </w:p>
        </w:tc>
        <w:tc>
          <w:tcPr>
            <w:tcW w:w="3418" w:type="dxa"/>
          </w:tcPr>
          <w:p w:rsidR="009C5C1F" w:rsidRDefault="004D2E0D">
            <w:pPr>
              <w:suppressAutoHyphens/>
              <w:wordWrap w:val="0"/>
              <w:topLinePunct/>
              <w:rPr>
                <w:szCs w:val="21"/>
              </w:rPr>
            </w:pPr>
            <w:r>
              <w:rPr>
                <w:szCs w:val="21"/>
              </w:rPr>
              <w:t>采场矿层（体）局部位于地下水位以下，采场汇水面积较大，与区域含水层或地表水联系较密切，采场正常涌水量</w:t>
            </w:r>
            <w:r>
              <w:rPr>
                <w:szCs w:val="21"/>
              </w:rPr>
              <w:t>3000 m</w:t>
            </w:r>
            <w:r>
              <w:rPr>
                <w:szCs w:val="21"/>
                <w:vertAlign w:val="superscript"/>
              </w:rPr>
              <w:t>3</w:t>
            </w:r>
            <w:r>
              <w:rPr>
                <w:szCs w:val="21"/>
              </w:rPr>
              <w:t>/d</w:t>
            </w:r>
            <w:r>
              <w:rPr>
                <w:szCs w:val="21"/>
              </w:rPr>
              <w:t>～</w:t>
            </w:r>
            <w:r>
              <w:rPr>
                <w:szCs w:val="21"/>
              </w:rPr>
              <w:t>10000m</w:t>
            </w:r>
            <w:r>
              <w:rPr>
                <w:szCs w:val="21"/>
                <w:vertAlign w:val="superscript"/>
              </w:rPr>
              <w:t>3</w:t>
            </w:r>
            <w:r>
              <w:rPr>
                <w:szCs w:val="21"/>
              </w:rPr>
              <w:t>/d</w:t>
            </w:r>
            <w:r>
              <w:rPr>
                <w:szCs w:val="21"/>
              </w:rPr>
              <w:t>，采矿活动和</w:t>
            </w:r>
            <w:proofErr w:type="gramStart"/>
            <w:r>
              <w:rPr>
                <w:szCs w:val="21"/>
              </w:rPr>
              <w:t>疏干</w:t>
            </w:r>
            <w:proofErr w:type="gramEnd"/>
            <w:r>
              <w:rPr>
                <w:szCs w:val="21"/>
              </w:rPr>
              <w:t>排水比较容易导致矿区周围主要含水层影响或破坏</w:t>
            </w:r>
          </w:p>
        </w:tc>
        <w:tc>
          <w:tcPr>
            <w:tcW w:w="2693" w:type="dxa"/>
          </w:tcPr>
          <w:p w:rsidR="009C5C1F" w:rsidRDefault="004D2E0D">
            <w:pPr>
              <w:suppressAutoHyphens/>
              <w:wordWrap w:val="0"/>
              <w:topLinePunct/>
              <w:rPr>
                <w:szCs w:val="21"/>
              </w:rPr>
            </w:pPr>
            <w:r>
              <w:rPr>
                <w:szCs w:val="21"/>
              </w:rPr>
              <w:t>采场矿层（体）位于地下水位以上，采场汇水面积小，与区域含水层或地表水联系不密切，采场正常涌水量小于</w:t>
            </w:r>
            <w:r>
              <w:rPr>
                <w:szCs w:val="21"/>
              </w:rPr>
              <w:t>3000m</w:t>
            </w:r>
            <w:r>
              <w:rPr>
                <w:szCs w:val="21"/>
                <w:vertAlign w:val="superscript"/>
              </w:rPr>
              <w:t>3</w:t>
            </w:r>
            <w:r>
              <w:rPr>
                <w:szCs w:val="21"/>
              </w:rPr>
              <w:t>/d</w:t>
            </w:r>
            <w:r>
              <w:rPr>
                <w:szCs w:val="21"/>
              </w:rPr>
              <w:t>，采矿活动和</w:t>
            </w:r>
            <w:proofErr w:type="gramStart"/>
            <w:r>
              <w:rPr>
                <w:szCs w:val="21"/>
              </w:rPr>
              <w:t>疏干</w:t>
            </w:r>
            <w:proofErr w:type="gramEnd"/>
            <w:r>
              <w:rPr>
                <w:szCs w:val="21"/>
              </w:rPr>
              <w:t>排水不易导致矿区周围主要含水层的影响或破坏</w:t>
            </w:r>
          </w:p>
        </w:tc>
      </w:tr>
      <w:tr w:rsidR="009C5C1F">
        <w:trPr>
          <w:trHeight w:val="2558"/>
          <w:jc w:val="center"/>
        </w:trPr>
        <w:tc>
          <w:tcPr>
            <w:tcW w:w="3044" w:type="dxa"/>
          </w:tcPr>
          <w:p w:rsidR="009C5C1F" w:rsidRDefault="004D2E0D">
            <w:pPr>
              <w:suppressAutoHyphens/>
              <w:wordWrap w:val="0"/>
              <w:topLinePunct/>
              <w:rPr>
                <w:szCs w:val="21"/>
              </w:rPr>
            </w:pPr>
            <w:r>
              <w:rPr>
                <w:szCs w:val="21"/>
              </w:rPr>
              <w:t>矿床围岩岩体结构以碎裂、散体结构为主，软弱结构面、不良工程地质层发育，存在饱水软弱岩层，含水砂层多，分布广，残坡积层、基岩风化破碎带厚度大于</w:t>
            </w:r>
            <w:r>
              <w:rPr>
                <w:szCs w:val="21"/>
              </w:rPr>
              <w:t>10m</w:t>
            </w:r>
            <w:r>
              <w:rPr>
                <w:szCs w:val="21"/>
              </w:rPr>
              <w:t>、稳固性差，采场岩石边坡风化破碎或土层松软，边坡外倾软弱结构面或危岩发育，易导致边坡失稳。</w:t>
            </w:r>
          </w:p>
        </w:tc>
        <w:tc>
          <w:tcPr>
            <w:tcW w:w="3418" w:type="dxa"/>
          </w:tcPr>
          <w:p w:rsidR="009C5C1F" w:rsidRDefault="004D2E0D">
            <w:pPr>
              <w:suppressAutoHyphens/>
              <w:wordWrap w:val="0"/>
              <w:topLinePunct/>
              <w:rPr>
                <w:szCs w:val="21"/>
              </w:rPr>
            </w:pPr>
            <w:r>
              <w:rPr>
                <w:szCs w:val="21"/>
              </w:rPr>
              <w:t>矿床围岩岩体结构以薄到厚层状结构为主，软弱结构面、不良工程地质层发育中等，存在饱水软弱岩层和含水砂层，残坡积层、基岩风化破碎带厚度大于</w:t>
            </w:r>
            <w:r>
              <w:rPr>
                <w:szCs w:val="21"/>
              </w:rPr>
              <w:t>5m</w:t>
            </w:r>
            <w:r>
              <w:rPr>
                <w:szCs w:val="21"/>
              </w:rPr>
              <w:t>～</w:t>
            </w:r>
            <w:r>
              <w:rPr>
                <w:szCs w:val="21"/>
              </w:rPr>
              <w:t>10m</w:t>
            </w:r>
            <w:r>
              <w:rPr>
                <w:szCs w:val="21"/>
              </w:rPr>
              <w:t>、稳固性较差，采场岩石边坡风化较破碎，边坡存在外倾软弱结构面或危岩，局部可能产生边坡失稳。</w:t>
            </w:r>
          </w:p>
        </w:tc>
        <w:tc>
          <w:tcPr>
            <w:tcW w:w="2693" w:type="dxa"/>
          </w:tcPr>
          <w:p w:rsidR="009C5C1F" w:rsidRDefault="004D2E0D">
            <w:pPr>
              <w:suppressAutoHyphens/>
              <w:wordWrap w:val="0"/>
              <w:topLinePunct/>
              <w:rPr>
                <w:szCs w:val="21"/>
              </w:rPr>
            </w:pPr>
            <w:r>
              <w:rPr>
                <w:szCs w:val="21"/>
              </w:rPr>
              <w:t>矿床围岩岩体结构以巨厚层状－块状整体结构为主，软弱结构面、不良工程地质层不发育，残坡积层、基岩风化破碎带厚度小于</w:t>
            </w:r>
            <w:r>
              <w:rPr>
                <w:szCs w:val="21"/>
              </w:rPr>
              <w:t>5m</w:t>
            </w:r>
            <w:r>
              <w:rPr>
                <w:szCs w:val="21"/>
              </w:rPr>
              <w:t>、稳固性较好，采场边坡岩石较完整到完整，边坡基本不存在外倾软弱结构面或危岩，</w:t>
            </w:r>
            <w:proofErr w:type="gramStart"/>
            <w:r>
              <w:rPr>
                <w:szCs w:val="21"/>
              </w:rPr>
              <w:t>边坡较</w:t>
            </w:r>
            <w:proofErr w:type="gramEnd"/>
            <w:r>
              <w:rPr>
                <w:szCs w:val="21"/>
              </w:rPr>
              <w:t>稳定。</w:t>
            </w:r>
          </w:p>
        </w:tc>
      </w:tr>
      <w:tr w:rsidR="009C5C1F">
        <w:trPr>
          <w:trHeight w:val="1754"/>
          <w:jc w:val="center"/>
        </w:trPr>
        <w:tc>
          <w:tcPr>
            <w:tcW w:w="3044" w:type="dxa"/>
          </w:tcPr>
          <w:p w:rsidR="009C5C1F" w:rsidRDefault="004D2E0D">
            <w:pPr>
              <w:suppressAutoHyphens/>
              <w:wordWrap w:val="0"/>
              <w:topLinePunct/>
              <w:rPr>
                <w:szCs w:val="21"/>
              </w:rPr>
            </w:pPr>
            <w:r>
              <w:rPr>
                <w:szCs w:val="21"/>
              </w:rPr>
              <w:t>地质构造复杂。矿床围岩岩层产状变化大，断裂构造发育或有全新世活动断裂，导水断裂切割矿层（体）围岩、</w:t>
            </w:r>
            <w:proofErr w:type="gramStart"/>
            <w:r>
              <w:rPr>
                <w:szCs w:val="21"/>
              </w:rPr>
              <w:t>覆岩和</w:t>
            </w:r>
            <w:proofErr w:type="gramEnd"/>
            <w:r>
              <w:rPr>
                <w:szCs w:val="21"/>
              </w:rPr>
              <w:t>主要含水层（带）或沟通地表水体，导水性强，对采场充水影响大。</w:t>
            </w:r>
          </w:p>
        </w:tc>
        <w:tc>
          <w:tcPr>
            <w:tcW w:w="3418" w:type="dxa"/>
          </w:tcPr>
          <w:p w:rsidR="009C5C1F" w:rsidRDefault="004D2E0D">
            <w:pPr>
              <w:suppressAutoHyphens/>
              <w:wordWrap w:val="0"/>
              <w:topLinePunct/>
              <w:rPr>
                <w:szCs w:val="21"/>
              </w:rPr>
            </w:pPr>
            <w:r>
              <w:rPr>
                <w:szCs w:val="21"/>
              </w:rPr>
              <w:t>地质构造较复杂。矿床围岩岩层产状变化较大，断裂构造较发育切割矿层（体）围岩、</w:t>
            </w:r>
            <w:proofErr w:type="gramStart"/>
            <w:r>
              <w:rPr>
                <w:szCs w:val="21"/>
              </w:rPr>
              <w:t>覆岩和</w:t>
            </w:r>
            <w:proofErr w:type="gramEnd"/>
            <w:r>
              <w:rPr>
                <w:szCs w:val="21"/>
              </w:rPr>
              <w:t>含水层（带），导水性差，对采场充水影响较大。</w:t>
            </w:r>
          </w:p>
        </w:tc>
        <w:tc>
          <w:tcPr>
            <w:tcW w:w="2693" w:type="dxa"/>
          </w:tcPr>
          <w:p w:rsidR="009C5C1F" w:rsidRDefault="004D2E0D">
            <w:pPr>
              <w:suppressAutoHyphens/>
              <w:wordWrap w:val="0"/>
              <w:topLinePunct/>
              <w:rPr>
                <w:szCs w:val="21"/>
              </w:rPr>
            </w:pPr>
            <w:r>
              <w:rPr>
                <w:bCs/>
                <w:szCs w:val="21"/>
              </w:rPr>
              <w:t>地质构造较简单。</w:t>
            </w:r>
            <w:r>
              <w:rPr>
                <w:szCs w:val="21"/>
              </w:rPr>
              <w:t>矿床围岩岩层产状变化小，断裂构造较不发育，断裂未切割矿层（体）围岩、覆岩，对采场充水影响较小。</w:t>
            </w:r>
          </w:p>
        </w:tc>
      </w:tr>
      <w:tr w:rsidR="009C5C1F">
        <w:trPr>
          <w:trHeight w:val="987"/>
          <w:jc w:val="center"/>
        </w:trPr>
        <w:tc>
          <w:tcPr>
            <w:tcW w:w="3044" w:type="dxa"/>
          </w:tcPr>
          <w:p w:rsidR="009C5C1F" w:rsidRDefault="004D2E0D">
            <w:pPr>
              <w:suppressAutoHyphens/>
              <w:wordWrap w:val="0"/>
              <w:topLinePunct/>
              <w:rPr>
                <w:szCs w:val="21"/>
              </w:rPr>
            </w:pPr>
            <w:r>
              <w:rPr>
                <w:szCs w:val="21"/>
              </w:rPr>
              <w:t>现状条件下原生地质灾害发育，或矿山地质环境问题的类型多、危害大。</w:t>
            </w:r>
          </w:p>
        </w:tc>
        <w:tc>
          <w:tcPr>
            <w:tcW w:w="3418" w:type="dxa"/>
          </w:tcPr>
          <w:p w:rsidR="009C5C1F" w:rsidRDefault="004D2E0D">
            <w:pPr>
              <w:suppressAutoHyphens/>
              <w:wordWrap w:val="0"/>
              <w:topLinePunct/>
              <w:rPr>
                <w:szCs w:val="21"/>
              </w:rPr>
            </w:pPr>
            <w:r>
              <w:rPr>
                <w:szCs w:val="21"/>
              </w:rPr>
              <w:t>现状条件下，矿山地质环境问题的类型较多、危害较大。</w:t>
            </w:r>
          </w:p>
        </w:tc>
        <w:tc>
          <w:tcPr>
            <w:tcW w:w="2693" w:type="dxa"/>
          </w:tcPr>
          <w:p w:rsidR="009C5C1F" w:rsidRDefault="004D2E0D">
            <w:pPr>
              <w:suppressAutoHyphens/>
              <w:wordWrap w:val="0"/>
              <w:topLinePunct/>
              <w:rPr>
                <w:szCs w:val="21"/>
              </w:rPr>
            </w:pPr>
            <w:r>
              <w:rPr>
                <w:bCs/>
                <w:szCs w:val="21"/>
              </w:rPr>
              <w:t>现状条件下矿山地质环境问题的类型少、</w:t>
            </w:r>
            <w:r>
              <w:rPr>
                <w:szCs w:val="21"/>
              </w:rPr>
              <w:t>危害小。</w:t>
            </w:r>
          </w:p>
        </w:tc>
      </w:tr>
      <w:tr w:rsidR="009C5C1F">
        <w:trPr>
          <w:trHeight w:val="818"/>
          <w:jc w:val="center"/>
        </w:trPr>
        <w:tc>
          <w:tcPr>
            <w:tcW w:w="3044" w:type="dxa"/>
          </w:tcPr>
          <w:p w:rsidR="009C5C1F" w:rsidRDefault="004D2E0D">
            <w:pPr>
              <w:suppressAutoHyphens/>
              <w:wordWrap w:val="0"/>
              <w:topLinePunct/>
              <w:rPr>
                <w:szCs w:val="21"/>
              </w:rPr>
            </w:pPr>
            <w:r>
              <w:rPr>
                <w:szCs w:val="21"/>
              </w:rPr>
              <w:t>采场面积及采场深度大，边坡不稳定，易产生地质灾害。</w:t>
            </w:r>
          </w:p>
        </w:tc>
        <w:tc>
          <w:tcPr>
            <w:tcW w:w="3418" w:type="dxa"/>
          </w:tcPr>
          <w:p w:rsidR="009C5C1F" w:rsidRDefault="004D2E0D">
            <w:pPr>
              <w:suppressAutoHyphens/>
              <w:wordWrap w:val="0"/>
              <w:topLinePunct/>
              <w:rPr>
                <w:spacing w:val="-8"/>
                <w:szCs w:val="21"/>
              </w:rPr>
            </w:pPr>
            <w:r>
              <w:rPr>
                <w:szCs w:val="21"/>
              </w:rPr>
              <w:t>采场面积及采场深度较大，</w:t>
            </w:r>
            <w:proofErr w:type="gramStart"/>
            <w:r>
              <w:rPr>
                <w:szCs w:val="21"/>
              </w:rPr>
              <w:t>边坡较</w:t>
            </w:r>
            <w:proofErr w:type="gramEnd"/>
            <w:r>
              <w:rPr>
                <w:szCs w:val="21"/>
              </w:rPr>
              <w:t>不稳定，较易产生地质灾害。</w:t>
            </w:r>
          </w:p>
        </w:tc>
        <w:tc>
          <w:tcPr>
            <w:tcW w:w="2693" w:type="dxa"/>
          </w:tcPr>
          <w:p w:rsidR="009C5C1F" w:rsidRDefault="004D2E0D">
            <w:pPr>
              <w:suppressAutoHyphens/>
              <w:wordWrap w:val="0"/>
              <w:topLinePunct/>
              <w:rPr>
                <w:szCs w:val="21"/>
              </w:rPr>
            </w:pPr>
            <w:r>
              <w:rPr>
                <w:szCs w:val="21"/>
              </w:rPr>
              <w:t>采场面积及采场深度较小，边坡稳定，不易产生地质灾害。</w:t>
            </w:r>
          </w:p>
        </w:tc>
      </w:tr>
      <w:tr w:rsidR="009C5C1F">
        <w:trPr>
          <w:trHeight w:val="77"/>
          <w:jc w:val="center"/>
        </w:trPr>
        <w:tc>
          <w:tcPr>
            <w:tcW w:w="3044" w:type="dxa"/>
          </w:tcPr>
          <w:p w:rsidR="009C5C1F" w:rsidRDefault="004D2E0D">
            <w:pPr>
              <w:suppressAutoHyphens/>
              <w:wordWrap w:val="0"/>
              <w:topLinePunct/>
              <w:rPr>
                <w:szCs w:val="21"/>
              </w:rPr>
            </w:pPr>
            <w:r>
              <w:rPr>
                <w:szCs w:val="21"/>
              </w:rPr>
              <w:t>地貌单元类型多，微地貌形态复杂，地形起伏变化大，不利于自然排水，地形坡度一般大于</w:t>
            </w:r>
            <w:r>
              <w:rPr>
                <w:szCs w:val="21"/>
              </w:rPr>
              <w:t>35°</w:t>
            </w:r>
            <w:r>
              <w:rPr>
                <w:szCs w:val="21"/>
              </w:rPr>
              <w:t>，相对高差大，高坡方向岩层倾向与采场斜坡多为同向。</w:t>
            </w:r>
          </w:p>
        </w:tc>
        <w:tc>
          <w:tcPr>
            <w:tcW w:w="3418" w:type="dxa"/>
          </w:tcPr>
          <w:p w:rsidR="009C5C1F" w:rsidRDefault="004D2E0D">
            <w:pPr>
              <w:suppressAutoHyphens/>
              <w:wordWrap w:val="0"/>
              <w:topLinePunct/>
              <w:rPr>
                <w:szCs w:val="21"/>
              </w:rPr>
            </w:pPr>
            <w:r>
              <w:rPr>
                <w:szCs w:val="21"/>
              </w:rPr>
              <w:t>地貌单元类型较多，微地貌形态较复杂，地形起伏变化中等，自然排水条件一般，地形坡度一般</w:t>
            </w:r>
            <w:r>
              <w:rPr>
                <w:szCs w:val="21"/>
              </w:rPr>
              <w:t>20°</w:t>
            </w:r>
            <w:r>
              <w:rPr>
                <w:szCs w:val="21"/>
              </w:rPr>
              <w:t>～</w:t>
            </w:r>
            <w:r>
              <w:rPr>
                <w:szCs w:val="21"/>
              </w:rPr>
              <w:t>35°</w:t>
            </w:r>
            <w:r>
              <w:rPr>
                <w:szCs w:val="21"/>
              </w:rPr>
              <w:t>，相对高差较大，高坡方向岩层倾向与采场斜坡多为斜交。</w:t>
            </w:r>
          </w:p>
        </w:tc>
        <w:tc>
          <w:tcPr>
            <w:tcW w:w="2693" w:type="dxa"/>
          </w:tcPr>
          <w:p w:rsidR="009C5C1F" w:rsidRDefault="004D2E0D">
            <w:pPr>
              <w:suppressAutoHyphens/>
              <w:wordWrap w:val="0"/>
              <w:topLinePunct/>
              <w:rPr>
                <w:bCs/>
                <w:szCs w:val="21"/>
              </w:rPr>
            </w:pPr>
            <w:r>
              <w:rPr>
                <w:bCs/>
                <w:szCs w:val="21"/>
              </w:rPr>
              <w:t>地貌单元类型单一，微地貌形态简单，地形较平缓，有利于自然排水，地形坡度一般小于</w:t>
            </w:r>
            <w:r>
              <w:rPr>
                <w:bCs/>
                <w:szCs w:val="21"/>
              </w:rPr>
              <w:t>20</w:t>
            </w:r>
            <w:r>
              <w:rPr>
                <w:bCs/>
                <w:szCs w:val="21"/>
              </w:rPr>
              <w:t>，相对高差较小，高坡方向岩层倾向与采场斜坡多反向坡。</w:t>
            </w:r>
          </w:p>
        </w:tc>
      </w:tr>
    </w:tbl>
    <w:p w:rsidR="009C5C1F" w:rsidRDefault="009C5C1F">
      <w:pPr>
        <w:suppressAutoHyphens/>
        <w:wordWrap w:val="0"/>
        <w:topLinePunct/>
        <w:spacing w:line="360" w:lineRule="auto"/>
        <w:ind w:firstLineChars="200" w:firstLine="161"/>
        <w:rPr>
          <w:b/>
          <w:sz w:val="8"/>
        </w:rPr>
      </w:pPr>
    </w:p>
    <w:p w:rsidR="009C5C1F" w:rsidRDefault="004D2E0D">
      <w:pPr>
        <w:suppressAutoHyphens/>
        <w:wordWrap w:val="0"/>
        <w:topLinePunct/>
        <w:spacing w:line="360" w:lineRule="auto"/>
        <w:ind w:firstLineChars="200" w:firstLine="482"/>
        <w:rPr>
          <w:b/>
          <w:sz w:val="24"/>
        </w:rPr>
      </w:pPr>
      <w:r>
        <w:rPr>
          <w:rFonts w:hint="eastAsia"/>
          <w:b/>
          <w:sz w:val="24"/>
        </w:rPr>
        <w:t>（</w:t>
      </w:r>
      <w:r>
        <w:rPr>
          <w:rFonts w:hint="eastAsia"/>
          <w:b/>
          <w:sz w:val="24"/>
        </w:rPr>
        <w:t>3</w:t>
      </w:r>
      <w:r>
        <w:rPr>
          <w:rFonts w:hint="eastAsia"/>
          <w:b/>
          <w:sz w:val="24"/>
        </w:rPr>
        <w:t>）矿山规模</w:t>
      </w:r>
    </w:p>
    <w:p w:rsidR="009C5C1F" w:rsidRDefault="004D2E0D">
      <w:pPr>
        <w:suppressAutoHyphens/>
        <w:wordWrap w:val="0"/>
        <w:topLinePunct/>
        <w:spacing w:beforeLines="50" w:before="120" w:line="360" w:lineRule="auto"/>
        <w:ind w:firstLineChars="200" w:firstLine="480"/>
        <w:rPr>
          <w:sz w:val="24"/>
        </w:rPr>
      </w:pPr>
      <w:r>
        <w:rPr>
          <w:rFonts w:hint="eastAsia"/>
          <w:sz w:val="24"/>
        </w:rPr>
        <w:t>临泽县板桥</w:t>
      </w:r>
      <w:proofErr w:type="gramStart"/>
      <w:r>
        <w:rPr>
          <w:rFonts w:hint="eastAsia"/>
          <w:sz w:val="24"/>
        </w:rPr>
        <w:t>镇壕洼村</w:t>
      </w:r>
      <w:proofErr w:type="gramEnd"/>
      <w:r>
        <w:rPr>
          <w:rFonts w:hint="eastAsia"/>
          <w:sz w:val="24"/>
        </w:rPr>
        <w:t>正北山西侧砖瓦用粘土</w:t>
      </w:r>
      <w:proofErr w:type="gramStart"/>
      <w:r>
        <w:rPr>
          <w:rFonts w:hint="eastAsia"/>
          <w:sz w:val="24"/>
        </w:rPr>
        <w:t>矿</w:t>
      </w:r>
      <w:r>
        <w:rPr>
          <w:sz w:val="24"/>
        </w:rPr>
        <w:t>设计</w:t>
      </w:r>
      <w:proofErr w:type="gramEnd"/>
      <w:r>
        <w:rPr>
          <w:sz w:val="24"/>
        </w:rPr>
        <w:t>生产能力为</w:t>
      </w:r>
      <w:r>
        <w:rPr>
          <w:rFonts w:hint="eastAsia"/>
          <w:sz w:val="24"/>
        </w:rPr>
        <w:t>10</w:t>
      </w:r>
      <w:r>
        <w:rPr>
          <w:rFonts w:hint="eastAsia"/>
          <w:sz w:val="24"/>
        </w:rPr>
        <w:t>万立方米</w:t>
      </w:r>
      <w:r>
        <w:rPr>
          <w:sz w:val="24"/>
        </w:rPr>
        <w:t>/a</w:t>
      </w:r>
      <w:r>
        <w:rPr>
          <w:sz w:val="24"/>
        </w:rPr>
        <w:t>，根据矿山生产建设规模分类一览表（表</w:t>
      </w:r>
      <w:r>
        <w:rPr>
          <w:sz w:val="24"/>
        </w:rPr>
        <w:t>3-3</w:t>
      </w:r>
      <w:r>
        <w:rPr>
          <w:sz w:val="24"/>
        </w:rPr>
        <w:t>），该矿生产建设规模为</w:t>
      </w:r>
      <w:r>
        <w:rPr>
          <w:rFonts w:hint="eastAsia"/>
          <w:b/>
          <w:sz w:val="24"/>
        </w:rPr>
        <w:t>小</w:t>
      </w:r>
      <w:r>
        <w:rPr>
          <w:b/>
          <w:sz w:val="24"/>
        </w:rPr>
        <w:t>型</w:t>
      </w:r>
      <w:r>
        <w:rPr>
          <w:sz w:val="24"/>
        </w:rPr>
        <w:t>。</w:t>
      </w:r>
    </w:p>
    <w:p w:rsidR="009C5C1F" w:rsidRDefault="004D2E0D">
      <w:pPr>
        <w:suppressAutoHyphens/>
        <w:wordWrap w:val="0"/>
        <w:topLinePunct/>
        <w:spacing w:beforeLines="50" w:before="120" w:afterLines="50" w:after="120"/>
        <w:jc w:val="center"/>
        <w:rPr>
          <w:b/>
          <w:bCs/>
          <w:sz w:val="24"/>
        </w:rPr>
      </w:pPr>
      <w:r>
        <w:rPr>
          <w:b/>
          <w:bCs/>
          <w:sz w:val="24"/>
        </w:rPr>
        <w:t xml:space="preserve">     </w:t>
      </w:r>
    </w:p>
    <w:p w:rsidR="009C5C1F" w:rsidRDefault="009C5C1F">
      <w:pPr>
        <w:suppressAutoHyphens/>
        <w:wordWrap w:val="0"/>
        <w:topLinePunct/>
        <w:spacing w:beforeLines="50" w:before="120" w:afterLines="50" w:after="120"/>
        <w:jc w:val="center"/>
        <w:rPr>
          <w:b/>
          <w:bCs/>
          <w:sz w:val="24"/>
        </w:rPr>
      </w:pPr>
    </w:p>
    <w:p w:rsidR="009C5C1F" w:rsidRDefault="009C5C1F">
      <w:pPr>
        <w:suppressAutoHyphens/>
        <w:wordWrap w:val="0"/>
        <w:topLinePunct/>
        <w:spacing w:beforeLines="50" w:before="120" w:afterLines="50" w:after="120"/>
        <w:jc w:val="center"/>
        <w:rPr>
          <w:b/>
          <w:bCs/>
          <w:sz w:val="24"/>
        </w:rPr>
      </w:pPr>
    </w:p>
    <w:p w:rsidR="009C5C1F" w:rsidRDefault="004D2E0D">
      <w:pPr>
        <w:suppressAutoHyphens/>
        <w:wordWrap w:val="0"/>
        <w:topLinePunct/>
        <w:spacing w:beforeLines="50" w:before="120" w:afterLines="50" w:after="120"/>
        <w:jc w:val="center"/>
        <w:rPr>
          <w:b/>
          <w:bCs/>
          <w:sz w:val="24"/>
        </w:rPr>
      </w:pPr>
      <w:r>
        <w:rPr>
          <w:b/>
          <w:bCs/>
          <w:sz w:val="24"/>
        </w:rPr>
        <w:lastRenderedPageBreak/>
        <w:t xml:space="preserve"> </w:t>
      </w:r>
      <w:r>
        <w:rPr>
          <w:rFonts w:hint="eastAsia"/>
          <w:b/>
          <w:bCs/>
          <w:sz w:val="24"/>
        </w:rPr>
        <w:t>表</w:t>
      </w:r>
      <w:r>
        <w:rPr>
          <w:rFonts w:hint="eastAsia"/>
          <w:b/>
          <w:bCs/>
          <w:sz w:val="24"/>
        </w:rPr>
        <w:t>3</w:t>
      </w:r>
      <w:r>
        <w:rPr>
          <w:rFonts w:hint="eastAsia"/>
          <w:b/>
          <w:bCs/>
          <w:sz w:val="24"/>
        </w:rPr>
        <w:t>—</w:t>
      </w:r>
      <w:r>
        <w:rPr>
          <w:rFonts w:hint="eastAsia"/>
          <w:b/>
          <w:bCs/>
          <w:sz w:val="24"/>
        </w:rPr>
        <w:t>3</w:t>
      </w:r>
      <w:r>
        <w:rPr>
          <w:b/>
          <w:bCs/>
          <w:sz w:val="24"/>
        </w:rPr>
        <w:t xml:space="preserve">   </w:t>
      </w:r>
      <w:r>
        <w:rPr>
          <w:b/>
          <w:bCs/>
          <w:sz w:val="24"/>
        </w:rPr>
        <w:t>矿山生产建设规模分类一览表</w:t>
      </w:r>
      <w:r>
        <w:rPr>
          <w:b/>
          <w:bCs/>
          <w:sz w:val="24"/>
        </w:rPr>
        <w:t xml:space="preserve">        </w:t>
      </w:r>
    </w:p>
    <w:tbl>
      <w:tblPr>
        <w:tblW w:w="46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615"/>
        <w:gridCol w:w="1305"/>
        <w:gridCol w:w="1492"/>
        <w:gridCol w:w="1459"/>
        <w:gridCol w:w="1068"/>
      </w:tblGrid>
      <w:tr w:rsidR="009C5C1F">
        <w:trPr>
          <w:trHeight w:hRule="exact" w:val="454"/>
          <w:jc w:val="center"/>
        </w:trPr>
        <w:tc>
          <w:tcPr>
            <w:tcW w:w="1560" w:type="dxa"/>
            <w:vMerge w:val="restart"/>
            <w:vAlign w:val="center"/>
          </w:tcPr>
          <w:p w:rsidR="009C5C1F" w:rsidRDefault="004D2E0D">
            <w:pPr>
              <w:suppressAutoHyphens/>
              <w:wordWrap w:val="0"/>
              <w:topLinePunct/>
              <w:spacing w:line="400" w:lineRule="exact"/>
              <w:jc w:val="center"/>
            </w:pPr>
            <w:r>
              <w:t>矿种类别</w:t>
            </w:r>
          </w:p>
        </w:tc>
        <w:tc>
          <w:tcPr>
            <w:tcW w:w="1615" w:type="dxa"/>
            <w:vMerge w:val="restart"/>
            <w:vAlign w:val="center"/>
          </w:tcPr>
          <w:p w:rsidR="009C5C1F" w:rsidRDefault="004D2E0D">
            <w:pPr>
              <w:suppressAutoHyphens/>
              <w:wordWrap w:val="0"/>
              <w:topLinePunct/>
              <w:spacing w:line="400" w:lineRule="exact"/>
              <w:jc w:val="center"/>
            </w:pPr>
            <w:r>
              <w:t>计量单位</w:t>
            </w:r>
          </w:p>
        </w:tc>
        <w:tc>
          <w:tcPr>
            <w:tcW w:w="4256" w:type="dxa"/>
            <w:gridSpan w:val="3"/>
            <w:vAlign w:val="center"/>
          </w:tcPr>
          <w:p w:rsidR="009C5C1F" w:rsidRDefault="004D2E0D">
            <w:pPr>
              <w:suppressAutoHyphens/>
              <w:wordWrap w:val="0"/>
              <w:topLinePunct/>
              <w:spacing w:line="400" w:lineRule="exact"/>
              <w:jc w:val="center"/>
            </w:pPr>
            <w:r>
              <w:t>年生产量</w:t>
            </w:r>
          </w:p>
        </w:tc>
        <w:tc>
          <w:tcPr>
            <w:tcW w:w="1068" w:type="dxa"/>
            <w:vMerge w:val="restart"/>
            <w:vAlign w:val="center"/>
          </w:tcPr>
          <w:p w:rsidR="009C5C1F" w:rsidRDefault="004D2E0D">
            <w:pPr>
              <w:suppressAutoHyphens/>
              <w:wordWrap w:val="0"/>
              <w:topLinePunct/>
              <w:spacing w:line="400" w:lineRule="exact"/>
              <w:jc w:val="center"/>
            </w:pPr>
            <w:r>
              <w:t>备注</w:t>
            </w:r>
          </w:p>
        </w:tc>
      </w:tr>
      <w:tr w:rsidR="009C5C1F">
        <w:trPr>
          <w:trHeight w:hRule="exact" w:val="454"/>
          <w:jc w:val="center"/>
        </w:trPr>
        <w:tc>
          <w:tcPr>
            <w:tcW w:w="1560" w:type="dxa"/>
            <w:vMerge/>
            <w:vAlign w:val="center"/>
          </w:tcPr>
          <w:p w:rsidR="009C5C1F" w:rsidRDefault="009C5C1F">
            <w:pPr>
              <w:suppressAutoHyphens/>
              <w:wordWrap w:val="0"/>
              <w:topLinePunct/>
              <w:spacing w:line="400" w:lineRule="exact"/>
              <w:jc w:val="center"/>
            </w:pPr>
          </w:p>
        </w:tc>
        <w:tc>
          <w:tcPr>
            <w:tcW w:w="1615" w:type="dxa"/>
            <w:vMerge/>
            <w:vAlign w:val="center"/>
          </w:tcPr>
          <w:p w:rsidR="009C5C1F" w:rsidRDefault="009C5C1F">
            <w:pPr>
              <w:suppressAutoHyphens/>
              <w:wordWrap w:val="0"/>
              <w:topLinePunct/>
              <w:spacing w:line="400" w:lineRule="exact"/>
              <w:jc w:val="center"/>
            </w:pPr>
          </w:p>
        </w:tc>
        <w:tc>
          <w:tcPr>
            <w:tcW w:w="1305" w:type="dxa"/>
            <w:vAlign w:val="center"/>
          </w:tcPr>
          <w:p w:rsidR="009C5C1F" w:rsidRDefault="004D2E0D">
            <w:pPr>
              <w:suppressAutoHyphens/>
              <w:wordWrap w:val="0"/>
              <w:topLinePunct/>
              <w:spacing w:line="400" w:lineRule="exact"/>
              <w:jc w:val="center"/>
              <w:rPr>
                <w:bCs/>
              </w:rPr>
            </w:pPr>
            <w:r>
              <w:rPr>
                <w:bCs/>
              </w:rPr>
              <w:t>大型</w:t>
            </w:r>
          </w:p>
        </w:tc>
        <w:tc>
          <w:tcPr>
            <w:tcW w:w="1492" w:type="dxa"/>
            <w:vAlign w:val="center"/>
          </w:tcPr>
          <w:p w:rsidR="009C5C1F" w:rsidRDefault="004D2E0D">
            <w:pPr>
              <w:suppressAutoHyphens/>
              <w:wordWrap w:val="0"/>
              <w:topLinePunct/>
              <w:spacing w:line="400" w:lineRule="exact"/>
              <w:jc w:val="center"/>
            </w:pPr>
            <w:r>
              <w:t>中型</w:t>
            </w:r>
          </w:p>
        </w:tc>
        <w:tc>
          <w:tcPr>
            <w:tcW w:w="1459" w:type="dxa"/>
            <w:vAlign w:val="center"/>
          </w:tcPr>
          <w:p w:rsidR="009C5C1F" w:rsidRDefault="004D2E0D">
            <w:pPr>
              <w:suppressAutoHyphens/>
              <w:wordWrap w:val="0"/>
              <w:topLinePunct/>
              <w:spacing w:line="400" w:lineRule="exact"/>
              <w:jc w:val="center"/>
              <w:rPr>
                <w:b/>
                <w:bCs/>
              </w:rPr>
            </w:pPr>
            <w:r>
              <w:rPr>
                <w:b/>
                <w:bCs/>
              </w:rPr>
              <w:t>小型</w:t>
            </w:r>
          </w:p>
        </w:tc>
        <w:tc>
          <w:tcPr>
            <w:tcW w:w="1068" w:type="dxa"/>
            <w:vMerge/>
            <w:vAlign w:val="center"/>
          </w:tcPr>
          <w:p w:rsidR="009C5C1F" w:rsidRDefault="009C5C1F">
            <w:pPr>
              <w:suppressAutoHyphens/>
              <w:wordWrap w:val="0"/>
              <w:topLinePunct/>
              <w:spacing w:line="400" w:lineRule="exact"/>
              <w:jc w:val="center"/>
            </w:pPr>
          </w:p>
        </w:tc>
      </w:tr>
      <w:tr w:rsidR="009C5C1F">
        <w:trPr>
          <w:trHeight w:hRule="exact" w:val="454"/>
          <w:jc w:val="center"/>
        </w:trPr>
        <w:tc>
          <w:tcPr>
            <w:tcW w:w="1560" w:type="dxa"/>
            <w:vAlign w:val="center"/>
          </w:tcPr>
          <w:p w:rsidR="009C5C1F" w:rsidRDefault="004D2E0D">
            <w:pPr>
              <w:suppressAutoHyphens/>
              <w:wordWrap w:val="0"/>
              <w:topLinePunct/>
              <w:spacing w:line="400" w:lineRule="exact"/>
              <w:jc w:val="center"/>
            </w:pPr>
            <w:r>
              <w:rPr>
                <w:rFonts w:hint="eastAsia"/>
              </w:rPr>
              <w:t>粘土</w:t>
            </w:r>
          </w:p>
        </w:tc>
        <w:tc>
          <w:tcPr>
            <w:tcW w:w="1615" w:type="dxa"/>
            <w:vAlign w:val="center"/>
          </w:tcPr>
          <w:p w:rsidR="009C5C1F" w:rsidRDefault="004D2E0D">
            <w:pPr>
              <w:suppressAutoHyphens/>
              <w:wordWrap w:val="0"/>
              <w:topLinePunct/>
              <w:spacing w:line="400" w:lineRule="exact"/>
              <w:jc w:val="center"/>
            </w:pPr>
            <w:proofErr w:type="gramStart"/>
            <w:r>
              <w:t>万</w:t>
            </w:r>
            <w:r>
              <w:rPr>
                <w:rFonts w:hint="eastAsia"/>
              </w:rPr>
              <w:t>立方米</w:t>
            </w:r>
            <w:proofErr w:type="gramEnd"/>
          </w:p>
        </w:tc>
        <w:tc>
          <w:tcPr>
            <w:tcW w:w="1305" w:type="dxa"/>
            <w:vAlign w:val="center"/>
          </w:tcPr>
          <w:p w:rsidR="009C5C1F" w:rsidRDefault="004D2E0D">
            <w:pPr>
              <w:suppressAutoHyphens/>
              <w:wordWrap w:val="0"/>
              <w:topLinePunct/>
              <w:spacing w:line="400" w:lineRule="exact"/>
              <w:jc w:val="center"/>
              <w:rPr>
                <w:bCs/>
              </w:rPr>
            </w:pPr>
            <w:r>
              <w:rPr>
                <w:bCs/>
              </w:rPr>
              <w:t>≥100</w:t>
            </w:r>
          </w:p>
        </w:tc>
        <w:tc>
          <w:tcPr>
            <w:tcW w:w="1492" w:type="dxa"/>
            <w:vAlign w:val="center"/>
          </w:tcPr>
          <w:p w:rsidR="009C5C1F" w:rsidRDefault="004D2E0D">
            <w:pPr>
              <w:suppressAutoHyphens/>
              <w:wordWrap w:val="0"/>
              <w:topLinePunct/>
              <w:spacing w:line="400" w:lineRule="exact"/>
              <w:jc w:val="center"/>
            </w:pPr>
            <w:r>
              <w:t>10</w:t>
            </w:r>
            <w:r>
              <w:rPr>
                <w:rFonts w:hint="eastAsia"/>
              </w:rPr>
              <w:t>0</w:t>
            </w:r>
            <w:r>
              <w:t>～</w:t>
            </w:r>
            <w:r>
              <w:rPr>
                <w:rFonts w:hint="eastAsia"/>
              </w:rPr>
              <w:t>5</w:t>
            </w:r>
            <w:r>
              <w:t>0</w:t>
            </w:r>
          </w:p>
        </w:tc>
        <w:tc>
          <w:tcPr>
            <w:tcW w:w="1459" w:type="dxa"/>
            <w:vAlign w:val="center"/>
          </w:tcPr>
          <w:p w:rsidR="009C5C1F" w:rsidRDefault="004D2E0D">
            <w:pPr>
              <w:suppressAutoHyphens/>
              <w:wordWrap w:val="0"/>
              <w:topLinePunct/>
              <w:spacing w:line="400" w:lineRule="exact"/>
              <w:jc w:val="center"/>
              <w:rPr>
                <w:b/>
                <w:bCs/>
              </w:rPr>
            </w:pPr>
            <w:r>
              <w:rPr>
                <w:b/>
                <w:bCs/>
              </w:rPr>
              <w:t>＜</w:t>
            </w:r>
            <w:r>
              <w:rPr>
                <w:rFonts w:hint="eastAsia"/>
                <w:b/>
                <w:bCs/>
              </w:rPr>
              <w:t>5</w:t>
            </w:r>
            <w:r>
              <w:rPr>
                <w:b/>
                <w:bCs/>
              </w:rPr>
              <w:t>0</w:t>
            </w:r>
          </w:p>
        </w:tc>
        <w:tc>
          <w:tcPr>
            <w:tcW w:w="1068" w:type="dxa"/>
            <w:vAlign w:val="center"/>
          </w:tcPr>
          <w:p w:rsidR="009C5C1F" w:rsidRDefault="009C5C1F">
            <w:pPr>
              <w:suppressAutoHyphens/>
              <w:wordWrap w:val="0"/>
              <w:topLinePunct/>
              <w:spacing w:line="400" w:lineRule="exact"/>
              <w:jc w:val="center"/>
            </w:pPr>
          </w:p>
        </w:tc>
      </w:tr>
    </w:tbl>
    <w:p w:rsidR="009C5C1F" w:rsidRDefault="004D2E0D">
      <w:pPr>
        <w:suppressAutoHyphens/>
        <w:wordWrap w:val="0"/>
        <w:topLinePunct/>
        <w:spacing w:beforeLines="50" w:before="120" w:line="360" w:lineRule="auto"/>
        <w:ind w:firstLineChars="200" w:firstLine="480"/>
        <w:rPr>
          <w:sz w:val="24"/>
          <w:lang w:val="sq-AL"/>
        </w:rPr>
      </w:pPr>
      <w:r>
        <w:rPr>
          <w:sz w:val="24"/>
        </w:rPr>
        <w:t>综上所述，</w:t>
      </w:r>
      <w:proofErr w:type="gramStart"/>
      <w:r>
        <w:rPr>
          <w:sz w:val="24"/>
        </w:rPr>
        <w:t>评估区</w:t>
      </w:r>
      <w:proofErr w:type="gramEnd"/>
      <w:r>
        <w:rPr>
          <w:sz w:val="24"/>
        </w:rPr>
        <w:t>重要程度为</w:t>
      </w:r>
      <w:r>
        <w:rPr>
          <w:rFonts w:hint="eastAsia"/>
          <w:b/>
          <w:bCs/>
          <w:sz w:val="24"/>
        </w:rPr>
        <w:t>一般区</w:t>
      </w:r>
      <w:r>
        <w:rPr>
          <w:sz w:val="24"/>
        </w:rPr>
        <w:t>，</w:t>
      </w:r>
      <w:r>
        <w:rPr>
          <w:sz w:val="24"/>
          <w:lang w:val="sq-AL"/>
        </w:rPr>
        <w:t>矿山地质环境条件复杂程度为</w:t>
      </w:r>
      <w:r>
        <w:rPr>
          <w:rFonts w:hint="eastAsia"/>
          <w:sz w:val="24"/>
          <w:lang w:val="sq-AL"/>
        </w:rPr>
        <w:t>简单</w:t>
      </w:r>
      <w:r>
        <w:rPr>
          <w:sz w:val="24"/>
          <w:lang w:val="sq-AL"/>
        </w:rPr>
        <w:t>，</w:t>
      </w:r>
      <w:r>
        <w:rPr>
          <w:sz w:val="24"/>
        </w:rPr>
        <w:t>矿山建设规模为</w:t>
      </w:r>
      <w:r>
        <w:rPr>
          <w:rFonts w:hint="eastAsia"/>
          <w:sz w:val="24"/>
        </w:rPr>
        <w:t>小</w:t>
      </w:r>
      <w:r>
        <w:rPr>
          <w:sz w:val="24"/>
        </w:rPr>
        <w:t>型，</w:t>
      </w:r>
      <w:r>
        <w:rPr>
          <w:sz w:val="24"/>
          <w:lang w:val="sq-AL"/>
        </w:rPr>
        <w:t>依据矿山地质环境影响评估精度分级表（表</w:t>
      </w:r>
      <w:r>
        <w:rPr>
          <w:sz w:val="24"/>
          <w:lang w:val="sq-AL"/>
        </w:rPr>
        <w:t>3-4</w:t>
      </w:r>
      <w:r>
        <w:rPr>
          <w:sz w:val="24"/>
          <w:lang w:val="sq-AL"/>
        </w:rPr>
        <w:t>），确定该矿山地质环境保护与恢复治理方案</w:t>
      </w:r>
      <w:r>
        <w:rPr>
          <w:sz w:val="24"/>
        </w:rPr>
        <w:t>评估</w:t>
      </w:r>
      <w:r>
        <w:rPr>
          <w:sz w:val="24"/>
          <w:lang w:val="sq-AL"/>
        </w:rPr>
        <w:t>级别为</w:t>
      </w:r>
      <w:r>
        <w:rPr>
          <w:rFonts w:hint="eastAsia"/>
          <w:b/>
          <w:sz w:val="24"/>
          <w:lang w:val="sq-AL"/>
        </w:rPr>
        <w:t>三</w:t>
      </w:r>
      <w:r>
        <w:rPr>
          <w:b/>
          <w:sz w:val="24"/>
          <w:lang w:val="sq-AL"/>
        </w:rPr>
        <w:t>级</w:t>
      </w:r>
      <w:r>
        <w:rPr>
          <w:sz w:val="24"/>
          <w:lang w:val="sq-AL"/>
        </w:rPr>
        <w:t>。</w:t>
      </w:r>
    </w:p>
    <w:p w:rsidR="009C5C1F" w:rsidRDefault="004D2E0D">
      <w:pPr>
        <w:suppressAutoHyphens/>
        <w:wordWrap w:val="0"/>
        <w:topLinePunct/>
        <w:spacing w:beforeLines="50" w:before="120" w:afterLines="50" w:after="120"/>
        <w:jc w:val="center"/>
        <w:rPr>
          <w:b/>
          <w:bCs/>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3</w:t>
      </w:r>
      <w:r>
        <w:rPr>
          <w:rFonts w:hint="eastAsia"/>
          <w:b/>
          <w:bCs/>
          <w:sz w:val="24"/>
        </w:rPr>
        <w:t>—</w:t>
      </w:r>
      <w:r>
        <w:rPr>
          <w:rFonts w:hint="eastAsia"/>
          <w:b/>
          <w:bCs/>
          <w:sz w:val="24"/>
        </w:rPr>
        <w:t>4</w:t>
      </w:r>
      <w:r>
        <w:rPr>
          <w:b/>
          <w:bCs/>
          <w:sz w:val="24"/>
        </w:rPr>
        <w:t xml:space="preserve">     </w:t>
      </w:r>
      <w:r>
        <w:rPr>
          <w:b/>
          <w:bCs/>
          <w:sz w:val="24"/>
        </w:rPr>
        <w:t>矿山地质环境影响评估精度分级表</w:t>
      </w:r>
      <w:r>
        <w:rPr>
          <w:b/>
          <w:bCs/>
          <w:sz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2"/>
        <w:gridCol w:w="1602"/>
        <w:gridCol w:w="1717"/>
        <w:gridCol w:w="1718"/>
        <w:gridCol w:w="1700"/>
      </w:tblGrid>
      <w:tr w:rsidR="009C5C1F">
        <w:trPr>
          <w:trHeight w:hRule="exact" w:val="340"/>
          <w:jc w:val="center"/>
        </w:trPr>
        <w:tc>
          <w:tcPr>
            <w:tcW w:w="1732" w:type="dxa"/>
            <w:vMerge w:val="restart"/>
            <w:vAlign w:val="center"/>
          </w:tcPr>
          <w:p w:rsidR="009C5C1F" w:rsidRDefault="004D2E0D">
            <w:pPr>
              <w:suppressAutoHyphens/>
              <w:wordWrap w:val="0"/>
              <w:topLinePunct/>
              <w:adjustRightInd w:val="0"/>
              <w:spacing w:line="360" w:lineRule="auto"/>
              <w:jc w:val="center"/>
              <w:rPr>
                <w:szCs w:val="21"/>
              </w:rPr>
            </w:pPr>
            <w:proofErr w:type="gramStart"/>
            <w:r>
              <w:rPr>
                <w:szCs w:val="21"/>
              </w:rPr>
              <w:t>评估区</w:t>
            </w:r>
            <w:proofErr w:type="gramEnd"/>
            <w:r>
              <w:rPr>
                <w:szCs w:val="21"/>
              </w:rPr>
              <w:t>重要程度</w:t>
            </w:r>
          </w:p>
        </w:tc>
        <w:tc>
          <w:tcPr>
            <w:tcW w:w="1602" w:type="dxa"/>
            <w:vMerge w:val="restart"/>
            <w:vAlign w:val="center"/>
          </w:tcPr>
          <w:p w:rsidR="009C5C1F" w:rsidRDefault="004D2E0D">
            <w:pPr>
              <w:suppressAutoHyphens/>
              <w:wordWrap w:val="0"/>
              <w:topLinePunct/>
              <w:adjustRightInd w:val="0"/>
              <w:spacing w:line="360" w:lineRule="auto"/>
              <w:jc w:val="center"/>
              <w:rPr>
                <w:szCs w:val="21"/>
              </w:rPr>
            </w:pPr>
            <w:r>
              <w:rPr>
                <w:szCs w:val="21"/>
              </w:rPr>
              <w:t>矿山建设规模</w:t>
            </w:r>
          </w:p>
        </w:tc>
        <w:tc>
          <w:tcPr>
            <w:tcW w:w="5135" w:type="dxa"/>
            <w:gridSpan w:val="3"/>
            <w:vAlign w:val="center"/>
          </w:tcPr>
          <w:p w:rsidR="009C5C1F" w:rsidRDefault="004D2E0D">
            <w:pPr>
              <w:suppressAutoHyphens/>
              <w:wordWrap w:val="0"/>
              <w:topLinePunct/>
              <w:adjustRightInd w:val="0"/>
              <w:spacing w:line="360" w:lineRule="auto"/>
              <w:jc w:val="center"/>
              <w:rPr>
                <w:szCs w:val="21"/>
              </w:rPr>
            </w:pPr>
            <w:r>
              <w:rPr>
                <w:szCs w:val="21"/>
              </w:rPr>
              <w:t>地质环境条件复杂程度</w:t>
            </w:r>
          </w:p>
        </w:tc>
      </w:tr>
      <w:tr w:rsidR="009C5C1F">
        <w:trPr>
          <w:trHeight w:hRule="exact" w:val="340"/>
          <w:jc w:val="center"/>
        </w:trPr>
        <w:tc>
          <w:tcPr>
            <w:tcW w:w="1732" w:type="dxa"/>
            <w:vMerge/>
            <w:vAlign w:val="center"/>
          </w:tcPr>
          <w:p w:rsidR="009C5C1F" w:rsidRDefault="009C5C1F">
            <w:pPr>
              <w:suppressAutoHyphens/>
              <w:wordWrap w:val="0"/>
              <w:topLinePunct/>
              <w:adjustRightInd w:val="0"/>
              <w:spacing w:line="360" w:lineRule="auto"/>
              <w:jc w:val="center"/>
              <w:rPr>
                <w:szCs w:val="21"/>
              </w:rPr>
            </w:pPr>
          </w:p>
        </w:tc>
        <w:tc>
          <w:tcPr>
            <w:tcW w:w="1602" w:type="dxa"/>
            <w:vMerge/>
            <w:vAlign w:val="center"/>
          </w:tcPr>
          <w:p w:rsidR="009C5C1F" w:rsidRDefault="009C5C1F">
            <w:pPr>
              <w:suppressAutoHyphens/>
              <w:wordWrap w:val="0"/>
              <w:topLinePunct/>
              <w:adjustRightInd w:val="0"/>
              <w:spacing w:line="360" w:lineRule="auto"/>
              <w:jc w:val="center"/>
              <w:rPr>
                <w:szCs w:val="21"/>
              </w:rPr>
            </w:pPr>
          </w:p>
        </w:tc>
        <w:tc>
          <w:tcPr>
            <w:tcW w:w="1717" w:type="dxa"/>
            <w:vAlign w:val="center"/>
          </w:tcPr>
          <w:p w:rsidR="009C5C1F" w:rsidRDefault="004D2E0D">
            <w:pPr>
              <w:suppressAutoHyphens/>
              <w:wordWrap w:val="0"/>
              <w:topLinePunct/>
              <w:adjustRightInd w:val="0"/>
              <w:spacing w:line="360" w:lineRule="auto"/>
              <w:jc w:val="center"/>
              <w:rPr>
                <w:szCs w:val="21"/>
              </w:rPr>
            </w:pPr>
            <w:r>
              <w:rPr>
                <w:szCs w:val="21"/>
              </w:rPr>
              <w:t>复杂</w:t>
            </w:r>
          </w:p>
        </w:tc>
        <w:tc>
          <w:tcPr>
            <w:tcW w:w="1718" w:type="dxa"/>
            <w:vAlign w:val="center"/>
          </w:tcPr>
          <w:p w:rsidR="009C5C1F" w:rsidRDefault="004D2E0D">
            <w:pPr>
              <w:suppressAutoHyphens/>
              <w:wordWrap w:val="0"/>
              <w:topLinePunct/>
              <w:adjustRightInd w:val="0"/>
              <w:spacing w:line="360" w:lineRule="auto"/>
              <w:jc w:val="center"/>
              <w:rPr>
                <w:szCs w:val="21"/>
              </w:rPr>
            </w:pPr>
            <w:r>
              <w:rPr>
                <w:szCs w:val="21"/>
              </w:rPr>
              <w:t>中等</w:t>
            </w:r>
          </w:p>
        </w:tc>
        <w:tc>
          <w:tcPr>
            <w:tcW w:w="1700" w:type="dxa"/>
            <w:vAlign w:val="center"/>
          </w:tcPr>
          <w:p w:rsidR="009C5C1F" w:rsidRDefault="004D2E0D">
            <w:pPr>
              <w:suppressAutoHyphens/>
              <w:wordWrap w:val="0"/>
              <w:topLinePunct/>
              <w:adjustRightInd w:val="0"/>
              <w:spacing w:line="360" w:lineRule="auto"/>
              <w:jc w:val="center"/>
              <w:rPr>
                <w:b/>
                <w:szCs w:val="21"/>
              </w:rPr>
            </w:pPr>
            <w:r>
              <w:rPr>
                <w:b/>
                <w:szCs w:val="21"/>
              </w:rPr>
              <w:t>简单</w:t>
            </w:r>
          </w:p>
        </w:tc>
      </w:tr>
      <w:tr w:rsidR="009C5C1F">
        <w:trPr>
          <w:trHeight w:hRule="exact" w:val="340"/>
          <w:jc w:val="center"/>
        </w:trPr>
        <w:tc>
          <w:tcPr>
            <w:tcW w:w="1732" w:type="dxa"/>
            <w:vMerge w:val="restart"/>
            <w:vAlign w:val="center"/>
          </w:tcPr>
          <w:p w:rsidR="009C5C1F" w:rsidRDefault="004D2E0D">
            <w:pPr>
              <w:suppressAutoHyphens/>
              <w:wordWrap w:val="0"/>
              <w:topLinePunct/>
              <w:adjustRightInd w:val="0"/>
              <w:spacing w:line="360" w:lineRule="auto"/>
              <w:jc w:val="center"/>
              <w:rPr>
                <w:szCs w:val="21"/>
              </w:rPr>
            </w:pPr>
            <w:r>
              <w:rPr>
                <w:szCs w:val="21"/>
              </w:rPr>
              <w:t>重要区</w:t>
            </w:r>
          </w:p>
        </w:tc>
        <w:tc>
          <w:tcPr>
            <w:tcW w:w="1602" w:type="dxa"/>
            <w:vAlign w:val="center"/>
          </w:tcPr>
          <w:p w:rsidR="009C5C1F" w:rsidRDefault="004D2E0D">
            <w:pPr>
              <w:suppressAutoHyphens/>
              <w:wordWrap w:val="0"/>
              <w:topLinePunct/>
              <w:adjustRightInd w:val="0"/>
              <w:spacing w:line="360" w:lineRule="auto"/>
              <w:jc w:val="center"/>
              <w:rPr>
                <w:szCs w:val="21"/>
              </w:rPr>
            </w:pPr>
            <w:r>
              <w:rPr>
                <w:szCs w:val="21"/>
              </w:rPr>
              <w:t>大型</w:t>
            </w:r>
          </w:p>
        </w:tc>
        <w:tc>
          <w:tcPr>
            <w:tcW w:w="1717"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18"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00" w:type="dxa"/>
            <w:vAlign w:val="center"/>
          </w:tcPr>
          <w:p w:rsidR="009C5C1F" w:rsidRDefault="004D2E0D">
            <w:pPr>
              <w:suppressAutoHyphens/>
              <w:wordWrap w:val="0"/>
              <w:topLinePunct/>
              <w:adjustRightInd w:val="0"/>
              <w:spacing w:line="360" w:lineRule="auto"/>
              <w:jc w:val="center"/>
              <w:rPr>
                <w:szCs w:val="21"/>
              </w:rPr>
            </w:pPr>
            <w:r>
              <w:rPr>
                <w:szCs w:val="21"/>
              </w:rPr>
              <w:t>一级</w:t>
            </w:r>
          </w:p>
        </w:tc>
      </w:tr>
      <w:tr w:rsidR="009C5C1F">
        <w:trPr>
          <w:trHeight w:hRule="exact" w:val="340"/>
          <w:jc w:val="center"/>
        </w:trPr>
        <w:tc>
          <w:tcPr>
            <w:tcW w:w="1732" w:type="dxa"/>
            <w:vMerge/>
            <w:vAlign w:val="center"/>
          </w:tcPr>
          <w:p w:rsidR="009C5C1F" w:rsidRDefault="009C5C1F">
            <w:pPr>
              <w:suppressAutoHyphens/>
              <w:wordWrap w:val="0"/>
              <w:topLinePunct/>
              <w:adjustRightInd w:val="0"/>
              <w:spacing w:line="360" w:lineRule="auto"/>
              <w:jc w:val="center"/>
              <w:rPr>
                <w:szCs w:val="21"/>
              </w:rPr>
            </w:pPr>
          </w:p>
        </w:tc>
        <w:tc>
          <w:tcPr>
            <w:tcW w:w="1602" w:type="dxa"/>
            <w:vAlign w:val="center"/>
          </w:tcPr>
          <w:p w:rsidR="009C5C1F" w:rsidRDefault="004D2E0D">
            <w:pPr>
              <w:suppressAutoHyphens/>
              <w:wordWrap w:val="0"/>
              <w:topLinePunct/>
              <w:adjustRightInd w:val="0"/>
              <w:spacing w:line="360" w:lineRule="auto"/>
              <w:jc w:val="center"/>
              <w:rPr>
                <w:szCs w:val="21"/>
              </w:rPr>
            </w:pPr>
            <w:r>
              <w:rPr>
                <w:szCs w:val="21"/>
              </w:rPr>
              <w:t>中型</w:t>
            </w:r>
          </w:p>
        </w:tc>
        <w:tc>
          <w:tcPr>
            <w:tcW w:w="1717"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18"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00" w:type="dxa"/>
            <w:vAlign w:val="center"/>
          </w:tcPr>
          <w:p w:rsidR="009C5C1F" w:rsidRDefault="004D2E0D">
            <w:pPr>
              <w:suppressAutoHyphens/>
              <w:wordWrap w:val="0"/>
              <w:topLinePunct/>
              <w:adjustRightInd w:val="0"/>
              <w:spacing w:line="360" w:lineRule="auto"/>
              <w:jc w:val="center"/>
              <w:rPr>
                <w:szCs w:val="21"/>
              </w:rPr>
            </w:pPr>
            <w:r>
              <w:rPr>
                <w:szCs w:val="21"/>
              </w:rPr>
              <w:t>一级</w:t>
            </w:r>
          </w:p>
        </w:tc>
      </w:tr>
      <w:tr w:rsidR="009C5C1F">
        <w:trPr>
          <w:trHeight w:hRule="exact" w:val="340"/>
          <w:jc w:val="center"/>
        </w:trPr>
        <w:tc>
          <w:tcPr>
            <w:tcW w:w="1732" w:type="dxa"/>
            <w:vMerge/>
            <w:vAlign w:val="center"/>
          </w:tcPr>
          <w:p w:rsidR="009C5C1F" w:rsidRDefault="009C5C1F">
            <w:pPr>
              <w:suppressAutoHyphens/>
              <w:wordWrap w:val="0"/>
              <w:topLinePunct/>
              <w:adjustRightInd w:val="0"/>
              <w:spacing w:line="360" w:lineRule="auto"/>
              <w:jc w:val="center"/>
              <w:rPr>
                <w:szCs w:val="21"/>
              </w:rPr>
            </w:pPr>
          </w:p>
        </w:tc>
        <w:tc>
          <w:tcPr>
            <w:tcW w:w="1602" w:type="dxa"/>
            <w:vAlign w:val="center"/>
          </w:tcPr>
          <w:p w:rsidR="009C5C1F" w:rsidRDefault="004D2E0D">
            <w:pPr>
              <w:suppressAutoHyphens/>
              <w:wordWrap w:val="0"/>
              <w:topLinePunct/>
              <w:adjustRightInd w:val="0"/>
              <w:spacing w:line="360" w:lineRule="auto"/>
              <w:jc w:val="center"/>
              <w:rPr>
                <w:szCs w:val="21"/>
              </w:rPr>
            </w:pPr>
            <w:r>
              <w:rPr>
                <w:szCs w:val="21"/>
              </w:rPr>
              <w:t>小型</w:t>
            </w:r>
          </w:p>
        </w:tc>
        <w:tc>
          <w:tcPr>
            <w:tcW w:w="1717"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18"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00" w:type="dxa"/>
            <w:vAlign w:val="center"/>
          </w:tcPr>
          <w:p w:rsidR="009C5C1F" w:rsidRDefault="004D2E0D">
            <w:pPr>
              <w:suppressAutoHyphens/>
              <w:wordWrap w:val="0"/>
              <w:topLinePunct/>
              <w:adjustRightInd w:val="0"/>
              <w:spacing w:line="360" w:lineRule="auto"/>
              <w:jc w:val="center"/>
              <w:rPr>
                <w:szCs w:val="21"/>
              </w:rPr>
            </w:pPr>
            <w:r>
              <w:rPr>
                <w:szCs w:val="21"/>
              </w:rPr>
              <w:t>二级</w:t>
            </w:r>
          </w:p>
        </w:tc>
      </w:tr>
      <w:tr w:rsidR="009C5C1F">
        <w:trPr>
          <w:trHeight w:hRule="exact" w:val="340"/>
          <w:jc w:val="center"/>
        </w:trPr>
        <w:tc>
          <w:tcPr>
            <w:tcW w:w="1732" w:type="dxa"/>
            <w:vMerge w:val="restart"/>
            <w:vAlign w:val="center"/>
          </w:tcPr>
          <w:p w:rsidR="009C5C1F" w:rsidRDefault="004D2E0D">
            <w:pPr>
              <w:suppressAutoHyphens/>
              <w:wordWrap w:val="0"/>
              <w:topLinePunct/>
              <w:adjustRightInd w:val="0"/>
              <w:spacing w:line="360" w:lineRule="auto"/>
              <w:jc w:val="center"/>
              <w:rPr>
                <w:bCs/>
                <w:szCs w:val="21"/>
              </w:rPr>
            </w:pPr>
            <w:r>
              <w:rPr>
                <w:bCs/>
                <w:szCs w:val="21"/>
              </w:rPr>
              <w:t>较重要区</w:t>
            </w:r>
          </w:p>
        </w:tc>
        <w:tc>
          <w:tcPr>
            <w:tcW w:w="1602" w:type="dxa"/>
            <w:vAlign w:val="center"/>
          </w:tcPr>
          <w:p w:rsidR="009C5C1F" w:rsidRDefault="004D2E0D">
            <w:pPr>
              <w:suppressAutoHyphens/>
              <w:wordWrap w:val="0"/>
              <w:topLinePunct/>
              <w:adjustRightInd w:val="0"/>
              <w:spacing w:line="360" w:lineRule="auto"/>
              <w:jc w:val="center"/>
              <w:rPr>
                <w:bCs/>
                <w:szCs w:val="21"/>
              </w:rPr>
            </w:pPr>
            <w:r>
              <w:rPr>
                <w:bCs/>
                <w:szCs w:val="21"/>
              </w:rPr>
              <w:t>大型</w:t>
            </w:r>
          </w:p>
        </w:tc>
        <w:tc>
          <w:tcPr>
            <w:tcW w:w="1717"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18"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00" w:type="dxa"/>
            <w:vAlign w:val="center"/>
          </w:tcPr>
          <w:p w:rsidR="009C5C1F" w:rsidRDefault="004D2E0D">
            <w:pPr>
              <w:suppressAutoHyphens/>
              <w:wordWrap w:val="0"/>
              <w:topLinePunct/>
              <w:adjustRightInd w:val="0"/>
              <w:spacing w:line="360" w:lineRule="auto"/>
              <w:jc w:val="center"/>
              <w:rPr>
                <w:bCs/>
                <w:szCs w:val="21"/>
              </w:rPr>
            </w:pPr>
            <w:r>
              <w:rPr>
                <w:bCs/>
                <w:szCs w:val="21"/>
              </w:rPr>
              <w:t>一级</w:t>
            </w:r>
          </w:p>
        </w:tc>
      </w:tr>
      <w:tr w:rsidR="009C5C1F">
        <w:trPr>
          <w:trHeight w:hRule="exact" w:val="340"/>
          <w:jc w:val="center"/>
        </w:trPr>
        <w:tc>
          <w:tcPr>
            <w:tcW w:w="1732" w:type="dxa"/>
            <w:vMerge/>
            <w:vAlign w:val="center"/>
          </w:tcPr>
          <w:p w:rsidR="009C5C1F" w:rsidRDefault="009C5C1F">
            <w:pPr>
              <w:suppressAutoHyphens/>
              <w:wordWrap w:val="0"/>
              <w:topLinePunct/>
              <w:adjustRightInd w:val="0"/>
              <w:spacing w:line="360" w:lineRule="auto"/>
              <w:jc w:val="center"/>
              <w:rPr>
                <w:szCs w:val="21"/>
              </w:rPr>
            </w:pPr>
          </w:p>
        </w:tc>
        <w:tc>
          <w:tcPr>
            <w:tcW w:w="1602" w:type="dxa"/>
            <w:vAlign w:val="center"/>
          </w:tcPr>
          <w:p w:rsidR="009C5C1F" w:rsidRDefault="004D2E0D">
            <w:pPr>
              <w:suppressAutoHyphens/>
              <w:wordWrap w:val="0"/>
              <w:topLinePunct/>
              <w:adjustRightInd w:val="0"/>
              <w:spacing w:line="360" w:lineRule="auto"/>
              <w:jc w:val="center"/>
              <w:rPr>
                <w:szCs w:val="21"/>
              </w:rPr>
            </w:pPr>
            <w:r>
              <w:rPr>
                <w:szCs w:val="21"/>
              </w:rPr>
              <w:t>中型</w:t>
            </w:r>
          </w:p>
        </w:tc>
        <w:tc>
          <w:tcPr>
            <w:tcW w:w="1717"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18" w:type="dxa"/>
            <w:vAlign w:val="center"/>
          </w:tcPr>
          <w:p w:rsidR="009C5C1F" w:rsidRDefault="004D2E0D">
            <w:pPr>
              <w:suppressAutoHyphens/>
              <w:wordWrap w:val="0"/>
              <w:topLinePunct/>
              <w:adjustRightInd w:val="0"/>
              <w:spacing w:line="360" w:lineRule="auto"/>
              <w:jc w:val="center"/>
              <w:rPr>
                <w:szCs w:val="21"/>
              </w:rPr>
            </w:pPr>
            <w:r>
              <w:rPr>
                <w:szCs w:val="21"/>
              </w:rPr>
              <w:t>二级</w:t>
            </w:r>
          </w:p>
        </w:tc>
        <w:tc>
          <w:tcPr>
            <w:tcW w:w="1700" w:type="dxa"/>
            <w:vAlign w:val="center"/>
          </w:tcPr>
          <w:p w:rsidR="009C5C1F" w:rsidRDefault="004D2E0D">
            <w:pPr>
              <w:suppressAutoHyphens/>
              <w:wordWrap w:val="0"/>
              <w:topLinePunct/>
              <w:adjustRightInd w:val="0"/>
              <w:spacing w:line="360" w:lineRule="auto"/>
              <w:jc w:val="center"/>
              <w:rPr>
                <w:szCs w:val="21"/>
              </w:rPr>
            </w:pPr>
            <w:r>
              <w:rPr>
                <w:szCs w:val="21"/>
              </w:rPr>
              <w:t>二级</w:t>
            </w:r>
          </w:p>
        </w:tc>
      </w:tr>
      <w:tr w:rsidR="009C5C1F">
        <w:trPr>
          <w:trHeight w:hRule="exact" w:val="340"/>
          <w:jc w:val="center"/>
        </w:trPr>
        <w:tc>
          <w:tcPr>
            <w:tcW w:w="1732" w:type="dxa"/>
            <w:vMerge/>
            <w:vAlign w:val="center"/>
          </w:tcPr>
          <w:p w:rsidR="009C5C1F" w:rsidRDefault="009C5C1F">
            <w:pPr>
              <w:suppressAutoHyphens/>
              <w:wordWrap w:val="0"/>
              <w:topLinePunct/>
              <w:adjustRightInd w:val="0"/>
              <w:spacing w:line="360" w:lineRule="auto"/>
              <w:jc w:val="center"/>
              <w:rPr>
                <w:szCs w:val="21"/>
              </w:rPr>
            </w:pPr>
          </w:p>
        </w:tc>
        <w:tc>
          <w:tcPr>
            <w:tcW w:w="1602" w:type="dxa"/>
            <w:vAlign w:val="center"/>
          </w:tcPr>
          <w:p w:rsidR="009C5C1F" w:rsidRDefault="004D2E0D">
            <w:pPr>
              <w:suppressAutoHyphens/>
              <w:wordWrap w:val="0"/>
              <w:topLinePunct/>
              <w:adjustRightInd w:val="0"/>
              <w:spacing w:line="360" w:lineRule="auto"/>
              <w:jc w:val="center"/>
              <w:rPr>
                <w:szCs w:val="21"/>
              </w:rPr>
            </w:pPr>
            <w:r>
              <w:rPr>
                <w:szCs w:val="21"/>
              </w:rPr>
              <w:t>小型</w:t>
            </w:r>
          </w:p>
        </w:tc>
        <w:tc>
          <w:tcPr>
            <w:tcW w:w="1717"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18" w:type="dxa"/>
            <w:vAlign w:val="center"/>
          </w:tcPr>
          <w:p w:rsidR="009C5C1F" w:rsidRDefault="004D2E0D">
            <w:pPr>
              <w:suppressAutoHyphens/>
              <w:wordWrap w:val="0"/>
              <w:topLinePunct/>
              <w:adjustRightInd w:val="0"/>
              <w:spacing w:line="360" w:lineRule="auto"/>
              <w:jc w:val="center"/>
              <w:rPr>
                <w:szCs w:val="21"/>
              </w:rPr>
            </w:pPr>
            <w:r>
              <w:rPr>
                <w:szCs w:val="21"/>
              </w:rPr>
              <w:t>二级</w:t>
            </w:r>
          </w:p>
        </w:tc>
        <w:tc>
          <w:tcPr>
            <w:tcW w:w="1700" w:type="dxa"/>
            <w:vAlign w:val="center"/>
          </w:tcPr>
          <w:p w:rsidR="009C5C1F" w:rsidRDefault="004D2E0D">
            <w:pPr>
              <w:suppressAutoHyphens/>
              <w:wordWrap w:val="0"/>
              <w:topLinePunct/>
              <w:adjustRightInd w:val="0"/>
              <w:spacing w:line="360" w:lineRule="auto"/>
              <w:jc w:val="center"/>
              <w:rPr>
                <w:szCs w:val="21"/>
              </w:rPr>
            </w:pPr>
            <w:r>
              <w:rPr>
                <w:szCs w:val="21"/>
              </w:rPr>
              <w:t>三级</w:t>
            </w:r>
          </w:p>
        </w:tc>
      </w:tr>
      <w:tr w:rsidR="009C5C1F">
        <w:trPr>
          <w:trHeight w:hRule="exact" w:val="340"/>
          <w:jc w:val="center"/>
        </w:trPr>
        <w:tc>
          <w:tcPr>
            <w:tcW w:w="1732" w:type="dxa"/>
            <w:vMerge w:val="restart"/>
            <w:vAlign w:val="center"/>
          </w:tcPr>
          <w:p w:rsidR="009C5C1F" w:rsidRDefault="004D2E0D">
            <w:pPr>
              <w:suppressAutoHyphens/>
              <w:wordWrap w:val="0"/>
              <w:topLinePunct/>
              <w:adjustRightInd w:val="0"/>
              <w:spacing w:line="360" w:lineRule="auto"/>
              <w:jc w:val="center"/>
              <w:rPr>
                <w:szCs w:val="21"/>
              </w:rPr>
            </w:pPr>
            <w:r>
              <w:rPr>
                <w:szCs w:val="21"/>
              </w:rPr>
              <w:t>一般区</w:t>
            </w:r>
          </w:p>
        </w:tc>
        <w:tc>
          <w:tcPr>
            <w:tcW w:w="1602" w:type="dxa"/>
            <w:vAlign w:val="center"/>
          </w:tcPr>
          <w:p w:rsidR="009C5C1F" w:rsidRDefault="004D2E0D">
            <w:pPr>
              <w:suppressAutoHyphens/>
              <w:wordWrap w:val="0"/>
              <w:topLinePunct/>
              <w:adjustRightInd w:val="0"/>
              <w:spacing w:line="360" w:lineRule="auto"/>
              <w:jc w:val="center"/>
              <w:rPr>
                <w:szCs w:val="21"/>
              </w:rPr>
            </w:pPr>
            <w:r>
              <w:rPr>
                <w:szCs w:val="21"/>
              </w:rPr>
              <w:t>大型</w:t>
            </w:r>
          </w:p>
        </w:tc>
        <w:tc>
          <w:tcPr>
            <w:tcW w:w="1717"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18" w:type="dxa"/>
            <w:vAlign w:val="center"/>
          </w:tcPr>
          <w:p w:rsidR="009C5C1F" w:rsidRDefault="004D2E0D">
            <w:pPr>
              <w:suppressAutoHyphens/>
              <w:wordWrap w:val="0"/>
              <w:topLinePunct/>
              <w:adjustRightInd w:val="0"/>
              <w:spacing w:line="360" w:lineRule="auto"/>
              <w:jc w:val="center"/>
              <w:rPr>
                <w:szCs w:val="21"/>
              </w:rPr>
            </w:pPr>
            <w:r>
              <w:rPr>
                <w:szCs w:val="21"/>
              </w:rPr>
              <w:t>二级</w:t>
            </w:r>
          </w:p>
        </w:tc>
        <w:tc>
          <w:tcPr>
            <w:tcW w:w="1700" w:type="dxa"/>
            <w:vAlign w:val="center"/>
          </w:tcPr>
          <w:p w:rsidR="009C5C1F" w:rsidRDefault="004D2E0D">
            <w:pPr>
              <w:suppressAutoHyphens/>
              <w:wordWrap w:val="0"/>
              <w:topLinePunct/>
              <w:adjustRightInd w:val="0"/>
              <w:spacing w:line="360" w:lineRule="auto"/>
              <w:jc w:val="center"/>
              <w:rPr>
                <w:szCs w:val="21"/>
              </w:rPr>
            </w:pPr>
            <w:r>
              <w:rPr>
                <w:szCs w:val="21"/>
              </w:rPr>
              <w:t>二级</w:t>
            </w:r>
          </w:p>
        </w:tc>
      </w:tr>
      <w:tr w:rsidR="009C5C1F">
        <w:trPr>
          <w:trHeight w:hRule="exact" w:val="340"/>
          <w:jc w:val="center"/>
        </w:trPr>
        <w:tc>
          <w:tcPr>
            <w:tcW w:w="1732" w:type="dxa"/>
            <w:vMerge/>
            <w:vAlign w:val="center"/>
          </w:tcPr>
          <w:p w:rsidR="009C5C1F" w:rsidRDefault="009C5C1F">
            <w:pPr>
              <w:suppressAutoHyphens/>
              <w:wordWrap w:val="0"/>
              <w:topLinePunct/>
              <w:adjustRightInd w:val="0"/>
              <w:spacing w:line="360" w:lineRule="auto"/>
              <w:jc w:val="center"/>
              <w:rPr>
                <w:szCs w:val="21"/>
              </w:rPr>
            </w:pPr>
          </w:p>
        </w:tc>
        <w:tc>
          <w:tcPr>
            <w:tcW w:w="1602" w:type="dxa"/>
            <w:vAlign w:val="center"/>
          </w:tcPr>
          <w:p w:rsidR="009C5C1F" w:rsidRDefault="004D2E0D">
            <w:pPr>
              <w:suppressAutoHyphens/>
              <w:wordWrap w:val="0"/>
              <w:topLinePunct/>
              <w:adjustRightInd w:val="0"/>
              <w:spacing w:line="360" w:lineRule="auto"/>
              <w:jc w:val="center"/>
              <w:rPr>
                <w:szCs w:val="21"/>
              </w:rPr>
            </w:pPr>
            <w:r>
              <w:rPr>
                <w:szCs w:val="21"/>
              </w:rPr>
              <w:t>中型</w:t>
            </w:r>
          </w:p>
        </w:tc>
        <w:tc>
          <w:tcPr>
            <w:tcW w:w="1717" w:type="dxa"/>
            <w:vAlign w:val="center"/>
          </w:tcPr>
          <w:p w:rsidR="009C5C1F" w:rsidRDefault="004D2E0D">
            <w:pPr>
              <w:suppressAutoHyphens/>
              <w:wordWrap w:val="0"/>
              <w:topLinePunct/>
              <w:adjustRightInd w:val="0"/>
              <w:spacing w:line="360" w:lineRule="auto"/>
              <w:jc w:val="center"/>
              <w:rPr>
                <w:szCs w:val="21"/>
              </w:rPr>
            </w:pPr>
            <w:r>
              <w:rPr>
                <w:szCs w:val="21"/>
              </w:rPr>
              <w:t>一级</w:t>
            </w:r>
          </w:p>
        </w:tc>
        <w:tc>
          <w:tcPr>
            <w:tcW w:w="1718" w:type="dxa"/>
            <w:vAlign w:val="center"/>
          </w:tcPr>
          <w:p w:rsidR="009C5C1F" w:rsidRDefault="004D2E0D">
            <w:pPr>
              <w:suppressAutoHyphens/>
              <w:wordWrap w:val="0"/>
              <w:topLinePunct/>
              <w:adjustRightInd w:val="0"/>
              <w:spacing w:line="360" w:lineRule="auto"/>
              <w:jc w:val="center"/>
              <w:rPr>
                <w:szCs w:val="21"/>
              </w:rPr>
            </w:pPr>
            <w:r>
              <w:rPr>
                <w:szCs w:val="21"/>
              </w:rPr>
              <w:t>二级</w:t>
            </w:r>
          </w:p>
        </w:tc>
        <w:tc>
          <w:tcPr>
            <w:tcW w:w="1700" w:type="dxa"/>
            <w:vAlign w:val="center"/>
          </w:tcPr>
          <w:p w:rsidR="009C5C1F" w:rsidRDefault="004D2E0D">
            <w:pPr>
              <w:suppressAutoHyphens/>
              <w:wordWrap w:val="0"/>
              <w:topLinePunct/>
              <w:adjustRightInd w:val="0"/>
              <w:spacing w:line="360" w:lineRule="auto"/>
              <w:jc w:val="center"/>
              <w:rPr>
                <w:szCs w:val="21"/>
              </w:rPr>
            </w:pPr>
            <w:r>
              <w:rPr>
                <w:szCs w:val="21"/>
              </w:rPr>
              <w:t>三级</w:t>
            </w:r>
          </w:p>
        </w:tc>
      </w:tr>
      <w:tr w:rsidR="009C5C1F">
        <w:trPr>
          <w:trHeight w:hRule="exact" w:val="340"/>
          <w:jc w:val="center"/>
        </w:trPr>
        <w:tc>
          <w:tcPr>
            <w:tcW w:w="1732" w:type="dxa"/>
            <w:vMerge/>
            <w:vAlign w:val="center"/>
          </w:tcPr>
          <w:p w:rsidR="009C5C1F" w:rsidRDefault="009C5C1F">
            <w:pPr>
              <w:suppressAutoHyphens/>
              <w:wordWrap w:val="0"/>
              <w:topLinePunct/>
              <w:adjustRightInd w:val="0"/>
              <w:spacing w:line="360" w:lineRule="auto"/>
              <w:jc w:val="center"/>
              <w:rPr>
                <w:szCs w:val="21"/>
              </w:rPr>
            </w:pPr>
          </w:p>
        </w:tc>
        <w:tc>
          <w:tcPr>
            <w:tcW w:w="1602" w:type="dxa"/>
            <w:vAlign w:val="center"/>
          </w:tcPr>
          <w:p w:rsidR="009C5C1F" w:rsidRDefault="004D2E0D">
            <w:pPr>
              <w:suppressAutoHyphens/>
              <w:wordWrap w:val="0"/>
              <w:topLinePunct/>
              <w:adjustRightInd w:val="0"/>
              <w:spacing w:line="360" w:lineRule="auto"/>
              <w:jc w:val="center"/>
              <w:rPr>
                <w:szCs w:val="21"/>
              </w:rPr>
            </w:pPr>
            <w:r>
              <w:rPr>
                <w:szCs w:val="21"/>
              </w:rPr>
              <w:t>小型</w:t>
            </w:r>
          </w:p>
        </w:tc>
        <w:tc>
          <w:tcPr>
            <w:tcW w:w="1717" w:type="dxa"/>
            <w:vAlign w:val="center"/>
          </w:tcPr>
          <w:p w:rsidR="009C5C1F" w:rsidRDefault="004D2E0D">
            <w:pPr>
              <w:suppressAutoHyphens/>
              <w:wordWrap w:val="0"/>
              <w:topLinePunct/>
              <w:adjustRightInd w:val="0"/>
              <w:spacing w:line="360" w:lineRule="auto"/>
              <w:jc w:val="center"/>
              <w:rPr>
                <w:szCs w:val="21"/>
              </w:rPr>
            </w:pPr>
            <w:r>
              <w:rPr>
                <w:szCs w:val="21"/>
              </w:rPr>
              <w:t>二级</w:t>
            </w:r>
          </w:p>
        </w:tc>
        <w:tc>
          <w:tcPr>
            <w:tcW w:w="1718" w:type="dxa"/>
            <w:vAlign w:val="center"/>
          </w:tcPr>
          <w:p w:rsidR="009C5C1F" w:rsidRDefault="004D2E0D">
            <w:pPr>
              <w:suppressAutoHyphens/>
              <w:wordWrap w:val="0"/>
              <w:topLinePunct/>
              <w:adjustRightInd w:val="0"/>
              <w:spacing w:line="360" w:lineRule="auto"/>
              <w:jc w:val="center"/>
              <w:rPr>
                <w:szCs w:val="21"/>
              </w:rPr>
            </w:pPr>
            <w:r>
              <w:rPr>
                <w:szCs w:val="21"/>
              </w:rPr>
              <w:t>三级</w:t>
            </w:r>
          </w:p>
        </w:tc>
        <w:tc>
          <w:tcPr>
            <w:tcW w:w="1700" w:type="dxa"/>
            <w:vAlign w:val="center"/>
          </w:tcPr>
          <w:p w:rsidR="009C5C1F" w:rsidRDefault="004D2E0D">
            <w:pPr>
              <w:suppressAutoHyphens/>
              <w:wordWrap w:val="0"/>
              <w:topLinePunct/>
              <w:adjustRightInd w:val="0"/>
              <w:spacing w:line="360" w:lineRule="auto"/>
              <w:jc w:val="center"/>
              <w:rPr>
                <w:szCs w:val="21"/>
              </w:rPr>
            </w:pPr>
            <w:r>
              <w:rPr>
                <w:szCs w:val="21"/>
              </w:rPr>
              <w:t>三级</w:t>
            </w:r>
          </w:p>
        </w:tc>
      </w:tr>
    </w:tbl>
    <w:p w:rsidR="009C5C1F" w:rsidRDefault="004D2E0D">
      <w:pPr>
        <w:keepNext/>
        <w:keepLines/>
        <w:suppressAutoHyphens/>
        <w:wordWrap w:val="0"/>
        <w:topLinePunct/>
        <w:spacing w:line="360" w:lineRule="auto"/>
        <w:outlineLvl w:val="2"/>
        <w:rPr>
          <w:b/>
          <w:sz w:val="24"/>
          <w:szCs w:val="28"/>
        </w:rPr>
      </w:pPr>
      <w:bookmarkStart w:id="935" w:name="_Toc447615060"/>
      <w:bookmarkStart w:id="936" w:name="_Toc385930026"/>
      <w:bookmarkStart w:id="937" w:name="_Toc251775143"/>
      <w:bookmarkStart w:id="938" w:name="_Toc70589857"/>
      <w:r>
        <w:rPr>
          <w:rFonts w:hint="eastAsia"/>
          <w:b/>
          <w:sz w:val="24"/>
          <w:szCs w:val="28"/>
        </w:rPr>
        <w:t>（二）</w:t>
      </w:r>
      <w:r>
        <w:rPr>
          <w:b/>
          <w:sz w:val="24"/>
          <w:szCs w:val="28"/>
        </w:rPr>
        <w:t>矿山地质</w:t>
      </w:r>
      <w:r>
        <w:rPr>
          <w:rFonts w:hint="eastAsia"/>
          <w:b/>
          <w:sz w:val="24"/>
          <w:szCs w:val="28"/>
        </w:rPr>
        <w:t>灾害</w:t>
      </w:r>
      <w:r>
        <w:rPr>
          <w:b/>
          <w:sz w:val="24"/>
          <w:szCs w:val="28"/>
        </w:rPr>
        <w:t>现状</w:t>
      </w:r>
      <w:bookmarkEnd w:id="935"/>
      <w:bookmarkEnd w:id="936"/>
      <w:bookmarkEnd w:id="937"/>
      <w:r>
        <w:rPr>
          <w:rFonts w:hint="eastAsia"/>
          <w:b/>
          <w:sz w:val="24"/>
          <w:szCs w:val="28"/>
        </w:rPr>
        <w:t>分析与预测</w:t>
      </w:r>
      <w:bookmarkEnd w:id="938"/>
    </w:p>
    <w:p w:rsidR="009C5C1F" w:rsidRDefault="004D2E0D">
      <w:pPr>
        <w:suppressAutoHyphens/>
        <w:wordWrap w:val="0"/>
        <w:topLinePunct/>
        <w:spacing w:beforeLines="50" w:before="120" w:line="360" w:lineRule="auto"/>
        <w:ind w:firstLineChars="200" w:firstLine="480"/>
        <w:rPr>
          <w:sz w:val="24"/>
        </w:rPr>
      </w:pPr>
      <w:r>
        <w:rPr>
          <w:rFonts w:hint="eastAsia"/>
          <w:sz w:val="24"/>
        </w:rPr>
        <w:t>1</w:t>
      </w:r>
      <w:r>
        <w:rPr>
          <w:rFonts w:hint="eastAsia"/>
          <w:sz w:val="24"/>
        </w:rPr>
        <w:t>、现状分析</w:t>
      </w:r>
    </w:p>
    <w:p w:rsidR="009C5C1F" w:rsidRDefault="004D2E0D">
      <w:pPr>
        <w:suppressAutoHyphens/>
        <w:wordWrap w:val="0"/>
        <w:topLinePunct/>
        <w:spacing w:line="360" w:lineRule="auto"/>
        <w:ind w:firstLineChars="200" w:firstLine="480"/>
        <w:rPr>
          <w:sz w:val="24"/>
        </w:rPr>
      </w:pPr>
      <w:r>
        <w:rPr>
          <w:rFonts w:hint="eastAsia"/>
          <w:sz w:val="24"/>
        </w:rPr>
        <w:t>经现场调查，评估区内气候干旱，降水量少，地形地貌属</w:t>
      </w:r>
      <w:proofErr w:type="gramStart"/>
      <w:r>
        <w:rPr>
          <w:rFonts w:hint="eastAsia"/>
          <w:sz w:val="24"/>
        </w:rPr>
        <w:t>山前洪积</w:t>
      </w:r>
      <w:proofErr w:type="gramEnd"/>
      <w:r>
        <w:rPr>
          <w:rFonts w:hint="eastAsia"/>
          <w:sz w:val="24"/>
        </w:rPr>
        <w:t>地貌，矿山开采位于当地侵蚀基准面以上，汇水面积小，没有形成泥石流的外部条件。矿区</w:t>
      </w:r>
      <w:r>
        <w:rPr>
          <w:sz w:val="24"/>
        </w:rPr>
        <w:t>节理裂隙均不发育，抗风化力强</w:t>
      </w:r>
      <w:r>
        <w:rPr>
          <w:rFonts w:hint="eastAsia"/>
          <w:sz w:val="24"/>
        </w:rPr>
        <w:t>，粘土</w:t>
      </w:r>
      <w:r>
        <w:rPr>
          <w:sz w:val="24"/>
        </w:rPr>
        <w:t>密实性较好、抗压强度大</w:t>
      </w:r>
      <w:r>
        <w:rPr>
          <w:rFonts w:hint="eastAsia"/>
          <w:sz w:val="24"/>
        </w:rPr>
        <w:t>。</w:t>
      </w:r>
      <w:r>
        <w:rPr>
          <w:rFonts w:hint="eastAsia"/>
          <w:spacing w:val="10"/>
          <w:sz w:val="24"/>
        </w:rPr>
        <w:t>不良工程地质不发育，残坡积层、基岩风化破碎带厚度小于</w:t>
      </w:r>
      <w:r>
        <w:rPr>
          <w:rFonts w:hint="eastAsia"/>
          <w:sz w:val="24"/>
        </w:rPr>
        <w:t>1</w:t>
      </w:r>
      <w:r>
        <w:rPr>
          <w:sz w:val="24"/>
        </w:rPr>
        <w:t>m</w:t>
      </w:r>
      <w:r>
        <w:rPr>
          <w:rFonts w:hint="eastAsia"/>
          <w:sz w:val="24"/>
        </w:rPr>
        <w:t>且稳固性较好，边坡基本不存在外倾软弱结构面或危岩，</w:t>
      </w:r>
      <w:proofErr w:type="gramStart"/>
      <w:r>
        <w:rPr>
          <w:rFonts w:hint="eastAsia"/>
          <w:sz w:val="24"/>
        </w:rPr>
        <w:t>边坡较</w:t>
      </w:r>
      <w:proofErr w:type="gramEnd"/>
      <w:r>
        <w:rPr>
          <w:rFonts w:hint="eastAsia"/>
          <w:sz w:val="24"/>
        </w:rPr>
        <w:t>稳定。经现场调查，到目前为止未发现崩塌、滑坡、泥石流等地质灾害。</w:t>
      </w:r>
    </w:p>
    <w:p w:rsidR="009C5C1F" w:rsidRDefault="004D2E0D">
      <w:pPr>
        <w:suppressAutoHyphens/>
        <w:wordWrap w:val="0"/>
        <w:topLinePunct/>
        <w:spacing w:line="360" w:lineRule="auto"/>
        <w:ind w:firstLineChars="200" w:firstLine="480"/>
        <w:rPr>
          <w:sz w:val="24"/>
        </w:rPr>
      </w:pPr>
      <w:r>
        <w:rPr>
          <w:rFonts w:hint="eastAsia"/>
          <w:sz w:val="24"/>
        </w:rPr>
        <w:t>因此，现状评估认为，现状评估区内地质灾害弱发育，危害程度小，危险性小；对地质环境影响程度较轻。</w:t>
      </w:r>
    </w:p>
    <w:p w:rsidR="009C5C1F" w:rsidRDefault="009C5C1F">
      <w:pPr>
        <w:kinsoku w:val="0"/>
        <w:overflowPunct w:val="0"/>
        <w:autoSpaceDE w:val="0"/>
        <w:autoSpaceDN w:val="0"/>
        <w:adjustRightInd w:val="0"/>
        <w:ind w:firstLineChars="1000" w:firstLine="2400"/>
        <w:jc w:val="left"/>
        <w:rPr>
          <w:rFonts w:ascii="宋体" w:cs="宋体"/>
          <w:kern w:val="0"/>
          <w:sz w:val="24"/>
        </w:rPr>
      </w:pPr>
    </w:p>
    <w:p w:rsidR="009C5C1F" w:rsidRDefault="009C5C1F">
      <w:pPr>
        <w:kinsoku w:val="0"/>
        <w:overflowPunct w:val="0"/>
        <w:autoSpaceDE w:val="0"/>
        <w:autoSpaceDN w:val="0"/>
        <w:adjustRightInd w:val="0"/>
        <w:ind w:firstLineChars="1000" w:firstLine="2400"/>
        <w:jc w:val="left"/>
        <w:rPr>
          <w:rFonts w:ascii="宋体" w:cs="宋体"/>
          <w:kern w:val="0"/>
          <w:sz w:val="24"/>
        </w:rPr>
      </w:pPr>
    </w:p>
    <w:p w:rsidR="009C5C1F" w:rsidRDefault="009C5C1F">
      <w:pPr>
        <w:kinsoku w:val="0"/>
        <w:overflowPunct w:val="0"/>
        <w:autoSpaceDE w:val="0"/>
        <w:autoSpaceDN w:val="0"/>
        <w:adjustRightInd w:val="0"/>
        <w:ind w:firstLineChars="1000" w:firstLine="2400"/>
        <w:jc w:val="left"/>
        <w:rPr>
          <w:rFonts w:ascii="宋体" w:cs="宋体"/>
          <w:kern w:val="0"/>
          <w:sz w:val="24"/>
        </w:rPr>
      </w:pPr>
    </w:p>
    <w:p w:rsidR="009C5C1F" w:rsidRDefault="009C5C1F">
      <w:pPr>
        <w:kinsoku w:val="0"/>
        <w:overflowPunct w:val="0"/>
        <w:autoSpaceDE w:val="0"/>
        <w:autoSpaceDN w:val="0"/>
        <w:adjustRightInd w:val="0"/>
        <w:jc w:val="left"/>
        <w:rPr>
          <w:rFonts w:ascii="宋体" w:cs="宋体"/>
          <w:kern w:val="0"/>
          <w:sz w:val="24"/>
        </w:rPr>
      </w:pPr>
    </w:p>
    <w:p w:rsidR="009C5C1F" w:rsidRDefault="009C5C1F">
      <w:pPr>
        <w:pStyle w:val="a0"/>
        <w:ind w:firstLine="210"/>
      </w:pPr>
    </w:p>
    <w:p w:rsidR="009C5C1F" w:rsidRDefault="004D2E0D">
      <w:pPr>
        <w:kinsoku w:val="0"/>
        <w:overflowPunct w:val="0"/>
        <w:autoSpaceDE w:val="0"/>
        <w:autoSpaceDN w:val="0"/>
        <w:adjustRightInd w:val="0"/>
        <w:ind w:firstLineChars="1000" w:firstLine="2409"/>
        <w:jc w:val="left"/>
        <w:rPr>
          <w:b/>
          <w:bCs/>
          <w:kern w:val="0"/>
          <w:sz w:val="20"/>
          <w:szCs w:val="20"/>
        </w:rPr>
      </w:pPr>
      <w:r>
        <w:rPr>
          <w:rFonts w:ascii="宋体" w:cs="宋体" w:hint="eastAsia"/>
          <w:b/>
          <w:bCs/>
          <w:kern w:val="0"/>
          <w:sz w:val="24"/>
        </w:rPr>
        <w:lastRenderedPageBreak/>
        <w:t>表</w:t>
      </w:r>
      <w:r>
        <w:rPr>
          <w:rFonts w:ascii="宋体" w:cs="宋体"/>
          <w:b/>
          <w:bCs/>
          <w:kern w:val="0"/>
          <w:sz w:val="24"/>
        </w:rPr>
        <w:t xml:space="preserve"> 3-5</w:t>
      </w:r>
      <w:r>
        <w:rPr>
          <w:rFonts w:ascii="宋体" w:cs="宋体"/>
          <w:b/>
          <w:bCs/>
          <w:spacing w:val="60"/>
          <w:kern w:val="0"/>
          <w:sz w:val="24"/>
        </w:rPr>
        <w:t xml:space="preserve"> </w:t>
      </w:r>
      <w:r>
        <w:rPr>
          <w:rFonts w:ascii="宋体" w:cs="宋体" w:hint="eastAsia"/>
          <w:b/>
          <w:bCs/>
          <w:kern w:val="0"/>
          <w:sz w:val="24"/>
        </w:rPr>
        <w:t>矿山地质环境影响程度分级表</w:t>
      </w:r>
    </w:p>
    <w:p w:rsidR="009C5C1F" w:rsidRDefault="009C5C1F">
      <w:pPr>
        <w:kinsoku w:val="0"/>
        <w:overflowPunct w:val="0"/>
        <w:autoSpaceDE w:val="0"/>
        <w:autoSpaceDN w:val="0"/>
        <w:adjustRightInd w:val="0"/>
        <w:spacing w:before="8"/>
        <w:jc w:val="left"/>
        <w:rPr>
          <w:rFonts w:ascii="宋体" w:cs="宋体"/>
          <w:kern w:val="0"/>
          <w:sz w:val="2"/>
          <w:szCs w:val="2"/>
        </w:rPr>
      </w:pPr>
    </w:p>
    <w:tbl>
      <w:tblPr>
        <w:tblW w:w="0" w:type="auto"/>
        <w:tblInd w:w="107" w:type="dxa"/>
        <w:tblLayout w:type="fixed"/>
        <w:tblCellMar>
          <w:left w:w="0" w:type="dxa"/>
          <w:right w:w="0" w:type="dxa"/>
        </w:tblCellMar>
        <w:tblLook w:val="04A0" w:firstRow="1" w:lastRow="0" w:firstColumn="1" w:lastColumn="0" w:noHBand="0" w:noVBand="1"/>
      </w:tblPr>
      <w:tblGrid>
        <w:gridCol w:w="648"/>
        <w:gridCol w:w="2106"/>
        <w:gridCol w:w="2784"/>
        <w:gridCol w:w="1843"/>
        <w:gridCol w:w="1502"/>
      </w:tblGrid>
      <w:tr w:rsidR="009C5C1F">
        <w:trPr>
          <w:trHeight w:hRule="exact" w:val="581"/>
        </w:trPr>
        <w:tc>
          <w:tcPr>
            <w:tcW w:w="648"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 w:line="272" w:lineRule="exact"/>
              <w:ind w:left="35" w:right="13"/>
              <w:jc w:val="left"/>
              <w:rPr>
                <w:kern w:val="0"/>
                <w:sz w:val="24"/>
              </w:rPr>
            </w:pPr>
            <w:r>
              <w:rPr>
                <w:rFonts w:ascii="宋体" w:cs="宋体" w:hint="eastAsia"/>
                <w:spacing w:val="-14"/>
                <w:kern w:val="0"/>
                <w:szCs w:val="21"/>
              </w:rPr>
              <w:t>影响程</w:t>
            </w:r>
            <w:r>
              <w:rPr>
                <w:rFonts w:ascii="宋体" w:cs="宋体"/>
                <w:w w:val="99"/>
                <w:kern w:val="0"/>
                <w:szCs w:val="21"/>
              </w:rPr>
              <w:t xml:space="preserve"> </w:t>
            </w:r>
            <w:r>
              <w:rPr>
                <w:rFonts w:ascii="宋体" w:cs="宋体" w:hint="eastAsia"/>
                <w:spacing w:val="-14"/>
                <w:kern w:val="0"/>
                <w:szCs w:val="21"/>
              </w:rPr>
              <w:t>度分级</w:t>
            </w:r>
          </w:p>
        </w:tc>
        <w:tc>
          <w:tcPr>
            <w:tcW w:w="2106"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16"/>
              <w:ind w:left="668"/>
              <w:jc w:val="left"/>
              <w:rPr>
                <w:kern w:val="0"/>
                <w:sz w:val="24"/>
              </w:rPr>
            </w:pPr>
            <w:r>
              <w:rPr>
                <w:rFonts w:ascii="宋体" w:cs="宋体" w:hint="eastAsia"/>
                <w:spacing w:val="-15"/>
                <w:kern w:val="0"/>
                <w:szCs w:val="21"/>
              </w:rPr>
              <w:t>地质灾害</w:t>
            </w:r>
          </w:p>
        </w:tc>
        <w:tc>
          <w:tcPr>
            <w:tcW w:w="278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16"/>
              <w:ind w:left="17"/>
              <w:jc w:val="center"/>
              <w:rPr>
                <w:kern w:val="0"/>
                <w:sz w:val="24"/>
              </w:rPr>
            </w:pPr>
            <w:r>
              <w:rPr>
                <w:rFonts w:ascii="宋体" w:cs="宋体" w:hint="eastAsia"/>
                <w:spacing w:val="-14"/>
                <w:kern w:val="0"/>
                <w:szCs w:val="21"/>
              </w:rPr>
              <w:t>含水层</w:t>
            </w:r>
          </w:p>
        </w:tc>
        <w:tc>
          <w:tcPr>
            <w:tcW w:w="1843"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16"/>
              <w:ind w:left="345"/>
              <w:jc w:val="left"/>
              <w:rPr>
                <w:kern w:val="0"/>
                <w:sz w:val="24"/>
              </w:rPr>
            </w:pPr>
            <w:r>
              <w:rPr>
                <w:rFonts w:ascii="宋体" w:cs="宋体" w:hint="eastAsia"/>
                <w:spacing w:val="-17"/>
                <w:kern w:val="0"/>
                <w:szCs w:val="21"/>
              </w:rPr>
              <w:t>地形地貌景观</w:t>
            </w:r>
          </w:p>
        </w:tc>
        <w:tc>
          <w:tcPr>
            <w:tcW w:w="1502"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16"/>
              <w:ind w:left="358"/>
              <w:jc w:val="left"/>
              <w:rPr>
                <w:kern w:val="0"/>
                <w:sz w:val="24"/>
              </w:rPr>
            </w:pPr>
            <w:r>
              <w:rPr>
                <w:rFonts w:ascii="宋体" w:cs="宋体" w:hint="eastAsia"/>
                <w:spacing w:val="-16"/>
                <w:kern w:val="0"/>
                <w:szCs w:val="21"/>
              </w:rPr>
              <w:t>土地资源</w:t>
            </w:r>
          </w:p>
        </w:tc>
      </w:tr>
      <w:tr w:rsidR="009C5C1F">
        <w:trPr>
          <w:trHeight w:hRule="exact" w:val="460"/>
        </w:trPr>
        <w:tc>
          <w:tcPr>
            <w:tcW w:w="648" w:type="dxa"/>
            <w:vMerge w:val="restart"/>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jc w:val="left"/>
              <w:rPr>
                <w:rFonts w:ascii="宋体" w:cs="宋体"/>
                <w:kern w:val="0"/>
                <w:sz w:val="20"/>
                <w:szCs w:val="20"/>
              </w:rPr>
            </w:pPr>
          </w:p>
          <w:p w:rsidR="009C5C1F" w:rsidRDefault="004D2E0D">
            <w:pPr>
              <w:kinsoku w:val="0"/>
              <w:overflowPunct w:val="0"/>
              <w:autoSpaceDE w:val="0"/>
              <w:autoSpaceDN w:val="0"/>
              <w:adjustRightInd w:val="0"/>
              <w:ind w:left="6"/>
              <w:jc w:val="left"/>
              <w:rPr>
                <w:kern w:val="0"/>
                <w:sz w:val="24"/>
              </w:rPr>
            </w:pPr>
            <w:r>
              <w:rPr>
                <w:rFonts w:ascii="宋体" w:cs="宋体" w:hint="eastAsia"/>
                <w:spacing w:val="-11"/>
                <w:kern w:val="0"/>
                <w:szCs w:val="21"/>
              </w:rPr>
              <w:t>严重</w:t>
            </w:r>
          </w:p>
        </w:tc>
        <w:tc>
          <w:tcPr>
            <w:tcW w:w="2106" w:type="dxa"/>
            <w:tcBorders>
              <w:top w:val="single" w:sz="4" w:space="0" w:color="000000"/>
              <w:left w:val="single" w:sz="4" w:space="0" w:color="000000"/>
              <w:bottom w:val="nil"/>
              <w:right w:val="single" w:sz="4" w:space="0" w:color="000000"/>
            </w:tcBorders>
          </w:tcPr>
          <w:p w:rsidR="009C5C1F" w:rsidRDefault="004D2E0D">
            <w:pPr>
              <w:kinsoku w:val="0"/>
              <w:overflowPunct w:val="0"/>
              <w:autoSpaceDE w:val="0"/>
              <w:autoSpaceDN w:val="0"/>
              <w:adjustRightInd w:val="0"/>
              <w:spacing w:before="149"/>
              <w:ind w:left="6" w:right="-13"/>
              <w:jc w:val="left"/>
              <w:rPr>
                <w:kern w:val="0"/>
                <w:sz w:val="24"/>
              </w:rPr>
            </w:pPr>
            <w:r>
              <w:rPr>
                <w:rFonts w:ascii="宋体" w:cs="宋体" w:hint="eastAsia"/>
                <w:spacing w:val="-20"/>
                <w:kern w:val="0"/>
                <w:szCs w:val="21"/>
              </w:rPr>
              <w:t>地质灾害规模大，发生的</w:t>
            </w:r>
          </w:p>
        </w:tc>
        <w:tc>
          <w:tcPr>
            <w:tcW w:w="2784" w:type="dxa"/>
            <w:tcBorders>
              <w:top w:val="single" w:sz="4" w:space="0" w:color="000000"/>
              <w:left w:val="single" w:sz="4" w:space="0" w:color="000000"/>
              <w:bottom w:val="nil"/>
              <w:right w:val="single" w:sz="4" w:space="0" w:color="000000"/>
            </w:tcBorders>
          </w:tcPr>
          <w:p w:rsidR="009C5C1F" w:rsidRDefault="004D2E0D">
            <w:pPr>
              <w:kinsoku w:val="0"/>
              <w:overflowPunct w:val="0"/>
              <w:autoSpaceDE w:val="0"/>
              <w:autoSpaceDN w:val="0"/>
              <w:adjustRightInd w:val="0"/>
              <w:spacing w:before="149"/>
              <w:ind w:left="4" w:right="-15"/>
              <w:jc w:val="left"/>
              <w:rPr>
                <w:kern w:val="0"/>
                <w:sz w:val="24"/>
              </w:rPr>
            </w:pPr>
            <w:r>
              <w:rPr>
                <w:rFonts w:ascii="宋体" w:cs="宋体" w:hint="eastAsia"/>
                <w:spacing w:val="-25"/>
                <w:kern w:val="0"/>
                <w:szCs w:val="21"/>
              </w:rPr>
              <w:t>矿床充水主要含水层结构破坏，产</w:t>
            </w:r>
          </w:p>
        </w:tc>
        <w:tc>
          <w:tcPr>
            <w:tcW w:w="1843" w:type="dxa"/>
            <w:tcBorders>
              <w:top w:val="single" w:sz="4" w:space="0" w:color="000000"/>
              <w:left w:val="single" w:sz="4" w:space="0" w:color="000000"/>
              <w:bottom w:val="nil"/>
              <w:right w:val="single" w:sz="4" w:space="0" w:color="000000"/>
            </w:tcBorders>
          </w:tcPr>
          <w:p w:rsidR="009C5C1F" w:rsidRDefault="004D2E0D">
            <w:pPr>
              <w:kinsoku w:val="0"/>
              <w:overflowPunct w:val="0"/>
              <w:autoSpaceDE w:val="0"/>
              <w:autoSpaceDN w:val="0"/>
              <w:adjustRightInd w:val="0"/>
              <w:spacing w:before="149"/>
              <w:ind w:left="5" w:right="-13"/>
              <w:jc w:val="left"/>
              <w:rPr>
                <w:kern w:val="0"/>
                <w:sz w:val="24"/>
              </w:rPr>
            </w:pPr>
            <w:r>
              <w:rPr>
                <w:rFonts w:ascii="宋体" w:cs="宋体" w:hint="eastAsia"/>
                <w:spacing w:val="-6"/>
                <w:kern w:val="0"/>
                <w:szCs w:val="21"/>
              </w:rPr>
              <w:t>对原生的地形地貌景</w:t>
            </w:r>
          </w:p>
        </w:tc>
        <w:tc>
          <w:tcPr>
            <w:tcW w:w="1502" w:type="dxa"/>
            <w:vMerge w:val="restart"/>
            <w:tcBorders>
              <w:top w:val="single" w:sz="4" w:space="0" w:color="000000"/>
              <w:left w:val="single" w:sz="4" w:space="0" w:color="000000"/>
              <w:bottom w:val="nil"/>
              <w:right w:val="single" w:sz="4" w:space="0" w:color="000000"/>
            </w:tcBorders>
          </w:tcPr>
          <w:p w:rsidR="009C5C1F" w:rsidRDefault="009C5C1F">
            <w:pPr>
              <w:kinsoku w:val="0"/>
              <w:overflowPunct w:val="0"/>
              <w:autoSpaceDE w:val="0"/>
              <w:autoSpaceDN w:val="0"/>
              <w:adjustRightInd w:val="0"/>
              <w:jc w:val="left"/>
              <w:rPr>
                <w:rFonts w:ascii="宋体" w:cs="宋体"/>
                <w:kern w:val="0"/>
                <w:sz w:val="20"/>
                <w:szCs w:val="20"/>
              </w:rPr>
            </w:pPr>
          </w:p>
          <w:p w:rsidR="009C5C1F" w:rsidRDefault="004D2E0D">
            <w:pPr>
              <w:kinsoku w:val="0"/>
              <w:overflowPunct w:val="0"/>
              <w:autoSpaceDE w:val="0"/>
              <w:autoSpaceDN w:val="0"/>
              <w:adjustRightInd w:val="0"/>
              <w:spacing w:before="159"/>
              <w:ind w:left="5" w:right="-13"/>
              <w:jc w:val="left"/>
              <w:rPr>
                <w:kern w:val="0"/>
                <w:sz w:val="24"/>
              </w:rPr>
            </w:pPr>
            <w:r>
              <w:rPr>
                <w:rFonts w:ascii="宋体" w:cs="宋体" w:hint="eastAsia"/>
                <w:spacing w:val="5"/>
                <w:kern w:val="0"/>
                <w:szCs w:val="21"/>
              </w:rPr>
              <w:t>破坏基本农田破</w:t>
            </w:r>
          </w:p>
        </w:tc>
      </w:tr>
      <w:tr w:rsidR="009C5C1F">
        <w:trPr>
          <w:trHeight w:hRule="exact" w:val="264"/>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159"/>
              <w:ind w:left="5" w:right="-13"/>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6" w:right="-15"/>
              <w:jc w:val="left"/>
              <w:rPr>
                <w:kern w:val="0"/>
                <w:sz w:val="24"/>
              </w:rPr>
            </w:pPr>
            <w:r>
              <w:rPr>
                <w:rFonts w:ascii="宋体" w:cs="宋体" w:hint="eastAsia"/>
                <w:spacing w:val="-16"/>
                <w:kern w:val="0"/>
                <w:szCs w:val="21"/>
              </w:rPr>
              <w:t>可能性大</w:t>
            </w:r>
            <w:r>
              <w:rPr>
                <w:rFonts w:ascii="宋体" w:cs="宋体"/>
                <w:spacing w:val="-34"/>
                <w:kern w:val="0"/>
                <w:szCs w:val="21"/>
              </w:rPr>
              <w:t xml:space="preserve"> </w:t>
            </w:r>
            <w:r>
              <w:rPr>
                <w:rFonts w:ascii="宋体" w:cs="宋体" w:hint="eastAsia"/>
                <w:spacing w:val="-31"/>
                <w:kern w:val="0"/>
                <w:szCs w:val="21"/>
              </w:rPr>
              <w:t>影响到城市、乡</w:t>
            </w:r>
          </w:p>
        </w:tc>
        <w:tc>
          <w:tcPr>
            <w:tcW w:w="2784"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4" w:right="-15"/>
              <w:jc w:val="left"/>
              <w:rPr>
                <w:kern w:val="0"/>
                <w:sz w:val="24"/>
              </w:rPr>
            </w:pPr>
            <w:r>
              <w:rPr>
                <w:rFonts w:ascii="宋体" w:cs="宋体" w:hint="eastAsia"/>
                <w:spacing w:val="-12"/>
                <w:kern w:val="0"/>
                <w:szCs w:val="21"/>
              </w:rPr>
              <w:t>生导水通道矿井正常涌水量大于</w:t>
            </w: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5"/>
              <w:jc w:val="left"/>
              <w:rPr>
                <w:kern w:val="0"/>
                <w:sz w:val="24"/>
              </w:rPr>
            </w:pPr>
            <w:r>
              <w:rPr>
                <w:rFonts w:ascii="宋体" w:cs="宋体" w:hint="eastAsia"/>
                <w:spacing w:val="7"/>
                <w:kern w:val="0"/>
                <w:szCs w:val="21"/>
              </w:rPr>
              <w:t>观影响和破坏程度</w:t>
            </w:r>
          </w:p>
        </w:tc>
        <w:tc>
          <w:tcPr>
            <w:tcW w:w="1502" w:type="dxa"/>
            <w:vMerge/>
            <w:tcBorders>
              <w:top w:val="single" w:sz="4" w:space="0" w:color="000000"/>
              <w:left w:val="single" w:sz="4" w:space="0" w:color="000000"/>
              <w:bottom w:val="nil"/>
              <w:right w:val="single" w:sz="4" w:space="0" w:color="000000"/>
            </w:tcBorders>
          </w:tcPr>
          <w:p w:rsidR="009C5C1F" w:rsidRDefault="009C5C1F">
            <w:pPr>
              <w:kinsoku w:val="0"/>
              <w:overflowPunct w:val="0"/>
              <w:autoSpaceDE w:val="0"/>
              <w:autoSpaceDN w:val="0"/>
              <w:adjustRightInd w:val="0"/>
              <w:spacing w:line="240" w:lineRule="exact"/>
              <w:ind w:left="5"/>
              <w:jc w:val="left"/>
              <w:rPr>
                <w:kern w:val="0"/>
                <w:sz w:val="24"/>
              </w:rPr>
            </w:pPr>
          </w:p>
        </w:tc>
      </w:tr>
      <w:tr w:rsidR="009C5C1F">
        <w:trPr>
          <w:trHeight w:hRule="exact" w:val="280"/>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40" w:lineRule="exact"/>
              <w:ind w:left="5"/>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8" w:lineRule="exact"/>
              <w:ind w:left="6" w:right="-13"/>
              <w:jc w:val="left"/>
              <w:rPr>
                <w:kern w:val="0"/>
                <w:sz w:val="24"/>
              </w:rPr>
            </w:pPr>
            <w:r>
              <w:rPr>
                <w:rFonts w:ascii="宋体" w:cs="宋体" w:hint="eastAsia"/>
                <w:spacing w:val="-20"/>
                <w:kern w:val="0"/>
                <w:szCs w:val="21"/>
              </w:rPr>
              <w:t>镇、重要行政村、重要交</w:t>
            </w:r>
          </w:p>
        </w:tc>
        <w:tc>
          <w:tcPr>
            <w:tcW w:w="2784"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8" w:lineRule="exact"/>
              <w:ind w:left="4" w:right="-13"/>
              <w:jc w:val="left"/>
              <w:rPr>
                <w:kern w:val="0"/>
                <w:sz w:val="24"/>
              </w:rPr>
            </w:pPr>
            <w:r>
              <w:rPr>
                <w:rFonts w:ascii="宋体" w:cs="宋体"/>
                <w:spacing w:val="11"/>
                <w:kern w:val="0"/>
                <w:szCs w:val="21"/>
              </w:rPr>
              <w:t>10</w:t>
            </w:r>
            <w:r>
              <w:rPr>
                <w:rFonts w:ascii="宋体" w:cs="宋体"/>
                <w:spacing w:val="-78"/>
                <w:kern w:val="0"/>
                <w:szCs w:val="21"/>
              </w:rPr>
              <w:t xml:space="preserve"> </w:t>
            </w:r>
            <w:r>
              <w:rPr>
                <w:rFonts w:ascii="宋体" w:cs="宋体"/>
                <w:kern w:val="0"/>
                <w:szCs w:val="21"/>
              </w:rPr>
              <w:t>0</w:t>
            </w:r>
            <w:r>
              <w:rPr>
                <w:rFonts w:ascii="宋体" w:cs="宋体"/>
                <w:spacing w:val="-78"/>
                <w:kern w:val="0"/>
                <w:szCs w:val="21"/>
              </w:rPr>
              <w:t xml:space="preserve"> </w:t>
            </w:r>
            <w:r>
              <w:rPr>
                <w:rFonts w:ascii="宋体" w:cs="宋体"/>
                <w:kern w:val="0"/>
                <w:szCs w:val="21"/>
              </w:rPr>
              <w:t>0</w:t>
            </w:r>
            <w:r>
              <w:rPr>
                <w:rFonts w:ascii="宋体" w:cs="宋体"/>
                <w:spacing w:val="-78"/>
                <w:kern w:val="0"/>
                <w:szCs w:val="21"/>
              </w:rPr>
              <w:t xml:space="preserve"> </w:t>
            </w:r>
            <w:r>
              <w:rPr>
                <w:rFonts w:ascii="宋体" w:cs="宋体"/>
                <w:kern w:val="0"/>
                <w:szCs w:val="21"/>
              </w:rPr>
              <w:t>0</w:t>
            </w:r>
            <w:r>
              <w:rPr>
                <w:rFonts w:ascii="宋体" w:cs="宋体"/>
                <w:spacing w:val="-73"/>
                <w:kern w:val="0"/>
                <w:szCs w:val="21"/>
              </w:rPr>
              <w:t xml:space="preserve"> </w:t>
            </w:r>
            <w:r>
              <w:rPr>
                <w:rFonts w:ascii="宋体" w:cs="宋体"/>
                <w:kern w:val="0"/>
                <w:szCs w:val="21"/>
              </w:rPr>
              <w:t>m</w:t>
            </w:r>
            <w:r>
              <w:rPr>
                <w:rFonts w:ascii="宋体" w:cs="宋体"/>
                <w:spacing w:val="-78"/>
                <w:kern w:val="0"/>
                <w:szCs w:val="21"/>
              </w:rPr>
              <w:t xml:space="preserve"> </w:t>
            </w:r>
            <w:r>
              <w:rPr>
                <w:rFonts w:ascii="宋体" w:cs="宋体"/>
                <w:kern w:val="0"/>
                <w:position w:val="10"/>
                <w:sz w:val="10"/>
                <w:szCs w:val="10"/>
              </w:rPr>
              <w:t>3</w:t>
            </w:r>
            <w:r>
              <w:rPr>
                <w:rFonts w:ascii="宋体" w:cs="宋体"/>
                <w:spacing w:val="-24"/>
                <w:kern w:val="0"/>
                <w:position w:val="10"/>
                <w:sz w:val="10"/>
                <w:szCs w:val="10"/>
              </w:rPr>
              <w:t xml:space="preserve"> </w:t>
            </w:r>
            <w:r>
              <w:rPr>
                <w:rFonts w:ascii="宋体" w:cs="宋体"/>
                <w:kern w:val="0"/>
                <w:szCs w:val="21"/>
              </w:rPr>
              <w:t>/</w:t>
            </w:r>
            <w:r>
              <w:rPr>
                <w:rFonts w:ascii="宋体" w:cs="宋体"/>
                <w:spacing w:val="-83"/>
                <w:kern w:val="0"/>
                <w:szCs w:val="21"/>
              </w:rPr>
              <w:t xml:space="preserve"> </w:t>
            </w:r>
            <w:r>
              <w:rPr>
                <w:rFonts w:ascii="宋体" w:cs="宋体"/>
                <w:kern w:val="0"/>
                <w:szCs w:val="21"/>
              </w:rPr>
              <w:t>d</w:t>
            </w:r>
            <w:r>
              <w:rPr>
                <w:rFonts w:ascii="宋体" w:cs="宋体"/>
                <w:spacing w:val="-12"/>
                <w:kern w:val="0"/>
                <w:szCs w:val="21"/>
              </w:rPr>
              <w:t xml:space="preserve"> </w:t>
            </w:r>
            <w:r>
              <w:rPr>
                <w:rFonts w:ascii="宋体" w:cs="宋体" w:hint="eastAsia"/>
                <w:spacing w:val="-13"/>
                <w:kern w:val="0"/>
                <w:szCs w:val="21"/>
              </w:rPr>
              <w:t>区域地下水水位下</w:t>
            </w: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8" w:lineRule="exact"/>
              <w:ind w:left="5" w:right="-13"/>
              <w:jc w:val="left"/>
              <w:rPr>
                <w:kern w:val="0"/>
                <w:sz w:val="24"/>
              </w:rPr>
            </w:pPr>
            <w:r>
              <w:rPr>
                <w:rFonts w:ascii="宋体" w:cs="宋体" w:hint="eastAsia"/>
                <w:spacing w:val="-6"/>
                <w:kern w:val="0"/>
                <w:szCs w:val="21"/>
              </w:rPr>
              <w:t>大；对各类自然保护</w:t>
            </w:r>
          </w:p>
        </w:tc>
        <w:tc>
          <w:tcPr>
            <w:tcW w:w="1502"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8" w:lineRule="exact"/>
              <w:ind w:left="5"/>
              <w:jc w:val="left"/>
              <w:rPr>
                <w:kern w:val="0"/>
                <w:sz w:val="24"/>
              </w:rPr>
            </w:pPr>
            <w:r>
              <w:rPr>
                <w:rFonts w:ascii="宋体" w:cs="宋体" w:hint="eastAsia"/>
                <w:spacing w:val="-13"/>
                <w:kern w:val="0"/>
                <w:szCs w:val="21"/>
              </w:rPr>
              <w:t>坏耕地大于</w:t>
            </w:r>
            <w:r>
              <w:rPr>
                <w:rFonts w:ascii="宋体" w:cs="宋体"/>
                <w:spacing w:val="-73"/>
                <w:kern w:val="0"/>
                <w:szCs w:val="21"/>
              </w:rPr>
              <w:t xml:space="preserve"> </w:t>
            </w:r>
            <w:r>
              <w:rPr>
                <w:rFonts w:ascii="宋体" w:cs="宋体"/>
                <w:kern w:val="0"/>
                <w:szCs w:val="21"/>
              </w:rPr>
              <w:t>2</w:t>
            </w:r>
            <w:r>
              <w:rPr>
                <w:rFonts w:ascii="宋体" w:cs="宋体"/>
                <w:spacing w:val="-83"/>
                <w:kern w:val="0"/>
                <w:szCs w:val="21"/>
              </w:rPr>
              <w:t xml:space="preserve"> </w:t>
            </w:r>
            <w:r>
              <w:rPr>
                <w:rFonts w:ascii="宋体" w:cs="宋体"/>
                <w:spacing w:val="12"/>
                <w:kern w:val="0"/>
                <w:szCs w:val="21"/>
              </w:rPr>
              <w:t>hm</w:t>
            </w:r>
            <w:r>
              <w:rPr>
                <w:rFonts w:ascii="宋体" w:cs="宋体"/>
                <w:spacing w:val="-77"/>
                <w:kern w:val="0"/>
                <w:szCs w:val="21"/>
              </w:rPr>
              <w:t xml:space="preserve"> </w:t>
            </w:r>
            <w:r>
              <w:rPr>
                <w:rFonts w:ascii="宋体" w:cs="宋体"/>
                <w:kern w:val="0"/>
                <w:position w:val="10"/>
                <w:sz w:val="10"/>
                <w:szCs w:val="10"/>
              </w:rPr>
              <w:t>2</w:t>
            </w:r>
          </w:p>
        </w:tc>
      </w:tr>
      <w:tr w:rsidR="009C5C1F">
        <w:trPr>
          <w:trHeight w:hRule="exact" w:val="265"/>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48" w:lineRule="exact"/>
              <w:ind w:left="5"/>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1" w:lineRule="exact"/>
              <w:ind w:left="6" w:right="-15"/>
              <w:jc w:val="left"/>
              <w:rPr>
                <w:kern w:val="0"/>
                <w:sz w:val="24"/>
              </w:rPr>
            </w:pPr>
            <w:r>
              <w:rPr>
                <w:rFonts w:ascii="宋体" w:cs="宋体" w:hint="eastAsia"/>
                <w:spacing w:val="-19"/>
                <w:kern w:val="0"/>
                <w:szCs w:val="21"/>
              </w:rPr>
              <w:t>通干线、重要工程设施及</w:t>
            </w:r>
          </w:p>
        </w:tc>
        <w:tc>
          <w:tcPr>
            <w:tcW w:w="2784"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1" w:lineRule="exact"/>
              <w:ind w:left="4" w:right="-15"/>
              <w:jc w:val="left"/>
              <w:rPr>
                <w:kern w:val="0"/>
                <w:sz w:val="24"/>
              </w:rPr>
            </w:pPr>
            <w:r>
              <w:rPr>
                <w:rFonts w:ascii="宋体" w:cs="宋体" w:hint="eastAsia"/>
                <w:kern w:val="0"/>
                <w:szCs w:val="21"/>
              </w:rPr>
              <w:t>降</w:t>
            </w:r>
            <w:r>
              <w:rPr>
                <w:rFonts w:ascii="宋体" w:cs="宋体"/>
                <w:spacing w:val="-37"/>
                <w:kern w:val="0"/>
                <w:szCs w:val="21"/>
              </w:rPr>
              <w:t xml:space="preserve"> </w:t>
            </w:r>
            <w:r>
              <w:rPr>
                <w:rFonts w:ascii="宋体" w:cs="宋体" w:hint="eastAsia"/>
                <w:spacing w:val="-19"/>
                <w:kern w:val="0"/>
                <w:szCs w:val="21"/>
              </w:rPr>
              <w:t>矿区周围主要含水层</w:t>
            </w:r>
            <w:r>
              <w:rPr>
                <w:rFonts w:ascii="宋体" w:cs="宋体"/>
                <w:spacing w:val="-37"/>
                <w:kern w:val="0"/>
                <w:szCs w:val="21"/>
              </w:rPr>
              <w:t xml:space="preserve"> </w:t>
            </w:r>
            <w:r>
              <w:rPr>
                <w:rFonts w:ascii="宋体" w:cs="宋体"/>
                <w:kern w:val="0"/>
                <w:szCs w:val="21"/>
              </w:rPr>
              <w:t>(</w:t>
            </w:r>
            <w:r>
              <w:rPr>
                <w:rFonts w:ascii="宋体" w:cs="宋体"/>
                <w:spacing w:val="-85"/>
                <w:kern w:val="0"/>
                <w:szCs w:val="21"/>
              </w:rPr>
              <w:t xml:space="preserve"> </w:t>
            </w:r>
            <w:r>
              <w:rPr>
                <w:rFonts w:ascii="宋体" w:cs="宋体" w:hint="eastAsia"/>
                <w:spacing w:val="-14"/>
                <w:kern w:val="0"/>
                <w:szCs w:val="21"/>
              </w:rPr>
              <w:t>带）水</w:t>
            </w: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1" w:lineRule="exact"/>
              <w:ind w:left="5" w:right="-13"/>
              <w:jc w:val="left"/>
              <w:rPr>
                <w:kern w:val="0"/>
                <w:sz w:val="24"/>
              </w:rPr>
            </w:pPr>
            <w:r>
              <w:rPr>
                <w:rFonts w:ascii="宋体" w:cs="宋体" w:hint="eastAsia"/>
                <w:spacing w:val="-27"/>
                <w:kern w:val="0"/>
                <w:szCs w:val="21"/>
              </w:rPr>
              <w:t>区、人文景观、风景旅</w:t>
            </w:r>
          </w:p>
        </w:tc>
        <w:tc>
          <w:tcPr>
            <w:tcW w:w="1502"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1" w:lineRule="exact"/>
              <w:ind w:left="5" w:right="-13"/>
              <w:jc w:val="left"/>
              <w:rPr>
                <w:kern w:val="0"/>
                <w:sz w:val="24"/>
              </w:rPr>
            </w:pPr>
            <w:r>
              <w:rPr>
                <w:rFonts w:ascii="宋体" w:cs="宋体" w:hint="eastAsia"/>
                <w:spacing w:val="5"/>
                <w:kern w:val="0"/>
                <w:szCs w:val="21"/>
              </w:rPr>
              <w:t>破坏林地或草地</w:t>
            </w:r>
          </w:p>
        </w:tc>
      </w:tr>
      <w:tr w:rsidR="009C5C1F">
        <w:trPr>
          <w:trHeight w:hRule="exact" w:val="281"/>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41" w:lineRule="exact"/>
              <w:ind w:left="5" w:right="-13"/>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6" w:right="-15"/>
              <w:jc w:val="left"/>
              <w:rPr>
                <w:kern w:val="0"/>
                <w:sz w:val="24"/>
              </w:rPr>
            </w:pPr>
            <w:r>
              <w:rPr>
                <w:rFonts w:ascii="宋体" w:cs="宋体" w:hint="eastAsia"/>
                <w:kern w:val="0"/>
                <w:szCs w:val="21"/>
              </w:rPr>
              <w:t>各类保护区安全造成或</w:t>
            </w:r>
          </w:p>
        </w:tc>
        <w:tc>
          <w:tcPr>
            <w:tcW w:w="2784"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4" w:right="-13"/>
              <w:jc w:val="left"/>
              <w:rPr>
                <w:kern w:val="0"/>
                <w:sz w:val="24"/>
              </w:rPr>
            </w:pPr>
            <w:r>
              <w:rPr>
                <w:rFonts w:ascii="宋体" w:cs="宋体" w:hint="eastAsia"/>
                <w:spacing w:val="-25"/>
                <w:kern w:val="0"/>
                <w:szCs w:val="21"/>
              </w:rPr>
              <w:t>位大幅下降，</w:t>
            </w:r>
            <w:proofErr w:type="gramStart"/>
            <w:r>
              <w:rPr>
                <w:rFonts w:ascii="宋体" w:cs="宋体" w:hint="eastAsia"/>
                <w:spacing w:val="-25"/>
                <w:kern w:val="0"/>
                <w:szCs w:val="21"/>
              </w:rPr>
              <w:t>或呈疏干</w:t>
            </w:r>
            <w:proofErr w:type="gramEnd"/>
            <w:r>
              <w:rPr>
                <w:rFonts w:ascii="宋体" w:cs="宋体" w:hint="eastAsia"/>
                <w:spacing w:val="-25"/>
                <w:kern w:val="0"/>
                <w:szCs w:val="21"/>
              </w:rPr>
              <w:t>状态，地表</w:t>
            </w: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5" w:right="-13"/>
              <w:jc w:val="left"/>
              <w:rPr>
                <w:kern w:val="0"/>
                <w:sz w:val="24"/>
              </w:rPr>
            </w:pPr>
            <w:r>
              <w:rPr>
                <w:rFonts w:ascii="宋体" w:cs="宋体" w:hint="eastAsia"/>
                <w:spacing w:val="-15"/>
                <w:kern w:val="0"/>
                <w:szCs w:val="21"/>
              </w:rPr>
              <w:t>游区、</w:t>
            </w:r>
            <w:proofErr w:type="gramStart"/>
            <w:r>
              <w:rPr>
                <w:rFonts w:ascii="宋体" w:cs="宋体" w:hint="eastAsia"/>
                <w:spacing w:val="-15"/>
                <w:kern w:val="0"/>
                <w:szCs w:val="21"/>
              </w:rPr>
              <w:t>城市周</w:t>
            </w:r>
            <w:proofErr w:type="gramEnd"/>
            <w:r>
              <w:rPr>
                <w:rFonts w:ascii="宋体" w:cs="宋体"/>
                <w:spacing w:val="-31"/>
                <w:kern w:val="0"/>
                <w:szCs w:val="21"/>
              </w:rPr>
              <w:t xml:space="preserve"> </w:t>
            </w:r>
            <w:r>
              <w:rPr>
                <w:rFonts w:ascii="宋体" w:cs="宋体" w:hint="eastAsia"/>
                <w:spacing w:val="-12"/>
                <w:kern w:val="0"/>
                <w:szCs w:val="21"/>
              </w:rPr>
              <w:t>围、主</w:t>
            </w:r>
          </w:p>
        </w:tc>
        <w:tc>
          <w:tcPr>
            <w:tcW w:w="1502"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5" w:right="-16"/>
              <w:jc w:val="left"/>
              <w:rPr>
                <w:kern w:val="0"/>
                <w:sz w:val="24"/>
              </w:rPr>
            </w:pPr>
            <w:r>
              <w:rPr>
                <w:rFonts w:ascii="宋体" w:cs="宋体" w:hint="eastAsia"/>
                <w:spacing w:val="-11"/>
                <w:kern w:val="0"/>
                <w:szCs w:val="21"/>
              </w:rPr>
              <w:t>大于</w:t>
            </w:r>
            <w:r>
              <w:rPr>
                <w:rFonts w:ascii="宋体" w:cs="宋体"/>
                <w:spacing w:val="-77"/>
                <w:kern w:val="0"/>
                <w:szCs w:val="21"/>
              </w:rPr>
              <w:t xml:space="preserve"> </w:t>
            </w:r>
            <w:r>
              <w:rPr>
                <w:rFonts w:ascii="宋体" w:cs="宋体"/>
                <w:kern w:val="0"/>
                <w:szCs w:val="21"/>
              </w:rPr>
              <w:t>4</w:t>
            </w:r>
            <w:r>
              <w:rPr>
                <w:rFonts w:ascii="宋体" w:cs="宋体"/>
                <w:spacing w:val="-85"/>
                <w:kern w:val="0"/>
                <w:szCs w:val="21"/>
              </w:rPr>
              <w:t xml:space="preserve"> </w:t>
            </w:r>
            <w:r>
              <w:rPr>
                <w:rFonts w:ascii="宋体" w:cs="宋体"/>
                <w:spacing w:val="8"/>
                <w:kern w:val="0"/>
                <w:szCs w:val="21"/>
              </w:rPr>
              <w:t>hm</w:t>
            </w:r>
            <w:r>
              <w:rPr>
                <w:rFonts w:ascii="宋体" w:cs="宋体"/>
                <w:spacing w:val="-80"/>
                <w:kern w:val="0"/>
                <w:szCs w:val="21"/>
              </w:rPr>
              <w:t xml:space="preserve"> </w:t>
            </w:r>
            <w:r>
              <w:rPr>
                <w:rFonts w:ascii="宋体" w:cs="宋体"/>
                <w:kern w:val="0"/>
                <w:position w:val="11"/>
                <w:sz w:val="10"/>
                <w:szCs w:val="10"/>
              </w:rPr>
              <w:t>2</w:t>
            </w:r>
            <w:r>
              <w:rPr>
                <w:rFonts w:ascii="宋体" w:cs="宋体"/>
                <w:spacing w:val="5"/>
                <w:kern w:val="0"/>
                <w:position w:val="11"/>
                <w:sz w:val="10"/>
                <w:szCs w:val="10"/>
              </w:rPr>
              <w:t xml:space="preserve"> </w:t>
            </w:r>
            <w:r>
              <w:rPr>
                <w:rFonts w:ascii="宋体" w:cs="宋体" w:hint="eastAsia"/>
                <w:spacing w:val="-13"/>
                <w:kern w:val="0"/>
                <w:szCs w:val="21"/>
              </w:rPr>
              <w:t>破坏荒</w:t>
            </w:r>
          </w:p>
        </w:tc>
      </w:tr>
      <w:tr w:rsidR="009C5C1F">
        <w:trPr>
          <w:trHeight w:hRule="exact" w:val="263"/>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50" w:lineRule="exact"/>
              <w:ind w:left="5" w:right="-16"/>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6" w:right="-15"/>
              <w:jc w:val="left"/>
              <w:rPr>
                <w:kern w:val="0"/>
                <w:sz w:val="24"/>
              </w:rPr>
            </w:pPr>
            <w:r>
              <w:rPr>
                <w:rFonts w:ascii="宋体" w:cs="宋体" w:hint="eastAsia"/>
                <w:kern w:val="0"/>
                <w:szCs w:val="21"/>
              </w:rPr>
              <w:t>可能造成直接经济损失</w:t>
            </w:r>
          </w:p>
        </w:tc>
        <w:tc>
          <w:tcPr>
            <w:tcW w:w="2784"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4" w:right="-15"/>
              <w:jc w:val="left"/>
              <w:rPr>
                <w:kern w:val="0"/>
                <w:sz w:val="24"/>
              </w:rPr>
            </w:pPr>
            <w:r>
              <w:rPr>
                <w:rFonts w:ascii="宋体" w:cs="宋体" w:hint="eastAsia"/>
                <w:spacing w:val="-25"/>
                <w:kern w:val="0"/>
                <w:szCs w:val="21"/>
              </w:rPr>
              <w:t>水体漏失严重不同含水层（组）串</w:t>
            </w: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5" w:right="-13"/>
              <w:jc w:val="left"/>
              <w:rPr>
                <w:kern w:val="0"/>
                <w:sz w:val="24"/>
              </w:rPr>
            </w:pPr>
            <w:r>
              <w:rPr>
                <w:rFonts w:ascii="宋体" w:cs="宋体" w:hint="eastAsia"/>
                <w:spacing w:val="-6"/>
                <w:kern w:val="0"/>
                <w:szCs w:val="21"/>
              </w:rPr>
              <w:t>要交通干线两侧可视</w:t>
            </w:r>
          </w:p>
        </w:tc>
        <w:tc>
          <w:tcPr>
            <w:tcW w:w="1502"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5" w:right="-13"/>
              <w:jc w:val="left"/>
              <w:rPr>
                <w:kern w:val="0"/>
                <w:sz w:val="24"/>
              </w:rPr>
            </w:pPr>
            <w:r>
              <w:rPr>
                <w:rFonts w:ascii="宋体" w:cs="宋体" w:hint="eastAsia"/>
                <w:spacing w:val="5"/>
                <w:kern w:val="0"/>
                <w:szCs w:val="21"/>
              </w:rPr>
              <w:t>地或未开发利用</w:t>
            </w:r>
          </w:p>
        </w:tc>
      </w:tr>
      <w:tr w:rsidR="009C5C1F">
        <w:trPr>
          <w:trHeight w:hRule="exact" w:val="282"/>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40" w:lineRule="exact"/>
              <w:ind w:left="5" w:right="-13"/>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1" w:lineRule="exact"/>
              <w:ind w:left="6" w:right="-15"/>
              <w:jc w:val="left"/>
              <w:rPr>
                <w:kern w:val="0"/>
                <w:sz w:val="24"/>
              </w:rPr>
            </w:pPr>
            <w:r>
              <w:rPr>
                <w:rFonts w:ascii="宋体" w:cs="宋体" w:hint="eastAsia"/>
                <w:spacing w:val="-6"/>
                <w:kern w:val="0"/>
                <w:szCs w:val="21"/>
              </w:rPr>
              <w:t>大于</w:t>
            </w:r>
            <w:r>
              <w:rPr>
                <w:rFonts w:ascii="宋体" w:cs="宋体"/>
                <w:spacing w:val="-72"/>
                <w:kern w:val="0"/>
                <w:szCs w:val="21"/>
              </w:rPr>
              <w:t xml:space="preserve"> </w:t>
            </w:r>
            <w:r>
              <w:rPr>
                <w:rFonts w:ascii="宋体" w:cs="宋体"/>
                <w:spacing w:val="12"/>
                <w:kern w:val="0"/>
                <w:szCs w:val="21"/>
              </w:rPr>
              <w:t>50</w:t>
            </w:r>
            <w:r>
              <w:rPr>
                <w:rFonts w:ascii="宋体" w:cs="宋体"/>
                <w:spacing w:val="-78"/>
                <w:kern w:val="0"/>
                <w:szCs w:val="21"/>
              </w:rPr>
              <w:t xml:space="preserve"> </w:t>
            </w:r>
            <w:r>
              <w:rPr>
                <w:rFonts w:ascii="宋体" w:cs="宋体"/>
                <w:kern w:val="0"/>
                <w:szCs w:val="21"/>
              </w:rPr>
              <w:t>0</w:t>
            </w:r>
            <w:r>
              <w:rPr>
                <w:rFonts w:ascii="宋体" w:cs="宋体"/>
                <w:spacing w:val="-6"/>
                <w:kern w:val="0"/>
                <w:szCs w:val="21"/>
              </w:rPr>
              <w:t xml:space="preserve"> </w:t>
            </w:r>
            <w:r>
              <w:rPr>
                <w:rFonts w:ascii="宋体" w:cs="宋体" w:hint="eastAsia"/>
                <w:spacing w:val="-11"/>
                <w:kern w:val="0"/>
                <w:szCs w:val="21"/>
              </w:rPr>
              <w:t>万元受威胁人</w:t>
            </w:r>
          </w:p>
        </w:tc>
        <w:tc>
          <w:tcPr>
            <w:tcW w:w="2784"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1" w:lineRule="exact"/>
              <w:ind w:left="4"/>
              <w:jc w:val="left"/>
              <w:rPr>
                <w:kern w:val="0"/>
                <w:sz w:val="24"/>
              </w:rPr>
            </w:pPr>
            <w:r>
              <w:rPr>
                <w:rFonts w:ascii="宋体" w:cs="宋体" w:hint="eastAsia"/>
                <w:spacing w:val="-20"/>
                <w:kern w:val="0"/>
                <w:szCs w:val="21"/>
              </w:rPr>
              <w:t>通水质恶化影响集中水源地供水</w:t>
            </w: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1" w:lineRule="exact"/>
              <w:ind w:left="5" w:right="-13"/>
              <w:jc w:val="left"/>
              <w:rPr>
                <w:kern w:val="0"/>
                <w:sz w:val="24"/>
              </w:rPr>
            </w:pPr>
            <w:r>
              <w:rPr>
                <w:rFonts w:ascii="宋体" w:cs="宋体" w:hint="eastAsia"/>
                <w:spacing w:val="-6"/>
                <w:kern w:val="0"/>
                <w:szCs w:val="21"/>
              </w:rPr>
              <w:t>范围内地形地貌景观</w:t>
            </w:r>
          </w:p>
        </w:tc>
        <w:tc>
          <w:tcPr>
            <w:tcW w:w="1502" w:type="dxa"/>
            <w:vMerge w:val="restart"/>
            <w:tcBorders>
              <w:top w:val="nil"/>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line="249" w:lineRule="exact"/>
              <w:ind w:left="5"/>
              <w:jc w:val="left"/>
              <w:rPr>
                <w:kern w:val="0"/>
                <w:sz w:val="24"/>
              </w:rPr>
            </w:pPr>
            <w:r>
              <w:rPr>
                <w:rFonts w:ascii="宋体" w:cs="宋体" w:hint="eastAsia"/>
                <w:spacing w:val="-16"/>
                <w:kern w:val="0"/>
                <w:szCs w:val="21"/>
              </w:rPr>
              <w:t>土地大于</w:t>
            </w:r>
            <w:r>
              <w:rPr>
                <w:rFonts w:ascii="宋体" w:cs="宋体"/>
                <w:spacing w:val="-77"/>
                <w:kern w:val="0"/>
                <w:szCs w:val="21"/>
              </w:rPr>
              <w:t xml:space="preserve"> </w:t>
            </w:r>
            <w:r>
              <w:rPr>
                <w:rFonts w:ascii="宋体" w:cs="宋体"/>
                <w:spacing w:val="8"/>
                <w:kern w:val="0"/>
                <w:szCs w:val="21"/>
              </w:rPr>
              <w:t>20</w:t>
            </w:r>
            <w:r>
              <w:rPr>
                <w:rFonts w:ascii="宋体" w:cs="宋体"/>
                <w:spacing w:val="-83"/>
                <w:kern w:val="0"/>
                <w:szCs w:val="21"/>
              </w:rPr>
              <w:t xml:space="preserve"> </w:t>
            </w:r>
            <w:r>
              <w:rPr>
                <w:rFonts w:ascii="宋体" w:cs="宋体"/>
                <w:spacing w:val="8"/>
                <w:kern w:val="0"/>
                <w:szCs w:val="21"/>
              </w:rPr>
              <w:t>hm</w:t>
            </w:r>
            <w:r>
              <w:rPr>
                <w:rFonts w:ascii="宋体" w:cs="宋体"/>
                <w:spacing w:val="-80"/>
                <w:kern w:val="0"/>
                <w:szCs w:val="21"/>
              </w:rPr>
              <w:t xml:space="preserve"> </w:t>
            </w:r>
            <w:r>
              <w:rPr>
                <w:rFonts w:ascii="宋体" w:cs="宋体"/>
                <w:kern w:val="0"/>
                <w:position w:val="11"/>
                <w:sz w:val="10"/>
                <w:szCs w:val="10"/>
              </w:rPr>
              <w:t>2</w:t>
            </w:r>
          </w:p>
        </w:tc>
      </w:tr>
      <w:tr w:rsidR="009C5C1F">
        <w:trPr>
          <w:trHeight w:hRule="exact" w:val="462"/>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49" w:lineRule="exact"/>
              <w:ind w:left="5"/>
              <w:jc w:val="left"/>
              <w:rPr>
                <w:kern w:val="0"/>
                <w:sz w:val="24"/>
              </w:rPr>
            </w:pPr>
          </w:p>
        </w:tc>
        <w:tc>
          <w:tcPr>
            <w:tcW w:w="2106" w:type="dxa"/>
            <w:tcBorders>
              <w:top w:val="nil"/>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line="240" w:lineRule="exact"/>
              <w:ind w:left="6"/>
              <w:jc w:val="left"/>
              <w:rPr>
                <w:kern w:val="0"/>
                <w:sz w:val="24"/>
              </w:rPr>
            </w:pPr>
            <w:r>
              <w:rPr>
                <w:rFonts w:ascii="宋体" w:cs="宋体" w:hint="eastAsia"/>
                <w:spacing w:val="-14"/>
                <w:kern w:val="0"/>
                <w:szCs w:val="21"/>
              </w:rPr>
              <w:t>数大于</w:t>
            </w:r>
            <w:r>
              <w:rPr>
                <w:rFonts w:ascii="宋体" w:cs="宋体"/>
                <w:spacing w:val="-78"/>
                <w:kern w:val="0"/>
                <w:szCs w:val="21"/>
              </w:rPr>
              <w:t xml:space="preserve"> </w:t>
            </w:r>
            <w:r>
              <w:rPr>
                <w:rFonts w:ascii="宋体" w:cs="宋体"/>
                <w:spacing w:val="11"/>
                <w:kern w:val="0"/>
                <w:szCs w:val="21"/>
              </w:rPr>
              <w:t>100</w:t>
            </w:r>
            <w:r>
              <w:rPr>
                <w:rFonts w:ascii="宋体" w:cs="宋体"/>
                <w:spacing w:val="-19"/>
                <w:kern w:val="0"/>
                <w:szCs w:val="21"/>
              </w:rPr>
              <w:t xml:space="preserve"> </w:t>
            </w:r>
            <w:r>
              <w:rPr>
                <w:rFonts w:ascii="宋体" w:cs="宋体" w:hint="eastAsia"/>
                <w:kern w:val="0"/>
                <w:szCs w:val="21"/>
              </w:rPr>
              <w:t>人</w:t>
            </w:r>
          </w:p>
        </w:tc>
        <w:tc>
          <w:tcPr>
            <w:tcW w:w="2784" w:type="dxa"/>
            <w:tcBorders>
              <w:top w:val="nil"/>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line="240" w:lineRule="exact"/>
              <w:ind w:left="4"/>
              <w:jc w:val="left"/>
              <w:rPr>
                <w:kern w:val="0"/>
                <w:sz w:val="24"/>
              </w:rPr>
            </w:pPr>
            <w:r>
              <w:rPr>
                <w:rFonts w:ascii="宋体" w:cs="宋体" w:hint="eastAsia"/>
                <w:spacing w:val="-20"/>
                <w:kern w:val="0"/>
                <w:szCs w:val="21"/>
              </w:rPr>
              <w:t>矿区及周围生产、生活供水困难</w:t>
            </w:r>
          </w:p>
        </w:tc>
        <w:tc>
          <w:tcPr>
            <w:tcW w:w="1843" w:type="dxa"/>
            <w:tcBorders>
              <w:top w:val="nil"/>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line="240" w:lineRule="exact"/>
              <w:ind w:left="5"/>
              <w:jc w:val="left"/>
              <w:rPr>
                <w:kern w:val="0"/>
                <w:sz w:val="24"/>
              </w:rPr>
            </w:pPr>
            <w:r>
              <w:rPr>
                <w:rFonts w:ascii="宋体" w:cs="宋体" w:hint="eastAsia"/>
                <w:spacing w:val="-16"/>
                <w:kern w:val="0"/>
                <w:szCs w:val="21"/>
              </w:rPr>
              <w:t>影响严重</w:t>
            </w:r>
          </w:p>
        </w:tc>
        <w:tc>
          <w:tcPr>
            <w:tcW w:w="1502" w:type="dxa"/>
            <w:vMerge/>
            <w:tcBorders>
              <w:top w:val="nil"/>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40" w:lineRule="exact"/>
              <w:ind w:left="5"/>
              <w:jc w:val="left"/>
              <w:rPr>
                <w:kern w:val="0"/>
                <w:sz w:val="24"/>
              </w:rPr>
            </w:pPr>
          </w:p>
        </w:tc>
      </w:tr>
      <w:tr w:rsidR="009C5C1F">
        <w:trPr>
          <w:trHeight w:hRule="exact" w:val="458"/>
        </w:trPr>
        <w:tc>
          <w:tcPr>
            <w:tcW w:w="648" w:type="dxa"/>
            <w:vMerge w:val="restart"/>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jc w:val="left"/>
              <w:rPr>
                <w:rFonts w:ascii="宋体" w:cs="宋体"/>
                <w:kern w:val="0"/>
                <w:sz w:val="20"/>
                <w:szCs w:val="20"/>
              </w:rPr>
            </w:pPr>
          </w:p>
          <w:p w:rsidR="009C5C1F" w:rsidRDefault="004D2E0D">
            <w:pPr>
              <w:kinsoku w:val="0"/>
              <w:overflowPunct w:val="0"/>
              <w:autoSpaceDE w:val="0"/>
              <w:autoSpaceDN w:val="0"/>
              <w:adjustRightInd w:val="0"/>
              <w:ind w:left="6"/>
              <w:jc w:val="left"/>
              <w:rPr>
                <w:kern w:val="0"/>
                <w:sz w:val="24"/>
              </w:rPr>
            </w:pPr>
            <w:r>
              <w:rPr>
                <w:rFonts w:ascii="宋体" w:cs="宋体" w:hint="eastAsia"/>
                <w:spacing w:val="-14"/>
                <w:kern w:val="0"/>
                <w:szCs w:val="21"/>
              </w:rPr>
              <w:t>较严重</w:t>
            </w:r>
          </w:p>
        </w:tc>
        <w:tc>
          <w:tcPr>
            <w:tcW w:w="2106" w:type="dxa"/>
            <w:tcBorders>
              <w:top w:val="single" w:sz="4" w:space="0" w:color="000000"/>
              <w:left w:val="single" w:sz="4" w:space="0" w:color="000000"/>
              <w:bottom w:val="nil"/>
              <w:right w:val="single" w:sz="4" w:space="0" w:color="000000"/>
            </w:tcBorders>
          </w:tcPr>
          <w:p w:rsidR="009C5C1F" w:rsidRDefault="004D2E0D">
            <w:pPr>
              <w:kinsoku w:val="0"/>
              <w:overflowPunct w:val="0"/>
              <w:autoSpaceDE w:val="0"/>
              <w:autoSpaceDN w:val="0"/>
              <w:adjustRightInd w:val="0"/>
              <w:spacing w:before="147"/>
              <w:ind w:left="6" w:right="-13"/>
              <w:jc w:val="left"/>
              <w:rPr>
                <w:kern w:val="0"/>
                <w:sz w:val="24"/>
              </w:rPr>
            </w:pPr>
            <w:r>
              <w:rPr>
                <w:rFonts w:ascii="宋体" w:cs="宋体" w:hint="eastAsia"/>
                <w:spacing w:val="-20"/>
                <w:kern w:val="0"/>
                <w:szCs w:val="21"/>
              </w:rPr>
              <w:t>地质灾害规模中等，发生</w:t>
            </w:r>
          </w:p>
        </w:tc>
        <w:tc>
          <w:tcPr>
            <w:tcW w:w="2784" w:type="dxa"/>
            <w:vMerge w:val="restart"/>
            <w:tcBorders>
              <w:top w:val="single" w:sz="4" w:space="0" w:color="000000"/>
              <w:left w:val="single" w:sz="4" w:space="0" w:color="000000"/>
              <w:bottom w:val="nil"/>
              <w:right w:val="single" w:sz="4" w:space="0" w:color="000000"/>
            </w:tcBorders>
          </w:tcPr>
          <w:p w:rsidR="009C5C1F" w:rsidRDefault="009C5C1F">
            <w:pPr>
              <w:kinsoku w:val="0"/>
              <w:overflowPunct w:val="0"/>
              <w:autoSpaceDE w:val="0"/>
              <w:autoSpaceDN w:val="0"/>
              <w:adjustRightInd w:val="0"/>
              <w:jc w:val="left"/>
              <w:rPr>
                <w:rFonts w:ascii="宋体" w:cs="宋体"/>
                <w:kern w:val="0"/>
                <w:sz w:val="20"/>
                <w:szCs w:val="20"/>
              </w:rPr>
            </w:pPr>
          </w:p>
          <w:p w:rsidR="009C5C1F" w:rsidRDefault="004D2E0D">
            <w:pPr>
              <w:kinsoku w:val="0"/>
              <w:overflowPunct w:val="0"/>
              <w:autoSpaceDE w:val="0"/>
              <w:autoSpaceDN w:val="0"/>
              <w:adjustRightInd w:val="0"/>
              <w:spacing w:before="156"/>
              <w:ind w:left="4"/>
              <w:jc w:val="left"/>
              <w:rPr>
                <w:kern w:val="0"/>
                <w:sz w:val="24"/>
              </w:rPr>
            </w:pPr>
            <w:r>
              <w:rPr>
                <w:rFonts w:ascii="宋体" w:cs="宋体" w:hint="eastAsia"/>
                <w:spacing w:val="-17"/>
                <w:kern w:val="0"/>
                <w:szCs w:val="21"/>
              </w:rPr>
              <w:t>矿井正常涌水量</w:t>
            </w:r>
            <w:r>
              <w:rPr>
                <w:rFonts w:ascii="宋体" w:cs="宋体"/>
                <w:spacing w:val="-77"/>
                <w:kern w:val="0"/>
                <w:szCs w:val="21"/>
              </w:rPr>
              <w:t xml:space="preserve"> </w:t>
            </w:r>
            <w:r>
              <w:rPr>
                <w:rFonts w:ascii="宋体" w:cs="宋体"/>
                <w:spacing w:val="14"/>
                <w:kern w:val="0"/>
                <w:szCs w:val="21"/>
              </w:rPr>
              <w:t>3000</w:t>
            </w:r>
            <w:r>
              <w:rPr>
                <w:rFonts w:ascii="宋体" w:cs="宋体"/>
                <w:spacing w:val="-83"/>
                <w:kern w:val="0"/>
                <w:szCs w:val="21"/>
              </w:rPr>
              <w:t xml:space="preserve"> </w:t>
            </w:r>
            <w:r>
              <w:rPr>
                <w:rFonts w:ascii="宋体" w:cs="宋体" w:hint="eastAsia"/>
                <w:kern w:val="0"/>
                <w:szCs w:val="21"/>
              </w:rPr>
              <w:t>—</w:t>
            </w:r>
            <w:r>
              <w:rPr>
                <w:rFonts w:ascii="宋体" w:cs="宋体"/>
                <w:spacing w:val="-62"/>
                <w:kern w:val="0"/>
                <w:szCs w:val="21"/>
              </w:rPr>
              <w:t xml:space="preserve"> </w:t>
            </w:r>
            <w:r>
              <w:rPr>
                <w:rFonts w:ascii="宋体" w:cs="宋体"/>
                <w:spacing w:val="15"/>
                <w:kern w:val="0"/>
                <w:szCs w:val="21"/>
              </w:rPr>
              <w:t>10000</w:t>
            </w:r>
          </w:p>
        </w:tc>
        <w:tc>
          <w:tcPr>
            <w:tcW w:w="1843" w:type="dxa"/>
            <w:tcBorders>
              <w:top w:val="single" w:sz="4" w:space="0" w:color="000000"/>
              <w:left w:val="single" w:sz="4" w:space="0" w:color="000000"/>
              <w:bottom w:val="nil"/>
              <w:right w:val="single" w:sz="4" w:space="0" w:color="000000"/>
            </w:tcBorders>
          </w:tcPr>
          <w:p w:rsidR="009C5C1F" w:rsidRDefault="004D2E0D">
            <w:pPr>
              <w:kinsoku w:val="0"/>
              <w:overflowPunct w:val="0"/>
              <w:autoSpaceDE w:val="0"/>
              <w:autoSpaceDN w:val="0"/>
              <w:adjustRightInd w:val="0"/>
              <w:spacing w:before="147"/>
              <w:ind w:left="5" w:right="-13"/>
              <w:jc w:val="left"/>
              <w:rPr>
                <w:kern w:val="0"/>
                <w:sz w:val="24"/>
              </w:rPr>
            </w:pPr>
            <w:r>
              <w:rPr>
                <w:rFonts w:ascii="宋体" w:cs="宋体" w:hint="eastAsia"/>
                <w:spacing w:val="-6"/>
                <w:kern w:val="0"/>
                <w:szCs w:val="21"/>
              </w:rPr>
              <w:t>对原生的地形地貌景</w:t>
            </w:r>
          </w:p>
        </w:tc>
        <w:tc>
          <w:tcPr>
            <w:tcW w:w="1502" w:type="dxa"/>
            <w:vMerge w:val="restart"/>
            <w:tcBorders>
              <w:top w:val="single" w:sz="4" w:space="0" w:color="000000"/>
              <w:left w:val="single" w:sz="4" w:space="0" w:color="000000"/>
              <w:bottom w:val="nil"/>
              <w:right w:val="single" w:sz="4" w:space="0" w:color="000000"/>
            </w:tcBorders>
          </w:tcPr>
          <w:p w:rsidR="009C5C1F" w:rsidRDefault="009C5C1F">
            <w:pPr>
              <w:kinsoku w:val="0"/>
              <w:overflowPunct w:val="0"/>
              <w:autoSpaceDE w:val="0"/>
              <w:autoSpaceDN w:val="0"/>
              <w:adjustRightInd w:val="0"/>
              <w:jc w:val="left"/>
              <w:rPr>
                <w:rFonts w:ascii="宋体" w:cs="宋体"/>
                <w:kern w:val="0"/>
                <w:sz w:val="20"/>
                <w:szCs w:val="20"/>
              </w:rPr>
            </w:pPr>
          </w:p>
          <w:p w:rsidR="009C5C1F" w:rsidRDefault="004D2E0D">
            <w:pPr>
              <w:kinsoku w:val="0"/>
              <w:overflowPunct w:val="0"/>
              <w:autoSpaceDE w:val="0"/>
              <w:autoSpaceDN w:val="0"/>
              <w:adjustRightInd w:val="0"/>
              <w:spacing w:before="156"/>
              <w:ind w:left="5" w:right="-13"/>
              <w:jc w:val="left"/>
              <w:rPr>
                <w:kern w:val="0"/>
                <w:sz w:val="24"/>
              </w:rPr>
            </w:pPr>
            <w:r>
              <w:rPr>
                <w:rFonts w:ascii="宋体" w:cs="宋体" w:hint="eastAsia"/>
                <w:spacing w:val="5"/>
                <w:kern w:val="0"/>
                <w:szCs w:val="21"/>
              </w:rPr>
              <w:t>破坏耕地小于等</w:t>
            </w:r>
          </w:p>
        </w:tc>
      </w:tr>
      <w:tr w:rsidR="009C5C1F">
        <w:trPr>
          <w:trHeight w:hRule="exact" w:val="264"/>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156"/>
              <w:ind w:left="5" w:right="-13"/>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6" w:right="-13"/>
              <w:jc w:val="left"/>
              <w:rPr>
                <w:kern w:val="0"/>
                <w:sz w:val="24"/>
              </w:rPr>
            </w:pPr>
            <w:r>
              <w:rPr>
                <w:rFonts w:ascii="宋体" w:cs="宋体" w:hint="eastAsia"/>
                <w:spacing w:val="-20"/>
                <w:kern w:val="0"/>
                <w:szCs w:val="21"/>
              </w:rPr>
              <w:t>的可能性较大；影响到村</w:t>
            </w:r>
          </w:p>
        </w:tc>
        <w:tc>
          <w:tcPr>
            <w:tcW w:w="2784" w:type="dxa"/>
            <w:vMerge/>
            <w:tcBorders>
              <w:top w:val="single" w:sz="4" w:space="0" w:color="000000"/>
              <w:left w:val="single" w:sz="4" w:space="0" w:color="000000"/>
              <w:bottom w:val="nil"/>
              <w:right w:val="single" w:sz="4" w:space="0" w:color="000000"/>
            </w:tcBorders>
          </w:tcPr>
          <w:p w:rsidR="009C5C1F" w:rsidRDefault="009C5C1F">
            <w:pPr>
              <w:kinsoku w:val="0"/>
              <w:overflowPunct w:val="0"/>
              <w:autoSpaceDE w:val="0"/>
              <w:autoSpaceDN w:val="0"/>
              <w:adjustRightInd w:val="0"/>
              <w:spacing w:line="240" w:lineRule="exact"/>
              <w:ind w:left="6" w:right="-13"/>
              <w:jc w:val="left"/>
              <w:rPr>
                <w:kern w:val="0"/>
                <w:sz w:val="24"/>
              </w:rPr>
            </w:pP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5" w:right="-13"/>
              <w:jc w:val="left"/>
              <w:rPr>
                <w:kern w:val="0"/>
                <w:sz w:val="24"/>
              </w:rPr>
            </w:pPr>
            <w:r>
              <w:rPr>
                <w:rFonts w:ascii="宋体" w:cs="宋体" w:hint="eastAsia"/>
                <w:spacing w:val="-6"/>
                <w:kern w:val="0"/>
                <w:szCs w:val="21"/>
              </w:rPr>
              <w:t>观影响和破坏程度较</w:t>
            </w:r>
          </w:p>
        </w:tc>
        <w:tc>
          <w:tcPr>
            <w:tcW w:w="1502" w:type="dxa"/>
            <w:vMerge/>
            <w:tcBorders>
              <w:top w:val="single" w:sz="4" w:space="0" w:color="000000"/>
              <w:left w:val="single" w:sz="4" w:space="0" w:color="000000"/>
              <w:bottom w:val="nil"/>
              <w:right w:val="single" w:sz="4" w:space="0" w:color="000000"/>
            </w:tcBorders>
          </w:tcPr>
          <w:p w:rsidR="009C5C1F" w:rsidRDefault="009C5C1F">
            <w:pPr>
              <w:kinsoku w:val="0"/>
              <w:overflowPunct w:val="0"/>
              <w:autoSpaceDE w:val="0"/>
              <w:autoSpaceDN w:val="0"/>
              <w:adjustRightInd w:val="0"/>
              <w:spacing w:line="240" w:lineRule="exact"/>
              <w:ind w:left="5" w:right="-13"/>
              <w:jc w:val="left"/>
              <w:rPr>
                <w:kern w:val="0"/>
                <w:sz w:val="24"/>
              </w:rPr>
            </w:pPr>
          </w:p>
        </w:tc>
      </w:tr>
      <w:tr w:rsidR="009C5C1F">
        <w:trPr>
          <w:trHeight w:hRule="exact" w:val="272"/>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40" w:lineRule="exact"/>
              <w:ind w:left="5" w:right="-13"/>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6" w:right="-13"/>
              <w:jc w:val="left"/>
              <w:rPr>
                <w:kern w:val="0"/>
                <w:sz w:val="24"/>
              </w:rPr>
            </w:pPr>
            <w:r>
              <w:rPr>
                <w:rFonts w:ascii="宋体" w:cs="宋体" w:hint="eastAsia"/>
                <w:spacing w:val="-20"/>
                <w:kern w:val="0"/>
                <w:szCs w:val="21"/>
              </w:rPr>
              <w:t>庄、居民聚居区、一般交</w:t>
            </w:r>
          </w:p>
        </w:tc>
        <w:tc>
          <w:tcPr>
            <w:tcW w:w="2784"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4"/>
              <w:jc w:val="left"/>
              <w:rPr>
                <w:kern w:val="0"/>
                <w:sz w:val="24"/>
              </w:rPr>
            </w:pPr>
            <w:r>
              <w:rPr>
                <w:rFonts w:ascii="宋体" w:cs="宋体"/>
                <w:kern w:val="0"/>
                <w:szCs w:val="21"/>
              </w:rPr>
              <w:t>m</w:t>
            </w:r>
            <w:r>
              <w:rPr>
                <w:rFonts w:ascii="宋体" w:cs="宋体"/>
                <w:spacing w:val="-68"/>
                <w:kern w:val="0"/>
                <w:szCs w:val="21"/>
              </w:rPr>
              <w:t xml:space="preserve"> </w:t>
            </w:r>
            <w:r>
              <w:rPr>
                <w:rFonts w:ascii="宋体" w:cs="宋体"/>
                <w:kern w:val="0"/>
                <w:position w:val="11"/>
                <w:sz w:val="10"/>
                <w:szCs w:val="10"/>
              </w:rPr>
              <w:t>3</w:t>
            </w:r>
            <w:r>
              <w:rPr>
                <w:rFonts w:ascii="宋体" w:cs="宋体"/>
                <w:spacing w:val="-14"/>
                <w:kern w:val="0"/>
                <w:position w:val="11"/>
                <w:sz w:val="10"/>
                <w:szCs w:val="10"/>
              </w:rPr>
              <w:t xml:space="preserve"> </w:t>
            </w:r>
            <w:r>
              <w:rPr>
                <w:rFonts w:ascii="宋体" w:cs="宋体"/>
                <w:kern w:val="0"/>
                <w:szCs w:val="21"/>
              </w:rPr>
              <w:t>/</w:t>
            </w:r>
            <w:r>
              <w:rPr>
                <w:rFonts w:ascii="宋体" w:cs="宋体"/>
                <w:spacing w:val="-70"/>
                <w:kern w:val="0"/>
                <w:szCs w:val="21"/>
              </w:rPr>
              <w:t xml:space="preserve"> </w:t>
            </w:r>
            <w:r>
              <w:rPr>
                <w:rFonts w:ascii="宋体" w:cs="宋体"/>
                <w:kern w:val="0"/>
                <w:szCs w:val="21"/>
              </w:rPr>
              <w:t>d</w:t>
            </w:r>
            <w:r>
              <w:rPr>
                <w:rFonts w:ascii="宋体" w:cs="宋体"/>
                <w:spacing w:val="-3"/>
                <w:kern w:val="0"/>
                <w:szCs w:val="21"/>
              </w:rPr>
              <w:t xml:space="preserve"> </w:t>
            </w:r>
            <w:r>
              <w:rPr>
                <w:rFonts w:ascii="宋体" w:cs="宋体" w:hint="eastAsia"/>
                <w:kern w:val="0"/>
                <w:szCs w:val="21"/>
              </w:rPr>
              <w:t>矿区及周围主要含水层</w:t>
            </w: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5"/>
              <w:jc w:val="left"/>
              <w:rPr>
                <w:kern w:val="0"/>
                <w:sz w:val="24"/>
              </w:rPr>
            </w:pPr>
            <w:r>
              <w:rPr>
                <w:rFonts w:ascii="宋体" w:cs="宋体" w:hint="eastAsia"/>
                <w:spacing w:val="-19"/>
                <w:kern w:val="0"/>
                <w:szCs w:val="21"/>
              </w:rPr>
              <w:t>大对各类自然保护区</w:t>
            </w:r>
          </w:p>
        </w:tc>
        <w:tc>
          <w:tcPr>
            <w:tcW w:w="1502"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5" w:right="-16"/>
              <w:jc w:val="left"/>
              <w:rPr>
                <w:kern w:val="0"/>
                <w:sz w:val="24"/>
              </w:rPr>
            </w:pPr>
            <w:r>
              <w:rPr>
                <w:rFonts w:ascii="宋体" w:cs="宋体" w:hint="eastAsia"/>
                <w:kern w:val="0"/>
                <w:szCs w:val="21"/>
              </w:rPr>
              <w:t>于</w:t>
            </w:r>
            <w:r>
              <w:rPr>
                <w:rFonts w:ascii="宋体" w:cs="宋体"/>
                <w:spacing w:val="-77"/>
                <w:kern w:val="0"/>
                <w:szCs w:val="21"/>
              </w:rPr>
              <w:t xml:space="preserve"> </w:t>
            </w:r>
            <w:r>
              <w:rPr>
                <w:rFonts w:ascii="宋体" w:cs="宋体"/>
                <w:spacing w:val="12"/>
                <w:kern w:val="0"/>
                <w:szCs w:val="21"/>
              </w:rPr>
              <w:t>2hm</w:t>
            </w:r>
            <w:r>
              <w:rPr>
                <w:rFonts w:ascii="宋体" w:cs="宋体"/>
                <w:spacing w:val="-83"/>
                <w:kern w:val="0"/>
                <w:szCs w:val="21"/>
              </w:rPr>
              <w:t xml:space="preserve"> </w:t>
            </w:r>
            <w:r>
              <w:rPr>
                <w:rFonts w:ascii="宋体" w:cs="宋体"/>
                <w:kern w:val="0"/>
                <w:position w:val="11"/>
                <w:sz w:val="10"/>
                <w:szCs w:val="10"/>
              </w:rPr>
              <w:t>2</w:t>
            </w:r>
            <w:r>
              <w:rPr>
                <w:rFonts w:ascii="宋体" w:cs="宋体"/>
                <w:spacing w:val="7"/>
                <w:kern w:val="0"/>
                <w:position w:val="11"/>
                <w:sz w:val="10"/>
                <w:szCs w:val="10"/>
              </w:rPr>
              <w:t xml:space="preserve"> </w:t>
            </w:r>
            <w:r>
              <w:rPr>
                <w:rFonts w:ascii="宋体" w:cs="宋体" w:hint="eastAsia"/>
                <w:spacing w:val="-15"/>
                <w:kern w:val="0"/>
                <w:szCs w:val="21"/>
              </w:rPr>
              <w:t>破坏林地</w:t>
            </w:r>
          </w:p>
        </w:tc>
      </w:tr>
      <w:tr w:rsidR="009C5C1F">
        <w:trPr>
          <w:trHeight w:hRule="exact" w:val="272"/>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50" w:lineRule="exact"/>
              <w:ind w:left="5" w:right="-16"/>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9" w:lineRule="exact"/>
              <w:ind w:left="6"/>
              <w:jc w:val="left"/>
              <w:rPr>
                <w:kern w:val="0"/>
                <w:sz w:val="24"/>
              </w:rPr>
            </w:pPr>
            <w:r>
              <w:rPr>
                <w:rFonts w:ascii="宋体" w:cs="宋体" w:hint="eastAsia"/>
                <w:spacing w:val="-10"/>
                <w:kern w:val="0"/>
                <w:szCs w:val="21"/>
              </w:rPr>
              <w:t>通线和较重要工程设施</w:t>
            </w:r>
          </w:p>
        </w:tc>
        <w:tc>
          <w:tcPr>
            <w:tcW w:w="2784"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9" w:lineRule="exact"/>
              <w:ind w:left="4" w:right="-13"/>
              <w:jc w:val="left"/>
              <w:rPr>
                <w:kern w:val="0"/>
                <w:sz w:val="24"/>
              </w:rPr>
            </w:pPr>
            <w:r>
              <w:rPr>
                <w:rFonts w:ascii="宋体" w:cs="宋体"/>
                <w:spacing w:val="-4"/>
                <w:kern w:val="0"/>
                <w:szCs w:val="21"/>
              </w:rPr>
              <w:t>(</w:t>
            </w:r>
            <w:r>
              <w:rPr>
                <w:rFonts w:ascii="宋体" w:cs="宋体" w:hint="eastAsia"/>
                <w:spacing w:val="-4"/>
                <w:kern w:val="0"/>
                <w:szCs w:val="21"/>
              </w:rPr>
              <w:t>带</w:t>
            </w:r>
            <w:r>
              <w:rPr>
                <w:rFonts w:ascii="宋体" w:cs="宋体"/>
                <w:spacing w:val="-4"/>
                <w:kern w:val="0"/>
                <w:szCs w:val="21"/>
              </w:rPr>
              <w:t>)7</w:t>
            </w:r>
            <w:r>
              <w:rPr>
                <w:rFonts w:ascii="宋体" w:cs="宋体"/>
                <w:spacing w:val="-82"/>
                <w:kern w:val="0"/>
                <w:szCs w:val="21"/>
              </w:rPr>
              <w:t xml:space="preserve"> </w:t>
            </w:r>
            <w:r>
              <w:rPr>
                <w:rFonts w:ascii="宋体" w:cs="宋体"/>
                <w:kern w:val="0"/>
                <w:szCs w:val="21"/>
              </w:rPr>
              <w:t>K</w:t>
            </w:r>
            <w:r>
              <w:rPr>
                <w:rFonts w:ascii="宋体" w:cs="宋体"/>
                <w:spacing w:val="-16"/>
                <w:kern w:val="0"/>
                <w:szCs w:val="21"/>
              </w:rPr>
              <w:t xml:space="preserve"> </w:t>
            </w:r>
            <w:r>
              <w:rPr>
                <w:rFonts w:ascii="宋体" w:cs="宋体" w:hint="eastAsia"/>
                <w:spacing w:val="-24"/>
                <w:kern w:val="0"/>
                <w:szCs w:val="21"/>
              </w:rPr>
              <w:t>位下降幅度较大，地下水</w:t>
            </w: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9" w:lineRule="exact"/>
              <w:ind w:left="5" w:right="-13"/>
              <w:jc w:val="left"/>
              <w:rPr>
                <w:kern w:val="0"/>
                <w:sz w:val="24"/>
              </w:rPr>
            </w:pPr>
            <w:r>
              <w:rPr>
                <w:rFonts w:ascii="宋体" w:cs="宋体" w:hint="eastAsia"/>
                <w:spacing w:val="-6"/>
                <w:kern w:val="0"/>
                <w:szCs w:val="21"/>
              </w:rPr>
              <w:t>人文景观、风景旅游</w:t>
            </w:r>
          </w:p>
        </w:tc>
        <w:tc>
          <w:tcPr>
            <w:tcW w:w="1502"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9" w:lineRule="exact"/>
              <w:ind w:left="5"/>
              <w:jc w:val="left"/>
              <w:rPr>
                <w:kern w:val="0"/>
                <w:sz w:val="24"/>
              </w:rPr>
            </w:pPr>
            <w:r>
              <w:rPr>
                <w:rFonts w:ascii="宋体" w:cs="宋体" w:hint="eastAsia"/>
                <w:spacing w:val="-10"/>
                <w:kern w:val="0"/>
                <w:szCs w:val="21"/>
              </w:rPr>
              <w:t>或草地</w:t>
            </w:r>
            <w:r>
              <w:rPr>
                <w:rFonts w:ascii="宋体" w:cs="宋体"/>
                <w:spacing w:val="-73"/>
                <w:kern w:val="0"/>
                <w:szCs w:val="21"/>
              </w:rPr>
              <w:t xml:space="preserve"> </w:t>
            </w:r>
            <w:r>
              <w:rPr>
                <w:rFonts w:ascii="宋体" w:cs="宋体"/>
                <w:kern w:val="0"/>
                <w:szCs w:val="21"/>
              </w:rPr>
              <w:t>2</w:t>
            </w:r>
            <w:r>
              <w:rPr>
                <w:rFonts w:ascii="宋体" w:cs="宋体"/>
                <w:spacing w:val="-81"/>
                <w:kern w:val="0"/>
                <w:szCs w:val="21"/>
              </w:rPr>
              <w:t xml:space="preserve"> </w:t>
            </w:r>
            <w:r>
              <w:rPr>
                <w:rFonts w:ascii="宋体" w:cs="宋体"/>
                <w:spacing w:val="11"/>
                <w:kern w:val="0"/>
                <w:szCs w:val="21"/>
              </w:rPr>
              <w:t>hm</w:t>
            </w:r>
            <w:r>
              <w:rPr>
                <w:rFonts w:ascii="宋体" w:cs="宋体"/>
                <w:spacing w:val="-77"/>
                <w:kern w:val="0"/>
                <w:szCs w:val="21"/>
              </w:rPr>
              <w:t xml:space="preserve"> </w:t>
            </w:r>
            <w:r>
              <w:rPr>
                <w:rFonts w:ascii="宋体" w:cs="宋体"/>
                <w:kern w:val="0"/>
                <w:position w:val="11"/>
                <w:sz w:val="10"/>
                <w:szCs w:val="10"/>
              </w:rPr>
              <w:t>2</w:t>
            </w:r>
            <w:r>
              <w:rPr>
                <w:rFonts w:ascii="宋体" w:cs="宋体"/>
                <w:spacing w:val="-28"/>
                <w:kern w:val="0"/>
                <w:position w:val="11"/>
                <w:sz w:val="10"/>
                <w:szCs w:val="10"/>
              </w:rPr>
              <w:t xml:space="preserve"> </w:t>
            </w:r>
            <w:r>
              <w:rPr>
                <w:rFonts w:ascii="宋体" w:cs="宋体" w:hint="eastAsia"/>
                <w:kern w:val="0"/>
                <w:szCs w:val="21"/>
              </w:rPr>
              <w:t>～</w:t>
            </w:r>
            <w:r>
              <w:rPr>
                <w:rFonts w:ascii="宋体" w:cs="宋体"/>
                <w:spacing w:val="-59"/>
                <w:kern w:val="0"/>
                <w:szCs w:val="21"/>
              </w:rPr>
              <w:t xml:space="preserve"> </w:t>
            </w:r>
            <w:r>
              <w:rPr>
                <w:rFonts w:ascii="宋体" w:cs="宋体"/>
                <w:kern w:val="0"/>
                <w:szCs w:val="21"/>
              </w:rPr>
              <w:t>4</w:t>
            </w:r>
          </w:p>
        </w:tc>
      </w:tr>
      <w:tr w:rsidR="009C5C1F">
        <w:trPr>
          <w:trHeight w:hRule="exact" w:val="281"/>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49" w:lineRule="exact"/>
              <w:ind w:left="5"/>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6" w:right="-15"/>
              <w:jc w:val="left"/>
              <w:rPr>
                <w:kern w:val="0"/>
                <w:sz w:val="24"/>
              </w:rPr>
            </w:pPr>
            <w:r>
              <w:rPr>
                <w:rFonts w:ascii="宋体" w:cs="宋体" w:hint="eastAsia"/>
                <w:kern w:val="0"/>
                <w:szCs w:val="21"/>
              </w:rPr>
              <w:t>安全造成或可能造成直</w:t>
            </w:r>
          </w:p>
        </w:tc>
        <w:tc>
          <w:tcPr>
            <w:tcW w:w="2784"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4" w:right="-13"/>
              <w:jc w:val="left"/>
              <w:rPr>
                <w:kern w:val="0"/>
                <w:sz w:val="24"/>
              </w:rPr>
            </w:pPr>
            <w:r>
              <w:rPr>
                <w:rFonts w:ascii="宋体" w:cs="宋体" w:hint="eastAsia"/>
                <w:spacing w:val="-12"/>
                <w:kern w:val="0"/>
                <w:szCs w:val="21"/>
              </w:rPr>
              <w:t>呈</w:t>
            </w:r>
            <w:proofErr w:type="gramStart"/>
            <w:r>
              <w:rPr>
                <w:rFonts w:ascii="宋体" w:cs="宋体" w:hint="eastAsia"/>
                <w:spacing w:val="-12"/>
                <w:kern w:val="0"/>
                <w:szCs w:val="21"/>
              </w:rPr>
              <w:t>半疏干状态</w:t>
            </w:r>
            <w:proofErr w:type="gramEnd"/>
            <w:r>
              <w:rPr>
                <w:rFonts w:ascii="宋体" w:cs="宋体" w:hint="eastAsia"/>
                <w:spacing w:val="-12"/>
                <w:kern w:val="0"/>
                <w:szCs w:val="21"/>
              </w:rPr>
              <w:t>矿区及周围地表水</w:t>
            </w: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5" w:right="-13"/>
              <w:jc w:val="left"/>
              <w:rPr>
                <w:kern w:val="0"/>
                <w:sz w:val="24"/>
              </w:rPr>
            </w:pPr>
            <w:r>
              <w:rPr>
                <w:rFonts w:ascii="宋体" w:cs="宋体" w:hint="eastAsia"/>
                <w:spacing w:val="-27"/>
                <w:kern w:val="0"/>
                <w:szCs w:val="21"/>
              </w:rPr>
              <w:t>区、城市周围、主要交</w:t>
            </w:r>
          </w:p>
        </w:tc>
        <w:tc>
          <w:tcPr>
            <w:tcW w:w="1502"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5" w:right="-13"/>
              <w:jc w:val="left"/>
              <w:rPr>
                <w:kern w:val="0"/>
                <w:sz w:val="24"/>
              </w:rPr>
            </w:pPr>
            <w:r>
              <w:rPr>
                <w:rFonts w:ascii="宋体" w:cs="宋体"/>
                <w:spacing w:val="8"/>
                <w:kern w:val="0"/>
                <w:szCs w:val="21"/>
              </w:rPr>
              <w:t>hm</w:t>
            </w:r>
            <w:r>
              <w:rPr>
                <w:rFonts w:ascii="宋体" w:cs="宋体"/>
                <w:spacing w:val="-83"/>
                <w:kern w:val="0"/>
                <w:szCs w:val="21"/>
              </w:rPr>
              <w:t xml:space="preserve"> </w:t>
            </w:r>
            <w:r>
              <w:rPr>
                <w:rFonts w:ascii="宋体" w:cs="宋体"/>
                <w:kern w:val="0"/>
                <w:position w:val="11"/>
                <w:sz w:val="10"/>
                <w:szCs w:val="10"/>
              </w:rPr>
              <w:t>2</w:t>
            </w:r>
            <w:r>
              <w:rPr>
                <w:rFonts w:ascii="宋体" w:cs="宋体"/>
                <w:spacing w:val="-11"/>
                <w:kern w:val="0"/>
                <w:position w:val="11"/>
                <w:sz w:val="10"/>
                <w:szCs w:val="10"/>
              </w:rPr>
              <w:t xml:space="preserve"> </w:t>
            </w:r>
            <w:r>
              <w:rPr>
                <w:rFonts w:ascii="宋体" w:cs="宋体" w:hint="eastAsia"/>
                <w:spacing w:val="-17"/>
                <w:kern w:val="0"/>
                <w:szCs w:val="21"/>
              </w:rPr>
              <w:t>破坏荒山或未</w:t>
            </w:r>
          </w:p>
        </w:tc>
      </w:tr>
      <w:tr w:rsidR="009C5C1F">
        <w:trPr>
          <w:trHeight w:hRule="exact" w:val="264"/>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50" w:lineRule="exact"/>
              <w:ind w:left="5" w:right="-13"/>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6"/>
              <w:jc w:val="left"/>
              <w:rPr>
                <w:kern w:val="0"/>
                <w:sz w:val="24"/>
              </w:rPr>
            </w:pPr>
            <w:r>
              <w:rPr>
                <w:rFonts w:ascii="宋体" w:cs="宋体" w:hint="eastAsia"/>
                <w:spacing w:val="-12"/>
                <w:kern w:val="0"/>
                <w:szCs w:val="21"/>
              </w:rPr>
              <w:t>接经济损失</w:t>
            </w:r>
            <w:r>
              <w:rPr>
                <w:rFonts w:ascii="宋体" w:cs="宋体"/>
                <w:spacing w:val="-73"/>
                <w:kern w:val="0"/>
                <w:szCs w:val="21"/>
              </w:rPr>
              <w:t xml:space="preserve"> </w:t>
            </w:r>
            <w:r>
              <w:rPr>
                <w:rFonts w:ascii="宋体" w:cs="宋体"/>
                <w:spacing w:val="15"/>
                <w:kern w:val="0"/>
                <w:szCs w:val="21"/>
              </w:rPr>
              <w:t>100</w:t>
            </w:r>
            <w:r>
              <w:rPr>
                <w:rFonts w:ascii="宋体" w:cs="宋体"/>
                <w:spacing w:val="-79"/>
                <w:kern w:val="0"/>
                <w:szCs w:val="21"/>
              </w:rPr>
              <w:t xml:space="preserve"> </w:t>
            </w:r>
            <w:r>
              <w:rPr>
                <w:rFonts w:ascii="宋体" w:cs="宋体"/>
                <w:kern w:val="0"/>
                <w:szCs w:val="21"/>
              </w:rPr>
              <w:t>-</w:t>
            </w:r>
            <w:r>
              <w:rPr>
                <w:rFonts w:ascii="宋体" w:cs="宋体"/>
                <w:spacing w:val="-81"/>
                <w:kern w:val="0"/>
                <w:szCs w:val="21"/>
              </w:rPr>
              <w:t xml:space="preserve"> </w:t>
            </w:r>
            <w:r>
              <w:rPr>
                <w:rFonts w:ascii="宋体" w:cs="宋体"/>
                <w:kern w:val="0"/>
                <w:szCs w:val="21"/>
              </w:rPr>
              <w:t>5</w:t>
            </w:r>
            <w:r>
              <w:rPr>
                <w:rFonts w:ascii="宋体" w:cs="宋体"/>
                <w:spacing w:val="-79"/>
                <w:kern w:val="0"/>
                <w:szCs w:val="21"/>
              </w:rPr>
              <w:t xml:space="preserve"> </w:t>
            </w:r>
            <w:r>
              <w:rPr>
                <w:rFonts w:ascii="宋体" w:cs="宋体"/>
                <w:spacing w:val="12"/>
                <w:kern w:val="0"/>
                <w:szCs w:val="21"/>
              </w:rPr>
              <w:t>00</w:t>
            </w:r>
          </w:p>
        </w:tc>
        <w:tc>
          <w:tcPr>
            <w:tcW w:w="2784"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4" w:right="-13"/>
              <w:jc w:val="left"/>
              <w:rPr>
                <w:kern w:val="0"/>
                <w:sz w:val="24"/>
              </w:rPr>
            </w:pPr>
            <w:r>
              <w:rPr>
                <w:rFonts w:ascii="宋体" w:cs="宋体" w:hint="eastAsia"/>
                <w:spacing w:val="-12"/>
                <w:kern w:val="0"/>
                <w:szCs w:val="21"/>
              </w:rPr>
              <w:t>体</w:t>
            </w:r>
            <w:proofErr w:type="gramStart"/>
            <w:r>
              <w:rPr>
                <w:rFonts w:ascii="宋体" w:cs="宋体" w:hint="eastAsia"/>
                <w:spacing w:val="-12"/>
                <w:kern w:val="0"/>
                <w:szCs w:val="21"/>
              </w:rPr>
              <w:t>漏失较</w:t>
            </w:r>
            <w:proofErr w:type="gramEnd"/>
            <w:r>
              <w:rPr>
                <w:rFonts w:ascii="宋体" w:cs="宋体" w:hint="eastAsia"/>
                <w:spacing w:val="-12"/>
                <w:kern w:val="0"/>
                <w:szCs w:val="21"/>
              </w:rPr>
              <w:t>严重影响矿区及周围部</w:t>
            </w: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5" w:right="-13"/>
              <w:jc w:val="left"/>
              <w:rPr>
                <w:kern w:val="0"/>
                <w:sz w:val="24"/>
              </w:rPr>
            </w:pPr>
            <w:r>
              <w:rPr>
                <w:rFonts w:ascii="宋体" w:cs="宋体" w:hint="eastAsia"/>
                <w:spacing w:val="-6"/>
                <w:kern w:val="0"/>
                <w:szCs w:val="21"/>
              </w:rPr>
              <w:t>通干线两侧可视范围</w:t>
            </w:r>
          </w:p>
        </w:tc>
        <w:tc>
          <w:tcPr>
            <w:tcW w:w="1502"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40" w:lineRule="exact"/>
              <w:ind w:left="5"/>
              <w:jc w:val="left"/>
              <w:rPr>
                <w:kern w:val="0"/>
                <w:sz w:val="24"/>
              </w:rPr>
            </w:pPr>
            <w:r>
              <w:rPr>
                <w:rFonts w:ascii="宋体" w:cs="宋体" w:hint="eastAsia"/>
                <w:spacing w:val="-12"/>
                <w:kern w:val="0"/>
                <w:szCs w:val="21"/>
              </w:rPr>
              <w:t>开发利用土地</w:t>
            </w:r>
            <w:r>
              <w:rPr>
                <w:rFonts w:ascii="宋体" w:cs="宋体"/>
                <w:spacing w:val="-71"/>
                <w:kern w:val="0"/>
                <w:szCs w:val="21"/>
              </w:rPr>
              <w:t xml:space="preserve"> </w:t>
            </w:r>
            <w:r>
              <w:rPr>
                <w:rFonts w:ascii="宋体" w:cs="宋体"/>
                <w:spacing w:val="11"/>
                <w:kern w:val="0"/>
                <w:szCs w:val="21"/>
              </w:rPr>
              <w:t>10</w:t>
            </w:r>
          </w:p>
        </w:tc>
      </w:tr>
      <w:tr w:rsidR="009C5C1F">
        <w:trPr>
          <w:trHeight w:hRule="exact" w:val="281"/>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40" w:lineRule="exact"/>
              <w:ind w:left="5"/>
              <w:jc w:val="left"/>
              <w:rPr>
                <w:kern w:val="0"/>
                <w:sz w:val="24"/>
              </w:rPr>
            </w:pPr>
          </w:p>
        </w:tc>
        <w:tc>
          <w:tcPr>
            <w:tcW w:w="2106"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6"/>
              <w:jc w:val="left"/>
              <w:rPr>
                <w:kern w:val="0"/>
                <w:sz w:val="24"/>
              </w:rPr>
            </w:pPr>
            <w:r>
              <w:rPr>
                <w:rFonts w:ascii="宋体" w:cs="宋体" w:hint="eastAsia"/>
                <w:spacing w:val="-12"/>
                <w:kern w:val="0"/>
                <w:szCs w:val="21"/>
              </w:rPr>
              <w:t>万元受威胁人数</w:t>
            </w:r>
            <w:r>
              <w:rPr>
                <w:rFonts w:ascii="宋体" w:cs="宋体"/>
                <w:spacing w:val="-72"/>
                <w:kern w:val="0"/>
                <w:szCs w:val="21"/>
              </w:rPr>
              <w:t xml:space="preserve"> </w:t>
            </w:r>
            <w:r>
              <w:rPr>
                <w:rFonts w:ascii="宋体" w:cs="宋体"/>
                <w:spacing w:val="12"/>
                <w:kern w:val="0"/>
                <w:szCs w:val="21"/>
              </w:rPr>
              <w:t>10</w:t>
            </w:r>
            <w:r>
              <w:rPr>
                <w:rFonts w:ascii="宋体" w:cs="宋体"/>
                <w:spacing w:val="-78"/>
                <w:kern w:val="0"/>
                <w:szCs w:val="21"/>
              </w:rPr>
              <w:t xml:space="preserve"> </w:t>
            </w:r>
            <w:r>
              <w:rPr>
                <w:rFonts w:ascii="宋体" w:cs="宋体"/>
                <w:kern w:val="0"/>
                <w:szCs w:val="21"/>
              </w:rPr>
              <w:t>-</w:t>
            </w:r>
            <w:r>
              <w:rPr>
                <w:rFonts w:ascii="宋体" w:cs="宋体"/>
                <w:spacing w:val="-78"/>
                <w:kern w:val="0"/>
                <w:szCs w:val="21"/>
              </w:rPr>
              <w:t xml:space="preserve"> </w:t>
            </w:r>
            <w:r>
              <w:rPr>
                <w:rFonts w:ascii="宋体" w:cs="宋体"/>
                <w:kern w:val="0"/>
                <w:szCs w:val="21"/>
              </w:rPr>
              <w:t>1</w:t>
            </w:r>
            <w:r>
              <w:rPr>
                <w:rFonts w:ascii="宋体" w:cs="宋体"/>
                <w:spacing w:val="-76"/>
                <w:kern w:val="0"/>
                <w:szCs w:val="21"/>
              </w:rPr>
              <w:t xml:space="preserve"> </w:t>
            </w:r>
            <w:r>
              <w:rPr>
                <w:rFonts w:ascii="宋体" w:cs="宋体"/>
                <w:kern w:val="0"/>
                <w:szCs w:val="21"/>
              </w:rPr>
              <w:t>0</w:t>
            </w:r>
          </w:p>
        </w:tc>
        <w:tc>
          <w:tcPr>
            <w:tcW w:w="2784" w:type="dxa"/>
            <w:vMerge w:val="restart"/>
            <w:tcBorders>
              <w:top w:val="nil"/>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line="248" w:lineRule="exact"/>
              <w:ind w:left="4"/>
              <w:jc w:val="left"/>
              <w:rPr>
                <w:kern w:val="0"/>
                <w:sz w:val="24"/>
              </w:rPr>
            </w:pPr>
            <w:r>
              <w:rPr>
                <w:rFonts w:ascii="宋体" w:cs="宋体" w:hint="eastAsia"/>
                <w:spacing w:val="-18"/>
                <w:kern w:val="0"/>
                <w:szCs w:val="21"/>
              </w:rPr>
              <w:t>分生产生活供水</w:t>
            </w:r>
          </w:p>
        </w:tc>
        <w:tc>
          <w:tcPr>
            <w:tcW w:w="1843" w:type="dxa"/>
            <w:tcBorders>
              <w:top w:val="nil"/>
              <w:left w:val="single" w:sz="4" w:space="0" w:color="000000"/>
              <w:bottom w:val="nil"/>
              <w:right w:val="single" w:sz="4" w:space="0" w:color="000000"/>
            </w:tcBorders>
          </w:tcPr>
          <w:p w:rsidR="009C5C1F" w:rsidRDefault="004D2E0D">
            <w:pPr>
              <w:kinsoku w:val="0"/>
              <w:overflowPunct w:val="0"/>
              <w:autoSpaceDE w:val="0"/>
              <w:autoSpaceDN w:val="0"/>
              <w:adjustRightInd w:val="0"/>
              <w:spacing w:line="250" w:lineRule="exact"/>
              <w:ind w:left="5" w:right="-13"/>
              <w:jc w:val="left"/>
              <w:rPr>
                <w:kern w:val="0"/>
                <w:sz w:val="24"/>
              </w:rPr>
            </w:pPr>
            <w:r>
              <w:rPr>
                <w:rFonts w:ascii="宋体" w:cs="宋体" w:hint="eastAsia"/>
                <w:spacing w:val="-6"/>
                <w:kern w:val="0"/>
                <w:szCs w:val="21"/>
              </w:rPr>
              <w:t>内地形地貌景观影响</w:t>
            </w:r>
          </w:p>
        </w:tc>
        <w:tc>
          <w:tcPr>
            <w:tcW w:w="1502" w:type="dxa"/>
            <w:vMerge w:val="restart"/>
            <w:tcBorders>
              <w:top w:val="nil"/>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line="248" w:lineRule="exact"/>
              <w:ind w:left="5"/>
              <w:jc w:val="left"/>
              <w:rPr>
                <w:kern w:val="0"/>
                <w:sz w:val="24"/>
              </w:rPr>
            </w:pPr>
            <w:r>
              <w:rPr>
                <w:rFonts w:ascii="宋体" w:cs="宋体"/>
                <w:spacing w:val="8"/>
                <w:kern w:val="0"/>
                <w:szCs w:val="21"/>
              </w:rPr>
              <w:t>hm</w:t>
            </w:r>
            <w:r>
              <w:rPr>
                <w:rFonts w:ascii="宋体" w:cs="宋体"/>
                <w:spacing w:val="-83"/>
                <w:kern w:val="0"/>
                <w:szCs w:val="21"/>
              </w:rPr>
              <w:t xml:space="preserve"> </w:t>
            </w:r>
            <w:r>
              <w:rPr>
                <w:rFonts w:ascii="宋体" w:cs="宋体"/>
                <w:kern w:val="0"/>
                <w:position w:val="10"/>
                <w:sz w:val="10"/>
                <w:szCs w:val="10"/>
              </w:rPr>
              <w:t>2</w:t>
            </w:r>
            <w:r>
              <w:rPr>
                <w:rFonts w:ascii="宋体" w:cs="宋体"/>
                <w:spacing w:val="-31"/>
                <w:kern w:val="0"/>
                <w:position w:val="10"/>
                <w:sz w:val="10"/>
                <w:szCs w:val="10"/>
              </w:rPr>
              <w:t xml:space="preserve"> </w:t>
            </w:r>
            <w:r>
              <w:rPr>
                <w:rFonts w:ascii="宋体" w:cs="宋体"/>
                <w:spacing w:val="12"/>
                <w:kern w:val="0"/>
                <w:szCs w:val="21"/>
              </w:rPr>
              <w:t>-20</w:t>
            </w:r>
            <w:r>
              <w:rPr>
                <w:rFonts w:ascii="宋体" w:cs="宋体"/>
                <w:spacing w:val="-85"/>
                <w:kern w:val="0"/>
                <w:szCs w:val="21"/>
              </w:rPr>
              <w:t xml:space="preserve"> </w:t>
            </w:r>
            <w:r>
              <w:rPr>
                <w:rFonts w:ascii="宋体" w:cs="宋体"/>
                <w:spacing w:val="10"/>
                <w:kern w:val="0"/>
                <w:szCs w:val="21"/>
              </w:rPr>
              <w:t>hm</w:t>
            </w:r>
            <w:r>
              <w:rPr>
                <w:rFonts w:ascii="宋体" w:cs="宋体"/>
                <w:spacing w:val="-80"/>
                <w:kern w:val="0"/>
                <w:szCs w:val="21"/>
              </w:rPr>
              <w:t xml:space="preserve"> </w:t>
            </w:r>
            <w:r>
              <w:rPr>
                <w:rFonts w:ascii="宋体" w:cs="宋体"/>
                <w:kern w:val="0"/>
                <w:position w:val="10"/>
                <w:sz w:val="10"/>
                <w:szCs w:val="10"/>
              </w:rPr>
              <w:t>2</w:t>
            </w:r>
          </w:p>
        </w:tc>
      </w:tr>
      <w:tr w:rsidR="009C5C1F">
        <w:trPr>
          <w:trHeight w:hRule="exact" w:val="457"/>
        </w:trPr>
        <w:tc>
          <w:tcPr>
            <w:tcW w:w="648"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line="248" w:lineRule="exact"/>
              <w:ind w:left="5"/>
              <w:jc w:val="left"/>
              <w:rPr>
                <w:kern w:val="0"/>
                <w:sz w:val="24"/>
              </w:rPr>
            </w:pPr>
          </w:p>
        </w:tc>
        <w:tc>
          <w:tcPr>
            <w:tcW w:w="2106" w:type="dxa"/>
            <w:tcBorders>
              <w:top w:val="nil"/>
              <w:left w:val="single" w:sz="4" w:space="0" w:color="000000"/>
              <w:bottom w:val="single" w:sz="4" w:space="0" w:color="auto"/>
              <w:right w:val="single" w:sz="4" w:space="0" w:color="000000"/>
            </w:tcBorders>
          </w:tcPr>
          <w:p w:rsidR="009C5C1F" w:rsidRDefault="004D2E0D">
            <w:pPr>
              <w:kinsoku w:val="0"/>
              <w:overflowPunct w:val="0"/>
              <w:autoSpaceDE w:val="0"/>
              <w:autoSpaceDN w:val="0"/>
              <w:adjustRightInd w:val="0"/>
              <w:spacing w:line="240" w:lineRule="exact"/>
              <w:ind w:left="6"/>
              <w:jc w:val="left"/>
              <w:rPr>
                <w:kern w:val="0"/>
                <w:sz w:val="24"/>
              </w:rPr>
            </w:pPr>
            <w:r>
              <w:rPr>
                <w:rFonts w:ascii="宋体" w:cs="宋体"/>
                <w:kern w:val="0"/>
                <w:szCs w:val="21"/>
              </w:rPr>
              <w:t>0</w:t>
            </w:r>
            <w:r>
              <w:rPr>
                <w:rFonts w:ascii="宋体" w:cs="宋体"/>
                <w:spacing w:val="-26"/>
                <w:kern w:val="0"/>
                <w:szCs w:val="21"/>
              </w:rPr>
              <w:t xml:space="preserve"> </w:t>
            </w:r>
            <w:r>
              <w:rPr>
                <w:rFonts w:ascii="宋体" w:cs="宋体" w:hint="eastAsia"/>
                <w:kern w:val="0"/>
                <w:szCs w:val="21"/>
              </w:rPr>
              <w:t>人</w:t>
            </w:r>
          </w:p>
        </w:tc>
        <w:tc>
          <w:tcPr>
            <w:tcW w:w="2784" w:type="dxa"/>
            <w:vMerge/>
            <w:tcBorders>
              <w:top w:val="nil"/>
              <w:left w:val="single" w:sz="4" w:space="0" w:color="000000"/>
              <w:bottom w:val="single" w:sz="4" w:space="0" w:color="auto"/>
              <w:right w:val="single" w:sz="4" w:space="0" w:color="000000"/>
            </w:tcBorders>
          </w:tcPr>
          <w:p w:rsidR="009C5C1F" w:rsidRDefault="009C5C1F">
            <w:pPr>
              <w:kinsoku w:val="0"/>
              <w:overflowPunct w:val="0"/>
              <w:autoSpaceDE w:val="0"/>
              <w:autoSpaceDN w:val="0"/>
              <w:adjustRightInd w:val="0"/>
              <w:spacing w:line="240" w:lineRule="exact"/>
              <w:ind w:left="6"/>
              <w:jc w:val="left"/>
              <w:rPr>
                <w:kern w:val="0"/>
                <w:sz w:val="24"/>
              </w:rPr>
            </w:pPr>
          </w:p>
        </w:tc>
        <w:tc>
          <w:tcPr>
            <w:tcW w:w="1843" w:type="dxa"/>
            <w:tcBorders>
              <w:top w:val="nil"/>
              <w:left w:val="single" w:sz="4" w:space="0" w:color="000000"/>
              <w:bottom w:val="single" w:sz="4" w:space="0" w:color="auto"/>
              <w:right w:val="single" w:sz="4" w:space="0" w:color="000000"/>
            </w:tcBorders>
          </w:tcPr>
          <w:p w:rsidR="009C5C1F" w:rsidRDefault="004D2E0D">
            <w:pPr>
              <w:kinsoku w:val="0"/>
              <w:overflowPunct w:val="0"/>
              <w:autoSpaceDE w:val="0"/>
              <w:autoSpaceDN w:val="0"/>
              <w:adjustRightInd w:val="0"/>
              <w:spacing w:line="240" w:lineRule="exact"/>
              <w:ind w:left="5"/>
              <w:jc w:val="left"/>
              <w:rPr>
                <w:kern w:val="0"/>
                <w:sz w:val="24"/>
              </w:rPr>
            </w:pPr>
            <w:r>
              <w:rPr>
                <w:rFonts w:ascii="宋体" w:cs="宋体" w:hint="eastAsia"/>
                <w:spacing w:val="-11"/>
                <w:kern w:val="0"/>
                <w:szCs w:val="21"/>
              </w:rPr>
              <w:t>较重</w:t>
            </w:r>
          </w:p>
        </w:tc>
        <w:tc>
          <w:tcPr>
            <w:tcW w:w="1502" w:type="dxa"/>
            <w:vMerge/>
            <w:tcBorders>
              <w:top w:val="nil"/>
              <w:left w:val="single" w:sz="4" w:space="0" w:color="000000"/>
              <w:bottom w:val="single" w:sz="4" w:space="0" w:color="auto"/>
              <w:right w:val="single" w:sz="4" w:space="0" w:color="000000"/>
            </w:tcBorders>
          </w:tcPr>
          <w:p w:rsidR="009C5C1F" w:rsidRDefault="009C5C1F">
            <w:pPr>
              <w:kinsoku w:val="0"/>
              <w:overflowPunct w:val="0"/>
              <w:autoSpaceDE w:val="0"/>
              <w:autoSpaceDN w:val="0"/>
              <w:adjustRightInd w:val="0"/>
              <w:spacing w:line="240" w:lineRule="exact"/>
              <w:ind w:left="5"/>
              <w:jc w:val="left"/>
              <w:rPr>
                <w:kern w:val="0"/>
                <w:sz w:val="24"/>
              </w:rPr>
            </w:pPr>
          </w:p>
        </w:tc>
      </w:tr>
      <w:tr w:rsidR="009C5C1F">
        <w:trPr>
          <w:trHeight w:hRule="exact" w:val="2769"/>
        </w:trPr>
        <w:tc>
          <w:tcPr>
            <w:tcW w:w="648" w:type="dxa"/>
            <w:tcBorders>
              <w:top w:val="single" w:sz="4" w:space="0" w:color="000000"/>
              <w:left w:val="single" w:sz="4" w:space="0" w:color="000000"/>
              <w:bottom w:val="single" w:sz="4" w:space="0" w:color="000000"/>
              <w:right w:val="single" w:sz="4" w:space="0" w:color="auto"/>
            </w:tcBorders>
            <w:vAlign w:val="center"/>
          </w:tcPr>
          <w:p w:rsidR="009C5C1F" w:rsidRDefault="004D2E0D">
            <w:pPr>
              <w:kinsoku w:val="0"/>
              <w:overflowPunct w:val="0"/>
              <w:autoSpaceDE w:val="0"/>
              <w:autoSpaceDN w:val="0"/>
              <w:adjustRightInd w:val="0"/>
              <w:spacing w:line="248" w:lineRule="exact"/>
              <w:ind w:left="5"/>
              <w:rPr>
                <w:kern w:val="0"/>
                <w:szCs w:val="21"/>
              </w:rPr>
            </w:pPr>
            <w:r>
              <w:rPr>
                <w:rFonts w:hint="eastAsia"/>
                <w:kern w:val="0"/>
                <w:szCs w:val="21"/>
              </w:rPr>
              <w:t>较轻</w:t>
            </w:r>
          </w:p>
        </w:tc>
        <w:tc>
          <w:tcPr>
            <w:tcW w:w="2106" w:type="dxa"/>
            <w:tcBorders>
              <w:top w:val="single" w:sz="4" w:space="0" w:color="auto"/>
              <w:left w:val="single" w:sz="4" w:space="0" w:color="auto"/>
              <w:bottom w:val="single" w:sz="4" w:space="0" w:color="auto"/>
              <w:right w:val="single" w:sz="4" w:space="0" w:color="auto"/>
            </w:tcBorders>
            <w:vAlign w:val="center"/>
          </w:tcPr>
          <w:p w:rsidR="009C5C1F" w:rsidRDefault="004D2E0D">
            <w:pPr>
              <w:kinsoku w:val="0"/>
              <w:overflowPunct w:val="0"/>
              <w:autoSpaceDE w:val="0"/>
              <w:autoSpaceDN w:val="0"/>
              <w:adjustRightInd w:val="0"/>
              <w:spacing w:line="240" w:lineRule="exact"/>
              <w:ind w:left="6"/>
              <w:rPr>
                <w:rFonts w:ascii="宋体" w:cs="宋体"/>
                <w:kern w:val="0"/>
                <w:szCs w:val="21"/>
              </w:rPr>
            </w:pPr>
            <w:r>
              <w:rPr>
                <w:rFonts w:ascii="宋体" w:cs="宋体" w:hint="eastAsia"/>
                <w:kern w:val="0"/>
                <w:szCs w:val="21"/>
              </w:rPr>
              <w:t>地质灾害规模小，发生的可能性小，影响到分散性居民、一般性小规模建筑及设施，造成或可能造成直接经济损失小于1</w:t>
            </w:r>
            <w:r>
              <w:rPr>
                <w:rFonts w:ascii="宋体" w:cs="宋体"/>
                <w:kern w:val="0"/>
                <w:szCs w:val="21"/>
              </w:rPr>
              <w:t>00</w:t>
            </w:r>
            <w:r>
              <w:rPr>
                <w:rFonts w:ascii="宋体" w:cs="宋体" w:hint="eastAsia"/>
                <w:kern w:val="0"/>
                <w:szCs w:val="21"/>
              </w:rPr>
              <w:t>万元，受威胁人数小于1</w:t>
            </w:r>
            <w:r>
              <w:rPr>
                <w:rFonts w:ascii="宋体" w:cs="宋体"/>
                <w:kern w:val="0"/>
                <w:szCs w:val="21"/>
              </w:rPr>
              <w:t>0</w:t>
            </w:r>
            <w:r>
              <w:rPr>
                <w:rFonts w:ascii="宋体" w:cs="宋体" w:hint="eastAsia"/>
                <w:kern w:val="0"/>
                <w:szCs w:val="21"/>
              </w:rPr>
              <w:t>人</w:t>
            </w:r>
          </w:p>
        </w:tc>
        <w:tc>
          <w:tcPr>
            <w:tcW w:w="2784"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rPr>
                <w:rFonts w:ascii="宋体" w:cs="宋体"/>
                <w:kern w:val="0"/>
                <w:szCs w:val="21"/>
              </w:rPr>
            </w:pPr>
            <w:r>
              <w:rPr>
                <w:rFonts w:ascii="宋体" w:cs="宋体" w:hint="eastAsia"/>
                <w:kern w:val="0"/>
                <w:szCs w:val="21"/>
              </w:rPr>
              <w:t>矿井正常涌水量小于</w:t>
            </w:r>
            <w:r>
              <w:rPr>
                <w:rFonts w:ascii="宋体" w:cs="宋体"/>
                <w:kern w:val="0"/>
                <w:szCs w:val="21"/>
              </w:rPr>
              <w:t xml:space="preserve">3 0 0 0 m </w:t>
            </w:r>
            <w:r>
              <w:rPr>
                <w:rFonts w:ascii="宋体" w:cs="宋体"/>
                <w:kern w:val="0"/>
                <w:sz w:val="11"/>
                <w:szCs w:val="11"/>
              </w:rPr>
              <w:t xml:space="preserve">3 </w:t>
            </w:r>
            <w:r>
              <w:rPr>
                <w:rFonts w:ascii="宋体" w:cs="宋体"/>
                <w:kern w:val="0"/>
                <w:szCs w:val="21"/>
              </w:rPr>
              <w:t xml:space="preserve">/d </w:t>
            </w:r>
            <w:r>
              <w:rPr>
                <w:rFonts w:ascii="宋体" w:cs="宋体" w:hint="eastAsia"/>
                <w:kern w:val="0"/>
                <w:szCs w:val="21"/>
              </w:rPr>
              <w:t>矿区及周围主要含水层水位下降幅度小，矿区及周围地表水体未漏失；未影响到矿区及周围生产生活供水</w:t>
            </w:r>
          </w:p>
        </w:tc>
        <w:tc>
          <w:tcPr>
            <w:tcW w:w="1843" w:type="dxa"/>
            <w:tcBorders>
              <w:top w:val="single" w:sz="4" w:space="0" w:color="auto"/>
              <w:left w:val="single" w:sz="4" w:space="0" w:color="auto"/>
              <w:bottom w:val="single" w:sz="4" w:space="0" w:color="auto"/>
              <w:right w:val="single" w:sz="4" w:space="0" w:color="auto"/>
            </w:tcBorders>
            <w:vAlign w:val="center"/>
          </w:tcPr>
          <w:p w:rsidR="009C5C1F" w:rsidRDefault="004D2E0D">
            <w:pPr>
              <w:kinsoku w:val="0"/>
              <w:overflowPunct w:val="0"/>
              <w:autoSpaceDE w:val="0"/>
              <w:autoSpaceDN w:val="0"/>
              <w:adjustRightInd w:val="0"/>
              <w:spacing w:line="240" w:lineRule="exact"/>
              <w:ind w:left="5"/>
              <w:rPr>
                <w:rFonts w:ascii="宋体" w:cs="宋体"/>
                <w:spacing w:val="-11"/>
                <w:kern w:val="0"/>
                <w:szCs w:val="21"/>
              </w:rPr>
            </w:pPr>
            <w:r>
              <w:rPr>
                <w:rFonts w:ascii="宋体" w:cs="宋体" w:hint="eastAsia"/>
                <w:spacing w:val="-11"/>
                <w:kern w:val="0"/>
                <w:szCs w:val="21"/>
              </w:rPr>
              <w:t>对原生的地形地貌景观影响和破坏程度小；对各类自然保护区、人文景观、风景旅游区、城市周围主要交通干线两侧可视范围内地形地貌景观影响较轻</w:t>
            </w:r>
          </w:p>
        </w:tc>
        <w:tc>
          <w:tcPr>
            <w:tcW w:w="1502"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left"/>
              <w:rPr>
                <w:rFonts w:ascii="宋体" w:cs="宋体"/>
                <w:kern w:val="0"/>
                <w:szCs w:val="21"/>
              </w:rPr>
            </w:pPr>
            <w:r>
              <w:rPr>
                <w:rFonts w:ascii="宋体" w:cs="宋体" w:hint="eastAsia"/>
                <w:kern w:val="0"/>
                <w:szCs w:val="21"/>
              </w:rPr>
              <w:t>破坏林地或草地</w:t>
            </w:r>
          </w:p>
          <w:p w:rsidR="009C5C1F" w:rsidRDefault="004D2E0D">
            <w:pPr>
              <w:autoSpaceDE w:val="0"/>
              <w:autoSpaceDN w:val="0"/>
              <w:adjustRightInd w:val="0"/>
              <w:jc w:val="left"/>
              <w:rPr>
                <w:rFonts w:ascii="宋体" w:cs="宋体"/>
                <w:kern w:val="0"/>
                <w:szCs w:val="21"/>
              </w:rPr>
            </w:pPr>
            <w:r>
              <w:rPr>
                <w:rFonts w:ascii="宋体" w:cs="宋体" w:hint="eastAsia"/>
                <w:kern w:val="0"/>
                <w:szCs w:val="21"/>
              </w:rPr>
              <w:t>小于等于</w:t>
            </w:r>
            <w:r>
              <w:rPr>
                <w:rFonts w:ascii="宋体" w:cs="宋体"/>
                <w:kern w:val="0"/>
                <w:szCs w:val="21"/>
              </w:rPr>
              <w:t>2hm</w:t>
            </w:r>
            <w:r>
              <w:rPr>
                <w:rFonts w:ascii="宋体" w:cs="宋体"/>
                <w:kern w:val="0"/>
                <w:szCs w:val="21"/>
                <w:vertAlign w:val="superscript"/>
              </w:rPr>
              <w:t>2</w:t>
            </w:r>
          </w:p>
          <w:p w:rsidR="009C5C1F" w:rsidRDefault="004D2E0D">
            <w:pPr>
              <w:autoSpaceDE w:val="0"/>
              <w:autoSpaceDN w:val="0"/>
              <w:adjustRightInd w:val="0"/>
              <w:jc w:val="left"/>
              <w:rPr>
                <w:rFonts w:ascii="宋体" w:cs="宋体"/>
                <w:kern w:val="0"/>
                <w:sz w:val="11"/>
                <w:szCs w:val="11"/>
              </w:rPr>
            </w:pPr>
            <w:r>
              <w:rPr>
                <w:rFonts w:ascii="宋体" w:cs="宋体" w:hint="eastAsia"/>
                <w:kern w:val="0"/>
                <w:szCs w:val="21"/>
              </w:rPr>
              <w:t>破坏荒山或未</w:t>
            </w:r>
          </w:p>
          <w:p w:rsidR="009C5C1F" w:rsidRDefault="004D2E0D">
            <w:pPr>
              <w:autoSpaceDE w:val="0"/>
              <w:autoSpaceDN w:val="0"/>
              <w:adjustRightInd w:val="0"/>
              <w:jc w:val="left"/>
              <w:rPr>
                <w:rFonts w:ascii="宋体" w:cs="宋体"/>
                <w:kern w:val="0"/>
                <w:szCs w:val="21"/>
              </w:rPr>
            </w:pPr>
            <w:r>
              <w:rPr>
                <w:rFonts w:ascii="宋体" w:cs="宋体" w:hint="eastAsia"/>
                <w:kern w:val="0"/>
                <w:szCs w:val="21"/>
              </w:rPr>
              <w:t>开发利用土地小</w:t>
            </w:r>
          </w:p>
          <w:p w:rsidR="009C5C1F" w:rsidRDefault="004D2E0D">
            <w:pPr>
              <w:kinsoku w:val="0"/>
              <w:overflowPunct w:val="0"/>
              <w:autoSpaceDE w:val="0"/>
              <w:autoSpaceDN w:val="0"/>
              <w:adjustRightInd w:val="0"/>
              <w:spacing w:line="240" w:lineRule="exact"/>
              <w:ind w:left="5"/>
              <w:rPr>
                <w:kern w:val="0"/>
                <w:sz w:val="24"/>
              </w:rPr>
            </w:pPr>
            <w:r>
              <w:rPr>
                <w:rFonts w:ascii="宋体" w:cs="宋体" w:hint="eastAsia"/>
                <w:kern w:val="0"/>
                <w:szCs w:val="21"/>
              </w:rPr>
              <w:t>于等于</w:t>
            </w:r>
            <w:r>
              <w:rPr>
                <w:rFonts w:ascii="宋体" w:cs="宋体"/>
                <w:kern w:val="0"/>
                <w:szCs w:val="21"/>
              </w:rPr>
              <w:t>10 hm</w:t>
            </w:r>
            <w:r>
              <w:rPr>
                <w:rFonts w:ascii="宋体" w:cs="宋体"/>
                <w:kern w:val="0"/>
                <w:szCs w:val="21"/>
                <w:vertAlign w:val="superscript"/>
              </w:rPr>
              <w:t>2</w:t>
            </w:r>
          </w:p>
        </w:tc>
      </w:tr>
    </w:tbl>
    <w:p w:rsidR="009C5C1F" w:rsidRDefault="009C5C1F">
      <w:pPr>
        <w:pStyle w:val="a0"/>
        <w:ind w:firstLine="210"/>
      </w:pPr>
    </w:p>
    <w:p w:rsidR="009C5C1F" w:rsidRDefault="004D2E0D">
      <w:pPr>
        <w:suppressAutoHyphens/>
        <w:wordWrap w:val="0"/>
        <w:topLinePunct/>
        <w:spacing w:line="360" w:lineRule="auto"/>
        <w:ind w:firstLineChars="200" w:firstLine="480"/>
        <w:rPr>
          <w:sz w:val="24"/>
        </w:rPr>
      </w:pPr>
      <w:r>
        <w:rPr>
          <w:rFonts w:hint="eastAsia"/>
          <w:sz w:val="24"/>
        </w:rPr>
        <w:t>2</w:t>
      </w:r>
      <w:r>
        <w:rPr>
          <w:rFonts w:hint="eastAsia"/>
          <w:sz w:val="24"/>
        </w:rPr>
        <w:t>、预测分析</w:t>
      </w:r>
    </w:p>
    <w:p w:rsidR="009C5C1F" w:rsidRDefault="004D2E0D">
      <w:pPr>
        <w:suppressAutoHyphens/>
        <w:wordWrap w:val="0"/>
        <w:topLinePunct/>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矿山开采</w:t>
      </w:r>
      <w:r>
        <w:rPr>
          <w:rFonts w:hint="eastAsia"/>
          <w:sz w:val="24"/>
        </w:rPr>
        <w:t>及建设可能引发地质灾害的</w:t>
      </w:r>
      <w:r>
        <w:rPr>
          <w:sz w:val="24"/>
        </w:rPr>
        <w:t>预测评估</w:t>
      </w:r>
    </w:p>
    <w:p w:rsidR="009C5C1F" w:rsidRDefault="004D2E0D">
      <w:pPr>
        <w:suppressAutoHyphens/>
        <w:wordWrap w:val="0"/>
        <w:topLinePunct/>
        <w:spacing w:line="360" w:lineRule="auto"/>
        <w:ind w:firstLineChars="200" w:firstLine="480"/>
        <w:rPr>
          <w:sz w:val="24"/>
        </w:rPr>
      </w:pPr>
      <w:r>
        <w:rPr>
          <w:sz w:val="24"/>
        </w:rPr>
        <w:t>该矿区</w:t>
      </w:r>
      <w:r>
        <w:rPr>
          <w:rFonts w:hint="eastAsia"/>
          <w:sz w:val="24"/>
        </w:rPr>
        <w:t>为露天开采，而粘土较为致密，坚硬，对采矿工作人员、采矿设备及运输车辆不会造成危害，但可能存在的危害方式主要以压、埋为主。根据地质灾害灾情与危害程度（表</w:t>
      </w:r>
      <w:r>
        <w:rPr>
          <w:rFonts w:hint="eastAsia"/>
          <w:sz w:val="24"/>
        </w:rPr>
        <w:t>3</w:t>
      </w:r>
      <w:r>
        <w:rPr>
          <w:rFonts w:hint="eastAsia"/>
          <w:sz w:val="24"/>
        </w:rPr>
        <w:t>—</w:t>
      </w:r>
      <w:r>
        <w:rPr>
          <w:sz w:val="24"/>
        </w:rPr>
        <w:t>6</w:t>
      </w:r>
      <w:r>
        <w:rPr>
          <w:rFonts w:hint="eastAsia"/>
          <w:sz w:val="24"/>
        </w:rPr>
        <w:t>），预估受威胁人数少于</w:t>
      </w:r>
      <w:r>
        <w:rPr>
          <w:rFonts w:hint="eastAsia"/>
          <w:sz w:val="24"/>
        </w:rPr>
        <w:t>1</w:t>
      </w:r>
      <w:r>
        <w:rPr>
          <w:sz w:val="24"/>
        </w:rPr>
        <w:t>0</w:t>
      </w:r>
      <w:r>
        <w:rPr>
          <w:rFonts w:hint="eastAsia"/>
          <w:sz w:val="24"/>
        </w:rPr>
        <w:t>人，直接经济损失小于</w:t>
      </w:r>
      <w:r>
        <w:rPr>
          <w:rFonts w:hint="eastAsia"/>
          <w:sz w:val="24"/>
        </w:rPr>
        <w:t>1</w:t>
      </w:r>
      <w:r>
        <w:rPr>
          <w:sz w:val="24"/>
        </w:rPr>
        <w:t>00</w:t>
      </w:r>
      <w:r>
        <w:rPr>
          <w:rFonts w:hint="eastAsia"/>
          <w:sz w:val="24"/>
        </w:rPr>
        <w:t>万元。其危害程度为</w:t>
      </w:r>
      <w:r>
        <w:rPr>
          <w:rFonts w:hint="eastAsia"/>
          <w:b/>
          <w:bCs/>
          <w:sz w:val="24"/>
        </w:rPr>
        <w:t>轻度</w:t>
      </w:r>
      <w:r>
        <w:rPr>
          <w:rFonts w:hint="eastAsia"/>
          <w:sz w:val="24"/>
        </w:rPr>
        <w:t>。</w:t>
      </w:r>
    </w:p>
    <w:p w:rsidR="009C5C1F" w:rsidRDefault="009C5C1F">
      <w:pPr>
        <w:suppressAutoHyphens/>
        <w:wordWrap w:val="0"/>
        <w:topLinePunct/>
        <w:spacing w:beforeLines="50" w:before="120" w:afterLines="50" w:after="120"/>
        <w:jc w:val="center"/>
        <w:rPr>
          <w:sz w:val="24"/>
        </w:rPr>
      </w:pPr>
    </w:p>
    <w:p w:rsidR="009C5C1F" w:rsidRDefault="009C5C1F">
      <w:pPr>
        <w:suppressAutoHyphens/>
        <w:wordWrap w:val="0"/>
        <w:topLinePunct/>
        <w:spacing w:beforeLines="50" w:before="120" w:afterLines="50" w:after="120"/>
        <w:jc w:val="center"/>
        <w:rPr>
          <w:sz w:val="24"/>
        </w:rPr>
      </w:pPr>
    </w:p>
    <w:p w:rsidR="009C5C1F" w:rsidRDefault="009C5C1F">
      <w:pPr>
        <w:suppressAutoHyphens/>
        <w:wordWrap w:val="0"/>
        <w:topLinePunct/>
        <w:spacing w:beforeLines="50" w:before="120" w:afterLines="50" w:after="120"/>
        <w:jc w:val="center"/>
        <w:rPr>
          <w:sz w:val="24"/>
        </w:rPr>
      </w:pPr>
    </w:p>
    <w:p w:rsidR="009C5C1F" w:rsidRDefault="009C5C1F">
      <w:pPr>
        <w:pStyle w:val="a0"/>
        <w:ind w:firstLine="210"/>
      </w:pPr>
    </w:p>
    <w:p w:rsidR="009C5C1F" w:rsidRDefault="009C5C1F">
      <w:pPr>
        <w:suppressAutoHyphens/>
        <w:wordWrap w:val="0"/>
        <w:topLinePunct/>
        <w:spacing w:beforeLines="50" w:before="120" w:afterLines="50" w:after="120"/>
        <w:jc w:val="center"/>
        <w:rPr>
          <w:sz w:val="24"/>
        </w:rPr>
      </w:pPr>
    </w:p>
    <w:p w:rsidR="009C5C1F" w:rsidRDefault="004D2E0D">
      <w:pPr>
        <w:suppressAutoHyphens/>
        <w:wordWrap w:val="0"/>
        <w:topLinePunct/>
        <w:spacing w:beforeLines="50" w:before="120" w:afterLines="50" w:after="120"/>
        <w:jc w:val="center"/>
        <w:rPr>
          <w:b/>
          <w:bCs/>
          <w:sz w:val="24"/>
        </w:rPr>
      </w:pPr>
      <w:r>
        <w:rPr>
          <w:rFonts w:hint="eastAsia"/>
          <w:b/>
          <w:bCs/>
          <w:sz w:val="24"/>
        </w:rPr>
        <w:lastRenderedPageBreak/>
        <w:t>表</w:t>
      </w:r>
      <w:r>
        <w:rPr>
          <w:rFonts w:hint="eastAsia"/>
          <w:b/>
          <w:bCs/>
          <w:sz w:val="24"/>
        </w:rPr>
        <w:t>3</w:t>
      </w:r>
      <w:r>
        <w:rPr>
          <w:rFonts w:hint="eastAsia"/>
          <w:b/>
          <w:bCs/>
          <w:sz w:val="24"/>
        </w:rPr>
        <w:t>—</w:t>
      </w:r>
      <w:r>
        <w:rPr>
          <w:b/>
          <w:bCs/>
          <w:sz w:val="24"/>
        </w:rPr>
        <w:t xml:space="preserve">6         </w:t>
      </w:r>
      <w:r>
        <w:rPr>
          <w:b/>
          <w:bCs/>
          <w:sz w:val="24"/>
        </w:rPr>
        <w:t>地质灾害可能造成的损失大小分级</w:t>
      </w:r>
      <w:r>
        <w:rPr>
          <w:b/>
          <w:bCs/>
          <w:sz w:val="24"/>
        </w:rPr>
        <w:t xml:space="preserve">      </w:t>
      </w:r>
    </w:p>
    <w:tbl>
      <w:tblPr>
        <w:tblW w:w="8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2895"/>
        <w:gridCol w:w="2895"/>
        <w:gridCol w:w="1803"/>
      </w:tblGrid>
      <w:tr w:rsidR="009C5C1F">
        <w:trPr>
          <w:trHeight w:val="700"/>
          <w:tblHeader/>
          <w:jc w:val="center"/>
        </w:trPr>
        <w:tc>
          <w:tcPr>
            <w:tcW w:w="1352" w:type="dxa"/>
            <w:vAlign w:val="center"/>
          </w:tcPr>
          <w:p w:rsidR="009C5C1F" w:rsidRDefault="004D2E0D">
            <w:pPr>
              <w:suppressAutoHyphens/>
              <w:wordWrap w:val="0"/>
              <w:topLinePunct/>
              <w:jc w:val="center"/>
              <w:rPr>
                <w:lang w:val="zh-CN"/>
              </w:rPr>
            </w:pPr>
            <w:r>
              <w:rPr>
                <w:lang w:val="zh-CN"/>
              </w:rPr>
              <w:t>损失大小</w:t>
            </w:r>
            <w:r>
              <w:rPr>
                <w:vertAlign w:val="superscript"/>
                <w:lang w:val="zh-CN"/>
              </w:rPr>
              <w:t>a</w:t>
            </w:r>
          </w:p>
        </w:tc>
        <w:tc>
          <w:tcPr>
            <w:tcW w:w="2895" w:type="dxa"/>
            <w:vAlign w:val="center"/>
          </w:tcPr>
          <w:p w:rsidR="009C5C1F" w:rsidRDefault="004D2E0D">
            <w:pPr>
              <w:suppressAutoHyphens/>
              <w:wordWrap w:val="0"/>
              <w:topLinePunct/>
              <w:jc w:val="center"/>
              <w:rPr>
                <w:lang w:val="zh-CN"/>
              </w:rPr>
            </w:pPr>
            <w:r>
              <w:rPr>
                <w:lang w:val="zh-CN"/>
              </w:rPr>
              <w:t>可能造成的直接经济损失</w:t>
            </w:r>
            <w:r>
              <w:rPr>
                <w:vertAlign w:val="superscript"/>
                <w:lang w:val="zh-CN"/>
              </w:rPr>
              <w:t>b</w:t>
            </w:r>
          </w:p>
          <w:p w:rsidR="009C5C1F" w:rsidRDefault="004D2E0D">
            <w:pPr>
              <w:suppressAutoHyphens/>
              <w:wordWrap w:val="0"/>
              <w:topLinePunct/>
              <w:jc w:val="center"/>
              <w:rPr>
                <w:lang w:val="zh-CN"/>
              </w:rPr>
            </w:pPr>
            <w:r>
              <w:rPr>
                <w:lang w:val="zh-CN"/>
              </w:rPr>
              <w:t>万元</w:t>
            </w:r>
          </w:p>
        </w:tc>
        <w:tc>
          <w:tcPr>
            <w:tcW w:w="2895" w:type="dxa"/>
            <w:vAlign w:val="center"/>
          </w:tcPr>
          <w:p w:rsidR="009C5C1F" w:rsidRDefault="004D2E0D">
            <w:pPr>
              <w:suppressAutoHyphens/>
              <w:wordWrap w:val="0"/>
              <w:topLinePunct/>
              <w:jc w:val="center"/>
              <w:rPr>
                <w:lang w:val="zh-CN"/>
              </w:rPr>
            </w:pPr>
            <w:r>
              <w:rPr>
                <w:lang w:val="zh-CN"/>
              </w:rPr>
              <w:t>可能造成的直接经济损失占项目总投资的比例</w:t>
            </w:r>
            <w:r>
              <w:rPr>
                <w:vertAlign w:val="superscript"/>
                <w:lang w:val="zh-CN"/>
              </w:rPr>
              <w:t>b</w:t>
            </w:r>
            <w:r>
              <w:rPr>
                <w:lang w:val="zh-CN"/>
              </w:rPr>
              <w:t xml:space="preserve"> %</w:t>
            </w:r>
          </w:p>
        </w:tc>
        <w:tc>
          <w:tcPr>
            <w:tcW w:w="1803" w:type="dxa"/>
            <w:vAlign w:val="center"/>
          </w:tcPr>
          <w:p w:rsidR="009C5C1F" w:rsidRDefault="004D2E0D">
            <w:pPr>
              <w:suppressAutoHyphens/>
              <w:wordWrap w:val="0"/>
              <w:topLinePunct/>
              <w:jc w:val="center"/>
              <w:rPr>
                <w:lang w:val="zh-CN"/>
              </w:rPr>
            </w:pPr>
            <w:r>
              <w:rPr>
                <w:lang w:val="zh-CN"/>
              </w:rPr>
              <w:t>受威胁人数</w:t>
            </w:r>
            <w:r>
              <w:rPr>
                <w:vertAlign w:val="superscript"/>
                <w:lang w:val="zh-CN"/>
              </w:rPr>
              <w:t>b</w:t>
            </w:r>
          </w:p>
          <w:p w:rsidR="009C5C1F" w:rsidRDefault="004D2E0D">
            <w:pPr>
              <w:suppressAutoHyphens/>
              <w:wordWrap w:val="0"/>
              <w:topLinePunct/>
              <w:jc w:val="center"/>
              <w:rPr>
                <w:lang w:val="zh-CN"/>
              </w:rPr>
            </w:pPr>
            <w:r>
              <w:rPr>
                <w:lang w:val="zh-CN"/>
              </w:rPr>
              <w:t>人</w:t>
            </w:r>
          </w:p>
        </w:tc>
      </w:tr>
      <w:tr w:rsidR="009C5C1F">
        <w:trPr>
          <w:trHeight w:val="340"/>
          <w:jc w:val="center"/>
        </w:trPr>
        <w:tc>
          <w:tcPr>
            <w:tcW w:w="1352" w:type="dxa"/>
            <w:vAlign w:val="center"/>
          </w:tcPr>
          <w:p w:rsidR="009C5C1F" w:rsidRDefault="004D2E0D">
            <w:pPr>
              <w:suppressAutoHyphens/>
              <w:wordWrap w:val="0"/>
              <w:topLinePunct/>
              <w:jc w:val="center"/>
            </w:pPr>
            <w:r>
              <w:rPr>
                <w:lang w:val="zh-CN"/>
              </w:rPr>
              <w:t>损失大</w:t>
            </w:r>
          </w:p>
        </w:tc>
        <w:tc>
          <w:tcPr>
            <w:tcW w:w="2895" w:type="dxa"/>
            <w:vAlign w:val="center"/>
          </w:tcPr>
          <w:p w:rsidR="009C5C1F" w:rsidRDefault="004D2E0D">
            <w:pPr>
              <w:suppressAutoHyphens/>
              <w:wordWrap w:val="0"/>
              <w:topLinePunct/>
              <w:jc w:val="center"/>
            </w:pPr>
            <w:r>
              <w:rPr>
                <w:lang w:val="zh-CN"/>
              </w:rPr>
              <w:t>＞</w:t>
            </w:r>
            <w:r>
              <w:t>1000</w:t>
            </w:r>
          </w:p>
        </w:tc>
        <w:tc>
          <w:tcPr>
            <w:tcW w:w="2895" w:type="dxa"/>
            <w:vAlign w:val="center"/>
          </w:tcPr>
          <w:p w:rsidR="009C5C1F" w:rsidRDefault="004D2E0D">
            <w:pPr>
              <w:suppressAutoHyphens/>
              <w:wordWrap w:val="0"/>
              <w:topLinePunct/>
              <w:jc w:val="center"/>
            </w:pPr>
            <w:r>
              <w:rPr>
                <w:lang w:val="zh-CN"/>
              </w:rPr>
              <w:t>＞</w:t>
            </w:r>
            <w:r>
              <w:t>30</w:t>
            </w:r>
          </w:p>
        </w:tc>
        <w:tc>
          <w:tcPr>
            <w:tcW w:w="1803" w:type="dxa"/>
            <w:vAlign w:val="center"/>
          </w:tcPr>
          <w:p w:rsidR="009C5C1F" w:rsidRDefault="004D2E0D">
            <w:pPr>
              <w:suppressAutoHyphens/>
              <w:wordWrap w:val="0"/>
              <w:topLinePunct/>
              <w:jc w:val="center"/>
            </w:pPr>
            <w:r>
              <w:rPr>
                <w:lang w:val="zh-CN"/>
              </w:rPr>
              <w:t>＞</w:t>
            </w:r>
            <w:r>
              <w:t>300</w:t>
            </w:r>
          </w:p>
        </w:tc>
      </w:tr>
      <w:tr w:rsidR="009C5C1F">
        <w:trPr>
          <w:trHeight w:val="340"/>
          <w:jc w:val="center"/>
        </w:trPr>
        <w:tc>
          <w:tcPr>
            <w:tcW w:w="1352" w:type="dxa"/>
            <w:vAlign w:val="center"/>
          </w:tcPr>
          <w:p w:rsidR="009C5C1F" w:rsidRDefault="004D2E0D">
            <w:pPr>
              <w:suppressAutoHyphens/>
              <w:wordWrap w:val="0"/>
              <w:topLinePunct/>
              <w:jc w:val="center"/>
            </w:pPr>
            <w:r>
              <w:rPr>
                <w:lang w:val="zh-CN"/>
              </w:rPr>
              <w:t>损失中等</w:t>
            </w:r>
          </w:p>
        </w:tc>
        <w:tc>
          <w:tcPr>
            <w:tcW w:w="2895" w:type="dxa"/>
            <w:vAlign w:val="center"/>
          </w:tcPr>
          <w:p w:rsidR="009C5C1F" w:rsidRDefault="004D2E0D">
            <w:pPr>
              <w:suppressAutoHyphens/>
              <w:wordWrap w:val="0"/>
              <w:topLinePunct/>
              <w:jc w:val="center"/>
            </w:pPr>
            <w:r>
              <w:t>1000</w:t>
            </w:r>
            <w:r>
              <w:rPr>
                <w:lang w:val="zh-CN"/>
              </w:rPr>
              <w:t>～</w:t>
            </w:r>
            <w:r>
              <w:t>100</w:t>
            </w:r>
          </w:p>
        </w:tc>
        <w:tc>
          <w:tcPr>
            <w:tcW w:w="2895" w:type="dxa"/>
            <w:vAlign w:val="center"/>
          </w:tcPr>
          <w:p w:rsidR="009C5C1F" w:rsidRDefault="004D2E0D">
            <w:pPr>
              <w:suppressAutoHyphens/>
              <w:wordWrap w:val="0"/>
              <w:topLinePunct/>
              <w:jc w:val="center"/>
            </w:pPr>
            <w:r>
              <w:t>30</w:t>
            </w:r>
            <w:r>
              <w:rPr>
                <w:lang w:val="zh-CN"/>
              </w:rPr>
              <w:t>～</w:t>
            </w:r>
            <w:r>
              <w:t>10</w:t>
            </w:r>
          </w:p>
        </w:tc>
        <w:tc>
          <w:tcPr>
            <w:tcW w:w="1803" w:type="dxa"/>
            <w:vAlign w:val="center"/>
          </w:tcPr>
          <w:p w:rsidR="009C5C1F" w:rsidRDefault="004D2E0D">
            <w:pPr>
              <w:suppressAutoHyphens/>
              <w:wordWrap w:val="0"/>
              <w:topLinePunct/>
              <w:jc w:val="center"/>
            </w:pPr>
            <w:r>
              <w:t>300</w:t>
            </w:r>
            <w:r>
              <w:rPr>
                <w:lang w:val="zh-CN"/>
              </w:rPr>
              <w:t>～</w:t>
            </w:r>
            <w:r>
              <w:t>50</w:t>
            </w:r>
          </w:p>
        </w:tc>
      </w:tr>
      <w:tr w:rsidR="009C5C1F">
        <w:trPr>
          <w:trHeight w:val="340"/>
          <w:jc w:val="center"/>
        </w:trPr>
        <w:tc>
          <w:tcPr>
            <w:tcW w:w="1352" w:type="dxa"/>
            <w:vAlign w:val="center"/>
          </w:tcPr>
          <w:p w:rsidR="009C5C1F" w:rsidRDefault="004D2E0D">
            <w:pPr>
              <w:suppressAutoHyphens/>
              <w:wordWrap w:val="0"/>
              <w:topLinePunct/>
              <w:jc w:val="center"/>
              <w:rPr>
                <w:bCs/>
              </w:rPr>
            </w:pPr>
            <w:r>
              <w:rPr>
                <w:bCs/>
                <w:lang w:val="zh-CN"/>
              </w:rPr>
              <w:t>损失小</w:t>
            </w:r>
          </w:p>
        </w:tc>
        <w:tc>
          <w:tcPr>
            <w:tcW w:w="2895" w:type="dxa"/>
            <w:vAlign w:val="center"/>
          </w:tcPr>
          <w:p w:rsidR="009C5C1F" w:rsidRDefault="004D2E0D">
            <w:pPr>
              <w:suppressAutoHyphens/>
              <w:wordWrap w:val="0"/>
              <w:topLinePunct/>
              <w:jc w:val="center"/>
            </w:pPr>
            <w:r>
              <w:rPr>
                <w:lang w:val="zh-CN"/>
              </w:rPr>
              <w:t>＜</w:t>
            </w:r>
            <w:r>
              <w:t>100</w:t>
            </w:r>
          </w:p>
        </w:tc>
        <w:tc>
          <w:tcPr>
            <w:tcW w:w="2895" w:type="dxa"/>
            <w:vAlign w:val="center"/>
          </w:tcPr>
          <w:p w:rsidR="009C5C1F" w:rsidRDefault="004D2E0D">
            <w:pPr>
              <w:suppressAutoHyphens/>
              <w:wordWrap w:val="0"/>
              <w:topLinePunct/>
              <w:jc w:val="center"/>
            </w:pPr>
            <w:r>
              <w:rPr>
                <w:lang w:val="zh-CN"/>
              </w:rPr>
              <w:t>＜</w:t>
            </w:r>
            <w:r>
              <w:t>10</w:t>
            </w:r>
          </w:p>
        </w:tc>
        <w:tc>
          <w:tcPr>
            <w:tcW w:w="1803" w:type="dxa"/>
            <w:vAlign w:val="center"/>
          </w:tcPr>
          <w:p w:rsidR="009C5C1F" w:rsidRDefault="004D2E0D">
            <w:pPr>
              <w:suppressAutoHyphens/>
              <w:wordWrap w:val="0"/>
              <w:topLinePunct/>
              <w:jc w:val="center"/>
            </w:pPr>
            <w:r>
              <w:rPr>
                <w:lang w:val="zh-CN"/>
              </w:rPr>
              <w:t>＜</w:t>
            </w:r>
            <w:r>
              <w:t>50</w:t>
            </w:r>
          </w:p>
        </w:tc>
      </w:tr>
      <w:tr w:rsidR="009C5C1F">
        <w:trPr>
          <w:trHeight w:val="1011"/>
          <w:jc w:val="center"/>
        </w:trPr>
        <w:tc>
          <w:tcPr>
            <w:tcW w:w="8945" w:type="dxa"/>
            <w:gridSpan w:val="4"/>
            <w:vAlign w:val="center"/>
          </w:tcPr>
          <w:p w:rsidR="009C5C1F" w:rsidRDefault="004D2E0D">
            <w:pPr>
              <w:suppressAutoHyphens/>
              <w:wordWrap w:val="0"/>
              <w:topLinePunct/>
              <w:jc w:val="center"/>
              <w:rPr>
                <w:lang w:val="zh-CN"/>
              </w:rPr>
            </w:pPr>
            <w:r>
              <w:rPr>
                <w:lang w:val="zh-CN"/>
              </w:rPr>
              <w:t xml:space="preserve">a </w:t>
            </w:r>
            <w:r>
              <w:rPr>
                <w:lang w:val="zh-CN"/>
              </w:rPr>
              <w:t>损失大小判定的三因素中，有一个因素达到</w:t>
            </w:r>
            <w:proofErr w:type="gramStart"/>
            <w:r>
              <w:rPr>
                <w:lang w:val="zh-CN"/>
              </w:rPr>
              <w:t>某较高</w:t>
            </w:r>
            <w:proofErr w:type="gramEnd"/>
            <w:r>
              <w:rPr>
                <w:lang w:val="zh-CN"/>
              </w:rPr>
              <w:t>等级的标准时，损失大小级别即为该等级。</w:t>
            </w:r>
          </w:p>
          <w:p w:rsidR="009C5C1F" w:rsidRDefault="004D2E0D">
            <w:pPr>
              <w:suppressAutoHyphens/>
              <w:wordWrap w:val="0"/>
              <w:topLinePunct/>
              <w:jc w:val="left"/>
              <w:rPr>
                <w:lang w:val="zh-CN"/>
              </w:rPr>
            </w:pPr>
            <w:r>
              <w:rPr>
                <w:lang w:val="zh-CN"/>
              </w:rPr>
              <w:t xml:space="preserve">b </w:t>
            </w:r>
            <w:r>
              <w:rPr>
                <w:lang w:val="zh-CN"/>
              </w:rPr>
              <w:t>地质灾害发生后可能造成的经济损失和受威胁人数，应是地质灾害涉及范围内可能造成的经济损失和受威胁人数；当有正式的地质灾害防治方案时，可只考虑防治方案实施前地质灾害可能造成的损失。</w:t>
            </w:r>
          </w:p>
        </w:tc>
      </w:tr>
    </w:tbl>
    <w:p w:rsidR="009C5C1F" w:rsidRDefault="004D2E0D">
      <w:pPr>
        <w:suppressAutoHyphens/>
        <w:wordWrap w:val="0"/>
        <w:topLinePunct/>
        <w:spacing w:beforeLines="50" w:before="120" w:line="360" w:lineRule="auto"/>
        <w:ind w:firstLineChars="200" w:firstLine="480"/>
        <w:rPr>
          <w:b/>
          <w:bCs/>
          <w:sz w:val="24"/>
        </w:rPr>
      </w:pPr>
      <w:proofErr w:type="gramStart"/>
      <w:r>
        <w:rPr>
          <w:rFonts w:hint="eastAsia"/>
          <w:sz w:val="24"/>
        </w:rPr>
        <w:t>评估区</w:t>
      </w:r>
      <w:proofErr w:type="gramEnd"/>
      <w:r>
        <w:rPr>
          <w:rFonts w:hint="eastAsia"/>
          <w:sz w:val="24"/>
        </w:rPr>
        <w:t>现状地质灾害不发育，在矿山开采过程中可能引发崩塌地质灾害，有可能对该矿山本身机械及人员造成一定危害，但是在采取一定防治措施后，可以得到预防或避免，由于可能发生崩塌的规模小、危害小，矿山可能遭受崩塌地质灾害的规模小，根据地质灾害危险性分级（表</w:t>
      </w:r>
      <w:r>
        <w:rPr>
          <w:rFonts w:hint="eastAsia"/>
          <w:sz w:val="24"/>
        </w:rPr>
        <w:t>3</w:t>
      </w:r>
      <w:r>
        <w:rPr>
          <w:rFonts w:hint="eastAsia"/>
          <w:sz w:val="24"/>
        </w:rPr>
        <w:t>—</w:t>
      </w:r>
      <w:r>
        <w:rPr>
          <w:rFonts w:hint="eastAsia"/>
          <w:sz w:val="24"/>
        </w:rPr>
        <w:t>7</w:t>
      </w:r>
      <w:r>
        <w:rPr>
          <w:rFonts w:hint="eastAsia"/>
          <w:sz w:val="24"/>
        </w:rPr>
        <w:t>），其地质灾害危险性分级为：</w:t>
      </w:r>
      <w:r>
        <w:rPr>
          <w:rFonts w:hint="eastAsia"/>
          <w:b/>
          <w:bCs/>
          <w:sz w:val="24"/>
        </w:rPr>
        <w:t>危险性小。</w:t>
      </w:r>
    </w:p>
    <w:p w:rsidR="009C5C1F" w:rsidRDefault="004D2E0D">
      <w:pPr>
        <w:pStyle w:val="a0"/>
        <w:ind w:firstLineChars="800" w:firstLine="1928"/>
        <w:rPr>
          <w:b/>
          <w:bCs/>
          <w:sz w:val="24"/>
        </w:rPr>
      </w:pPr>
      <w:r>
        <w:rPr>
          <w:rFonts w:hint="eastAsia"/>
          <w:b/>
          <w:bCs/>
          <w:sz w:val="24"/>
        </w:rPr>
        <w:t>表</w:t>
      </w:r>
      <w:r>
        <w:rPr>
          <w:rFonts w:hint="eastAsia"/>
          <w:b/>
          <w:bCs/>
          <w:sz w:val="24"/>
        </w:rPr>
        <w:t>3</w:t>
      </w:r>
      <w:r>
        <w:rPr>
          <w:rFonts w:hint="eastAsia"/>
          <w:b/>
          <w:bCs/>
          <w:sz w:val="24"/>
        </w:rPr>
        <w:t>—</w:t>
      </w:r>
      <w:r>
        <w:rPr>
          <w:rFonts w:hint="eastAsia"/>
          <w:b/>
          <w:bCs/>
          <w:sz w:val="24"/>
        </w:rPr>
        <w:t>7</w:t>
      </w:r>
      <w:r>
        <w:rPr>
          <w:b/>
          <w:bCs/>
          <w:sz w:val="24"/>
        </w:rPr>
        <w:t xml:space="preserve">             </w:t>
      </w:r>
      <w:r>
        <w:rPr>
          <w:rFonts w:hint="eastAsia"/>
          <w:b/>
          <w:bCs/>
          <w:sz w:val="24"/>
        </w:rPr>
        <w:t>地质灾害危险性分级表</w:t>
      </w:r>
    </w:p>
    <w:p w:rsidR="009C5C1F" w:rsidRDefault="009C5C1F">
      <w:pPr>
        <w:kinsoku w:val="0"/>
        <w:overflowPunct w:val="0"/>
        <w:autoSpaceDE w:val="0"/>
        <w:autoSpaceDN w:val="0"/>
        <w:adjustRightInd w:val="0"/>
        <w:spacing w:before="10"/>
        <w:jc w:val="left"/>
        <w:rPr>
          <w:kern w:val="0"/>
          <w:sz w:val="2"/>
          <w:szCs w:val="2"/>
        </w:rPr>
      </w:pPr>
      <w:bookmarkStart w:id="939" w:name="（三）矿区含水层破坏现状分析与预测"/>
      <w:bookmarkEnd w:id="939"/>
    </w:p>
    <w:tbl>
      <w:tblPr>
        <w:tblW w:w="0" w:type="auto"/>
        <w:tblInd w:w="102" w:type="dxa"/>
        <w:tblLayout w:type="fixed"/>
        <w:tblCellMar>
          <w:left w:w="0" w:type="dxa"/>
          <w:right w:w="0" w:type="dxa"/>
        </w:tblCellMar>
        <w:tblLook w:val="04A0" w:firstRow="1" w:lastRow="0" w:firstColumn="1" w:lastColumn="0" w:noHBand="0" w:noVBand="1"/>
      </w:tblPr>
      <w:tblGrid>
        <w:gridCol w:w="2929"/>
        <w:gridCol w:w="3040"/>
        <w:gridCol w:w="2964"/>
      </w:tblGrid>
      <w:tr w:rsidR="009C5C1F">
        <w:trPr>
          <w:trHeight w:hRule="exact" w:val="381"/>
        </w:trPr>
        <w:tc>
          <w:tcPr>
            <w:tcW w:w="2929" w:type="dxa"/>
            <w:vMerge w:val="restart"/>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9"/>
              <w:jc w:val="left"/>
              <w:rPr>
                <w:kern w:val="0"/>
                <w:sz w:val="17"/>
                <w:szCs w:val="17"/>
              </w:rPr>
            </w:pPr>
          </w:p>
          <w:p w:rsidR="009C5C1F" w:rsidRDefault="004D2E0D">
            <w:pPr>
              <w:kinsoku w:val="0"/>
              <w:overflowPunct w:val="0"/>
              <w:autoSpaceDE w:val="0"/>
              <w:autoSpaceDN w:val="0"/>
              <w:adjustRightInd w:val="0"/>
              <w:ind w:left="933"/>
              <w:jc w:val="left"/>
              <w:rPr>
                <w:kern w:val="0"/>
                <w:sz w:val="24"/>
              </w:rPr>
            </w:pPr>
            <w:bookmarkStart w:id="940" w:name="危险性分级"/>
            <w:bookmarkEnd w:id="940"/>
            <w:r>
              <w:rPr>
                <w:rFonts w:ascii="宋体" w:cs="宋体" w:hint="eastAsia"/>
                <w:kern w:val="0"/>
                <w:szCs w:val="21"/>
              </w:rPr>
              <w:t>危险性分级</w:t>
            </w:r>
          </w:p>
        </w:tc>
        <w:tc>
          <w:tcPr>
            <w:tcW w:w="6004" w:type="dxa"/>
            <w:gridSpan w:val="2"/>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5"/>
              <w:ind w:right="1"/>
              <w:jc w:val="center"/>
              <w:rPr>
                <w:kern w:val="0"/>
                <w:sz w:val="24"/>
              </w:rPr>
            </w:pPr>
            <w:bookmarkStart w:id="941" w:name="确定因素"/>
            <w:bookmarkEnd w:id="941"/>
            <w:r>
              <w:rPr>
                <w:rFonts w:ascii="宋体" w:cs="宋体" w:hint="eastAsia"/>
                <w:kern w:val="0"/>
                <w:szCs w:val="21"/>
              </w:rPr>
              <w:t>确定因素</w:t>
            </w:r>
          </w:p>
        </w:tc>
      </w:tr>
      <w:tr w:rsidR="009C5C1F">
        <w:trPr>
          <w:trHeight w:hRule="exact" w:val="381"/>
        </w:trPr>
        <w:tc>
          <w:tcPr>
            <w:tcW w:w="2929"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15"/>
              <w:ind w:right="1"/>
              <w:jc w:val="center"/>
              <w:rPr>
                <w:kern w:val="0"/>
                <w:sz w:val="24"/>
              </w:rPr>
            </w:pPr>
          </w:p>
        </w:tc>
        <w:tc>
          <w:tcPr>
            <w:tcW w:w="3040"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6"/>
              <w:ind w:left="675"/>
              <w:jc w:val="left"/>
              <w:rPr>
                <w:kern w:val="0"/>
                <w:sz w:val="24"/>
              </w:rPr>
            </w:pPr>
            <w:bookmarkStart w:id="942" w:name="地质灾害发育程度"/>
            <w:bookmarkEnd w:id="942"/>
            <w:r>
              <w:rPr>
                <w:rFonts w:ascii="宋体" w:cs="宋体" w:hint="eastAsia"/>
                <w:kern w:val="0"/>
                <w:szCs w:val="21"/>
              </w:rPr>
              <w:t>地质灾害发育程度</w:t>
            </w:r>
          </w:p>
        </w:tc>
        <w:tc>
          <w:tcPr>
            <w:tcW w:w="296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6"/>
              <w:ind w:left="638"/>
              <w:jc w:val="left"/>
              <w:rPr>
                <w:kern w:val="0"/>
                <w:sz w:val="24"/>
              </w:rPr>
            </w:pPr>
            <w:bookmarkStart w:id="943" w:name="地质灾害危害程度"/>
            <w:bookmarkEnd w:id="943"/>
            <w:r>
              <w:rPr>
                <w:rFonts w:ascii="宋体" w:cs="宋体" w:hint="eastAsia"/>
                <w:kern w:val="0"/>
                <w:szCs w:val="21"/>
              </w:rPr>
              <w:t>地质灾害危害程度</w:t>
            </w:r>
          </w:p>
        </w:tc>
      </w:tr>
      <w:tr w:rsidR="009C5C1F">
        <w:trPr>
          <w:trHeight w:hRule="exact" w:val="379"/>
        </w:trPr>
        <w:tc>
          <w:tcPr>
            <w:tcW w:w="2929"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4"/>
              <w:ind w:right="1"/>
              <w:jc w:val="center"/>
              <w:rPr>
                <w:kern w:val="0"/>
                <w:sz w:val="24"/>
              </w:rPr>
            </w:pPr>
            <w:bookmarkStart w:id="944" w:name="危险性大"/>
            <w:bookmarkEnd w:id="944"/>
            <w:r>
              <w:rPr>
                <w:rFonts w:ascii="宋体" w:cs="宋体" w:hint="eastAsia"/>
                <w:kern w:val="0"/>
                <w:szCs w:val="21"/>
              </w:rPr>
              <w:t>危险性大</w:t>
            </w:r>
          </w:p>
        </w:tc>
        <w:tc>
          <w:tcPr>
            <w:tcW w:w="3040"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4"/>
              <w:ind w:right="1"/>
              <w:jc w:val="center"/>
              <w:rPr>
                <w:kern w:val="0"/>
                <w:sz w:val="24"/>
              </w:rPr>
            </w:pPr>
            <w:bookmarkStart w:id="945" w:name="强发育"/>
            <w:bookmarkEnd w:id="945"/>
            <w:r>
              <w:rPr>
                <w:rFonts w:ascii="宋体" w:cs="宋体" w:hint="eastAsia"/>
                <w:kern w:val="0"/>
                <w:szCs w:val="21"/>
              </w:rPr>
              <w:t>强发育</w:t>
            </w:r>
          </w:p>
        </w:tc>
        <w:tc>
          <w:tcPr>
            <w:tcW w:w="296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4"/>
              <w:jc w:val="center"/>
              <w:rPr>
                <w:kern w:val="0"/>
                <w:sz w:val="24"/>
              </w:rPr>
            </w:pPr>
            <w:bookmarkStart w:id="946" w:name="危害重"/>
            <w:bookmarkEnd w:id="946"/>
            <w:r>
              <w:rPr>
                <w:rFonts w:ascii="宋体" w:cs="宋体" w:hint="eastAsia"/>
                <w:kern w:val="0"/>
                <w:szCs w:val="21"/>
              </w:rPr>
              <w:t>危害重</w:t>
            </w:r>
          </w:p>
        </w:tc>
      </w:tr>
      <w:tr w:rsidR="009C5C1F">
        <w:trPr>
          <w:trHeight w:hRule="exact" w:val="381"/>
        </w:trPr>
        <w:tc>
          <w:tcPr>
            <w:tcW w:w="2929"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4"/>
              <w:ind w:left="933"/>
              <w:jc w:val="left"/>
              <w:rPr>
                <w:kern w:val="0"/>
                <w:sz w:val="24"/>
              </w:rPr>
            </w:pPr>
            <w:bookmarkStart w:id="947" w:name="危险性中等"/>
            <w:bookmarkEnd w:id="947"/>
            <w:r>
              <w:rPr>
                <w:rFonts w:ascii="宋体" w:cs="宋体" w:hint="eastAsia"/>
                <w:kern w:val="0"/>
                <w:szCs w:val="21"/>
              </w:rPr>
              <w:t>危险性中等</w:t>
            </w:r>
          </w:p>
        </w:tc>
        <w:tc>
          <w:tcPr>
            <w:tcW w:w="3040"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4"/>
              <w:ind w:right="1"/>
              <w:jc w:val="center"/>
              <w:rPr>
                <w:kern w:val="0"/>
                <w:sz w:val="24"/>
              </w:rPr>
            </w:pPr>
            <w:bookmarkStart w:id="948" w:name="中等发育"/>
            <w:bookmarkEnd w:id="948"/>
            <w:r>
              <w:rPr>
                <w:rFonts w:ascii="宋体" w:cs="宋体" w:hint="eastAsia"/>
                <w:kern w:val="0"/>
                <w:szCs w:val="21"/>
              </w:rPr>
              <w:t>中等发育</w:t>
            </w:r>
          </w:p>
        </w:tc>
        <w:tc>
          <w:tcPr>
            <w:tcW w:w="296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4"/>
              <w:jc w:val="center"/>
              <w:rPr>
                <w:kern w:val="0"/>
                <w:sz w:val="24"/>
              </w:rPr>
            </w:pPr>
            <w:bookmarkStart w:id="949" w:name="危害中等"/>
            <w:bookmarkEnd w:id="949"/>
            <w:r>
              <w:rPr>
                <w:rFonts w:ascii="宋体" w:cs="宋体" w:hint="eastAsia"/>
                <w:kern w:val="0"/>
                <w:szCs w:val="21"/>
              </w:rPr>
              <w:t>危害中等</w:t>
            </w:r>
          </w:p>
        </w:tc>
      </w:tr>
      <w:tr w:rsidR="009C5C1F">
        <w:trPr>
          <w:trHeight w:hRule="exact" w:val="394"/>
        </w:trPr>
        <w:tc>
          <w:tcPr>
            <w:tcW w:w="2929"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22"/>
              <w:ind w:right="1"/>
              <w:jc w:val="center"/>
              <w:rPr>
                <w:kern w:val="0"/>
                <w:sz w:val="24"/>
              </w:rPr>
            </w:pPr>
            <w:bookmarkStart w:id="950" w:name="危险性小"/>
            <w:bookmarkEnd w:id="950"/>
            <w:r>
              <w:rPr>
                <w:rFonts w:ascii="宋体" w:cs="宋体" w:hint="eastAsia"/>
                <w:kern w:val="0"/>
                <w:szCs w:val="21"/>
              </w:rPr>
              <w:t>危险性小</w:t>
            </w:r>
          </w:p>
        </w:tc>
        <w:tc>
          <w:tcPr>
            <w:tcW w:w="3040"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22"/>
              <w:ind w:right="1"/>
              <w:jc w:val="center"/>
              <w:rPr>
                <w:kern w:val="0"/>
                <w:sz w:val="24"/>
              </w:rPr>
            </w:pPr>
            <w:bookmarkStart w:id="951" w:name="弱发育"/>
            <w:bookmarkEnd w:id="951"/>
            <w:r>
              <w:rPr>
                <w:rFonts w:ascii="宋体" w:cs="宋体" w:hint="eastAsia"/>
                <w:kern w:val="0"/>
                <w:szCs w:val="21"/>
              </w:rPr>
              <w:t>弱发育</w:t>
            </w:r>
          </w:p>
        </w:tc>
        <w:tc>
          <w:tcPr>
            <w:tcW w:w="296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22"/>
              <w:jc w:val="center"/>
              <w:rPr>
                <w:kern w:val="0"/>
                <w:sz w:val="24"/>
              </w:rPr>
            </w:pPr>
            <w:bookmarkStart w:id="952" w:name="危害轻"/>
            <w:bookmarkEnd w:id="952"/>
            <w:r>
              <w:rPr>
                <w:rFonts w:ascii="宋体" w:cs="宋体" w:hint="eastAsia"/>
                <w:kern w:val="0"/>
                <w:szCs w:val="21"/>
              </w:rPr>
              <w:t>危害轻</w:t>
            </w:r>
          </w:p>
        </w:tc>
      </w:tr>
    </w:tbl>
    <w:p w:rsidR="009C5C1F" w:rsidRDefault="009C5C1F">
      <w:pPr>
        <w:pStyle w:val="a0"/>
        <w:ind w:firstLineChars="800" w:firstLine="1928"/>
        <w:rPr>
          <w:b/>
          <w:bCs/>
          <w:sz w:val="24"/>
        </w:rPr>
      </w:pPr>
    </w:p>
    <w:p w:rsidR="009C5C1F" w:rsidRDefault="004D2E0D">
      <w:pPr>
        <w:suppressAutoHyphens/>
        <w:wordWrap w:val="0"/>
        <w:topLinePunct/>
        <w:spacing w:line="360" w:lineRule="auto"/>
        <w:ind w:firstLineChars="200" w:firstLine="480"/>
        <w:rPr>
          <w:sz w:val="24"/>
        </w:rPr>
      </w:pPr>
      <w:r>
        <w:rPr>
          <w:rFonts w:hint="eastAsia"/>
          <w:sz w:val="24"/>
        </w:rPr>
        <w:t>（</w:t>
      </w:r>
      <w:r>
        <w:rPr>
          <w:rFonts w:hint="eastAsia"/>
          <w:sz w:val="24"/>
        </w:rPr>
        <w:t>2</w:t>
      </w:r>
      <w:r>
        <w:rPr>
          <w:rFonts w:hint="eastAsia"/>
          <w:sz w:val="24"/>
        </w:rPr>
        <w:t>）剥离废渣堆放可能引发地质灾害的预测评估</w:t>
      </w:r>
    </w:p>
    <w:p w:rsidR="009C5C1F" w:rsidRDefault="004D2E0D">
      <w:pPr>
        <w:suppressAutoHyphens/>
        <w:wordWrap w:val="0"/>
        <w:topLinePunct/>
        <w:spacing w:line="360" w:lineRule="auto"/>
        <w:ind w:firstLineChars="200" w:firstLine="480"/>
        <w:rPr>
          <w:sz w:val="24"/>
        </w:rPr>
      </w:pPr>
      <w:r>
        <w:rPr>
          <w:sz w:val="24"/>
        </w:rPr>
        <w:t>本</w:t>
      </w:r>
      <w:proofErr w:type="gramStart"/>
      <w:r>
        <w:rPr>
          <w:sz w:val="24"/>
        </w:rPr>
        <w:t>评估区</w:t>
      </w:r>
      <w:r>
        <w:rPr>
          <w:rFonts w:hint="eastAsia"/>
          <w:sz w:val="24"/>
        </w:rPr>
        <w:t>洪水</w:t>
      </w:r>
      <w:proofErr w:type="gramEnd"/>
      <w:r>
        <w:rPr>
          <w:rFonts w:hint="eastAsia"/>
          <w:sz w:val="24"/>
        </w:rPr>
        <w:t>冲蚀灾害发生的可能性小，</w:t>
      </w:r>
      <w:r>
        <w:rPr>
          <w:sz w:val="24"/>
        </w:rPr>
        <w:t>冲蚀作用轻微，易发生性低。</w:t>
      </w:r>
    </w:p>
    <w:p w:rsidR="009C5C1F" w:rsidRDefault="004D2E0D">
      <w:pPr>
        <w:suppressAutoHyphens/>
        <w:wordWrap w:val="0"/>
        <w:topLinePunct/>
        <w:spacing w:line="360" w:lineRule="auto"/>
        <w:ind w:firstLineChars="200" w:firstLine="480"/>
        <w:rPr>
          <w:sz w:val="24"/>
        </w:rPr>
      </w:pPr>
      <w:r>
        <w:rPr>
          <w:rFonts w:hint="eastAsia"/>
          <w:sz w:val="24"/>
        </w:rPr>
        <w:t>矿山开采产生的废渣量较小，且基本不含有害物质，属一般废弃物，可直接由车辆拉运排放至指定堆料场堆放。</w:t>
      </w:r>
      <w:r>
        <w:rPr>
          <w:sz w:val="24"/>
        </w:rPr>
        <w:t>根据《开发利用方案》，</w:t>
      </w:r>
      <w:r>
        <w:rPr>
          <w:rFonts w:hint="eastAsia"/>
          <w:sz w:val="24"/>
        </w:rPr>
        <w:t>矿区</w:t>
      </w:r>
      <w:r>
        <w:rPr>
          <w:sz w:val="24"/>
        </w:rPr>
        <w:t>内设置</w:t>
      </w:r>
      <w:r>
        <w:rPr>
          <w:rFonts w:hint="eastAsia"/>
          <w:sz w:val="24"/>
        </w:rPr>
        <w:t>堆料</w:t>
      </w:r>
      <w:r>
        <w:rPr>
          <w:sz w:val="24"/>
        </w:rPr>
        <w:t>场位于采场</w:t>
      </w:r>
      <w:r>
        <w:rPr>
          <w:rFonts w:hint="eastAsia"/>
          <w:sz w:val="24"/>
        </w:rPr>
        <w:t>中部采空区</w:t>
      </w:r>
      <w:r>
        <w:rPr>
          <w:sz w:val="24"/>
        </w:rPr>
        <w:t>处。</w:t>
      </w:r>
      <w:r>
        <w:rPr>
          <w:rFonts w:hint="eastAsia"/>
          <w:sz w:val="24"/>
        </w:rPr>
        <w:t>堆料过程应是由里向外逐渐堆积，并逐层填高。</w:t>
      </w:r>
    </w:p>
    <w:p w:rsidR="009C5C1F" w:rsidRDefault="004D2E0D">
      <w:pPr>
        <w:suppressAutoHyphens/>
        <w:wordWrap w:val="0"/>
        <w:topLinePunct/>
        <w:spacing w:line="360" w:lineRule="auto"/>
        <w:ind w:firstLineChars="200" w:firstLine="480"/>
        <w:rPr>
          <w:sz w:val="24"/>
        </w:rPr>
      </w:pPr>
      <w:r>
        <w:rPr>
          <w:sz w:val="24"/>
        </w:rPr>
        <w:t>由于矿区</w:t>
      </w:r>
      <w:r>
        <w:rPr>
          <w:rFonts w:hint="eastAsia"/>
          <w:sz w:val="24"/>
        </w:rPr>
        <w:t>地处干旱区，汇水面小、</w:t>
      </w:r>
      <w:r>
        <w:rPr>
          <w:sz w:val="24"/>
        </w:rPr>
        <w:t>洪水冲蚀作用轻微，易发生性低，因此矿山</w:t>
      </w:r>
      <w:r>
        <w:rPr>
          <w:rFonts w:hint="eastAsia"/>
          <w:sz w:val="24"/>
        </w:rPr>
        <w:t>堆料场</w:t>
      </w:r>
      <w:r>
        <w:rPr>
          <w:sz w:val="24"/>
        </w:rPr>
        <w:t>引发泥石流可能性低。</w:t>
      </w:r>
    </w:p>
    <w:p w:rsidR="009C5C1F" w:rsidRDefault="004D2E0D">
      <w:pPr>
        <w:suppressAutoHyphens/>
        <w:wordWrap w:val="0"/>
        <w:topLinePunct/>
        <w:spacing w:line="360" w:lineRule="auto"/>
        <w:ind w:firstLineChars="200" w:firstLine="480"/>
        <w:rPr>
          <w:sz w:val="24"/>
        </w:rPr>
      </w:pPr>
      <w:r>
        <w:rPr>
          <w:sz w:val="24"/>
        </w:rPr>
        <w:t>依据《矿山地质环境保护与恢复治理方案编制规范》（</w:t>
      </w:r>
      <w:r>
        <w:rPr>
          <w:sz w:val="24"/>
        </w:rPr>
        <w:t>DZ/T0223—2011</w:t>
      </w:r>
      <w:r>
        <w:rPr>
          <w:sz w:val="24"/>
        </w:rPr>
        <w:t>）附录</w:t>
      </w:r>
      <w:r>
        <w:rPr>
          <w:sz w:val="24"/>
        </w:rPr>
        <w:t>E</w:t>
      </w:r>
      <w:r>
        <w:rPr>
          <w:sz w:val="24"/>
        </w:rPr>
        <w:t>表</w:t>
      </w:r>
      <w:r>
        <w:rPr>
          <w:sz w:val="24"/>
        </w:rPr>
        <w:t>E</w:t>
      </w:r>
      <w:r>
        <w:rPr>
          <w:rFonts w:hint="eastAsia"/>
          <w:sz w:val="24"/>
        </w:rPr>
        <w:t>“</w:t>
      </w:r>
      <w:r>
        <w:rPr>
          <w:sz w:val="24"/>
        </w:rPr>
        <w:t>矿山地质环境影响程度分级表</w:t>
      </w:r>
      <w:r>
        <w:rPr>
          <w:rFonts w:hint="eastAsia"/>
          <w:sz w:val="24"/>
        </w:rPr>
        <w:t>”（</w:t>
      </w:r>
      <w:r>
        <w:rPr>
          <w:sz w:val="24"/>
        </w:rPr>
        <w:t>表</w:t>
      </w:r>
      <w:r>
        <w:rPr>
          <w:sz w:val="24"/>
        </w:rPr>
        <w:t>3-8</w:t>
      </w:r>
      <w:r>
        <w:rPr>
          <w:sz w:val="24"/>
        </w:rPr>
        <w:t>），</w:t>
      </w:r>
      <w:proofErr w:type="gramStart"/>
      <w:r>
        <w:rPr>
          <w:rFonts w:hint="eastAsia"/>
          <w:sz w:val="24"/>
        </w:rPr>
        <w:t>评估区洪水</w:t>
      </w:r>
      <w:proofErr w:type="gramEnd"/>
      <w:r>
        <w:rPr>
          <w:rFonts w:hint="eastAsia"/>
          <w:sz w:val="24"/>
        </w:rPr>
        <w:t>冲蚀灾害对矿山地质环境的影响较</w:t>
      </w:r>
      <w:r>
        <w:rPr>
          <w:rFonts w:hint="eastAsia"/>
          <w:b/>
          <w:bCs/>
          <w:sz w:val="24"/>
        </w:rPr>
        <w:t>轻</w:t>
      </w:r>
      <w:r>
        <w:rPr>
          <w:rFonts w:hint="eastAsia"/>
          <w:sz w:val="24"/>
        </w:rPr>
        <w:t>。</w:t>
      </w:r>
    </w:p>
    <w:p w:rsidR="009C5C1F" w:rsidRDefault="009C5C1F">
      <w:pPr>
        <w:suppressAutoHyphens/>
        <w:topLinePunct/>
        <w:spacing w:beforeLines="50" w:before="120" w:line="360" w:lineRule="auto"/>
        <w:ind w:firstLineChars="200" w:firstLine="482"/>
        <w:jc w:val="center"/>
        <w:rPr>
          <w:b/>
          <w:bCs/>
          <w:sz w:val="24"/>
        </w:rPr>
      </w:pPr>
    </w:p>
    <w:p w:rsidR="009C5C1F" w:rsidRDefault="009C5C1F">
      <w:pPr>
        <w:suppressAutoHyphens/>
        <w:topLinePunct/>
        <w:spacing w:beforeLines="50" w:before="120" w:line="360" w:lineRule="auto"/>
        <w:ind w:firstLineChars="200" w:firstLine="482"/>
        <w:jc w:val="center"/>
        <w:rPr>
          <w:b/>
          <w:bCs/>
          <w:sz w:val="24"/>
        </w:rPr>
      </w:pPr>
    </w:p>
    <w:p w:rsidR="009C5C1F" w:rsidRDefault="004D2E0D">
      <w:pPr>
        <w:suppressAutoHyphens/>
        <w:topLinePunct/>
        <w:spacing w:beforeLines="50" w:before="120" w:line="360" w:lineRule="auto"/>
        <w:ind w:firstLineChars="200" w:firstLine="482"/>
        <w:jc w:val="center"/>
        <w:rPr>
          <w:b/>
          <w:bCs/>
          <w:sz w:val="24"/>
        </w:rPr>
      </w:pPr>
      <w:r>
        <w:rPr>
          <w:rFonts w:hint="eastAsia"/>
          <w:b/>
          <w:bCs/>
          <w:sz w:val="24"/>
        </w:rPr>
        <w:t>表</w:t>
      </w:r>
      <w:r>
        <w:rPr>
          <w:rFonts w:hint="eastAsia"/>
          <w:b/>
          <w:bCs/>
          <w:sz w:val="24"/>
        </w:rPr>
        <w:t>3</w:t>
      </w:r>
      <w:r>
        <w:rPr>
          <w:rFonts w:hint="eastAsia"/>
          <w:b/>
          <w:bCs/>
          <w:sz w:val="24"/>
        </w:rPr>
        <w:t>—</w:t>
      </w:r>
      <w:r>
        <w:rPr>
          <w:rFonts w:hint="eastAsia"/>
          <w:b/>
          <w:bCs/>
          <w:sz w:val="24"/>
        </w:rPr>
        <w:t>8</w:t>
      </w:r>
      <w:r>
        <w:rPr>
          <w:b/>
          <w:bCs/>
          <w:sz w:val="24"/>
        </w:rPr>
        <w:t xml:space="preserve">              </w:t>
      </w:r>
      <w:r>
        <w:rPr>
          <w:b/>
          <w:bCs/>
          <w:sz w:val="24"/>
        </w:rPr>
        <w:t>矿山地质环境影响程度分级表</w:t>
      </w:r>
      <w:r>
        <w:rPr>
          <w:rFonts w:hint="eastAsia"/>
          <w:b/>
          <w:bCs/>
          <w:sz w:val="24"/>
        </w:rPr>
        <w:t xml:space="preserve">         </w:t>
      </w:r>
    </w:p>
    <w:tbl>
      <w:tblPr>
        <w:tblW w:w="8655" w:type="dxa"/>
        <w:jc w:val="center"/>
        <w:tblLayout w:type="fixed"/>
        <w:tblCellMar>
          <w:left w:w="10" w:type="dxa"/>
          <w:right w:w="10" w:type="dxa"/>
        </w:tblCellMar>
        <w:tblLook w:val="04A0" w:firstRow="1" w:lastRow="0" w:firstColumn="1" w:lastColumn="0" w:noHBand="0" w:noVBand="1"/>
      </w:tblPr>
      <w:tblGrid>
        <w:gridCol w:w="640"/>
        <w:gridCol w:w="1903"/>
        <w:gridCol w:w="2784"/>
        <w:gridCol w:w="1843"/>
        <w:gridCol w:w="1485"/>
      </w:tblGrid>
      <w:tr w:rsidR="009C5C1F">
        <w:trPr>
          <w:trHeight w:hRule="exact" w:val="581"/>
          <w:jc w:val="center"/>
        </w:trPr>
        <w:tc>
          <w:tcPr>
            <w:tcW w:w="640" w:type="dxa"/>
            <w:tcBorders>
              <w:top w:val="single" w:sz="4" w:space="0" w:color="auto"/>
              <w:left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lastRenderedPageBreak/>
              <w:t>影响程度分级</w:t>
            </w:r>
          </w:p>
        </w:tc>
        <w:tc>
          <w:tcPr>
            <w:tcW w:w="1903" w:type="dxa"/>
            <w:tcBorders>
              <w:top w:val="single" w:sz="4" w:space="0" w:color="auto"/>
              <w:left w:val="single" w:sz="4" w:space="0" w:color="auto"/>
            </w:tcBorders>
            <w:shd w:val="clear" w:color="auto" w:fill="FFFFFF"/>
            <w:vAlign w:val="center"/>
          </w:tcPr>
          <w:p w:rsidR="009C5C1F" w:rsidRDefault="004D2E0D">
            <w:pPr>
              <w:wordWrap w:val="0"/>
              <w:topLinePunct/>
              <w:jc w:val="center"/>
              <w:rPr>
                <w:bCs/>
                <w:kern w:val="0"/>
                <w:szCs w:val="21"/>
              </w:rPr>
            </w:pPr>
            <w:r>
              <w:rPr>
                <w:rFonts w:hAnsi="宋体"/>
                <w:bCs/>
                <w:spacing w:val="-10"/>
                <w:kern w:val="0"/>
                <w:shd w:val="clear" w:color="auto" w:fill="FFFFFF"/>
                <w:lang w:val="zh-CN"/>
              </w:rPr>
              <w:t>地质灾害</w:t>
            </w:r>
          </w:p>
        </w:tc>
        <w:tc>
          <w:tcPr>
            <w:tcW w:w="27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含水层</w:t>
            </w:r>
          </w:p>
        </w:tc>
        <w:tc>
          <w:tcPr>
            <w:tcW w:w="1843"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地形地貌景观</w:t>
            </w:r>
          </w:p>
        </w:tc>
        <w:tc>
          <w:tcPr>
            <w:tcW w:w="1485" w:type="dxa"/>
            <w:tcBorders>
              <w:top w:val="single" w:sz="4" w:space="0" w:color="auto"/>
              <w:left w:val="single" w:sz="4" w:space="0" w:color="auto"/>
              <w:righ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土地资源</w:t>
            </w:r>
          </w:p>
        </w:tc>
      </w:tr>
      <w:tr w:rsidR="009C5C1F">
        <w:trPr>
          <w:trHeight w:hRule="exact" w:val="2556"/>
          <w:jc w:val="center"/>
        </w:trPr>
        <w:tc>
          <w:tcPr>
            <w:tcW w:w="640" w:type="dxa"/>
            <w:tcBorders>
              <w:top w:val="single" w:sz="4" w:space="0" w:color="auto"/>
              <w:left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严重</w:t>
            </w:r>
          </w:p>
        </w:tc>
        <w:tc>
          <w:tcPr>
            <w:tcW w:w="1903" w:type="dxa"/>
            <w:tcBorders>
              <w:top w:val="single" w:sz="4" w:space="0" w:color="auto"/>
              <w:left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地质灾害规模大，</w:t>
            </w:r>
            <w:r>
              <w:rPr>
                <w:spacing w:val="-10"/>
                <w:kern w:val="0"/>
                <w:shd w:val="clear" w:color="auto" w:fill="FFFFFF"/>
                <w:lang w:val="zh-CN"/>
              </w:rPr>
              <w:t xml:space="preserve"> </w:t>
            </w:r>
            <w:r>
              <w:rPr>
                <w:rFonts w:hAnsi="宋体"/>
                <w:spacing w:val="-10"/>
                <w:kern w:val="0"/>
                <w:shd w:val="clear" w:color="auto" w:fill="FFFFFF"/>
                <w:lang w:val="zh-CN"/>
              </w:rPr>
              <w:t>发生的可能性大</w:t>
            </w:r>
            <w:r>
              <w:rPr>
                <w:spacing w:val="-10"/>
                <w:kern w:val="0"/>
                <w:shd w:val="clear" w:color="auto" w:fill="FFFFFF"/>
                <w:lang w:val="zh-CN"/>
              </w:rPr>
              <w:t xml:space="preserve"> </w:t>
            </w:r>
            <w:r>
              <w:rPr>
                <w:rFonts w:hAnsi="宋体"/>
                <w:spacing w:val="-10"/>
                <w:kern w:val="0"/>
                <w:shd w:val="clear" w:color="auto" w:fill="FFFFFF"/>
                <w:lang w:val="zh-CN"/>
              </w:rPr>
              <w:t>影响到城市、乡</w:t>
            </w:r>
            <w:r>
              <w:rPr>
                <w:spacing w:val="-10"/>
                <w:kern w:val="0"/>
                <w:shd w:val="clear" w:color="auto" w:fill="FFFFFF"/>
                <w:lang w:val="zh-CN"/>
              </w:rPr>
              <w:t xml:space="preserve"> </w:t>
            </w:r>
            <w:r>
              <w:rPr>
                <w:rFonts w:hAnsi="宋体"/>
                <w:spacing w:val="-10"/>
                <w:kern w:val="0"/>
                <w:shd w:val="clear" w:color="auto" w:fill="FFFFFF"/>
                <w:lang w:val="zh-CN"/>
              </w:rPr>
              <w:t>镇、重要行政村、重</w:t>
            </w:r>
            <w:r>
              <w:rPr>
                <w:spacing w:val="-10"/>
                <w:kern w:val="0"/>
                <w:shd w:val="clear" w:color="auto" w:fill="FFFFFF"/>
                <w:lang w:val="zh-CN"/>
              </w:rPr>
              <w:t xml:space="preserve"> </w:t>
            </w:r>
            <w:r>
              <w:rPr>
                <w:rFonts w:hAnsi="宋体"/>
                <w:spacing w:val="-10"/>
                <w:kern w:val="0"/>
                <w:shd w:val="clear" w:color="auto" w:fill="FFFFFF"/>
                <w:lang w:val="zh-CN"/>
              </w:rPr>
              <w:t>要交通干线、重要工</w:t>
            </w:r>
            <w:r>
              <w:rPr>
                <w:spacing w:val="-10"/>
                <w:kern w:val="0"/>
                <w:shd w:val="clear" w:color="auto" w:fill="FFFFFF"/>
                <w:lang w:val="zh-CN"/>
              </w:rPr>
              <w:t xml:space="preserve"> </w:t>
            </w:r>
            <w:r>
              <w:rPr>
                <w:rFonts w:hAnsi="宋体"/>
                <w:spacing w:val="-10"/>
                <w:kern w:val="0"/>
                <w:shd w:val="clear" w:color="auto" w:fill="FFFFFF"/>
                <w:lang w:val="zh-CN"/>
              </w:rPr>
              <w:t>程设施及各类保护</w:t>
            </w:r>
            <w:r>
              <w:rPr>
                <w:spacing w:val="-10"/>
                <w:kern w:val="0"/>
                <w:shd w:val="clear" w:color="auto" w:fill="FFFFFF"/>
                <w:lang w:val="zh-CN"/>
              </w:rPr>
              <w:t xml:space="preserve"> </w:t>
            </w:r>
            <w:r>
              <w:rPr>
                <w:rFonts w:hAnsi="宋体"/>
                <w:spacing w:val="-10"/>
                <w:kern w:val="0"/>
                <w:shd w:val="clear" w:color="auto" w:fill="FFFFFF"/>
                <w:lang w:val="zh-CN"/>
              </w:rPr>
              <w:t>区安全</w:t>
            </w:r>
            <w:r>
              <w:rPr>
                <w:spacing w:val="-10"/>
                <w:kern w:val="0"/>
                <w:shd w:val="clear" w:color="auto" w:fill="FFFFFF"/>
                <w:lang w:val="zh-CN"/>
              </w:rPr>
              <w:t xml:space="preserve"> </w:t>
            </w:r>
            <w:r>
              <w:rPr>
                <w:rFonts w:hAnsi="宋体"/>
                <w:spacing w:val="-10"/>
                <w:kern w:val="0"/>
                <w:shd w:val="clear" w:color="auto" w:fill="FFFFFF"/>
                <w:lang w:val="zh-CN"/>
              </w:rPr>
              <w:t>造成或可能造成</w:t>
            </w:r>
            <w:r>
              <w:rPr>
                <w:spacing w:val="-10"/>
                <w:kern w:val="0"/>
                <w:shd w:val="clear" w:color="auto" w:fill="FFFFFF"/>
                <w:lang w:val="zh-CN"/>
              </w:rPr>
              <w:t xml:space="preserve"> </w:t>
            </w:r>
            <w:r>
              <w:rPr>
                <w:rFonts w:hAnsi="宋体"/>
                <w:spacing w:val="-10"/>
                <w:kern w:val="0"/>
                <w:shd w:val="clear" w:color="auto" w:fill="FFFFFF"/>
                <w:lang w:val="zh-CN"/>
              </w:rPr>
              <w:t>直接经济损失大于</w:t>
            </w:r>
            <w:r>
              <w:rPr>
                <w:spacing w:val="-10"/>
                <w:kern w:val="0"/>
                <w:shd w:val="clear" w:color="auto" w:fill="FFFFFF"/>
                <w:lang w:val="zh-CN"/>
              </w:rPr>
              <w:t xml:space="preserve"> </w:t>
            </w:r>
            <w:r>
              <w:rPr>
                <w:iCs/>
                <w:spacing w:val="20"/>
                <w:kern w:val="0"/>
                <w:shd w:val="clear" w:color="auto" w:fill="FFFFFF"/>
                <w:lang w:val="zh-TW"/>
              </w:rPr>
              <w:t>500</w:t>
            </w:r>
            <w:r>
              <w:rPr>
                <w:rFonts w:hAnsi="宋体"/>
                <w:spacing w:val="-10"/>
                <w:kern w:val="0"/>
                <w:shd w:val="clear" w:color="auto" w:fill="FFFFFF"/>
                <w:lang w:val="zh-CN"/>
              </w:rPr>
              <w:t>万元</w:t>
            </w:r>
            <w:r>
              <w:rPr>
                <w:spacing w:val="-10"/>
                <w:kern w:val="0"/>
                <w:shd w:val="clear" w:color="auto" w:fill="FFFFFF"/>
                <w:lang w:val="zh-CN"/>
              </w:rPr>
              <w:t xml:space="preserve"> </w:t>
            </w:r>
            <w:r>
              <w:rPr>
                <w:rFonts w:hAnsi="宋体"/>
                <w:spacing w:val="-10"/>
                <w:kern w:val="0"/>
                <w:shd w:val="clear" w:color="auto" w:fill="FFFFFF"/>
                <w:lang w:val="zh-CN"/>
              </w:rPr>
              <w:t>受威胁人数大于</w:t>
            </w:r>
            <w:r>
              <w:rPr>
                <w:spacing w:val="-10"/>
                <w:kern w:val="0"/>
                <w:shd w:val="clear" w:color="auto" w:fill="FFFFFF"/>
                <w:lang w:val="zh-CN"/>
              </w:rPr>
              <w:t xml:space="preserve"> </w:t>
            </w:r>
            <w:r>
              <w:rPr>
                <w:iCs/>
                <w:spacing w:val="20"/>
                <w:kern w:val="0"/>
                <w:shd w:val="clear" w:color="auto" w:fill="FFFFFF"/>
                <w:lang w:val="zh-TW"/>
              </w:rPr>
              <w:t>100</w:t>
            </w:r>
            <w:r>
              <w:rPr>
                <w:rFonts w:hAnsi="宋体"/>
                <w:spacing w:val="-10"/>
                <w:kern w:val="0"/>
                <w:shd w:val="clear" w:color="auto" w:fill="FFFFFF"/>
                <w:lang w:val="zh-CN"/>
              </w:rPr>
              <w:t>人</w:t>
            </w:r>
          </w:p>
        </w:tc>
        <w:tc>
          <w:tcPr>
            <w:tcW w:w="2784" w:type="dxa"/>
            <w:tcBorders>
              <w:top w:val="single" w:sz="4" w:space="0" w:color="auto"/>
              <w:left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矿床充水主要含水层结</w:t>
            </w:r>
            <w:r>
              <w:rPr>
                <w:spacing w:val="-10"/>
                <w:kern w:val="0"/>
                <w:shd w:val="clear" w:color="auto" w:fill="FFFFFF"/>
                <w:lang w:val="zh-CN"/>
              </w:rPr>
              <w:t xml:space="preserve"> </w:t>
            </w:r>
            <w:r>
              <w:rPr>
                <w:rFonts w:hAnsi="宋体"/>
                <w:spacing w:val="-10"/>
                <w:kern w:val="0"/>
                <w:shd w:val="clear" w:color="auto" w:fill="FFFFFF"/>
                <w:lang w:val="zh-CN"/>
              </w:rPr>
              <w:t>构破坏，产生导水通道</w:t>
            </w:r>
            <w:r>
              <w:rPr>
                <w:spacing w:val="-10"/>
                <w:kern w:val="0"/>
                <w:shd w:val="clear" w:color="auto" w:fill="FFFFFF"/>
                <w:lang w:val="zh-CN"/>
              </w:rPr>
              <w:t xml:space="preserve"> </w:t>
            </w:r>
            <w:r>
              <w:rPr>
                <w:rFonts w:hAnsi="宋体"/>
                <w:spacing w:val="-10"/>
                <w:kern w:val="0"/>
                <w:shd w:val="clear" w:color="auto" w:fill="FFFFFF"/>
                <w:lang w:val="zh-CN"/>
              </w:rPr>
              <w:t>矿井正常涌水量大于</w:t>
            </w:r>
            <w:r>
              <w:rPr>
                <w:spacing w:val="-10"/>
                <w:kern w:val="0"/>
                <w:shd w:val="clear" w:color="auto" w:fill="FFFFFF"/>
                <w:lang w:val="zh-CN"/>
              </w:rPr>
              <w:t xml:space="preserve"> </w:t>
            </w:r>
            <w:r>
              <w:rPr>
                <w:iCs/>
                <w:spacing w:val="20"/>
                <w:kern w:val="0"/>
                <w:shd w:val="clear" w:color="auto" w:fill="FFFFFF"/>
                <w:lang w:val="zh-TW"/>
              </w:rPr>
              <w:t xml:space="preserve">10000 </w:t>
            </w:r>
            <w:r>
              <w:rPr>
                <w:iCs/>
                <w:spacing w:val="20"/>
                <w:kern w:val="0"/>
                <w:shd w:val="clear" w:color="auto" w:fill="FFFFFF"/>
                <w:lang w:val="zh-CN"/>
              </w:rPr>
              <w:t>m</w:t>
            </w:r>
            <w:r>
              <w:rPr>
                <w:iCs/>
                <w:spacing w:val="20"/>
                <w:kern w:val="0"/>
                <w:shd w:val="clear" w:color="auto" w:fill="FFFFFF"/>
                <w:vertAlign w:val="superscript"/>
                <w:lang w:val="zh-CN"/>
              </w:rPr>
              <w:t>3</w:t>
            </w:r>
            <w:r>
              <w:rPr>
                <w:iCs/>
                <w:spacing w:val="20"/>
                <w:kern w:val="0"/>
                <w:shd w:val="clear" w:color="auto" w:fill="FFFFFF"/>
                <w:lang w:val="zh-CN"/>
              </w:rPr>
              <w:t xml:space="preserve">/d </w:t>
            </w:r>
            <w:r>
              <w:rPr>
                <w:rFonts w:hAnsi="宋体"/>
                <w:spacing w:val="-10"/>
                <w:kern w:val="0"/>
                <w:shd w:val="clear" w:color="auto" w:fill="FFFFFF"/>
                <w:lang w:val="zh-CN"/>
              </w:rPr>
              <w:t>区域地下水水位下降</w:t>
            </w:r>
            <w:r>
              <w:rPr>
                <w:spacing w:val="-10"/>
                <w:kern w:val="0"/>
                <w:shd w:val="clear" w:color="auto" w:fill="FFFFFF"/>
                <w:lang w:val="zh-CN"/>
              </w:rPr>
              <w:t xml:space="preserve"> </w:t>
            </w:r>
            <w:r>
              <w:rPr>
                <w:rFonts w:hAnsi="宋体"/>
                <w:spacing w:val="-10"/>
                <w:kern w:val="0"/>
                <w:shd w:val="clear" w:color="auto" w:fill="FFFFFF"/>
                <w:lang w:val="zh-CN"/>
              </w:rPr>
              <w:t>矿区周围主要含水层</w:t>
            </w:r>
            <w:r>
              <w:rPr>
                <w:spacing w:val="-10"/>
                <w:kern w:val="0"/>
                <w:shd w:val="clear" w:color="auto" w:fill="FFFFFF"/>
                <w:lang w:val="zh-CN"/>
              </w:rPr>
              <w:t xml:space="preserve"> </w:t>
            </w:r>
            <w:r>
              <w:rPr>
                <w:iCs/>
                <w:spacing w:val="20"/>
                <w:kern w:val="0"/>
                <w:shd w:val="clear" w:color="auto" w:fill="FFFFFF"/>
                <w:lang w:val="zh-TW"/>
              </w:rPr>
              <w:t>(</w:t>
            </w:r>
            <w:r>
              <w:rPr>
                <w:rFonts w:hAnsi="宋体"/>
                <w:spacing w:val="-10"/>
                <w:kern w:val="0"/>
                <w:shd w:val="clear" w:color="auto" w:fill="FFFFFF"/>
                <w:lang w:val="zh-CN"/>
              </w:rPr>
              <w:t>带）水位大幅下降，或</w:t>
            </w:r>
            <w:r>
              <w:rPr>
                <w:spacing w:val="-10"/>
                <w:kern w:val="0"/>
                <w:shd w:val="clear" w:color="auto" w:fill="FFFFFF"/>
                <w:lang w:val="zh-CN"/>
              </w:rPr>
              <w:t xml:space="preserve"> </w:t>
            </w:r>
            <w:proofErr w:type="gramStart"/>
            <w:r>
              <w:rPr>
                <w:rFonts w:hAnsi="宋体"/>
                <w:spacing w:val="-10"/>
                <w:kern w:val="0"/>
                <w:shd w:val="clear" w:color="auto" w:fill="FFFFFF"/>
                <w:lang w:val="zh-CN"/>
              </w:rPr>
              <w:t>呈疏干</w:t>
            </w:r>
            <w:proofErr w:type="gramEnd"/>
            <w:r>
              <w:rPr>
                <w:rFonts w:hAnsi="宋体"/>
                <w:spacing w:val="-10"/>
                <w:kern w:val="0"/>
                <w:shd w:val="clear" w:color="auto" w:fill="FFFFFF"/>
                <w:lang w:val="zh-CN"/>
              </w:rPr>
              <w:t>状态，地表水体漏</w:t>
            </w:r>
            <w:r>
              <w:rPr>
                <w:spacing w:val="-10"/>
                <w:kern w:val="0"/>
                <w:shd w:val="clear" w:color="auto" w:fill="FFFFFF"/>
                <w:lang w:val="zh-CN"/>
              </w:rPr>
              <w:t xml:space="preserve"> </w:t>
            </w:r>
            <w:proofErr w:type="gramStart"/>
            <w:r>
              <w:rPr>
                <w:rFonts w:hAnsi="宋体"/>
                <w:spacing w:val="-10"/>
                <w:kern w:val="0"/>
                <w:shd w:val="clear" w:color="auto" w:fill="FFFFFF"/>
                <w:lang w:val="zh-CN"/>
              </w:rPr>
              <w:t>失严重</w:t>
            </w:r>
            <w:proofErr w:type="gramEnd"/>
            <w:r>
              <w:rPr>
                <w:spacing w:val="-10"/>
                <w:kern w:val="0"/>
                <w:shd w:val="clear" w:color="auto" w:fill="FFFFFF"/>
                <w:lang w:val="zh-CN"/>
              </w:rPr>
              <w:t xml:space="preserve"> </w:t>
            </w:r>
            <w:r>
              <w:rPr>
                <w:rFonts w:hAnsi="宋体"/>
                <w:spacing w:val="-10"/>
                <w:kern w:val="0"/>
                <w:shd w:val="clear" w:color="auto" w:fill="FFFFFF"/>
                <w:lang w:val="zh-CN"/>
              </w:rPr>
              <w:t>不同含水层（组）串通</w:t>
            </w:r>
            <w:r>
              <w:rPr>
                <w:spacing w:val="-10"/>
                <w:kern w:val="0"/>
                <w:shd w:val="clear" w:color="auto" w:fill="FFFFFF"/>
                <w:lang w:val="zh-CN"/>
              </w:rPr>
              <w:t xml:space="preserve"> </w:t>
            </w:r>
            <w:r>
              <w:rPr>
                <w:rFonts w:hAnsi="宋体"/>
                <w:spacing w:val="-10"/>
                <w:kern w:val="0"/>
                <w:shd w:val="clear" w:color="auto" w:fill="FFFFFF"/>
                <w:lang w:val="zh-CN"/>
              </w:rPr>
              <w:t>水质恶化</w:t>
            </w:r>
            <w:r>
              <w:rPr>
                <w:spacing w:val="-10"/>
                <w:kern w:val="0"/>
                <w:shd w:val="clear" w:color="auto" w:fill="FFFFFF"/>
                <w:lang w:val="zh-CN"/>
              </w:rPr>
              <w:t xml:space="preserve"> </w:t>
            </w:r>
            <w:r>
              <w:rPr>
                <w:rFonts w:hAnsi="宋体"/>
                <w:spacing w:val="-10"/>
                <w:kern w:val="0"/>
                <w:shd w:val="clear" w:color="auto" w:fill="FFFFFF"/>
                <w:lang w:val="zh-CN"/>
              </w:rPr>
              <w:t>影响集中水源地供水，矿</w:t>
            </w:r>
            <w:r>
              <w:rPr>
                <w:spacing w:val="-10"/>
                <w:kern w:val="0"/>
                <w:shd w:val="clear" w:color="auto" w:fill="FFFFFF"/>
                <w:lang w:val="zh-CN"/>
              </w:rPr>
              <w:t xml:space="preserve"> </w:t>
            </w:r>
            <w:r>
              <w:rPr>
                <w:rFonts w:hAnsi="宋体"/>
                <w:spacing w:val="-10"/>
                <w:kern w:val="0"/>
                <w:shd w:val="clear" w:color="auto" w:fill="FFFFFF"/>
                <w:lang w:val="zh-CN"/>
              </w:rPr>
              <w:t>区及周围生产、生活供水困</w:t>
            </w:r>
            <w:r>
              <w:rPr>
                <w:spacing w:val="-10"/>
                <w:kern w:val="0"/>
                <w:shd w:val="clear" w:color="auto" w:fill="FFFFFF"/>
                <w:lang w:val="zh-CN"/>
              </w:rPr>
              <w:t xml:space="preserve"> </w:t>
            </w:r>
            <w:r>
              <w:rPr>
                <w:rFonts w:hAnsi="宋体"/>
                <w:spacing w:val="-10"/>
                <w:kern w:val="0"/>
                <w:shd w:val="clear" w:color="auto" w:fill="FFFFFF"/>
                <w:lang w:val="zh-CN"/>
              </w:rPr>
              <w:t>难</w:t>
            </w:r>
          </w:p>
        </w:tc>
        <w:tc>
          <w:tcPr>
            <w:tcW w:w="1843" w:type="dxa"/>
            <w:tcBorders>
              <w:top w:val="single" w:sz="4" w:space="0" w:color="auto"/>
              <w:left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对原生的地</w:t>
            </w:r>
            <w:r>
              <w:rPr>
                <w:spacing w:val="-10"/>
                <w:kern w:val="0"/>
                <w:shd w:val="clear" w:color="auto" w:fill="FFFFFF"/>
                <w:lang w:val="zh-CN"/>
              </w:rPr>
              <w:t xml:space="preserve"> </w:t>
            </w:r>
            <w:r>
              <w:rPr>
                <w:rFonts w:hAnsi="宋体"/>
                <w:spacing w:val="-10"/>
                <w:kern w:val="0"/>
                <w:shd w:val="clear" w:color="auto" w:fill="FFFFFF"/>
                <w:lang w:val="zh-CN"/>
              </w:rPr>
              <w:t>形地貌景观影</w:t>
            </w:r>
            <w:r>
              <w:rPr>
                <w:spacing w:val="-10"/>
                <w:kern w:val="0"/>
                <w:shd w:val="clear" w:color="auto" w:fill="FFFFFF"/>
                <w:lang w:val="zh-CN"/>
              </w:rPr>
              <w:t xml:space="preserve"> </w:t>
            </w:r>
            <w:r>
              <w:rPr>
                <w:rFonts w:hAnsi="宋体"/>
                <w:spacing w:val="-10"/>
                <w:kern w:val="0"/>
                <w:shd w:val="clear" w:color="auto" w:fill="FFFFFF"/>
                <w:lang w:val="zh-CN"/>
              </w:rPr>
              <w:t>响和破坏程度</w:t>
            </w:r>
            <w:r>
              <w:rPr>
                <w:spacing w:val="-10"/>
                <w:kern w:val="0"/>
                <w:shd w:val="clear" w:color="auto" w:fill="FFFFFF"/>
                <w:lang w:val="zh-CN"/>
              </w:rPr>
              <w:t xml:space="preserve"> </w:t>
            </w:r>
            <w:r>
              <w:rPr>
                <w:rFonts w:hAnsi="宋体"/>
                <w:spacing w:val="-10"/>
                <w:kern w:val="0"/>
                <w:shd w:val="clear" w:color="auto" w:fill="FFFFFF"/>
                <w:lang w:val="zh-CN"/>
              </w:rPr>
              <w:t>大</w:t>
            </w:r>
            <w:r>
              <w:rPr>
                <w:rFonts w:hint="eastAsia"/>
                <w:kern w:val="0"/>
                <w:szCs w:val="21"/>
              </w:rPr>
              <w:t>；</w:t>
            </w:r>
            <w:r>
              <w:rPr>
                <w:rFonts w:hAnsi="宋体"/>
                <w:spacing w:val="-10"/>
                <w:kern w:val="0"/>
                <w:shd w:val="clear" w:color="auto" w:fill="FFFFFF"/>
                <w:lang w:val="zh-CN"/>
              </w:rPr>
              <w:t>对各类自然</w:t>
            </w:r>
            <w:r>
              <w:rPr>
                <w:spacing w:val="-10"/>
                <w:kern w:val="0"/>
                <w:shd w:val="clear" w:color="auto" w:fill="FFFFFF"/>
                <w:lang w:val="zh-CN"/>
              </w:rPr>
              <w:t xml:space="preserve"> </w:t>
            </w:r>
            <w:r>
              <w:rPr>
                <w:rFonts w:hAnsi="宋体"/>
                <w:spacing w:val="-10"/>
                <w:kern w:val="0"/>
                <w:shd w:val="clear" w:color="auto" w:fill="FFFFFF"/>
                <w:lang w:val="zh-CN"/>
              </w:rPr>
              <w:t>保护区、人文</w:t>
            </w:r>
            <w:r>
              <w:rPr>
                <w:spacing w:val="-10"/>
                <w:kern w:val="0"/>
                <w:shd w:val="clear" w:color="auto" w:fill="FFFFFF"/>
                <w:lang w:val="zh-CN"/>
              </w:rPr>
              <w:t xml:space="preserve"> </w:t>
            </w:r>
            <w:r>
              <w:rPr>
                <w:rFonts w:hAnsi="宋体"/>
                <w:spacing w:val="-10"/>
                <w:kern w:val="0"/>
                <w:shd w:val="clear" w:color="auto" w:fill="FFFFFF"/>
                <w:lang w:val="zh-CN"/>
              </w:rPr>
              <w:t>景观、风景旅</w:t>
            </w:r>
            <w:r>
              <w:rPr>
                <w:spacing w:val="-10"/>
                <w:kern w:val="0"/>
                <w:shd w:val="clear" w:color="auto" w:fill="FFFFFF"/>
                <w:lang w:val="zh-CN"/>
              </w:rPr>
              <w:t xml:space="preserve"> </w:t>
            </w:r>
            <w:r>
              <w:rPr>
                <w:rFonts w:hAnsi="宋体"/>
                <w:spacing w:val="-10"/>
                <w:kern w:val="0"/>
                <w:shd w:val="clear" w:color="auto" w:fill="FFFFFF"/>
                <w:lang w:val="zh-CN"/>
              </w:rPr>
              <w:t>游区、</w:t>
            </w:r>
            <w:proofErr w:type="gramStart"/>
            <w:r>
              <w:rPr>
                <w:rFonts w:hAnsi="宋体"/>
                <w:spacing w:val="-10"/>
                <w:kern w:val="0"/>
                <w:shd w:val="clear" w:color="auto" w:fill="FFFFFF"/>
                <w:lang w:val="zh-CN"/>
              </w:rPr>
              <w:t>城市周</w:t>
            </w:r>
            <w:proofErr w:type="gramEnd"/>
            <w:r>
              <w:rPr>
                <w:spacing w:val="-10"/>
                <w:kern w:val="0"/>
                <w:shd w:val="clear" w:color="auto" w:fill="FFFFFF"/>
                <w:lang w:val="zh-CN"/>
              </w:rPr>
              <w:t xml:space="preserve"> </w:t>
            </w:r>
            <w:r>
              <w:rPr>
                <w:rFonts w:hAnsi="宋体"/>
                <w:spacing w:val="-10"/>
                <w:kern w:val="0"/>
                <w:shd w:val="clear" w:color="auto" w:fill="FFFFFF"/>
                <w:lang w:val="zh-CN"/>
              </w:rPr>
              <w:t>围、主要交通</w:t>
            </w:r>
            <w:r>
              <w:rPr>
                <w:spacing w:val="-10"/>
                <w:kern w:val="0"/>
                <w:shd w:val="clear" w:color="auto" w:fill="FFFFFF"/>
                <w:lang w:val="zh-CN"/>
              </w:rPr>
              <w:t xml:space="preserve"> </w:t>
            </w:r>
            <w:r>
              <w:rPr>
                <w:rFonts w:hAnsi="宋体"/>
                <w:spacing w:val="-10"/>
                <w:kern w:val="0"/>
                <w:shd w:val="clear" w:color="auto" w:fill="FFFFFF"/>
                <w:lang w:val="zh-CN"/>
              </w:rPr>
              <w:t>干线两侧可视</w:t>
            </w:r>
            <w:r>
              <w:rPr>
                <w:spacing w:val="-10"/>
                <w:kern w:val="0"/>
                <w:shd w:val="clear" w:color="auto" w:fill="FFFFFF"/>
                <w:lang w:val="zh-CN"/>
              </w:rPr>
              <w:t xml:space="preserve"> </w:t>
            </w:r>
            <w:r>
              <w:rPr>
                <w:rFonts w:hAnsi="宋体"/>
                <w:spacing w:val="-10"/>
                <w:kern w:val="0"/>
                <w:shd w:val="clear" w:color="auto" w:fill="FFFFFF"/>
                <w:lang w:val="zh-CN"/>
              </w:rPr>
              <w:t>范围内地形地</w:t>
            </w:r>
            <w:r>
              <w:rPr>
                <w:spacing w:val="-10"/>
                <w:kern w:val="0"/>
                <w:shd w:val="clear" w:color="auto" w:fill="FFFFFF"/>
                <w:lang w:val="zh-CN"/>
              </w:rPr>
              <w:t xml:space="preserve"> </w:t>
            </w:r>
            <w:r>
              <w:rPr>
                <w:rFonts w:hAnsi="宋体"/>
                <w:spacing w:val="-10"/>
                <w:kern w:val="0"/>
                <w:shd w:val="clear" w:color="auto" w:fill="FFFFFF"/>
                <w:lang w:val="zh-CN"/>
              </w:rPr>
              <w:t>貌景观影响严</w:t>
            </w:r>
            <w:r>
              <w:rPr>
                <w:spacing w:val="-10"/>
                <w:kern w:val="0"/>
                <w:shd w:val="clear" w:color="auto" w:fill="FFFFFF"/>
                <w:lang w:val="zh-CN"/>
              </w:rPr>
              <w:t xml:space="preserve"> </w:t>
            </w:r>
            <w:r>
              <w:rPr>
                <w:rFonts w:hAnsi="宋体"/>
                <w:spacing w:val="-10"/>
                <w:kern w:val="0"/>
                <w:shd w:val="clear" w:color="auto" w:fill="FFFFFF"/>
                <w:lang w:val="zh-CN"/>
              </w:rPr>
              <w:t>重</w:t>
            </w:r>
          </w:p>
        </w:tc>
        <w:tc>
          <w:tcPr>
            <w:tcW w:w="1429" w:type="dxa"/>
            <w:tcBorders>
              <w:top w:val="single" w:sz="4" w:space="0" w:color="auto"/>
              <w:left w:val="single" w:sz="4" w:space="0" w:color="auto"/>
              <w:right w:val="single" w:sz="4" w:space="0" w:color="auto"/>
            </w:tcBorders>
            <w:shd w:val="clear" w:color="auto" w:fill="FFFFFF"/>
            <w:vAlign w:val="center"/>
          </w:tcPr>
          <w:p w:rsidR="009C5C1F" w:rsidRDefault="004D2E0D">
            <w:pPr>
              <w:wordWrap w:val="0"/>
              <w:topLinePunct/>
              <w:rPr>
                <w:kern w:val="0"/>
                <w:szCs w:val="21"/>
                <w:lang w:eastAsia="zh-TW"/>
              </w:rPr>
            </w:pPr>
            <w:r>
              <w:rPr>
                <w:rFonts w:hAnsi="宋体"/>
                <w:spacing w:val="-10"/>
                <w:kern w:val="0"/>
                <w:shd w:val="clear" w:color="auto" w:fill="FFFFFF"/>
                <w:lang w:val="zh-CN" w:eastAsia="zh-TW"/>
              </w:rPr>
              <w:t>破坏基本农田</w:t>
            </w:r>
            <w:r>
              <w:rPr>
                <w:spacing w:val="-10"/>
                <w:kern w:val="0"/>
                <w:shd w:val="clear" w:color="auto" w:fill="FFFFFF"/>
                <w:lang w:val="zh-CN" w:eastAsia="zh-TW"/>
              </w:rPr>
              <w:t xml:space="preserve"> </w:t>
            </w:r>
            <w:r>
              <w:rPr>
                <w:rFonts w:hAnsi="宋体"/>
                <w:spacing w:val="-10"/>
                <w:kern w:val="0"/>
                <w:shd w:val="clear" w:color="auto" w:fill="FFFFFF"/>
                <w:lang w:val="zh-CN" w:eastAsia="zh-TW"/>
              </w:rPr>
              <w:t>破坏耕地大于</w:t>
            </w:r>
            <w:r>
              <w:rPr>
                <w:spacing w:val="-10"/>
                <w:kern w:val="0"/>
                <w:shd w:val="clear" w:color="auto" w:fill="FFFFFF"/>
                <w:lang w:val="zh-CN" w:eastAsia="zh-TW"/>
              </w:rPr>
              <w:t xml:space="preserve"> </w:t>
            </w:r>
            <w:r>
              <w:rPr>
                <w:iCs/>
                <w:spacing w:val="20"/>
                <w:kern w:val="0"/>
                <w:shd w:val="clear" w:color="auto" w:fill="FFFFFF"/>
                <w:lang w:val="zh-CN" w:eastAsia="zh-TW"/>
              </w:rPr>
              <w:t>2hm</w:t>
            </w:r>
            <w:r>
              <w:rPr>
                <w:iCs/>
                <w:spacing w:val="20"/>
                <w:kern w:val="0"/>
                <w:shd w:val="clear" w:color="auto" w:fill="FFFFFF"/>
                <w:vertAlign w:val="superscript"/>
                <w:lang w:val="zh-CN" w:eastAsia="zh-TW"/>
              </w:rPr>
              <w:t>2</w:t>
            </w:r>
            <w:r>
              <w:rPr>
                <w:iCs/>
                <w:spacing w:val="20"/>
                <w:kern w:val="0"/>
                <w:shd w:val="clear" w:color="auto" w:fill="FFFFFF"/>
                <w:lang w:val="zh-CN" w:eastAsia="zh-TW"/>
              </w:rPr>
              <w:t xml:space="preserve"> </w:t>
            </w:r>
            <w:r>
              <w:rPr>
                <w:rFonts w:hAnsi="宋体"/>
                <w:spacing w:val="-10"/>
                <w:kern w:val="0"/>
                <w:shd w:val="clear" w:color="auto" w:fill="FFFFFF"/>
                <w:lang w:val="zh-CN" w:eastAsia="zh-TW"/>
              </w:rPr>
              <w:t>破坏林地或草</w:t>
            </w:r>
            <w:r>
              <w:rPr>
                <w:spacing w:val="-10"/>
                <w:kern w:val="0"/>
                <w:shd w:val="clear" w:color="auto" w:fill="FFFFFF"/>
                <w:lang w:val="zh-CN" w:eastAsia="zh-TW"/>
              </w:rPr>
              <w:t xml:space="preserve"> </w:t>
            </w:r>
            <w:r>
              <w:rPr>
                <w:rFonts w:hAnsi="宋体"/>
                <w:spacing w:val="-10"/>
                <w:kern w:val="0"/>
                <w:shd w:val="clear" w:color="auto" w:fill="FFFFFF"/>
                <w:lang w:val="zh-CN" w:eastAsia="zh-TW"/>
              </w:rPr>
              <w:t>地大于</w:t>
            </w:r>
            <w:r>
              <w:rPr>
                <w:iCs/>
                <w:spacing w:val="20"/>
                <w:kern w:val="0"/>
                <w:shd w:val="clear" w:color="auto" w:fill="FFFFFF"/>
                <w:lang w:val="zh-TW" w:eastAsia="zh-TW"/>
              </w:rPr>
              <w:t xml:space="preserve">4 </w:t>
            </w:r>
            <w:r>
              <w:rPr>
                <w:iCs/>
                <w:spacing w:val="20"/>
                <w:kern w:val="0"/>
                <w:shd w:val="clear" w:color="auto" w:fill="FFFFFF"/>
                <w:lang w:val="zh-CN" w:eastAsia="zh-TW"/>
              </w:rPr>
              <w:t>hm</w:t>
            </w:r>
            <w:r>
              <w:rPr>
                <w:iCs/>
                <w:spacing w:val="20"/>
                <w:kern w:val="0"/>
                <w:shd w:val="clear" w:color="auto" w:fill="FFFFFF"/>
                <w:vertAlign w:val="superscript"/>
                <w:lang w:val="zh-CN" w:eastAsia="zh-TW"/>
              </w:rPr>
              <w:t>2</w:t>
            </w:r>
            <w:r>
              <w:rPr>
                <w:iCs/>
                <w:spacing w:val="20"/>
                <w:kern w:val="0"/>
                <w:shd w:val="clear" w:color="auto" w:fill="FFFFFF"/>
                <w:lang w:val="zh-CN" w:eastAsia="zh-TW"/>
              </w:rPr>
              <w:t xml:space="preserve"> </w:t>
            </w:r>
            <w:r>
              <w:rPr>
                <w:rFonts w:hAnsi="宋体"/>
                <w:spacing w:val="-10"/>
                <w:kern w:val="0"/>
                <w:shd w:val="clear" w:color="auto" w:fill="FFFFFF"/>
                <w:lang w:val="zh-CN" w:eastAsia="zh-TW"/>
              </w:rPr>
              <w:t>破坏荒地或未</w:t>
            </w:r>
            <w:r>
              <w:rPr>
                <w:spacing w:val="-10"/>
                <w:kern w:val="0"/>
                <w:shd w:val="clear" w:color="auto" w:fill="FFFFFF"/>
                <w:lang w:val="zh-CN" w:eastAsia="zh-TW"/>
              </w:rPr>
              <w:t xml:space="preserve"> </w:t>
            </w:r>
            <w:r>
              <w:rPr>
                <w:rFonts w:hAnsi="宋体"/>
                <w:spacing w:val="-10"/>
                <w:kern w:val="0"/>
                <w:shd w:val="clear" w:color="auto" w:fill="FFFFFF"/>
                <w:lang w:val="zh-CN" w:eastAsia="zh-TW"/>
              </w:rPr>
              <w:t>开发利用土地大</w:t>
            </w:r>
            <w:r>
              <w:rPr>
                <w:spacing w:val="-10"/>
                <w:kern w:val="0"/>
                <w:shd w:val="clear" w:color="auto" w:fill="FFFFFF"/>
                <w:lang w:val="zh-CN" w:eastAsia="zh-TW"/>
              </w:rPr>
              <w:t xml:space="preserve"> </w:t>
            </w:r>
            <w:r>
              <w:rPr>
                <w:rFonts w:hAnsi="宋体"/>
                <w:spacing w:val="-10"/>
                <w:kern w:val="0"/>
                <w:shd w:val="clear" w:color="auto" w:fill="FFFFFF"/>
                <w:lang w:val="zh-CN" w:eastAsia="zh-TW"/>
              </w:rPr>
              <w:t>于</w:t>
            </w:r>
            <w:r>
              <w:rPr>
                <w:iCs/>
                <w:spacing w:val="20"/>
                <w:kern w:val="0"/>
                <w:shd w:val="clear" w:color="auto" w:fill="FFFFFF"/>
                <w:lang w:val="zh-TW" w:eastAsia="zh-TW"/>
              </w:rPr>
              <w:t xml:space="preserve"> 20 </w:t>
            </w:r>
            <w:r>
              <w:rPr>
                <w:iCs/>
                <w:spacing w:val="20"/>
                <w:kern w:val="0"/>
                <w:shd w:val="clear" w:color="auto" w:fill="FFFFFF"/>
                <w:lang w:val="zh-CN" w:eastAsia="zh-TW"/>
              </w:rPr>
              <w:t>hm</w:t>
            </w:r>
            <w:r>
              <w:rPr>
                <w:iCs/>
                <w:spacing w:val="20"/>
                <w:kern w:val="0"/>
                <w:shd w:val="clear" w:color="auto" w:fill="FFFFFF"/>
                <w:vertAlign w:val="superscript"/>
                <w:lang w:val="zh-CN" w:eastAsia="zh-TW"/>
              </w:rPr>
              <w:t>2</w:t>
            </w:r>
          </w:p>
        </w:tc>
      </w:tr>
      <w:tr w:rsidR="009C5C1F">
        <w:trPr>
          <w:trHeight w:hRule="exact" w:val="2551"/>
          <w:jc w:val="center"/>
        </w:trPr>
        <w:tc>
          <w:tcPr>
            <w:tcW w:w="640" w:type="dxa"/>
            <w:tcBorders>
              <w:top w:val="single" w:sz="4" w:space="0" w:color="auto"/>
              <w:left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较严重</w:t>
            </w:r>
          </w:p>
        </w:tc>
        <w:tc>
          <w:tcPr>
            <w:tcW w:w="1903" w:type="dxa"/>
            <w:tcBorders>
              <w:top w:val="single" w:sz="4" w:space="0" w:color="auto"/>
              <w:left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地质灾害规模中</w:t>
            </w:r>
            <w:r>
              <w:rPr>
                <w:spacing w:val="-10"/>
                <w:kern w:val="0"/>
                <w:shd w:val="clear" w:color="auto" w:fill="FFFFFF"/>
                <w:lang w:val="zh-CN"/>
              </w:rPr>
              <w:t xml:space="preserve"> </w:t>
            </w:r>
            <w:r>
              <w:rPr>
                <w:rFonts w:hAnsi="宋体"/>
                <w:spacing w:val="-10"/>
                <w:kern w:val="0"/>
                <w:shd w:val="clear" w:color="auto" w:fill="FFFFFF"/>
                <w:lang w:val="zh-CN"/>
              </w:rPr>
              <w:t>等，发生的可能性较</w:t>
            </w:r>
            <w:r>
              <w:rPr>
                <w:spacing w:val="-10"/>
                <w:kern w:val="0"/>
                <w:shd w:val="clear" w:color="auto" w:fill="FFFFFF"/>
                <w:lang w:val="zh-CN"/>
              </w:rPr>
              <w:t xml:space="preserve"> </w:t>
            </w:r>
            <w:r>
              <w:rPr>
                <w:rFonts w:hAnsi="宋体"/>
                <w:spacing w:val="-10"/>
                <w:kern w:val="0"/>
                <w:shd w:val="clear" w:color="auto" w:fill="FFFFFF"/>
                <w:lang w:val="zh-CN"/>
              </w:rPr>
              <w:t>大</w:t>
            </w:r>
            <w:r>
              <w:rPr>
                <w:rFonts w:hint="eastAsia"/>
                <w:kern w:val="0"/>
                <w:szCs w:val="21"/>
              </w:rPr>
              <w:t>；</w:t>
            </w:r>
            <w:r>
              <w:rPr>
                <w:rFonts w:hAnsi="宋体"/>
                <w:spacing w:val="-10"/>
                <w:kern w:val="0"/>
                <w:shd w:val="clear" w:color="auto" w:fill="FFFFFF"/>
                <w:lang w:val="zh-CN"/>
              </w:rPr>
              <w:t>影响到村庄、居民</w:t>
            </w:r>
            <w:r>
              <w:rPr>
                <w:spacing w:val="-10"/>
                <w:kern w:val="0"/>
                <w:shd w:val="clear" w:color="auto" w:fill="FFFFFF"/>
                <w:lang w:val="zh-CN"/>
              </w:rPr>
              <w:t xml:space="preserve"> </w:t>
            </w:r>
            <w:r>
              <w:rPr>
                <w:rFonts w:hAnsi="宋体"/>
                <w:spacing w:val="-10"/>
                <w:kern w:val="0"/>
                <w:shd w:val="clear" w:color="auto" w:fill="FFFFFF"/>
                <w:lang w:val="zh-CN"/>
              </w:rPr>
              <w:t>聚居区、一般交通线</w:t>
            </w:r>
            <w:r>
              <w:rPr>
                <w:spacing w:val="-10"/>
                <w:kern w:val="0"/>
                <w:shd w:val="clear" w:color="auto" w:fill="FFFFFF"/>
                <w:lang w:val="zh-CN"/>
              </w:rPr>
              <w:t xml:space="preserve"> </w:t>
            </w:r>
            <w:r>
              <w:rPr>
                <w:rFonts w:hAnsi="宋体"/>
                <w:spacing w:val="-10"/>
                <w:kern w:val="0"/>
                <w:shd w:val="clear" w:color="auto" w:fill="FFFFFF"/>
                <w:lang w:val="zh-CN"/>
              </w:rPr>
              <w:t>和较重要工程设施</w:t>
            </w:r>
            <w:r>
              <w:rPr>
                <w:spacing w:val="-10"/>
                <w:kern w:val="0"/>
                <w:shd w:val="clear" w:color="auto" w:fill="FFFFFF"/>
                <w:lang w:val="zh-CN"/>
              </w:rPr>
              <w:t xml:space="preserve"> </w:t>
            </w:r>
            <w:r>
              <w:rPr>
                <w:rFonts w:hAnsi="宋体"/>
                <w:spacing w:val="-10"/>
                <w:kern w:val="0"/>
                <w:shd w:val="clear" w:color="auto" w:fill="FFFFFF"/>
                <w:lang w:val="zh-CN"/>
              </w:rPr>
              <w:t>安全</w:t>
            </w:r>
            <w:r>
              <w:rPr>
                <w:spacing w:val="-10"/>
                <w:kern w:val="0"/>
                <w:shd w:val="clear" w:color="auto" w:fill="FFFFFF"/>
                <w:lang w:val="zh-CN"/>
              </w:rPr>
              <w:t xml:space="preserve"> </w:t>
            </w:r>
            <w:r>
              <w:rPr>
                <w:rFonts w:hAnsi="宋体"/>
                <w:spacing w:val="-10"/>
                <w:kern w:val="0"/>
                <w:shd w:val="clear" w:color="auto" w:fill="FFFFFF"/>
                <w:lang w:val="zh-CN"/>
              </w:rPr>
              <w:t>造成或可能造成</w:t>
            </w:r>
            <w:r>
              <w:rPr>
                <w:spacing w:val="-10"/>
                <w:kern w:val="0"/>
                <w:shd w:val="clear" w:color="auto" w:fill="FFFFFF"/>
                <w:lang w:val="zh-CN"/>
              </w:rPr>
              <w:t xml:space="preserve"> </w:t>
            </w:r>
            <w:r>
              <w:rPr>
                <w:rFonts w:hAnsi="宋体"/>
                <w:spacing w:val="-10"/>
                <w:kern w:val="0"/>
                <w:shd w:val="clear" w:color="auto" w:fill="FFFFFF"/>
                <w:lang w:val="zh-CN"/>
              </w:rPr>
              <w:t>直接经济损失</w:t>
            </w:r>
            <w:r>
              <w:rPr>
                <w:spacing w:val="-10"/>
                <w:kern w:val="0"/>
                <w:shd w:val="clear" w:color="auto" w:fill="FFFFFF"/>
                <w:lang w:val="zh-CN"/>
              </w:rPr>
              <w:t xml:space="preserve"> </w:t>
            </w:r>
            <w:r>
              <w:rPr>
                <w:iCs/>
                <w:spacing w:val="20"/>
                <w:kern w:val="0"/>
                <w:shd w:val="clear" w:color="auto" w:fill="FFFFFF"/>
                <w:lang w:val="zh-CN"/>
              </w:rPr>
              <w:t xml:space="preserve">100-500 </w:t>
            </w:r>
            <w:r>
              <w:rPr>
                <w:rFonts w:hAnsi="宋体"/>
                <w:spacing w:val="-10"/>
                <w:kern w:val="0"/>
                <w:shd w:val="clear" w:color="auto" w:fill="FFFFFF"/>
                <w:lang w:val="zh-CN"/>
              </w:rPr>
              <w:t>万元</w:t>
            </w:r>
            <w:r>
              <w:rPr>
                <w:spacing w:val="-10"/>
                <w:kern w:val="0"/>
                <w:shd w:val="clear" w:color="auto" w:fill="FFFFFF"/>
                <w:lang w:val="zh-CN"/>
              </w:rPr>
              <w:t xml:space="preserve"> </w:t>
            </w:r>
            <w:r>
              <w:rPr>
                <w:rFonts w:hAnsi="宋体"/>
                <w:spacing w:val="-10"/>
                <w:kern w:val="0"/>
                <w:shd w:val="clear" w:color="auto" w:fill="FFFFFF"/>
                <w:lang w:val="zh-CN"/>
              </w:rPr>
              <w:t>受威胁人数</w:t>
            </w:r>
            <w:r>
              <w:rPr>
                <w:spacing w:val="-10"/>
                <w:kern w:val="0"/>
                <w:shd w:val="clear" w:color="auto" w:fill="FFFFFF"/>
                <w:lang w:val="zh-CN"/>
              </w:rPr>
              <w:t xml:space="preserve"> </w:t>
            </w:r>
            <w:r>
              <w:rPr>
                <w:iCs/>
                <w:spacing w:val="20"/>
                <w:kern w:val="0"/>
                <w:shd w:val="clear" w:color="auto" w:fill="FFFFFF"/>
                <w:lang w:val="zh-CN"/>
              </w:rPr>
              <w:t>10-100</w:t>
            </w:r>
            <w:r>
              <w:rPr>
                <w:rFonts w:hAnsi="宋体"/>
                <w:spacing w:val="-10"/>
                <w:kern w:val="0"/>
                <w:shd w:val="clear" w:color="auto" w:fill="FFFFFF"/>
                <w:lang w:val="zh-CN"/>
              </w:rPr>
              <w:t>人</w:t>
            </w:r>
          </w:p>
        </w:tc>
        <w:tc>
          <w:tcPr>
            <w:tcW w:w="2784" w:type="dxa"/>
            <w:tcBorders>
              <w:top w:val="single" w:sz="4" w:space="0" w:color="auto"/>
              <w:left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矿井正常涌水量</w:t>
            </w:r>
            <w:r>
              <w:rPr>
                <w:spacing w:val="-10"/>
                <w:kern w:val="0"/>
                <w:shd w:val="clear" w:color="auto" w:fill="FFFFFF"/>
                <w:lang w:val="zh-CN"/>
              </w:rPr>
              <w:t xml:space="preserve"> </w:t>
            </w:r>
            <w:r>
              <w:rPr>
                <w:iCs/>
                <w:spacing w:val="20"/>
                <w:kern w:val="0"/>
                <w:shd w:val="clear" w:color="auto" w:fill="FFFFFF"/>
                <w:lang w:val="zh-CN"/>
              </w:rPr>
              <w:t>3000—10000 m</w:t>
            </w:r>
            <w:r>
              <w:rPr>
                <w:iCs/>
                <w:spacing w:val="20"/>
                <w:kern w:val="0"/>
                <w:shd w:val="clear" w:color="auto" w:fill="FFFFFF"/>
                <w:vertAlign w:val="superscript"/>
                <w:lang w:val="zh-CN"/>
              </w:rPr>
              <w:t>3</w:t>
            </w:r>
            <w:r>
              <w:rPr>
                <w:iCs/>
                <w:spacing w:val="20"/>
                <w:kern w:val="0"/>
                <w:shd w:val="clear" w:color="auto" w:fill="FFFFFF"/>
                <w:lang w:val="zh-CN"/>
              </w:rPr>
              <w:t xml:space="preserve">/d </w:t>
            </w:r>
            <w:r>
              <w:rPr>
                <w:rFonts w:hAnsi="宋体"/>
                <w:spacing w:val="-10"/>
                <w:kern w:val="0"/>
                <w:shd w:val="clear" w:color="auto" w:fill="FFFFFF"/>
                <w:lang w:val="zh-CN"/>
              </w:rPr>
              <w:t>矿区及周围主要含水层</w:t>
            </w:r>
            <w:r>
              <w:rPr>
                <w:spacing w:val="-10"/>
                <w:kern w:val="0"/>
                <w:shd w:val="clear" w:color="auto" w:fill="FFFFFF"/>
                <w:lang w:val="zh-CN"/>
              </w:rPr>
              <w:t xml:space="preserve"> (</w:t>
            </w:r>
            <w:r>
              <w:rPr>
                <w:rFonts w:hAnsi="宋体"/>
                <w:spacing w:val="-10"/>
                <w:kern w:val="0"/>
                <w:shd w:val="clear" w:color="auto" w:fill="FFFFFF"/>
                <w:lang w:val="zh-CN"/>
              </w:rPr>
              <w:t>带</w:t>
            </w:r>
            <w:r>
              <w:rPr>
                <w:iCs/>
                <w:spacing w:val="20"/>
                <w:kern w:val="0"/>
                <w:shd w:val="clear" w:color="auto" w:fill="FFFFFF"/>
                <w:lang w:val="zh-CN"/>
              </w:rPr>
              <w:t>)7K</w:t>
            </w:r>
            <w:r>
              <w:rPr>
                <w:rFonts w:hAnsi="宋体"/>
                <w:spacing w:val="-10"/>
                <w:kern w:val="0"/>
                <w:shd w:val="clear" w:color="auto" w:fill="FFFFFF"/>
                <w:lang w:val="zh-CN"/>
              </w:rPr>
              <w:t>位下降幅度较大，</w:t>
            </w:r>
            <w:r>
              <w:rPr>
                <w:spacing w:val="-10"/>
                <w:kern w:val="0"/>
                <w:shd w:val="clear" w:color="auto" w:fill="FFFFFF"/>
                <w:lang w:val="zh-CN"/>
              </w:rPr>
              <w:t xml:space="preserve"> </w:t>
            </w:r>
            <w:r>
              <w:rPr>
                <w:rFonts w:hAnsi="宋体"/>
                <w:spacing w:val="-10"/>
                <w:kern w:val="0"/>
                <w:shd w:val="clear" w:color="auto" w:fill="FFFFFF"/>
                <w:lang w:val="zh-CN"/>
              </w:rPr>
              <w:t>地下水呈</w:t>
            </w:r>
            <w:proofErr w:type="gramStart"/>
            <w:r>
              <w:rPr>
                <w:rFonts w:hAnsi="宋体"/>
                <w:spacing w:val="-10"/>
                <w:kern w:val="0"/>
                <w:shd w:val="clear" w:color="auto" w:fill="FFFFFF"/>
                <w:lang w:val="zh-CN"/>
              </w:rPr>
              <w:t>半疏干状态</w:t>
            </w:r>
            <w:proofErr w:type="gramEnd"/>
            <w:r>
              <w:rPr>
                <w:spacing w:val="-10"/>
                <w:kern w:val="0"/>
                <w:shd w:val="clear" w:color="auto" w:fill="FFFFFF"/>
                <w:lang w:val="zh-CN"/>
              </w:rPr>
              <w:t xml:space="preserve"> </w:t>
            </w:r>
            <w:r>
              <w:rPr>
                <w:rFonts w:hAnsi="宋体"/>
                <w:spacing w:val="-10"/>
                <w:kern w:val="0"/>
                <w:shd w:val="clear" w:color="auto" w:fill="FFFFFF"/>
                <w:lang w:val="zh-CN"/>
              </w:rPr>
              <w:t>矿区及周围地表水体漏</w:t>
            </w:r>
            <w:r>
              <w:rPr>
                <w:spacing w:val="-10"/>
                <w:kern w:val="0"/>
                <w:shd w:val="clear" w:color="auto" w:fill="FFFFFF"/>
                <w:lang w:val="zh-CN"/>
              </w:rPr>
              <w:t xml:space="preserve"> </w:t>
            </w:r>
            <w:proofErr w:type="gramStart"/>
            <w:r>
              <w:rPr>
                <w:rFonts w:hAnsi="宋体"/>
                <w:spacing w:val="-10"/>
                <w:kern w:val="0"/>
                <w:shd w:val="clear" w:color="auto" w:fill="FFFFFF"/>
                <w:lang w:val="zh-CN"/>
              </w:rPr>
              <w:t>失较严重</w:t>
            </w:r>
            <w:proofErr w:type="gramEnd"/>
            <w:r>
              <w:rPr>
                <w:spacing w:val="-10"/>
                <w:kern w:val="0"/>
                <w:shd w:val="clear" w:color="auto" w:fill="FFFFFF"/>
                <w:lang w:val="zh-CN"/>
              </w:rPr>
              <w:t xml:space="preserve"> </w:t>
            </w:r>
            <w:r>
              <w:rPr>
                <w:rFonts w:hAnsi="宋体"/>
                <w:spacing w:val="-10"/>
                <w:kern w:val="0"/>
                <w:shd w:val="clear" w:color="auto" w:fill="FFFFFF"/>
                <w:lang w:val="zh-CN"/>
              </w:rPr>
              <w:t>影响矿区及周围部分生产生活供水</w:t>
            </w:r>
          </w:p>
        </w:tc>
        <w:tc>
          <w:tcPr>
            <w:tcW w:w="1843" w:type="dxa"/>
            <w:tcBorders>
              <w:top w:val="single" w:sz="4" w:space="0" w:color="auto"/>
              <w:left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对原生的地</w:t>
            </w:r>
            <w:r>
              <w:rPr>
                <w:spacing w:val="-10"/>
                <w:kern w:val="0"/>
                <w:shd w:val="clear" w:color="auto" w:fill="FFFFFF"/>
                <w:lang w:val="zh-CN"/>
              </w:rPr>
              <w:t xml:space="preserve"> </w:t>
            </w:r>
            <w:r>
              <w:rPr>
                <w:rFonts w:hAnsi="宋体"/>
                <w:spacing w:val="-10"/>
                <w:kern w:val="0"/>
                <w:shd w:val="clear" w:color="auto" w:fill="FFFFFF"/>
                <w:lang w:val="zh-CN"/>
              </w:rPr>
              <w:t>形地貌景观影</w:t>
            </w:r>
            <w:r>
              <w:rPr>
                <w:spacing w:val="-10"/>
                <w:kern w:val="0"/>
                <w:shd w:val="clear" w:color="auto" w:fill="FFFFFF"/>
                <w:lang w:val="zh-CN"/>
              </w:rPr>
              <w:t xml:space="preserve"> </w:t>
            </w:r>
            <w:r>
              <w:rPr>
                <w:rFonts w:hAnsi="宋体"/>
                <w:spacing w:val="-10"/>
                <w:kern w:val="0"/>
                <w:shd w:val="clear" w:color="auto" w:fill="FFFFFF"/>
                <w:lang w:val="zh-CN"/>
              </w:rPr>
              <w:t>响和破坏程度</w:t>
            </w:r>
            <w:r>
              <w:rPr>
                <w:spacing w:val="-10"/>
                <w:kern w:val="0"/>
                <w:shd w:val="clear" w:color="auto" w:fill="FFFFFF"/>
                <w:lang w:val="zh-CN"/>
              </w:rPr>
              <w:t xml:space="preserve"> </w:t>
            </w:r>
            <w:r>
              <w:rPr>
                <w:rFonts w:hAnsi="宋体"/>
                <w:spacing w:val="-10"/>
                <w:kern w:val="0"/>
                <w:shd w:val="clear" w:color="auto" w:fill="FFFFFF"/>
                <w:lang w:val="zh-CN"/>
              </w:rPr>
              <w:t>较大</w:t>
            </w:r>
            <w:r>
              <w:rPr>
                <w:spacing w:val="-10"/>
                <w:kern w:val="0"/>
                <w:shd w:val="clear" w:color="auto" w:fill="FFFFFF"/>
                <w:lang w:val="zh-CN"/>
              </w:rPr>
              <w:t xml:space="preserve"> </w:t>
            </w:r>
            <w:r>
              <w:rPr>
                <w:rFonts w:hAnsi="宋体"/>
                <w:spacing w:val="-10"/>
                <w:kern w:val="0"/>
                <w:shd w:val="clear" w:color="auto" w:fill="FFFFFF"/>
                <w:lang w:val="zh-CN"/>
              </w:rPr>
              <w:t>对各类自然</w:t>
            </w:r>
            <w:r>
              <w:rPr>
                <w:spacing w:val="-10"/>
                <w:kern w:val="0"/>
                <w:shd w:val="clear" w:color="auto" w:fill="FFFFFF"/>
                <w:lang w:val="zh-CN"/>
              </w:rPr>
              <w:t xml:space="preserve"> </w:t>
            </w:r>
            <w:r>
              <w:rPr>
                <w:rFonts w:hAnsi="宋体"/>
                <w:spacing w:val="-10"/>
                <w:kern w:val="0"/>
                <w:shd w:val="clear" w:color="auto" w:fill="FFFFFF"/>
                <w:lang w:val="zh-CN"/>
              </w:rPr>
              <w:t>保护区、人文</w:t>
            </w:r>
            <w:r>
              <w:rPr>
                <w:spacing w:val="-10"/>
                <w:kern w:val="0"/>
                <w:shd w:val="clear" w:color="auto" w:fill="FFFFFF"/>
                <w:lang w:val="zh-CN"/>
              </w:rPr>
              <w:t xml:space="preserve"> </w:t>
            </w:r>
            <w:r>
              <w:rPr>
                <w:rFonts w:hAnsi="宋体"/>
                <w:spacing w:val="-10"/>
                <w:kern w:val="0"/>
                <w:shd w:val="clear" w:color="auto" w:fill="FFFFFF"/>
                <w:lang w:val="zh-CN"/>
              </w:rPr>
              <w:t>景观、风景旅</w:t>
            </w:r>
            <w:r>
              <w:rPr>
                <w:spacing w:val="-10"/>
                <w:kern w:val="0"/>
                <w:shd w:val="clear" w:color="auto" w:fill="FFFFFF"/>
                <w:lang w:val="zh-CN"/>
              </w:rPr>
              <w:t xml:space="preserve"> </w:t>
            </w:r>
            <w:r>
              <w:rPr>
                <w:rFonts w:hAnsi="宋体"/>
                <w:spacing w:val="-10"/>
                <w:kern w:val="0"/>
                <w:shd w:val="clear" w:color="auto" w:fill="FFFFFF"/>
                <w:lang w:val="zh-CN"/>
              </w:rPr>
              <w:t>游区、</w:t>
            </w:r>
            <w:proofErr w:type="gramStart"/>
            <w:r>
              <w:rPr>
                <w:rFonts w:hAnsi="宋体"/>
                <w:spacing w:val="-10"/>
                <w:kern w:val="0"/>
                <w:shd w:val="clear" w:color="auto" w:fill="FFFFFF"/>
                <w:lang w:val="zh-CN"/>
              </w:rPr>
              <w:t>城市周</w:t>
            </w:r>
            <w:proofErr w:type="gramEnd"/>
            <w:r>
              <w:rPr>
                <w:spacing w:val="-10"/>
                <w:kern w:val="0"/>
                <w:shd w:val="clear" w:color="auto" w:fill="FFFFFF"/>
                <w:lang w:val="zh-CN"/>
              </w:rPr>
              <w:t xml:space="preserve"> </w:t>
            </w:r>
            <w:r>
              <w:rPr>
                <w:rFonts w:hAnsi="宋体"/>
                <w:spacing w:val="-10"/>
                <w:kern w:val="0"/>
                <w:shd w:val="clear" w:color="auto" w:fill="FFFFFF"/>
                <w:lang w:val="zh-CN"/>
              </w:rPr>
              <w:t>围、主要交通</w:t>
            </w:r>
            <w:r>
              <w:rPr>
                <w:spacing w:val="-10"/>
                <w:kern w:val="0"/>
                <w:shd w:val="clear" w:color="auto" w:fill="FFFFFF"/>
                <w:lang w:val="zh-CN"/>
              </w:rPr>
              <w:t xml:space="preserve"> </w:t>
            </w:r>
            <w:r>
              <w:rPr>
                <w:rFonts w:hAnsi="宋体"/>
                <w:spacing w:val="-10"/>
                <w:kern w:val="0"/>
                <w:shd w:val="clear" w:color="auto" w:fill="FFFFFF"/>
                <w:lang w:val="zh-CN"/>
              </w:rPr>
              <w:t>干线两侧可视</w:t>
            </w:r>
            <w:r>
              <w:rPr>
                <w:spacing w:val="-10"/>
                <w:kern w:val="0"/>
                <w:shd w:val="clear" w:color="auto" w:fill="FFFFFF"/>
                <w:lang w:val="zh-CN"/>
              </w:rPr>
              <w:t xml:space="preserve"> </w:t>
            </w:r>
            <w:r>
              <w:rPr>
                <w:rFonts w:hAnsi="宋体"/>
                <w:spacing w:val="-10"/>
                <w:kern w:val="0"/>
                <w:shd w:val="clear" w:color="auto" w:fill="FFFFFF"/>
                <w:lang w:val="zh-CN"/>
              </w:rPr>
              <w:t>范围内地形地</w:t>
            </w:r>
            <w:r>
              <w:rPr>
                <w:spacing w:val="-10"/>
                <w:kern w:val="0"/>
                <w:shd w:val="clear" w:color="auto" w:fill="FFFFFF"/>
                <w:lang w:val="zh-CN"/>
              </w:rPr>
              <w:t xml:space="preserve"> </w:t>
            </w:r>
            <w:r>
              <w:rPr>
                <w:rFonts w:hAnsi="宋体"/>
                <w:spacing w:val="-10"/>
                <w:kern w:val="0"/>
                <w:shd w:val="clear" w:color="auto" w:fill="FFFFFF"/>
                <w:lang w:val="zh-CN"/>
              </w:rPr>
              <w:t>貌景观影响较重</w:t>
            </w:r>
          </w:p>
        </w:tc>
        <w:tc>
          <w:tcPr>
            <w:tcW w:w="1429" w:type="dxa"/>
            <w:tcBorders>
              <w:top w:val="single" w:sz="4" w:space="0" w:color="auto"/>
              <w:left w:val="single" w:sz="4" w:space="0" w:color="auto"/>
              <w:right w:val="single" w:sz="4" w:space="0" w:color="auto"/>
            </w:tcBorders>
            <w:shd w:val="clear" w:color="auto" w:fill="FFFFFF"/>
            <w:vAlign w:val="center"/>
          </w:tcPr>
          <w:p w:rsidR="009C5C1F" w:rsidRDefault="004D2E0D">
            <w:pPr>
              <w:wordWrap w:val="0"/>
              <w:topLinePunct/>
              <w:rPr>
                <w:kern w:val="0"/>
                <w:szCs w:val="21"/>
                <w:lang w:eastAsia="zh-TW"/>
              </w:rPr>
            </w:pPr>
            <w:r>
              <w:rPr>
                <w:rFonts w:hAnsi="宋体"/>
                <w:spacing w:val="-10"/>
                <w:kern w:val="0"/>
                <w:shd w:val="clear" w:color="auto" w:fill="FFFFFF"/>
                <w:lang w:val="zh-CN" w:eastAsia="zh-TW"/>
              </w:rPr>
              <w:t>破坏耕地小于</w:t>
            </w:r>
            <w:r>
              <w:rPr>
                <w:spacing w:val="-10"/>
                <w:kern w:val="0"/>
                <w:shd w:val="clear" w:color="auto" w:fill="FFFFFF"/>
                <w:lang w:val="zh-CN" w:eastAsia="zh-TW"/>
              </w:rPr>
              <w:t xml:space="preserve"> </w:t>
            </w:r>
            <w:r>
              <w:rPr>
                <w:rFonts w:hAnsi="宋体"/>
                <w:spacing w:val="-10"/>
                <w:kern w:val="0"/>
                <w:shd w:val="clear" w:color="auto" w:fill="FFFFFF"/>
                <w:lang w:val="zh-CN" w:eastAsia="zh-TW"/>
              </w:rPr>
              <w:t>等于</w:t>
            </w:r>
            <w:r>
              <w:rPr>
                <w:iCs/>
                <w:spacing w:val="20"/>
                <w:kern w:val="0"/>
                <w:shd w:val="clear" w:color="auto" w:fill="FFFFFF"/>
                <w:lang w:val="zh-CN" w:eastAsia="zh-TW"/>
              </w:rPr>
              <w:t>2hm</w:t>
            </w:r>
            <w:r>
              <w:rPr>
                <w:iCs/>
                <w:spacing w:val="20"/>
                <w:kern w:val="0"/>
                <w:shd w:val="clear" w:color="auto" w:fill="FFFFFF"/>
                <w:vertAlign w:val="superscript"/>
                <w:lang w:val="zh-CN" w:eastAsia="zh-TW"/>
              </w:rPr>
              <w:t>2</w:t>
            </w:r>
            <w:r>
              <w:rPr>
                <w:iCs/>
                <w:spacing w:val="20"/>
                <w:kern w:val="0"/>
                <w:shd w:val="clear" w:color="auto" w:fill="FFFFFF"/>
                <w:lang w:val="zh-CN" w:eastAsia="zh-TW"/>
              </w:rPr>
              <w:t xml:space="preserve"> </w:t>
            </w:r>
            <w:r>
              <w:rPr>
                <w:rFonts w:hAnsi="宋体"/>
                <w:spacing w:val="-10"/>
                <w:kern w:val="0"/>
                <w:shd w:val="clear" w:color="auto" w:fill="FFFFFF"/>
                <w:lang w:val="zh-CN" w:eastAsia="zh-TW"/>
              </w:rPr>
              <w:t>破坏林地或草</w:t>
            </w:r>
            <w:r>
              <w:rPr>
                <w:spacing w:val="-10"/>
                <w:kern w:val="0"/>
                <w:shd w:val="clear" w:color="auto" w:fill="FFFFFF"/>
                <w:lang w:val="zh-CN" w:eastAsia="zh-TW"/>
              </w:rPr>
              <w:t xml:space="preserve"> </w:t>
            </w:r>
            <w:r>
              <w:rPr>
                <w:rFonts w:hAnsi="宋体"/>
                <w:spacing w:val="-10"/>
                <w:kern w:val="0"/>
                <w:shd w:val="clear" w:color="auto" w:fill="FFFFFF"/>
                <w:lang w:val="zh-CN" w:eastAsia="zh-TW"/>
              </w:rPr>
              <w:t>地</w:t>
            </w:r>
            <w:r>
              <w:rPr>
                <w:iCs/>
                <w:spacing w:val="20"/>
                <w:kern w:val="0"/>
                <w:shd w:val="clear" w:color="auto" w:fill="FFFFFF"/>
                <w:lang w:val="zh-TW" w:eastAsia="zh-TW"/>
              </w:rPr>
              <w:t xml:space="preserve"> 2 </w:t>
            </w:r>
            <w:r>
              <w:rPr>
                <w:iCs/>
                <w:spacing w:val="20"/>
                <w:kern w:val="0"/>
                <w:shd w:val="clear" w:color="auto" w:fill="FFFFFF"/>
                <w:lang w:val="zh-CN" w:eastAsia="zh-TW"/>
              </w:rPr>
              <w:t>hm</w:t>
            </w:r>
            <w:r>
              <w:rPr>
                <w:iCs/>
                <w:spacing w:val="20"/>
                <w:kern w:val="0"/>
                <w:shd w:val="clear" w:color="auto" w:fill="FFFFFF"/>
                <w:vertAlign w:val="superscript"/>
                <w:lang w:val="zh-CN" w:eastAsia="zh-TW"/>
              </w:rPr>
              <w:t>2</w:t>
            </w:r>
            <w:r>
              <w:rPr>
                <w:iCs/>
                <w:spacing w:val="20"/>
                <w:kern w:val="0"/>
                <w:shd w:val="clear" w:color="auto" w:fill="FFFFFF"/>
                <w:lang w:val="zh-TW" w:eastAsia="zh-TW"/>
              </w:rPr>
              <w:t xml:space="preserve">~4 </w:t>
            </w:r>
            <w:r>
              <w:rPr>
                <w:iCs/>
                <w:spacing w:val="20"/>
                <w:kern w:val="0"/>
                <w:shd w:val="clear" w:color="auto" w:fill="FFFFFF"/>
                <w:lang w:val="zh-CN" w:eastAsia="zh-TW"/>
              </w:rPr>
              <w:t>hm</w:t>
            </w:r>
            <w:r>
              <w:rPr>
                <w:iCs/>
                <w:spacing w:val="20"/>
                <w:kern w:val="0"/>
                <w:shd w:val="clear" w:color="auto" w:fill="FFFFFF"/>
                <w:vertAlign w:val="superscript"/>
                <w:lang w:val="zh-CN" w:eastAsia="zh-TW"/>
              </w:rPr>
              <w:t>2</w:t>
            </w:r>
            <w:r>
              <w:rPr>
                <w:iCs/>
                <w:spacing w:val="20"/>
                <w:kern w:val="0"/>
                <w:shd w:val="clear" w:color="auto" w:fill="FFFFFF"/>
                <w:lang w:val="zh-CN" w:eastAsia="zh-TW"/>
              </w:rPr>
              <w:t xml:space="preserve"> </w:t>
            </w:r>
            <w:r>
              <w:rPr>
                <w:rFonts w:hAnsi="宋体"/>
                <w:spacing w:val="-10"/>
                <w:kern w:val="0"/>
                <w:shd w:val="clear" w:color="auto" w:fill="FFFFFF"/>
                <w:lang w:val="zh-CN" w:eastAsia="zh-TW"/>
              </w:rPr>
              <w:t>破坏荒山或未</w:t>
            </w:r>
            <w:r>
              <w:rPr>
                <w:spacing w:val="-10"/>
                <w:kern w:val="0"/>
                <w:shd w:val="clear" w:color="auto" w:fill="FFFFFF"/>
                <w:lang w:val="zh-CN" w:eastAsia="zh-TW"/>
              </w:rPr>
              <w:t xml:space="preserve"> </w:t>
            </w:r>
            <w:r>
              <w:rPr>
                <w:rFonts w:hAnsi="宋体"/>
                <w:spacing w:val="-10"/>
                <w:kern w:val="0"/>
                <w:shd w:val="clear" w:color="auto" w:fill="FFFFFF"/>
                <w:lang w:val="zh-CN" w:eastAsia="zh-TW"/>
              </w:rPr>
              <w:t>开发利用土地</w:t>
            </w:r>
            <w:r>
              <w:rPr>
                <w:iCs/>
                <w:spacing w:val="20"/>
                <w:kern w:val="0"/>
                <w:shd w:val="clear" w:color="auto" w:fill="FFFFFF"/>
                <w:lang w:val="zh-TW" w:eastAsia="zh-TW"/>
              </w:rPr>
              <w:t xml:space="preserve">10 </w:t>
            </w:r>
            <w:r>
              <w:rPr>
                <w:iCs/>
                <w:spacing w:val="20"/>
                <w:kern w:val="0"/>
                <w:shd w:val="clear" w:color="auto" w:fill="FFFFFF"/>
                <w:lang w:val="zh-CN" w:eastAsia="zh-TW"/>
              </w:rPr>
              <w:t>hm</w:t>
            </w:r>
            <w:r>
              <w:rPr>
                <w:iCs/>
                <w:spacing w:val="20"/>
                <w:kern w:val="0"/>
                <w:shd w:val="clear" w:color="auto" w:fill="FFFFFF"/>
                <w:vertAlign w:val="superscript"/>
                <w:lang w:val="zh-CN" w:eastAsia="zh-TW"/>
              </w:rPr>
              <w:t>2</w:t>
            </w:r>
            <w:r>
              <w:rPr>
                <w:iCs/>
                <w:spacing w:val="20"/>
                <w:kern w:val="0"/>
                <w:shd w:val="clear" w:color="auto" w:fill="FFFFFF"/>
                <w:lang w:val="zh-CN" w:eastAsia="zh-TW"/>
              </w:rPr>
              <w:t>-20 hm</w:t>
            </w:r>
            <w:r>
              <w:rPr>
                <w:iCs/>
                <w:spacing w:val="20"/>
                <w:kern w:val="0"/>
                <w:shd w:val="clear" w:color="auto" w:fill="FFFFFF"/>
                <w:vertAlign w:val="superscript"/>
                <w:lang w:val="zh-CN" w:eastAsia="zh-TW"/>
              </w:rPr>
              <w:t>2</w:t>
            </w:r>
          </w:p>
        </w:tc>
      </w:tr>
      <w:tr w:rsidR="009C5C1F">
        <w:trPr>
          <w:trHeight w:hRule="exact" w:val="2417"/>
          <w:jc w:val="center"/>
        </w:trPr>
        <w:tc>
          <w:tcPr>
            <w:tcW w:w="640"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rPr>
                <w:b/>
                <w:kern w:val="0"/>
                <w:szCs w:val="21"/>
              </w:rPr>
            </w:pPr>
            <w:r>
              <w:rPr>
                <w:rFonts w:hAnsi="宋体"/>
                <w:b/>
                <w:spacing w:val="-10"/>
                <w:kern w:val="0"/>
                <w:shd w:val="clear" w:color="auto" w:fill="FFFFFF"/>
                <w:lang w:val="zh-CN"/>
              </w:rPr>
              <w:t>较轻</w:t>
            </w:r>
          </w:p>
        </w:tc>
        <w:tc>
          <w:tcPr>
            <w:tcW w:w="1903"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地质灾害规模小，</w:t>
            </w:r>
            <w:r>
              <w:rPr>
                <w:spacing w:val="-10"/>
                <w:kern w:val="0"/>
                <w:shd w:val="clear" w:color="auto" w:fill="FFFFFF"/>
                <w:lang w:val="zh-CN"/>
              </w:rPr>
              <w:t xml:space="preserve"> </w:t>
            </w:r>
            <w:r>
              <w:rPr>
                <w:rFonts w:hAnsi="宋体"/>
                <w:spacing w:val="-10"/>
                <w:kern w:val="0"/>
                <w:shd w:val="clear" w:color="auto" w:fill="FFFFFF"/>
                <w:lang w:val="zh-CN"/>
              </w:rPr>
              <w:t>发生的可能性小</w:t>
            </w:r>
            <w:r>
              <w:rPr>
                <w:spacing w:val="-10"/>
                <w:kern w:val="0"/>
                <w:shd w:val="clear" w:color="auto" w:fill="FFFFFF"/>
                <w:lang w:val="zh-CN"/>
              </w:rPr>
              <w:t xml:space="preserve"> </w:t>
            </w:r>
            <w:r>
              <w:rPr>
                <w:rFonts w:hAnsi="宋体"/>
                <w:spacing w:val="-10"/>
                <w:kern w:val="0"/>
                <w:shd w:val="clear" w:color="auto" w:fill="FFFFFF"/>
                <w:lang w:val="zh-CN"/>
              </w:rPr>
              <w:t>影响到分散性居</w:t>
            </w:r>
            <w:r>
              <w:rPr>
                <w:spacing w:val="-10"/>
                <w:kern w:val="0"/>
                <w:shd w:val="clear" w:color="auto" w:fill="FFFFFF"/>
                <w:lang w:val="zh-CN"/>
              </w:rPr>
              <w:t xml:space="preserve"> </w:t>
            </w:r>
            <w:r>
              <w:rPr>
                <w:rFonts w:hAnsi="宋体"/>
                <w:spacing w:val="-10"/>
                <w:kern w:val="0"/>
                <w:shd w:val="clear" w:color="auto" w:fill="FFFFFF"/>
                <w:lang w:val="zh-CN"/>
              </w:rPr>
              <w:t>民、一般性小规模建</w:t>
            </w:r>
            <w:r>
              <w:rPr>
                <w:spacing w:val="-10"/>
                <w:kern w:val="0"/>
                <w:shd w:val="clear" w:color="auto" w:fill="FFFFFF"/>
                <w:lang w:val="zh-CN"/>
              </w:rPr>
              <w:t xml:space="preserve"> </w:t>
            </w:r>
            <w:proofErr w:type="gramStart"/>
            <w:r>
              <w:rPr>
                <w:rFonts w:hAnsi="宋体"/>
                <w:spacing w:val="-10"/>
                <w:kern w:val="0"/>
                <w:shd w:val="clear" w:color="auto" w:fill="FFFFFF"/>
                <w:lang w:val="zh-CN"/>
              </w:rPr>
              <w:t>筑及设施</w:t>
            </w:r>
            <w:proofErr w:type="gramEnd"/>
            <w:r>
              <w:rPr>
                <w:spacing w:val="-10"/>
                <w:kern w:val="0"/>
                <w:shd w:val="clear" w:color="auto" w:fill="FFFFFF"/>
                <w:lang w:val="zh-CN"/>
              </w:rPr>
              <w:t xml:space="preserve"> </w:t>
            </w:r>
            <w:r>
              <w:rPr>
                <w:rFonts w:hAnsi="宋体"/>
                <w:spacing w:val="-10"/>
                <w:kern w:val="0"/>
                <w:shd w:val="clear" w:color="auto" w:fill="FFFFFF"/>
                <w:lang w:val="zh-CN"/>
              </w:rPr>
              <w:t>造成或可能造成</w:t>
            </w:r>
            <w:r>
              <w:rPr>
                <w:spacing w:val="-10"/>
                <w:kern w:val="0"/>
                <w:shd w:val="clear" w:color="auto" w:fill="FFFFFF"/>
                <w:lang w:val="zh-CN"/>
              </w:rPr>
              <w:t xml:space="preserve"> </w:t>
            </w:r>
            <w:r>
              <w:rPr>
                <w:rFonts w:hAnsi="宋体"/>
                <w:spacing w:val="-10"/>
                <w:kern w:val="0"/>
                <w:shd w:val="clear" w:color="auto" w:fill="FFFFFF"/>
                <w:lang w:val="zh-CN"/>
              </w:rPr>
              <w:t>直接经济损失小于</w:t>
            </w:r>
            <w:r>
              <w:rPr>
                <w:spacing w:val="-10"/>
                <w:kern w:val="0"/>
                <w:shd w:val="clear" w:color="auto" w:fill="FFFFFF"/>
                <w:lang w:val="zh-CN"/>
              </w:rPr>
              <w:t xml:space="preserve"> </w:t>
            </w:r>
            <w:r>
              <w:rPr>
                <w:iCs/>
                <w:spacing w:val="20"/>
                <w:kern w:val="0"/>
                <w:shd w:val="clear" w:color="auto" w:fill="FFFFFF"/>
                <w:lang w:val="zh-TW"/>
              </w:rPr>
              <w:t>100</w:t>
            </w:r>
            <w:r>
              <w:rPr>
                <w:rFonts w:hAnsi="宋体"/>
                <w:spacing w:val="-10"/>
                <w:kern w:val="0"/>
                <w:shd w:val="clear" w:color="auto" w:fill="FFFFFF"/>
                <w:lang w:val="zh-CN"/>
              </w:rPr>
              <w:t>万元</w:t>
            </w:r>
            <w:r>
              <w:rPr>
                <w:spacing w:val="-10"/>
                <w:kern w:val="0"/>
                <w:shd w:val="clear" w:color="auto" w:fill="FFFFFF"/>
                <w:lang w:val="zh-CN"/>
              </w:rPr>
              <w:t xml:space="preserve"> </w:t>
            </w:r>
            <w:r>
              <w:rPr>
                <w:rFonts w:hAnsi="宋体"/>
                <w:spacing w:val="-10"/>
                <w:kern w:val="0"/>
                <w:shd w:val="clear" w:color="auto" w:fill="FFFFFF"/>
                <w:lang w:val="zh-CN"/>
              </w:rPr>
              <w:t>受威胁人数小于</w:t>
            </w:r>
            <w:r>
              <w:rPr>
                <w:iCs/>
                <w:spacing w:val="20"/>
                <w:kern w:val="0"/>
                <w:shd w:val="clear" w:color="auto" w:fill="FFFFFF"/>
                <w:lang w:val="zh-TW"/>
              </w:rPr>
              <w:t>10</w:t>
            </w:r>
            <w:r>
              <w:rPr>
                <w:rFonts w:hint="eastAsia"/>
                <w:iCs/>
                <w:spacing w:val="20"/>
                <w:kern w:val="0"/>
                <w:shd w:val="clear" w:color="auto" w:fill="FFFFFF"/>
                <w:lang w:val="zh-CN"/>
              </w:rPr>
              <w:t>人</w:t>
            </w:r>
          </w:p>
        </w:tc>
        <w:tc>
          <w:tcPr>
            <w:tcW w:w="2784"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矿井正常涌水量小于</w:t>
            </w:r>
            <w:r>
              <w:rPr>
                <w:spacing w:val="-10"/>
                <w:kern w:val="0"/>
                <w:shd w:val="clear" w:color="auto" w:fill="FFFFFF"/>
                <w:lang w:val="zh-CN"/>
              </w:rPr>
              <w:t xml:space="preserve"> </w:t>
            </w:r>
            <w:r>
              <w:rPr>
                <w:iCs/>
                <w:spacing w:val="20"/>
                <w:kern w:val="0"/>
                <w:shd w:val="clear" w:color="auto" w:fill="FFFFFF"/>
                <w:lang w:val="zh-TW"/>
              </w:rPr>
              <w:t xml:space="preserve">3000 </w:t>
            </w:r>
            <w:r>
              <w:rPr>
                <w:iCs/>
                <w:spacing w:val="20"/>
                <w:kern w:val="0"/>
                <w:shd w:val="clear" w:color="auto" w:fill="FFFFFF"/>
                <w:lang w:val="zh-CN"/>
              </w:rPr>
              <w:t>m</w:t>
            </w:r>
            <w:r>
              <w:rPr>
                <w:iCs/>
                <w:spacing w:val="20"/>
                <w:kern w:val="0"/>
                <w:shd w:val="clear" w:color="auto" w:fill="FFFFFF"/>
                <w:vertAlign w:val="superscript"/>
                <w:lang w:val="zh-CN"/>
              </w:rPr>
              <w:t>3</w:t>
            </w:r>
            <w:r>
              <w:rPr>
                <w:iCs/>
                <w:spacing w:val="20"/>
                <w:kern w:val="0"/>
                <w:shd w:val="clear" w:color="auto" w:fill="FFFFFF"/>
                <w:lang w:val="zh-CN"/>
              </w:rPr>
              <w:t xml:space="preserve">/d </w:t>
            </w:r>
            <w:r>
              <w:rPr>
                <w:rFonts w:hAnsi="宋体"/>
                <w:spacing w:val="-10"/>
                <w:kern w:val="0"/>
                <w:shd w:val="clear" w:color="auto" w:fill="FFFFFF"/>
                <w:lang w:val="zh-CN"/>
              </w:rPr>
              <w:t>矿区及周围主要含水层</w:t>
            </w:r>
            <w:r>
              <w:rPr>
                <w:spacing w:val="-10"/>
                <w:kern w:val="0"/>
                <w:shd w:val="clear" w:color="auto" w:fill="FFFFFF"/>
                <w:lang w:val="zh-CN"/>
              </w:rPr>
              <w:t xml:space="preserve"> </w:t>
            </w:r>
            <w:r>
              <w:rPr>
                <w:rFonts w:hAnsi="宋体"/>
                <w:spacing w:val="-10"/>
                <w:kern w:val="0"/>
                <w:shd w:val="clear" w:color="auto" w:fill="FFFFFF"/>
                <w:lang w:val="zh-CN"/>
              </w:rPr>
              <w:t>水位下降幅度小</w:t>
            </w:r>
            <w:r>
              <w:rPr>
                <w:spacing w:val="-10"/>
                <w:kern w:val="0"/>
                <w:shd w:val="clear" w:color="auto" w:fill="FFFFFF"/>
                <w:lang w:val="zh-CN"/>
              </w:rPr>
              <w:t xml:space="preserve"> </w:t>
            </w:r>
            <w:r>
              <w:rPr>
                <w:rFonts w:hAnsi="宋体"/>
                <w:spacing w:val="-10"/>
                <w:kern w:val="0"/>
                <w:shd w:val="clear" w:color="auto" w:fill="FFFFFF"/>
                <w:lang w:val="zh-CN"/>
              </w:rPr>
              <w:t>矿区及周围地表水体未</w:t>
            </w:r>
            <w:r>
              <w:rPr>
                <w:spacing w:val="-10"/>
                <w:kern w:val="0"/>
                <w:shd w:val="clear" w:color="auto" w:fill="FFFFFF"/>
                <w:lang w:val="zh-CN"/>
              </w:rPr>
              <w:t xml:space="preserve"> </w:t>
            </w:r>
            <w:r>
              <w:rPr>
                <w:rFonts w:hAnsi="宋体"/>
                <w:spacing w:val="-10"/>
                <w:kern w:val="0"/>
                <w:shd w:val="clear" w:color="auto" w:fill="FFFFFF"/>
                <w:lang w:val="zh-CN"/>
              </w:rPr>
              <w:t>漏失</w:t>
            </w:r>
            <w:r>
              <w:rPr>
                <w:rFonts w:hint="eastAsia"/>
                <w:kern w:val="0"/>
                <w:szCs w:val="21"/>
              </w:rPr>
              <w:t>；</w:t>
            </w:r>
            <w:r>
              <w:rPr>
                <w:rFonts w:hAnsi="宋体"/>
                <w:spacing w:val="-10"/>
                <w:kern w:val="0"/>
                <w:shd w:val="clear" w:color="auto" w:fill="FFFFFF"/>
                <w:lang w:val="zh-CN"/>
              </w:rPr>
              <w:t>未影响到矿区及周围生</w:t>
            </w:r>
            <w:r>
              <w:rPr>
                <w:spacing w:val="-10"/>
                <w:kern w:val="0"/>
                <w:shd w:val="clear" w:color="auto" w:fill="FFFFFF"/>
                <w:lang w:val="zh-CN"/>
              </w:rPr>
              <w:t xml:space="preserve"> </w:t>
            </w:r>
            <w:r>
              <w:rPr>
                <w:rFonts w:hAnsi="宋体"/>
                <w:spacing w:val="-10"/>
                <w:kern w:val="0"/>
                <w:shd w:val="clear" w:color="auto" w:fill="FFFFFF"/>
                <w:lang w:val="zh-CN"/>
              </w:rPr>
              <w:t>产生活供水</w:t>
            </w:r>
          </w:p>
        </w:tc>
        <w:tc>
          <w:tcPr>
            <w:tcW w:w="1843"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对原生的地</w:t>
            </w:r>
            <w:r>
              <w:rPr>
                <w:spacing w:val="-10"/>
                <w:kern w:val="0"/>
                <w:shd w:val="clear" w:color="auto" w:fill="FFFFFF"/>
                <w:lang w:val="zh-CN"/>
              </w:rPr>
              <w:t xml:space="preserve"> </w:t>
            </w:r>
            <w:r>
              <w:rPr>
                <w:rFonts w:hAnsi="宋体"/>
                <w:spacing w:val="-10"/>
                <w:kern w:val="0"/>
                <w:shd w:val="clear" w:color="auto" w:fill="FFFFFF"/>
                <w:lang w:val="zh-CN"/>
              </w:rPr>
              <w:t>形地貌景观影</w:t>
            </w:r>
            <w:r>
              <w:rPr>
                <w:spacing w:val="-10"/>
                <w:kern w:val="0"/>
                <w:shd w:val="clear" w:color="auto" w:fill="FFFFFF"/>
                <w:lang w:val="zh-CN"/>
              </w:rPr>
              <w:t xml:space="preserve"> </w:t>
            </w:r>
            <w:r>
              <w:rPr>
                <w:rFonts w:hAnsi="宋体"/>
                <w:spacing w:val="-10"/>
                <w:kern w:val="0"/>
                <w:shd w:val="clear" w:color="auto" w:fill="FFFFFF"/>
                <w:lang w:val="zh-CN"/>
              </w:rPr>
              <w:t>响和破坏程度</w:t>
            </w:r>
            <w:r>
              <w:rPr>
                <w:spacing w:val="-10"/>
                <w:kern w:val="0"/>
                <w:shd w:val="clear" w:color="auto" w:fill="FFFFFF"/>
                <w:lang w:val="zh-CN"/>
              </w:rPr>
              <w:t xml:space="preserve"> </w:t>
            </w:r>
            <w:r>
              <w:rPr>
                <w:rFonts w:hAnsi="宋体"/>
                <w:spacing w:val="-10"/>
                <w:kern w:val="0"/>
                <w:shd w:val="clear" w:color="auto" w:fill="FFFFFF"/>
                <w:lang w:val="zh-CN"/>
              </w:rPr>
              <w:t>小</w:t>
            </w:r>
            <w:r>
              <w:rPr>
                <w:rFonts w:hint="eastAsia"/>
                <w:kern w:val="0"/>
                <w:szCs w:val="21"/>
              </w:rPr>
              <w:t>；</w:t>
            </w:r>
            <w:r>
              <w:rPr>
                <w:rFonts w:hAnsi="宋体"/>
                <w:spacing w:val="-10"/>
                <w:kern w:val="0"/>
                <w:shd w:val="clear" w:color="auto" w:fill="FFFFFF"/>
                <w:lang w:val="zh-CN"/>
              </w:rPr>
              <w:t>对各类自然</w:t>
            </w:r>
            <w:r>
              <w:rPr>
                <w:spacing w:val="-10"/>
                <w:kern w:val="0"/>
                <w:shd w:val="clear" w:color="auto" w:fill="FFFFFF"/>
                <w:lang w:val="zh-CN"/>
              </w:rPr>
              <w:t xml:space="preserve"> </w:t>
            </w:r>
            <w:r>
              <w:rPr>
                <w:rFonts w:hAnsi="宋体"/>
                <w:spacing w:val="-10"/>
                <w:kern w:val="0"/>
                <w:shd w:val="clear" w:color="auto" w:fill="FFFFFF"/>
                <w:lang w:val="zh-CN"/>
              </w:rPr>
              <w:t>保护区、人文</w:t>
            </w:r>
            <w:r>
              <w:rPr>
                <w:spacing w:val="-10"/>
                <w:kern w:val="0"/>
                <w:shd w:val="clear" w:color="auto" w:fill="FFFFFF"/>
                <w:lang w:val="zh-CN"/>
              </w:rPr>
              <w:t xml:space="preserve"> </w:t>
            </w:r>
            <w:r>
              <w:rPr>
                <w:rFonts w:hAnsi="宋体"/>
                <w:spacing w:val="-10"/>
                <w:kern w:val="0"/>
                <w:shd w:val="clear" w:color="auto" w:fill="FFFFFF"/>
                <w:lang w:val="zh-CN"/>
              </w:rPr>
              <w:t>景观、风景旅</w:t>
            </w:r>
            <w:r>
              <w:rPr>
                <w:spacing w:val="-10"/>
                <w:kern w:val="0"/>
                <w:shd w:val="clear" w:color="auto" w:fill="FFFFFF"/>
                <w:lang w:val="zh-CN"/>
              </w:rPr>
              <w:t xml:space="preserve"> </w:t>
            </w:r>
            <w:r>
              <w:rPr>
                <w:rFonts w:hAnsi="宋体"/>
                <w:spacing w:val="-10"/>
                <w:kern w:val="0"/>
                <w:shd w:val="clear" w:color="auto" w:fill="FFFFFF"/>
                <w:lang w:val="zh-CN"/>
              </w:rPr>
              <w:t>游区、</w:t>
            </w:r>
            <w:proofErr w:type="gramStart"/>
            <w:r>
              <w:rPr>
                <w:rFonts w:hAnsi="宋体"/>
                <w:spacing w:val="-10"/>
                <w:kern w:val="0"/>
                <w:shd w:val="clear" w:color="auto" w:fill="FFFFFF"/>
                <w:lang w:val="zh-CN"/>
              </w:rPr>
              <w:t>城市周</w:t>
            </w:r>
            <w:proofErr w:type="gramEnd"/>
            <w:r>
              <w:rPr>
                <w:spacing w:val="-10"/>
                <w:kern w:val="0"/>
                <w:shd w:val="clear" w:color="auto" w:fill="FFFFFF"/>
                <w:lang w:val="zh-CN"/>
              </w:rPr>
              <w:t xml:space="preserve"> </w:t>
            </w:r>
            <w:r>
              <w:rPr>
                <w:rFonts w:hAnsi="宋体"/>
                <w:spacing w:val="-10"/>
                <w:kern w:val="0"/>
                <w:shd w:val="clear" w:color="auto" w:fill="FFFFFF"/>
                <w:lang w:val="zh-CN"/>
              </w:rPr>
              <w:t>围、主要交通</w:t>
            </w:r>
            <w:r>
              <w:rPr>
                <w:spacing w:val="-10"/>
                <w:kern w:val="0"/>
                <w:shd w:val="clear" w:color="auto" w:fill="FFFFFF"/>
                <w:lang w:val="zh-CN"/>
              </w:rPr>
              <w:t xml:space="preserve"> </w:t>
            </w:r>
            <w:r>
              <w:rPr>
                <w:rFonts w:hAnsi="宋体"/>
                <w:spacing w:val="-10"/>
                <w:kern w:val="0"/>
                <w:shd w:val="clear" w:color="auto" w:fill="FFFFFF"/>
                <w:lang w:val="zh-CN"/>
              </w:rPr>
              <w:t>干线两侧可视</w:t>
            </w:r>
            <w:r>
              <w:rPr>
                <w:spacing w:val="-10"/>
                <w:kern w:val="0"/>
                <w:shd w:val="clear" w:color="auto" w:fill="FFFFFF"/>
                <w:lang w:val="zh-CN"/>
              </w:rPr>
              <w:t xml:space="preserve"> </w:t>
            </w:r>
            <w:r>
              <w:rPr>
                <w:rFonts w:hAnsi="宋体"/>
                <w:spacing w:val="-10"/>
                <w:kern w:val="0"/>
                <w:shd w:val="clear" w:color="auto" w:fill="FFFFFF"/>
                <w:lang w:val="zh-CN"/>
              </w:rPr>
              <w:t>范围内地形地</w:t>
            </w:r>
            <w:r>
              <w:rPr>
                <w:spacing w:val="-10"/>
                <w:kern w:val="0"/>
                <w:shd w:val="clear" w:color="auto" w:fill="FFFFFF"/>
                <w:lang w:val="zh-CN"/>
              </w:rPr>
              <w:t xml:space="preserve"> </w:t>
            </w:r>
            <w:r>
              <w:rPr>
                <w:rFonts w:hAnsi="宋体"/>
                <w:spacing w:val="-10"/>
                <w:kern w:val="0"/>
                <w:shd w:val="clear" w:color="auto" w:fill="FFFFFF"/>
                <w:lang w:val="zh-CN"/>
              </w:rPr>
              <w:t>貌景观影响较轻</w:t>
            </w:r>
          </w:p>
        </w:tc>
        <w:tc>
          <w:tcPr>
            <w:tcW w:w="1429" w:type="dxa"/>
            <w:tcBorders>
              <w:top w:val="single" w:sz="4" w:space="0" w:color="auto"/>
              <w:left w:val="single" w:sz="4" w:space="0" w:color="auto"/>
              <w:bottom w:val="single" w:sz="4" w:space="0" w:color="auto"/>
              <w:right w:val="single" w:sz="4" w:space="0" w:color="auto"/>
            </w:tcBorders>
            <w:shd w:val="clear" w:color="auto" w:fill="FFFFFF"/>
            <w:vAlign w:val="center"/>
          </w:tcPr>
          <w:p w:rsidR="009C5C1F" w:rsidRDefault="004D2E0D">
            <w:pPr>
              <w:wordWrap w:val="0"/>
              <w:topLinePunct/>
              <w:rPr>
                <w:kern w:val="0"/>
                <w:szCs w:val="21"/>
              </w:rPr>
            </w:pPr>
            <w:r>
              <w:rPr>
                <w:rFonts w:hAnsi="宋体"/>
                <w:spacing w:val="-10"/>
                <w:kern w:val="0"/>
                <w:shd w:val="clear" w:color="auto" w:fill="FFFFFF"/>
                <w:lang w:val="zh-CN"/>
              </w:rPr>
              <w:t>破坏林地或草</w:t>
            </w:r>
            <w:r>
              <w:rPr>
                <w:spacing w:val="-10"/>
                <w:kern w:val="0"/>
                <w:shd w:val="clear" w:color="auto" w:fill="FFFFFF"/>
                <w:lang w:val="zh-CN"/>
              </w:rPr>
              <w:t xml:space="preserve"> </w:t>
            </w:r>
            <w:r>
              <w:rPr>
                <w:rFonts w:hAnsi="宋体"/>
                <w:spacing w:val="-10"/>
                <w:kern w:val="0"/>
                <w:shd w:val="clear" w:color="auto" w:fill="FFFFFF"/>
                <w:lang w:val="zh-CN"/>
              </w:rPr>
              <w:t>地小于等于</w:t>
            </w:r>
            <w:r>
              <w:rPr>
                <w:iCs/>
                <w:spacing w:val="20"/>
                <w:kern w:val="0"/>
                <w:shd w:val="clear" w:color="auto" w:fill="FFFFFF"/>
                <w:lang w:val="zh-TW"/>
              </w:rPr>
              <w:t xml:space="preserve">2 </w:t>
            </w:r>
            <w:r>
              <w:rPr>
                <w:iCs/>
                <w:spacing w:val="20"/>
                <w:kern w:val="0"/>
                <w:shd w:val="clear" w:color="auto" w:fill="FFFFFF"/>
                <w:lang w:val="zh-CN"/>
              </w:rPr>
              <w:t>hm</w:t>
            </w:r>
            <w:r>
              <w:rPr>
                <w:iCs/>
                <w:spacing w:val="20"/>
                <w:kern w:val="0"/>
                <w:shd w:val="clear" w:color="auto" w:fill="FFFFFF"/>
                <w:vertAlign w:val="superscript"/>
                <w:lang w:val="zh-CN"/>
              </w:rPr>
              <w:t>2</w:t>
            </w:r>
            <w:r>
              <w:rPr>
                <w:iCs/>
                <w:spacing w:val="20"/>
                <w:kern w:val="0"/>
                <w:shd w:val="clear" w:color="auto" w:fill="FFFFFF"/>
                <w:lang w:val="zh-CN"/>
              </w:rPr>
              <w:t xml:space="preserve"> </w:t>
            </w:r>
            <w:r>
              <w:rPr>
                <w:rFonts w:hAnsi="宋体"/>
                <w:spacing w:val="-10"/>
                <w:kern w:val="0"/>
                <w:shd w:val="clear" w:color="auto" w:fill="FFFFFF"/>
                <w:lang w:val="zh-CN"/>
              </w:rPr>
              <w:t>破坏荒山或未</w:t>
            </w:r>
            <w:r>
              <w:rPr>
                <w:spacing w:val="-10"/>
                <w:kern w:val="0"/>
                <w:shd w:val="clear" w:color="auto" w:fill="FFFFFF"/>
                <w:lang w:val="zh-CN"/>
              </w:rPr>
              <w:t xml:space="preserve"> </w:t>
            </w:r>
            <w:r>
              <w:rPr>
                <w:rFonts w:hAnsi="宋体"/>
                <w:spacing w:val="-10"/>
                <w:kern w:val="0"/>
                <w:shd w:val="clear" w:color="auto" w:fill="FFFFFF"/>
                <w:lang w:val="zh-CN"/>
              </w:rPr>
              <w:t>开发利用土地小</w:t>
            </w:r>
            <w:r>
              <w:rPr>
                <w:spacing w:val="-10"/>
                <w:kern w:val="0"/>
                <w:shd w:val="clear" w:color="auto" w:fill="FFFFFF"/>
                <w:lang w:val="zh-CN"/>
              </w:rPr>
              <w:t xml:space="preserve"> </w:t>
            </w:r>
            <w:r>
              <w:rPr>
                <w:rFonts w:hAnsi="宋体"/>
                <w:spacing w:val="-10"/>
                <w:kern w:val="0"/>
                <w:shd w:val="clear" w:color="auto" w:fill="FFFFFF"/>
                <w:lang w:val="zh-CN"/>
              </w:rPr>
              <w:t>于等于</w:t>
            </w:r>
            <w:r>
              <w:rPr>
                <w:iCs/>
                <w:spacing w:val="20"/>
                <w:kern w:val="0"/>
                <w:shd w:val="clear" w:color="auto" w:fill="FFFFFF"/>
                <w:lang w:val="zh-TW"/>
              </w:rPr>
              <w:t xml:space="preserve">10 </w:t>
            </w:r>
            <w:r>
              <w:rPr>
                <w:iCs/>
                <w:spacing w:val="20"/>
                <w:kern w:val="0"/>
                <w:shd w:val="clear" w:color="auto" w:fill="FFFFFF"/>
                <w:lang w:val="zh-CN"/>
              </w:rPr>
              <w:t>hm</w:t>
            </w:r>
            <w:r>
              <w:rPr>
                <w:iCs/>
                <w:spacing w:val="20"/>
                <w:kern w:val="0"/>
                <w:shd w:val="clear" w:color="auto" w:fill="FFFFFF"/>
                <w:vertAlign w:val="superscript"/>
                <w:lang w:val="zh-CN"/>
              </w:rPr>
              <w:t>2</w:t>
            </w:r>
          </w:p>
        </w:tc>
      </w:tr>
    </w:tbl>
    <w:p w:rsidR="009C5C1F" w:rsidRDefault="004D2E0D">
      <w:pPr>
        <w:keepNext/>
        <w:keepLines/>
        <w:suppressAutoHyphens/>
        <w:wordWrap w:val="0"/>
        <w:topLinePunct/>
        <w:spacing w:before="100" w:beforeAutospacing="1" w:line="360" w:lineRule="auto"/>
        <w:ind w:firstLineChars="200" w:firstLine="482"/>
        <w:outlineLvl w:val="2"/>
        <w:rPr>
          <w:b/>
          <w:sz w:val="24"/>
          <w:szCs w:val="28"/>
        </w:rPr>
      </w:pPr>
      <w:bookmarkStart w:id="953" w:name="_Toc70589858"/>
      <w:r>
        <w:rPr>
          <w:rFonts w:hint="eastAsia"/>
          <w:b/>
          <w:sz w:val="24"/>
          <w:szCs w:val="28"/>
        </w:rPr>
        <w:t>（三）矿区含水层破坏</w:t>
      </w:r>
      <w:r>
        <w:rPr>
          <w:b/>
          <w:sz w:val="24"/>
          <w:szCs w:val="28"/>
        </w:rPr>
        <w:t>现状</w:t>
      </w:r>
      <w:r>
        <w:rPr>
          <w:rFonts w:hint="eastAsia"/>
          <w:b/>
          <w:sz w:val="24"/>
          <w:szCs w:val="28"/>
        </w:rPr>
        <w:t>分析与预测</w:t>
      </w:r>
      <w:bookmarkEnd w:id="953"/>
    </w:p>
    <w:p w:rsidR="009C5C1F" w:rsidRDefault="004D2E0D">
      <w:pPr>
        <w:suppressAutoHyphens/>
        <w:wordWrap w:val="0"/>
        <w:topLinePunct/>
        <w:spacing w:line="360" w:lineRule="auto"/>
        <w:ind w:firstLineChars="200" w:firstLine="480"/>
        <w:rPr>
          <w:sz w:val="24"/>
        </w:rPr>
      </w:pPr>
      <w:r>
        <w:rPr>
          <w:rFonts w:hint="eastAsia"/>
          <w:sz w:val="24"/>
        </w:rPr>
        <w:t>1</w:t>
      </w:r>
      <w:r>
        <w:rPr>
          <w:rFonts w:hint="eastAsia"/>
          <w:sz w:val="24"/>
        </w:rPr>
        <w:t>、现状分析</w:t>
      </w:r>
    </w:p>
    <w:p w:rsidR="009C5C1F" w:rsidRDefault="004D2E0D">
      <w:pPr>
        <w:suppressAutoHyphens/>
        <w:wordWrap w:val="0"/>
        <w:topLinePunct/>
        <w:spacing w:line="360" w:lineRule="auto"/>
        <w:ind w:firstLineChars="200" w:firstLine="480"/>
        <w:rPr>
          <w:sz w:val="24"/>
        </w:rPr>
      </w:pPr>
      <w:r>
        <w:rPr>
          <w:rFonts w:hint="eastAsia"/>
          <w:sz w:val="24"/>
        </w:rPr>
        <w:t>矿区内地表水不发育，并且拟开采矿区范围之内没有地表水体。矿体位于当地侵蚀基准面以上。大气降水少量的渗入到地下，形成地下水。矿层本身</w:t>
      </w:r>
      <w:proofErr w:type="gramStart"/>
      <w:r>
        <w:rPr>
          <w:rFonts w:hint="eastAsia"/>
          <w:sz w:val="24"/>
        </w:rPr>
        <w:t>不</w:t>
      </w:r>
      <w:proofErr w:type="gramEnd"/>
      <w:r>
        <w:rPr>
          <w:rFonts w:hint="eastAsia"/>
          <w:sz w:val="24"/>
        </w:rPr>
        <w:t>含水，矿层顶、底板均为良好的隔水层，仅矿层近地表第四系坡积物弱含水。矿山现状条件下未造成地下水的下降。现状条件矿床对地下水资源影响</w:t>
      </w:r>
      <w:r>
        <w:rPr>
          <w:rFonts w:hint="eastAsia"/>
          <w:b/>
          <w:bCs/>
          <w:sz w:val="24"/>
        </w:rPr>
        <w:t>较轻</w:t>
      </w:r>
      <w:r>
        <w:rPr>
          <w:rFonts w:hint="eastAsia"/>
          <w:sz w:val="24"/>
        </w:rPr>
        <w:t>。</w:t>
      </w:r>
    </w:p>
    <w:p w:rsidR="009C5C1F" w:rsidRDefault="004D2E0D">
      <w:pPr>
        <w:suppressAutoHyphens/>
        <w:wordWrap w:val="0"/>
        <w:topLinePunct/>
        <w:spacing w:line="360" w:lineRule="auto"/>
        <w:ind w:firstLineChars="200" w:firstLine="480"/>
        <w:rPr>
          <w:sz w:val="24"/>
        </w:rPr>
      </w:pPr>
      <w:r>
        <w:rPr>
          <w:rFonts w:hint="eastAsia"/>
          <w:sz w:val="24"/>
        </w:rPr>
        <w:t>2</w:t>
      </w:r>
      <w:r>
        <w:rPr>
          <w:rFonts w:hint="eastAsia"/>
          <w:sz w:val="24"/>
        </w:rPr>
        <w:t>、预测分析</w:t>
      </w:r>
    </w:p>
    <w:p w:rsidR="009C5C1F" w:rsidRDefault="004D2E0D">
      <w:pPr>
        <w:suppressAutoHyphens/>
        <w:wordWrap w:val="0"/>
        <w:topLinePunct/>
        <w:spacing w:line="360" w:lineRule="auto"/>
        <w:ind w:firstLineChars="200" w:firstLine="480"/>
        <w:rPr>
          <w:sz w:val="24"/>
        </w:rPr>
      </w:pPr>
      <w:r>
        <w:rPr>
          <w:sz w:val="24"/>
        </w:rPr>
        <w:t>矿山为露天开采，</w:t>
      </w:r>
      <w:r>
        <w:rPr>
          <w:rFonts w:hint="eastAsia"/>
          <w:sz w:val="24"/>
        </w:rPr>
        <w:t>开采标高</w:t>
      </w:r>
      <w:r>
        <w:rPr>
          <w:sz w:val="24"/>
        </w:rPr>
        <w:t>处于当地最低侵蚀基准面之上。</w:t>
      </w:r>
      <w:r>
        <w:rPr>
          <w:rFonts w:hint="eastAsia"/>
          <w:sz w:val="24"/>
        </w:rPr>
        <w:t>在矿区主要分布的岩性以杂色泥岩、粘土岩为主，夹粉砂岩，底部常夹砾岩或含</w:t>
      </w:r>
      <w:proofErr w:type="gramStart"/>
      <w:r>
        <w:rPr>
          <w:rFonts w:hint="eastAsia"/>
          <w:sz w:val="24"/>
        </w:rPr>
        <w:t>砾</w:t>
      </w:r>
      <w:proofErr w:type="gramEnd"/>
      <w:r>
        <w:rPr>
          <w:rFonts w:hint="eastAsia"/>
          <w:sz w:val="24"/>
        </w:rPr>
        <w:t>砂岩，稳定性好。</w:t>
      </w:r>
      <w:r>
        <w:rPr>
          <w:sz w:val="24"/>
        </w:rPr>
        <w:t>矿石为</w:t>
      </w:r>
      <w:r>
        <w:rPr>
          <w:rFonts w:hint="eastAsia"/>
          <w:sz w:val="24"/>
        </w:rPr>
        <w:t>粘土</w:t>
      </w:r>
      <w:r>
        <w:rPr>
          <w:sz w:val="24"/>
        </w:rPr>
        <w:t>，稳定性好</w:t>
      </w:r>
      <w:r>
        <w:rPr>
          <w:rFonts w:hint="eastAsia"/>
          <w:sz w:val="24"/>
        </w:rPr>
        <w:t>，</w:t>
      </w:r>
      <w:r>
        <w:rPr>
          <w:sz w:val="24"/>
        </w:rPr>
        <w:t>开采深度小。因此矿山开采对地下水含水层结构影响轻微，对水质影响小，对矿区及周围生产、生活用水影响轻微，且引起地下水位大幅度下降的可能性小。</w:t>
      </w:r>
      <w:r>
        <w:rPr>
          <w:rFonts w:hint="eastAsia"/>
          <w:sz w:val="24"/>
        </w:rPr>
        <w:t>因此，矿山未来开采过程中对含水层结构、水质、水量影响较</w:t>
      </w:r>
      <w:r>
        <w:rPr>
          <w:rFonts w:hint="eastAsia"/>
          <w:b/>
          <w:bCs/>
          <w:sz w:val="24"/>
        </w:rPr>
        <w:t>轻</w:t>
      </w:r>
      <w:r>
        <w:rPr>
          <w:rFonts w:hint="eastAsia"/>
          <w:sz w:val="24"/>
        </w:rPr>
        <w:t>。</w:t>
      </w:r>
    </w:p>
    <w:p w:rsidR="009C5C1F" w:rsidRDefault="004D2E0D">
      <w:pPr>
        <w:suppressAutoHyphens/>
        <w:wordWrap w:val="0"/>
        <w:topLinePunct/>
        <w:spacing w:line="360" w:lineRule="auto"/>
        <w:ind w:firstLineChars="200" w:firstLine="480"/>
        <w:rPr>
          <w:sz w:val="24"/>
        </w:rPr>
      </w:pPr>
      <w:r>
        <w:rPr>
          <w:rFonts w:hint="eastAsia"/>
          <w:sz w:val="24"/>
        </w:rPr>
        <w:lastRenderedPageBreak/>
        <w:t>3</w:t>
      </w:r>
      <w:r>
        <w:rPr>
          <w:rFonts w:hint="eastAsia"/>
          <w:sz w:val="24"/>
        </w:rPr>
        <w:t>、地质环境影响程度评价</w:t>
      </w:r>
    </w:p>
    <w:p w:rsidR="009C5C1F" w:rsidRDefault="004D2E0D">
      <w:pPr>
        <w:suppressAutoHyphens/>
        <w:wordWrap w:val="0"/>
        <w:topLinePunct/>
        <w:spacing w:line="360" w:lineRule="auto"/>
        <w:ind w:firstLineChars="200" w:firstLine="480"/>
        <w:rPr>
          <w:sz w:val="24"/>
        </w:rPr>
      </w:pPr>
      <w:r>
        <w:rPr>
          <w:rFonts w:hint="eastAsia"/>
          <w:sz w:val="24"/>
        </w:rPr>
        <w:t>综上所述，由于矿山为露天开采，矿山生产活动造成含水层结构的破坏、水质改变、发生地下水减少或疏干等问题的可能性小，不会影响到开采区及周围生产生活用水，因此，根据矿山地质环境影响程度分级表，确定矿山生产对</w:t>
      </w:r>
      <w:proofErr w:type="gramStart"/>
      <w:r>
        <w:rPr>
          <w:rFonts w:hint="eastAsia"/>
          <w:sz w:val="24"/>
        </w:rPr>
        <w:t>评估区</w:t>
      </w:r>
      <w:proofErr w:type="gramEnd"/>
      <w:r>
        <w:rPr>
          <w:rFonts w:hint="eastAsia"/>
          <w:sz w:val="24"/>
        </w:rPr>
        <w:t>含水层的影响或破坏程度</w:t>
      </w:r>
      <w:r>
        <w:rPr>
          <w:rFonts w:hint="eastAsia"/>
          <w:b/>
          <w:sz w:val="24"/>
        </w:rPr>
        <w:t>较轻。</w:t>
      </w:r>
    </w:p>
    <w:p w:rsidR="009C5C1F" w:rsidRDefault="004D2E0D">
      <w:pPr>
        <w:keepNext/>
        <w:keepLines/>
        <w:suppressAutoHyphens/>
        <w:wordWrap w:val="0"/>
        <w:topLinePunct/>
        <w:spacing w:line="360" w:lineRule="auto"/>
        <w:ind w:firstLineChars="200" w:firstLine="482"/>
        <w:outlineLvl w:val="2"/>
        <w:rPr>
          <w:b/>
          <w:sz w:val="24"/>
          <w:szCs w:val="28"/>
        </w:rPr>
      </w:pPr>
      <w:bookmarkStart w:id="954" w:name="_Toc70589859"/>
      <w:r>
        <w:rPr>
          <w:rFonts w:hint="eastAsia"/>
          <w:b/>
          <w:sz w:val="24"/>
          <w:szCs w:val="28"/>
        </w:rPr>
        <w:t>（四）</w:t>
      </w:r>
      <w:r>
        <w:rPr>
          <w:b/>
          <w:sz w:val="24"/>
          <w:szCs w:val="28"/>
        </w:rPr>
        <w:t>矿</w:t>
      </w:r>
      <w:r>
        <w:rPr>
          <w:rFonts w:hint="eastAsia"/>
          <w:b/>
          <w:sz w:val="24"/>
          <w:szCs w:val="28"/>
        </w:rPr>
        <w:t>区地形地貌景观破坏</w:t>
      </w:r>
      <w:r>
        <w:rPr>
          <w:b/>
          <w:sz w:val="24"/>
          <w:szCs w:val="28"/>
        </w:rPr>
        <w:t>现状</w:t>
      </w:r>
      <w:r>
        <w:rPr>
          <w:rFonts w:hint="eastAsia"/>
          <w:b/>
          <w:sz w:val="24"/>
          <w:szCs w:val="28"/>
        </w:rPr>
        <w:t>分析与预测</w:t>
      </w:r>
      <w:bookmarkEnd w:id="954"/>
    </w:p>
    <w:p w:rsidR="009C5C1F" w:rsidRDefault="004D2E0D">
      <w:pPr>
        <w:suppressAutoHyphens/>
        <w:wordWrap w:val="0"/>
        <w:topLinePunct/>
        <w:spacing w:line="360" w:lineRule="auto"/>
        <w:ind w:firstLineChars="200" w:firstLine="480"/>
        <w:rPr>
          <w:sz w:val="24"/>
        </w:rPr>
      </w:pPr>
      <w:r>
        <w:rPr>
          <w:rFonts w:hint="eastAsia"/>
          <w:sz w:val="24"/>
        </w:rPr>
        <w:t>1</w:t>
      </w:r>
      <w:r>
        <w:rPr>
          <w:rFonts w:hint="eastAsia"/>
          <w:sz w:val="24"/>
        </w:rPr>
        <w:t>、现状分析</w:t>
      </w:r>
    </w:p>
    <w:p w:rsidR="009C5C1F" w:rsidRDefault="004D2E0D">
      <w:pPr>
        <w:suppressAutoHyphens/>
        <w:wordWrap w:val="0"/>
        <w:topLinePunct/>
        <w:spacing w:line="360" w:lineRule="auto"/>
        <w:ind w:firstLineChars="200" w:firstLine="480"/>
        <w:rPr>
          <w:sz w:val="24"/>
        </w:rPr>
      </w:pPr>
      <w:r>
        <w:rPr>
          <w:rFonts w:hint="eastAsia"/>
          <w:sz w:val="24"/>
        </w:rPr>
        <w:t>由于该矿山为新建矿山，开采方式设计为露天开采，目前尚未进行生产建设，因此矿山现状条件下矿山未对地形地貌景观造成破坏。</w:t>
      </w:r>
    </w:p>
    <w:p w:rsidR="009C5C1F" w:rsidRDefault="004D2E0D">
      <w:pPr>
        <w:suppressAutoHyphens/>
        <w:wordWrap w:val="0"/>
        <w:topLinePunct/>
        <w:spacing w:line="360" w:lineRule="auto"/>
        <w:ind w:firstLineChars="200" w:firstLine="480"/>
        <w:rPr>
          <w:sz w:val="24"/>
        </w:rPr>
      </w:pPr>
      <w:r>
        <w:rPr>
          <w:rFonts w:hint="eastAsia"/>
          <w:sz w:val="24"/>
        </w:rPr>
        <w:t>2</w:t>
      </w:r>
      <w:r>
        <w:rPr>
          <w:rFonts w:hint="eastAsia"/>
          <w:sz w:val="24"/>
        </w:rPr>
        <w:t>、预测分析</w:t>
      </w:r>
    </w:p>
    <w:p w:rsidR="009C5C1F" w:rsidRDefault="004D2E0D">
      <w:pPr>
        <w:suppressAutoHyphens/>
        <w:wordWrap w:val="0"/>
        <w:topLinePunct/>
        <w:spacing w:line="360" w:lineRule="auto"/>
        <w:ind w:firstLineChars="200" w:firstLine="480"/>
        <w:rPr>
          <w:sz w:val="24"/>
        </w:rPr>
      </w:pPr>
      <w:r>
        <w:rPr>
          <w:rFonts w:ascii="宋体" w:hAnsi="宋体" w:hint="eastAsia"/>
          <w:sz w:val="24"/>
        </w:rPr>
        <w:t>据《开发利用方案》，矿山在未来开采过程中，</w:t>
      </w:r>
      <w:r>
        <w:rPr>
          <w:sz w:val="24"/>
        </w:rPr>
        <w:t>将形成采场</w:t>
      </w:r>
      <w:r>
        <w:rPr>
          <w:rFonts w:hint="eastAsia"/>
          <w:sz w:val="24"/>
        </w:rPr>
        <w:t>、堆料场、办公生活区和矿山道路，对土地进行压占破坏，</w:t>
      </w:r>
      <w:r>
        <w:rPr>
          <w:sz w:val="24"/>
        </w:rPr>
        <w:t>矿山原始的地形地貌景观将发生较大变化</w:t>
      </w:r>
      <w:r>
        <w:rPr>
          <w:rFonts w:hint="eastAsia"/>
          <w:sz w:val="24"/>
        </w:rPr>
        <w:t>。露天</w:t>
      </w:r>
      <w:r>
        <w:rPr>
          <w:sz w:val="24"/>
        </w:rPr>
        <w:t>采场破坏、改变原有地形地貌较严重。故采矿活动对该片地形地貌景观影响程度预测评估为</w:t>
      </w:r>
      <w:r>
        <w:rPr>
          <w:b/>
          <w:bCs/>
          <w:sz w:val="24"/>
        </w:rPr>
        <w:t>严重</w:t>
      </w:r>
      <w:r>
        <w:rPr>
          <w:sz w:val="24"/>
        </w:rPr>
        <w:t>。</w:t>
      </w:r>
    </w:p>
    <w:p w:rsidR="009C5C1F" w:rsidRDefault="004D2E0D">
      <w:pPr>
        <w:suppressAutoHyphens/>
        <w:wordWrap w:val="0"/>
        <w:topLinePunct/>
        <w:spacing w:line="360" w:lineRule="auto"/>
        <w:ind w:firstLineChars="200" w:firstLine="480"/>
        <w:rPr>
          <w:sz w:val="24"/>
        </w:rPr>
      </w:pPr>
      <w:r>
        <w:rPr>
          <w:rFonts w:hint="eastAsia"/>
          <w:sz w:val="24"/>
        </w:rPr>
        <w:t>3</w:t>
      </w:r>
      <w:r>
        <w:rPr>
          <w:rFonts w:hint="eastAsia"/>
          <w:sz w:val="24"/>
        </w:rPr>
        <w:t>、地质环境影响程度评价</w:t>
      </w:r>
    </w:p>
    <w:p w:rsidR="009C5C1F" w:rsidRDefault="004D2E0D">
      <w:pPr>
        <w:suppressAutoHyphens/>
        <w:wordWrap w:val="0"/>
        <w:topLinePunct/>
        <w:spacing w:line="360" w:lineRule="auto"/>
        <w:ind w:firstLineChars="200" w:firstLine="480"/>
        <w:rPr>
          <w:sz w:val="24"/>
        </w:rPr>
      </w:pPr>
      <w:r>
        <w:rPr>
          <w:rFonts w:hint="eastAsia"/>
          <w:sz w:val="24"/>
        </w:rPr>
        <w:t>结合现状分析和预测评估，根据矿山地质环境影响程度分级表，矿山生产活动</w:t>
      </w:r>
      <w:r>
        <w:rPr>
          <w:sz w:val="24"/>
        </w:rPr>
        <w:t>对该区地形地貌景观影响程度</w:t>
      </w:r>
      <w:r>
        <w:rPr>
          <w:rFonts w:hint="eastAsia"/>
          <w:sz w:val="24"/>
        </w:rPr>
        <w:t>为</w:t>
      </w:r>
      <w:r>
        <w:rPr>
          <w:b/>
          <w:bCs/>
          <w:sz w:val="24"/>
        </w:rPr>
        <w:t>严重</w:t>
      </w:r>
      <w:r>
        <w:rPr>
          <w:sz w:val="24"/>
        </w:rPr>
        <w:t>。</w:t>
      </w:r>
    </w:p>
    <w:p w:rsidR="009C5C1F" w:rsidRDefault="004D2E0D">
      <w:pPr>
        <w:keepNext/>
        <w:keepLines/>
        <w:suppressAutoHyphens/>
        <w:wordWrap w:val="0"/>
        <w:topLinePunct/>
        <w:spacing w:line="360" w:lineRule="auto"/>
        <w:ind w:firstLineChars="200" w:firstLine="482"/>
        <w:outlineLvl w:val="2"/>
        <w:rPr>
          <w:b/>
          <w:sz w:val="24"/>
          <w:szCs w:val="28"/>
        </w:rPr>
      </w:pPr>
      <w:bookmarkStart w:id="955" w:name="_Toc70589860"/>
      <w:r>
        <w:rPr>
          <w:rFonts w:hint="eastAsia"/>
          <w:b/>
          <w:sz w:val="24"/>
          <w:szCs w:val="28"/>
        </w:rPr>
        <w:t>（五）矿区水土环境污染现状分析与预测</w:t>
      </w:r>
      <w:bookmarkEnd w:id="955"/>
    </w:p>
    <w:p w:rsidR="009C5C1F" w:rsidRDefault="004D2E0D">
      <w:pPr>
        <w:suppressAutoHyphens/>
        <w:wordWrap w:val="0"/>
        <w:topLinePunct/>
        <w:spacing w:line="360" w:lineRule="auto"/>
        <w:ind w:firstLineChars="200" w:firstLine="480"/>
        <w:rPr>
          <w:sz w:val="24"/>
        </w:rPr>
      </w:pPr>
      <w:r>
        <w:rPr>
          <w:rFonts w:hint="eastAsia"/>
          <w:sz w:val="24"/>
        </w:rPr>
        <w:t>1</w:t>
      </w:r>
      <w:r>
        <w:rPr>
          <w:rFonts w:hint="eastAsia"/>
          <w:sz w:val="24"/>
        </w:rPr>
        <w:t>、现状分析</w:t>
      </w:r>
    </w:p>
    <w:p w:rsidR="009C5C1F" w:rsidRDefault="004D2E0D">
      <w:pPr>
        <w:suppressAutoHyphens/>
        <w:wordWrap w:val="0"/>
        <w:topLinePunct/>
        <w:spacing w:line="360" w:lineRule="auto"/>
        <w:ind w:firstLineChars="200" w:firstLine="480"/>
        <w:rPr>
          <w:sz w:val="24"/>
        </w:rPr>
      </w:pPr>
      <w:r>
        <w:rPr>
          <w:rFonts w:hint="eastAsia"/>
          <w:sz w:val="24"/>
        </w:rPr>
        <w:t>该矿山为新建矿山，目前尚未进行矿山的生产建设，矿山对区内水土环境未造成破坏。</w:t>
      </w:r>
    </w:p>
    <w:p w:rsidR="009C5C1F" w:rsidRDefault="004D2E0D">
      <w:pPr>
        <w:suppressAutoHyphens/>
        <w:wordWrap w:val="0"/>
        <w:topLinePunct/>
        <w:spacing w:line="360" w:lineRule="auto"/>
        <w:ind w:firstLineChars="200" w:firstLine="480"/>
        <w:rPr>
          <w:sz w:val="24"/>
        </w:rPr>
      </w:pPr>
      <w:r>
        <w:rPr>
          <w:rFonts w:hint="eastAsia"/>
          <w:sz w:val="24"/>
        </w:rPr>
        <w:t>2</w:t>
      </w:r>
      <w:r>
        <w:rPr>
          <w:rFonts w:hint="eastAsia"/>
          <w:sz w:val="24"/>
        </w:rPr>
        <w:t>、预测分析</w:t>
      </w:r>
    </w:p>
    <w:p w:rsidR="009C5C1F" w:rsidRDefault="004D2E0D">
      <w:pPr>
        <w:suppressAutoHyphens/>
        <w:wordWrap w:val="0"/>
        <w:topLinePunct/>
        <w:spacing w:line="360" w:lineRule="auto"/>
        <w:ind w:firstLineChars="200" w:firstLine="480"/>
        <w:rPr>
          <w:sz w:val="24"/>
        </w:rPr>
      </w:pPr>
      <w:r>
        <w:rPr>
          <w:rFonts w:hint="eastAsia"/>
          <w:sz w:val="24"/>
        </w:rPr>
        <w:t>未来矿山生产期的废水主要来自作业废水和生活污水，采矿产生的废水主要是设备冷却产生的废水，此类废水除浊度偏高外，不含有害物质，此水和坑内涌水经集水坑自然沉淀后自流排放。生活污水及办公生活区产生的污水水量较少，经沉淀消毒后利用于采场及矿区道路的除尘，或集中排放至矿区附近沟谷，有利于环境治理。因此作业废水和生活污水不会对地表水环境产生影响。</w:t>
      </w:r>
    </w:p>
    <w:p w:rsidR="009C5C1F" w:rsidRDefault="004D2E0D">
      <w:pPr>
        <w:suppressAutoHyphens/>
        <w:wordWrap w:val="0"/>
        <w:topLinePunct/>
        <w:spacing w:line="360" w:lineRule="auto"/>
        <w:ind w:firstLineChars="200" w:firstLine="480"/>
        <w:rPr>
          <w:sz w:val="24"/>
        </w:rPr>
      </w:pPr>
      <w:r>
        <w:rPr>
          <w:rFonts w:hint="eastAsia"/>
          <w:sz w:val="24"/>
        </w:rPr>
        <w:t>矿山土地利用类型主要为地（</w:t>
      </w:r>
      <w:r>
        <w:rPr>
          <w:rFonts w:hint="eastAsia"/>
          <w:sz w:val="24"/>
        </w:rPr>
        <w:t>1</w:t>
      </w:r>
      <w:r>
        <w:rPr>
          <w:sz w:val="24"/>
        </w:rPr>
        <w:t>206</w:t>
      </w:r>
      <w:r>
        <w:rPr>
          <w:rFonts w:hint="eastAsia"/>
          <w:sz w:val="24"/>
        </w:rPr>
        <w:t>），未来生产过程中，开采</w:t>
      </w:r>
      <w:proofErr w:type="gramStart"/>
      <w:r>
        <w:rPr>
          <w:rFonts w:hint="eastAsia"/>
          <w:sz w:val="24"/>
        </w:rPr>
        <w:t>面积面积</w:t>
      </w:r>
      <w:proofErr w:type="gramEnd"/>
      <w:r>
        <w:rPr>
          <w:rFonts w:hint="eastAsia"/>
          <w:sz w:val="24"/>
        </w:rPr>
        <w:t>较大，但开采深度相对较小，因此预测矿山生产对水土环境污染破坏程度</w:t>
      </w:r>
      <w:r>
        <w:rPr>
          <w:rFonts w:hint="eastAsia"/>
          <w:b/>
          <w:bCs/>
          <w:sz w:val="24"/>
        </w:rPr>
        <w:t>较轻</w:t>
      </w:r>
      <w:r>
        <w:rPr>
          <w:rFonts w:hint="eastAsia"/>
          <w:sz w:val="24"/>
        </w:rPr>
        <w:t>。</w:t>
      </w:r>
    </w:p>
    <w:p w:rsidR="009C5C1F" w:rsidRDefault="004D2E0D">
      <w:pPr>
        <w:suppressAutoHyphens/>
        <w:wordWrap w:val="0"/>
        <w:topLinePunct/>
        <w:spacing w:line="360" w:lineRule="auto"/>
        <w:ind w:firstLineChars="200" w:firstLine="480"/>
        <w:rPr>
          <w:sz w:val="24"/>
        </w:rPr>
      </w:pPr>
      <w:r>
        <w:rPr>
          <w:rFonts w:hint="eastAsia"/>
          <w:sz w:val="24"/>
        </w:rPr>
        <w:t>3</w:t>
      </w:r>
      <w:r>
        <w:rPr>
          <w:rFonts w:hint="eastAsia"/>
          <w:sz w:val="24"/>
        </w:rPr>
        <w:t>、地质环境影响程度评价</w:t>
      </w:r>
    </w:p>
    <w:p w:rsidR="009C5C1F" w:rsidRDefault="004D2E0D">
      <w:pPr>
        <w:suppressAutoHyphens/>
        <w:wordWrap w:val="0"/>
        <w:topLinePunct/>
        <w:spacing w:line="360" w:lineRule="auto"/>
        <w:ind w:firstLineChars="200" w:firstLine="480"/>
        <w:rPr>
          <w:sz w:val="24"/>
        </w:rPr>
      </w:pPr>
      <w:r>
        <w:rPr>
          <w:rFonts w:hint="eastAsia"/>
          <w:sz w:val="24"/>
        </w:rPr>
        <w:lastRenderedPageBreak/>
        <w:t>结合现状分析和预测评估，根据矿山地质环境影响程度分级表，该矿山对</w:t>
      </w:r>
      <w:proofErr w:type="gramStart"/>
      <w:r>
        <w:rPr>
          <w:rFonts w:hint="eastAsia"/>
          <w:sz w:val="24"/>
        </w:rPr>
        <w:t>评估区</w:t>
      </w:r>
      <w:proofErr w:type="gramEnd"/>
      <w:r>
        <w:rPr>
          <w:rFonts w:hint="eastAsia"/>
          <w:sz w:val="24"/>
        </w:rPr>
        <w:t>水土环境污染破坏程度较</w:t>
      </w:r>
      <w:r>
        <w:rPr>
          <w:rFonts w:hint="eastAsia"/>
          <w:b/>
          <w:bCs/>
          <w:sz w:val="24"/>
        </w:rPr>
        <w:t>轻</w:t>
      </w:r>
      <w:r>
        <w:rPr>
          <w:rFonts w:hint="eastAsia"/>
          <w:sz w:val="24"/>
        </w:rPr>
        <w:t>。</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56" w:name="_Toc70589861"/>
      <w:bookmarkStart w:id="957" w:name="_Toc511226473"/>
      <w:bookmarkStart w:id="958" w:name="_Toc153130783"/>
      <w:r>
        <w:rPr>
          <w:rFonts w:eastAsia="黑体" w:hint="eastAsia"/>
          <w:b/>
          <w:bCs/>
          <w:sz w:val="28"/>
          <w:szCs w:val="30"/>
        </w:rPr>
        <w:t>三、</w:t>
      </w:r>
      <w:r>
        <w:rPr>
          <w:rFonts w:eastAsia="黑体"/>
          <w:b/>
          <w:bCs/>
          <w:sz w:val="28"/>
          <w:szCs w:val="30"/>
        </w:rPr>
        <w:t>矿山</w:t>
      </w:r>
      <w:r>
        <w:rPr>
          <w:rFonts w:eastAsia="黑体" w:hint="eastAsia"/>
          <w:b/>
          <w:bCs/>
          <w:sz w:val="28"/>
          <w:szCs w:val="30"/>
        </w:rPr>
        <w:t>土地损毁</w:t>
      </w:r>
      <w:r>
        <w:rPr>
          <w:rFonts w:eastAsia="黑体"/>
          <w:b/>
          <w:bCs/>
          <w:sz w:val="28"/>
          <w:szCs w:val="30"/>
        </w:rPr>
        <w:t>预测</w:t>
      </w:r>
      <w:r>
        <w:rPr>
          <w:rFonts w:eastAsia="黑体" w:hint="eastAsia"/>
          <w:b/>
          <w:bCs/>
          <w:sz w:val="28"/>
          <w:szCs w:val="30"/>
        </w:rPr>
        <w:t>与</w:t>
      </w:r>
      <w:r>
        <w:rPr>
          <w:rFonts w:eastAsia="黑体"/>
          <w:b/>
          <w:bCs/>
          <w:sz w:val="28"/>
          <w:szCs w:val="30"/>
        </w:rPr>
        <w:t>评估</w:t>
      </w:r>
      <w:bookmarkEnd w:id="956"/>
      <w:bookmarkEnd w:id="957"/>
      <w:bookmarkEnd w:id="958"/>
    </w:p>
    <w:p w:rsidR="009C5C1F" w:rsidRDefault="004D2E0D">
      <w:pPr>
        <w:keepNext/>
        <w:keepLines/>
        <w:suppressAutoHyphens/>
        <w:wordWrap w:val="0"/>
        <w:topLinePunct/>
        <w:spacing w:line="360" w:lineRule="auto"/>
        <w:ind w:firstLineChars="200" w:firstLine="482"/>
        <w:outlineLvl w:val="2"/>
        <w:rPr>
          <w:b/>
          <w:sz w:val="24"/>
          <w:szCs w:val="28"/>
        </w:rPr>
      </w:pPr>
      <w:bookmarkStart w:id="959" w:name="_Toc70589862"/>
      <w:r>
        <w:rPr>
          <w:rFonts w:hint="eastAsia"/>
          <w:b/>
          <w:sz w:val="24"/>
          <w:szCs w:val="28"/>
        </w:rPr>
        <w:t>（一）土地损毁环节与时序</w:t>
      </w:r>
      <w:bookmarkEnd w:id="959"/>
    </w:p>
    <w:p w:rsidR="009C5C1F" w:rsidRDefault="004D2E0D">
      <w:pPr>
        <w:suppressAutoHyphens/>
        <w:wordWrap w:val="0"/>
        <w:topLinePunct/>
        <w:spacing w:line="360" w:lineRule="auto"/>
        <w:ind w:firstLineChars="200" w:firstLine="480"/>
        <w:jc w:val="left"/>
        <w:rPr>
          <w:sz w:val="24"/>
        </w:rPr>
      </w:pPr>
      <w:r>
        <w:rPr>
          <w:sz w:val="24"/>
        </w:rPr>
        <w:t>1.</w:t>
      </w:r>
      <w:r>
        <w:rPr>
          <w:rFonts w:hint="eastAsia"/>
          <w:sz w:val="24"/>
        </w:rPr>
        <w:t>损毁形式</w:t>
      </w:r>
    </w:p>
    <w:p w:rsidR="009C5C1F" w:rsidRDefault="004D2E0D">
      <w:pPr>
        <w:suppressAutoHyphens/>
        <w:wordWrap w:val="0"/>
        <w:topLinePunct/>
        <w:spacing w:line="360" w:lineRule="auto"/>
        <w:ind w:firstLineChars="200" w:firstLine="480"/>
        <w:jc w:val="left"/>
        <w:rPr>
          <w:sz w:val="24"/>
        </w:rPr>
      </w:pPr>
      <w:r>
        <w:rPr>
          <w:rFonts w:hint="eastAsia"/>
          <w:sz w:val="24"/>
        </w:rPr>
        <w:t>该矿生产对土地损毁的形式有</w:t>
      </w:r>
      <w:r>
        <w:rPr>
          <w:rFonts w:hint="eastAsia"/>
          <w:sz w:val="24"/>
        </w:rPr>
        <w:t>2</w:t>
      </w:r>
      <w:r>
        <w:rPr>
          <w:rFonts w:hint="eastAsia"/>
          <w:sz w:val="24"/>
        </w:rPr>
        <w:t>种：挖损、压占。</w:t>
      </w:r>
    </w:p>
    <w:p w:rsidR="009C5C1F" w:rsidRDefault="004D2E0D">
      <w:pPr>
        <w:suppressAutoHyphens/>
        <w:wordWrap w:val="0"/>
        <w:topLinePunct/>
        <w:spacing w:line="360" w:lineRule="auto"/>
        <w:ind w:firstLineChars="200" w:firstLine="480"/>
        <w:jc w:val="left"/>
        <w:rPr>
          <w:sz w:val="24"/>
        </w:rPr>
      </w:pPr>
      <w:r>
        <w:rPr>
          <w:sz w:val="24"/>
        </w:rPr>
        <w:t>2.</w:t>
      </w:r>
      <w:r>
        <w:rPr>
          <w:rFonts w:hint="eastAsia"/>
          <w:sz w:val="24"/>
        </w:rPr>
        <w:t>损毁环节</w:t>
      </w:r>
    </w:p>
    <w:p w:rsidR="009C5C1F" w:rsidRDefault="004D2E0D">
      <w:pPr>
        <w:suppressAutoHyphens/>
        <w:wordWrap w:val="0"/>
        <w:topLinePunct/>
        <w:spacing w:line="360" w:lineRule="auto"/>
        <w:ind w:firstLineChars="200" w:firstLine="480"/>
        <w:jc w:val="left"/>
        <w:rPr>
          <w:sz w:val="24"/>
        </w:rPr>
      </w:pPr>
      <w:r>
        <w:rPr>
          <w:rFonts w:hint="eastAsia"/>
          <w:sz w:val="24"/>
        </w:rPr>
        <w:t>该矿开采对土地损毁的环节主要有：开采过程中开采区挖损破坏土地；堆料场、办公生活区及矿山道路压占破坏土地。</w:t>
      </w:r>
    </w:p>
    <w:p w:rsidR="009C5C1F" w:rsidRDefault="004D2E0D">
      <w:pPr>
        <w:suppressAutoHyphens/>
        <w:wordWrap w:val="0"/>
        <w:topLinePunct/>
        <w:spacing w:line="360" w:lineRule="auto"/>
        <w:ind w:firstLineChars="200" w:firstLine="480"/>
        <w:jc w:val="left"/>
        <w:rPr>
          <w:sz w:val="24"/>
        </w:rPr>
      </w:pPr>
      <w:r>
        <w:rPr>
          <w:sz w:val="24"/>
        </w:rPr>
        <w:t>3.</w:t>
      </w:r>
      <w:r>
        <w:rPr>
          <w:rFonts w:hint="eastAsia"/>
          <w:sz w:val="24"/>
        </w:rPr>
        <w:t>损毁时序</w:t>
      </w:r>
    </w:p>
    <w:p w:rsidR="009C5C1F" w:rsidRDefault="004D2E0D">
      <w:pPr>
        <w:suppressAutoHyphens/>
        <w:wordWrap w:val="0"/>
        <w:topLinePunct/>
        <w:spacing w:line="360" w:lineRule="auto"/>
        <w:ind w:firstLineChars="200" w:firstLine="480"/>
        <w:jc w:val="left"/>
        <w:rPr>
          <w:sz w:val="24"/>
        </w:rPr>
      </w:pPr>
      <w:r>
        <w:rPr>
          <w:rFonts w:hint="eastAsia"/>
          <w:sz w:val="24"/>
        </w:rPr>
        <w:t>矿山开采对土地损毁时序跟矿山生产的步骤密切相关：随着开采的进行，开采阶段的推进，土地挖损损毁随之扩大；在</w:t>
      </w:r>
      <w:proofErr w:type="gramStart"/>
      <w:r>
        <w:rPr>
          <w:rFonts w:hint="eastAsia"/>
          <w:sz w:val="24"/>
        </w:rPr>
        <w:t>开采全</w:t>
      </w:r>
      <w:proofErr w:type="gramEnd"/>
      <w:r>
        <w:rPr>
          <w:rFonts w:hint="eastAsia"/>
          <w:sz w:val="24"/>
        </w:rPr>
        <w:t>过程产生的矿石放于堆料场，造成对土地的压占破坏；矿石向外运输过程形成的矿山道路对土地造成压占破坏。</w:t>
      </w:r>
    </w:p>
    <w:p w:rsidR="009C5C1F" w:rsidRDefault="004D2E0D">
      <w:pPr>
        <w:keepNext/>
        <w:keepLines/>
        <w:suppressAutoHyphens/>
        <w:wordWrap w:val="0"/>
        <w:topLinePunct/>
        <w:spacing w:line="360" w:lineRule="auto"/>
        <w:ind w:firstLineChars="200" w:firstLine="482"/>
        <w:outlineLvl w:val="2"/>
        <w:rPr>
          <w:b/>
          <w:sz w:val="24"/>
          <w:szCs w:val="28"/>
        </w:rPr>
      </w:pPr>
      <w:bookmarkStart w:id="960" w:name="_Toc70589863"/>
      <w:r>
        <w:rPr>
          <w:rFonts w:hint="eastAsia"/>
          <w:b/>
          <w:sz w:val="24"/>
          <w:szCs w:val="28"/>
        </w:rPr>
        <w:t>（二）已损毁各类土地现状</w:t>
      </w:r>
      <w:bookmarkEnd w:id="960"/>
    </w:p>
    <w:p w:rsidR="009C5C1F" w:rsidRDefault="004D2E0D">
      <w:pPr>
        <w:suppressAutoHyphens/>
        <w:wordWrap w:val="0"/>
        <w:topLinePunct/>
        <w:adjustRightInd w:val="0"/>
        <w:snapToGrid w:val="0"/>
        <w:spacing w:line="360" w:lineRule="auto"/>
        <w:ind w:firstLineChars="200" w:firstLine="480"/>
        <w:jc w:val="left"/>
        <w:rPr>
          <w:snapToGrid w:val="0"/>
          <w:kern w:val="0"/>
          <w:sz w:val="24"/>
        </w:rPr>
      </w:pPr>
      <w:r>
        <w:rPr>
          <w:snapToGrid w:val="0"/>
          <w:kern w:val="0"/>
          <w:sz w:val="24"/>
        </w:rPr>
        <w:t>根据《中华人民共和国土地管理法》和国务院颁布的《土地复垦规定》，把土地破坏程度预测等级确定为</w:t>
      </w:r>
      <w:r>
        <w:rPr>
          <w:snapToGrid w:val="0"/>
          <w:kern w:val="0"/>
          <w:sz w:val="24"/>
        </w:rPr>
        <w:t>3</w:t>
      </w:r>
      <w:r>
        <w:rPr>
          <w:snapToGrid w:val="0"/>
          <w:kern w:val="0"/>
          <w:sz w:val="24"/>
        </w:rPr>
        <w:t>级标准，分别定为</w:t>
      </w:r>
      <w:r>
        <w:rPr>
          <w:snapToGrid w:val="0"/>
          <w:kern w:val="0"/>
          <w:sz w:val="24"/>
        </w:rPr>
        <w:t>:</w:t>
      </w:r>
      <w:r>
        <w:rPr>
          <w:snapToGrid w:val="0"/>
          <w:kern w:val="0"/>
          <w:sz w:val="24"/>
        </w:rPr>
        <w:t>一级</w:t>
      </w:r>
      <w:r>
        <w:rPr>
          <w:snapToGrid w:val="0"/>
          <w:kern w:val="0"/>
          <w:sz w:val="24"/>
        </w:rPr>
        <w:t>(</w:t>
      </w:r>
      <w:r>
        <w:rPr>
          <w:snapToGrid w:val="0"/>
          <w:kern w:val="0"/>
          <w:sz w:val="24"/>
        </w:rPr>
        <w:t>轻度破坏</w:t>
      </w:r>
      <w:r>
        <w:rPr>
          <w:snapToGrid w:val="0"/>
          <w:kern w:val="0"/>
          <w:sz w:val="24"/>
        </w:rPr>
        <w:t>)</w:t>
      </w:r>
      <w:r>
        <w:rPr>
          <w:snapToGrid w:val="0"/>
          <w:kern w:val="0"/>
          <w:sz w:val="24"/>
        </w:rPr>
        <w:t>、二级</w:t>
      </w:r>
      <w:r>
        <w:rPr>
          <w:snapToGrid w:val="0"/>
          <w:kern w:val="0"/>
          <w:sz w:val="24"/>
        </w:rPr>
        <w:t>(</w:t>
      </w:r>
      <w:r>
        <w:rPr>
          <w:snapToGrid w:val="0"/>
          <w:kern w:val="0"/>
          <w:sz w:val="24"/>
        </w:rPr>
        <w:t>中度破坏</w:t>
      </w:r>
      <w:r>
        <w:rPr>
          <w:snapToGrid w:val="0"/>
          <w:kern w:val="0"/>
          <w:sz w:val="24"/>
        </w:rPr>
        <w:t>)</w:t>
      </w:r>
      <w:r>
        <w:rPr>
          <w:snapToGrid w:val="0"/>
          <w:kern w:val="0"/>
          <w:sz w:val="24"/>
        </w:rPr>
        <w:t>、三级</w:t>
      </w:r>
      <w:r>
        <w:rPr>
          <w:snapToGrid w:val="0"/>
          <w:kern w:val="0"/>
          <w:sz w:val="24"/>
        </w:rPr>
        <w:t>(</w:t>
      </w:r>
      <w:r>
        <w:rPr>
          <w:snapToGrid w:val="0"/>
          <w:kern w:val="0"/>
          <w:sz w:val="24"/>
        </w:rPr>
        <w:t>重度破坏</w:t>
      </w:r>
      <w:r>
        <w:rPr>
          <w:snapToGrid w:val="0"/>
          <w:kern w:val="0"/>
          <w:sz w:val="24"/>
        </w:rPr>
        <w:t>)</w:t>
      </w:r>
      <w:r>
        <w:rPr>
          <w:snapToGrid w:val="0"/>
          <w:kern w:val="0"/>
          <w:sz w:val="24"/>
        </w:rPr>
        <w:t>。评价因素的具体等级标准目前尚无精确的划分值，本方案是根据类似工程的土地破坏因素调查情况，参考相关学科的实际经验数据，采用主导因素法进行评价及划分等级。具体标准（表</w:t>
      </w:r>
      <w:r>
        <w:rPr>
          <w:rFonts w:hint="eastAsia"/>
          <w:snapToGrid w:val="0"/>
          <w:kern w:val="0"/>
          <w:sz w:val="24"/>
        </w:rPr>
        <w:t>3-</w:t>
      </w:r>
      <w:r>
        <w:rPr>
          <w:snapToGrid w:val="0"/>
          <w:kern w:val="0"/>
          <w:sz w:val="24"/>
        </w:rPr>
        <w:t>9</w:t>
      </w:r>
      <w:r>
        <w:rPr>
          <w:snapToGrid w:val="0"/>
          <w:kern w:val="0"/>
          <w:sz w:val="24"/>
        </w:rPr>
        <w:t>、表</w:t>
      </w:r>
      <w:r>
        <w:rPr>
          <w:rFonts w:hint="eastAsia"/>
          <w:snapToGrid w:val="0"/>
          <w:kern w:val="0"/>
          <w:sz w:val="24"/>
        </w:rPr>
        <w:t>3-</w:t>
      </w:r>
      <w:r>
        <w:rPr>
          <w:snapToGrid w:val="0"/>
          <w:kern w:val="0"/>
          <w:sz w:val="24"/>
        </w:rPr>
        <w:t>10</w:t>
      </w:r>
      <w:r>
        <w:rPr>
          <w:snapToGrid w:val="0"/>
          <w:kern w:val="0"/>
          <w:sz w:val="24"/>
        </w:rPr>
        <w:t>）。</w:t>
      </w:r>
    </w:p>
    <w:tbl>
      <w:tblPr>
        <w:tblW w:w="8688"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1492"/>
        <w:gridCol w:w="2087"/>
        <w:gridCol w:w="1493"/>
        <w:gridCol w:w="2071"/>
        <w:gridCol w:w="1545"/>
      </w:tblGrid>
      <w:tr w:rsidR="009C5C1F">
        <w:trPr>
          <w:cantSplit/>
          <w:trHeight w:val="567"/>
          <w:jc w:val="center"/>
        </w:trPr>
        <w:tc>
          <w:tcPr>
            <w:tcW w:w="0" w:type="auto"/>
            <w:gridSpan w:val="5"/>
            <w:tcBorders>
              <w:top w:val="nil"/>
              <w:left w:val="nil"/>
              <w:bottom w:val="single" w:sz="4" w:space="0" w:color="auto"/>
              <w:right w:val="nil"/>
            </w:tcBorders>
            <w:vAlign w:val="center"/>
          </w:tcPr>
          <w:p w:rsidR="009C5C1F" w:rsidRDefault="004D2E0D">
            <w:pPr>
              <w:suppressAutoHyphens/>
              <w:wordWrap w:val="0"/>
              <w:topLinePunct/>
              <w:spacing w:beforeLines="50" w:before="120" w:afterLines="50" w:after="120"/>
              <w:jc w:val="center"/>
              <w:rPr>
                <w:b/>
                <w:bCs/>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3</w:t>
            </w:r>
            <w:r>
              <w:rPr>
                <w:rFonts w:hint="eastAsia"/>
                <w:b/>
                <w:bCs/>
                <w:sz w:val="24"/>
              </w:rPr>
              <w:t>—</w:t>
            </w:r>
            <w:r>
              <w:rPr>
                <w:rFonts w:hint="eastAsia"/>
                <w:b/>
                <w:bCs/>
                <w:sz w:val="24"/>
              </w:rPr>
              <w:t>9</w:t>
            </w:r>
            <w:r>
              <w:rPr>
                <w:b/>
                <w:bCs/>
                <w:sz w:val="24"/>
              </w:rPr>
              <w:t xml:space="preserve">    </w:t>
            </w:r>
            <w:r>
              <w:rPr>
                <w:b/>
                <w:bCs/>
                <w:sz w:val="24"/>
              </w:rPr>
              <w:t>挖损土地破坏程度</w:t>
            </w:r>
            <w:r>
              <w:rPr>
                <w:rFonts w:hint="eastAsia"/>
                <w:b/>
                <w:bCs/>
                <w:sz w:val="24"/>
              </w:rPr>
              <w:t>评价</w:t>
            </w:r>
            <w:r>
              <w:rPr>
                <w:b/>
                <w:bCs/>
                <w:sz w:val="24"/>
              </w:rPr>
              <w:t>指标表</w:t>
            </w:r>
            <w:r>
              <w:rPr>
                <w:rFonts w:hint="eastAsia"/>
                <w:b/>
                <w:bCs/>
                <w:sz w:val="24"/>
              </w:rPr>
              <w:t xml:space="preserve">    </w:t>
            </w:r>
          </w:p>
        </w:tc>
      </w:tr>
      <w:tr w:rsidR="009C5C1F">
        <w:trPr>
          <w:cantSplit/>
          <w:trHeight w:val="317"/>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评价因素</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评价因子</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评价等级</w:t>
            </w:r>
          </w:p>
        </w:tc>
      </w:tr>
      <w:tr w:rsidR="009C5C1F">
        <w:trPr>
          <w:cantSplit/>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轻度破坏</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中度破坏</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重度破坏</w:t>
            </w:r>
          </w:p>
        </w:tc>
      </w:tr>
      <w:tr w:rsidR="009C5C1F">
        <w:trPr>
          <w:cantSplit/>
          <w:trHeight w:val="317"/>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地表变形</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挖掘深度</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&lt;20m</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20-50m</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&gt;50m</w:t>
            </w:r>
          </w:p>
        </w:tc>
      </w:tr>
      <w:tr w:rsidR="009C5C1F">
        <w:trPr>
          <w:cantSplit/>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挖掘面积</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&lt;1000m</w:t>
            </w:r>
            <w:r>
              <w:rPr>
                <w:szCs w:val="21"/>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1000-10000m</w:t>
            </w:r>
            <w:r>
              <w:rPr>
                <w:szCs w:val="21"/>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ind w:firstLine="105"/>
              <w:jc w:val="center"/>
              <w:rPr>
                <w:szCs w:val="21"/>
              </w:rPr>
            </w:pPr>
            <w:r>
              <w:rPr>
                <w:szCs w:val="21"/>
              </w:rPr>
              <w:t>&gt;10000m</w:t>
            </w:r>
            <w:r>
              <w:rPr>
                <w:szCs w:val="21"/>
                <w:vertAlign w:val="superscript"/>
              </w:rPr>
              <w:t>2</w:t>
            </w:r>
          </w:p>
        </w:tc>
      </w:tr>
      <w:tr w:rsidR="009C5C1F">
        <w:trPr>
          <w:cantSplit/>
          <w:trHeight w:val="31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挖掘边坡度</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&lt;25°</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pacing w:val="-4"/>
                <w:szCs w:val="21"/>
              </w:rPr>
              <w:t>25°-50°</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ind w:firstLine="105"/>
              <w:jc w:val="center"/>
              <w:rPr>
                <w:szCs w:val="21"/>
              </w:rPr>
            </w:pPr>
            <w:r>
              <w:rPr>
                <w:szCs w:val="21"/>
              </w:rPr>
              <w:t>&gt;35°</w:t>
            </w:r>
          </w:p>
        </w:tc>
      </w:tr>
      <w:tr w:rsidR="009C5C1F">
        <w:trPr>
          <w:cantSplit/>
          <w:trHeight w:val="317"/>
          <w:jc w:val="center"/>
        </w:trPr>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土体剖面</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挖掘土层厚度</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&lt;20cm</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20-50cm</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ind w:firstLine="105"/>
              <w:jc w:val="center"/>
              <w:rPr>
                <w:szCs w:val="21"/>
              </w:rPr>
            </w:pPr>
            <w:r>
              <w:rPr>
                <w:szCs w:val="21"/>
              </w:rPr>
              <w:t>&gt;50cm</w:t>
            </w:r>
          </w:p>
        </w:tc>
      </w:tr>
      <w:tr w:rsidR="009C5C1F">
        <w:trPr>
          <w:cantSplit/>
          <w:trHeight w:val="317"/>
          <w:jc w:val="center"/>
        </w:trPr>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水文变化</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积水状况</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无积水</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季节性积水</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ind w:firstLine="105"/>
              <w:jc w:val="center"/>
              <w:rPr>
                <w:szCs w:val="21"/>
              </w:rPr>
            </w:pPr>
            <w:r>
              <w:rPr>
                <w:rFonts w:hAnsi="宋体"/>
                <w:szCs w:val="21"/>
              </w:rPr>
              <w:t>长期积水</w:t>
            </w:r>
          </w:p>
        </w:tc>
      </w:tr>
      <w:tr w:rsidR="009C5C1F">
        <w:trPr>
          <w:cantSplit/>
          <w:trHeight w:val="567"/>
          <w:jc w:val="center"/>
        </w:trPr>
        <w:tc>
          <w:tcPr>
            <w:tcW w:w="0" w:type="auto"/>
            <w:gridSpan w:val="5"/>
            <w:tcBorders>
              <w:top w:val="single" w:sz="4" w:space="0" w:color="auto"/>
              <w:left w:val="nil"/>
              <w:bottom w:val="single" w:sz="4" w:space="0" w:color="auto"/>
              <w:right w:val="nil"/>
            </w:tcBorders>
            <w:vAlign w:val="center"/>
          </w:tcPr>
          <w:p w:rsidR="009C5C1F" w:rsidRDefault="004D2E0D">
            <w:pPr>
              <w:suppressAutoHyphens/>
              <w:wordWrap w:val="0"/>
              <w:topLinePunct/>
              <w:spacing w:beforeLines="50" w:before="120" w:afterLines="50" w:after="120"/>
              <w:jc w:val="center"/>
              <w:rPr>
                <w:b/>
                <w:bCs/>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3</w:t>
            </w:r>
            <w:r>
              <w:rPr>
                <w:rFonts w:hint="eastAsia"/>
                <w:b/>
                <w:bCs/>
                <w:sz w:val="24"/>
              </w:rPr>
              <w:t>—</w:t>
            </w:r>
            <w:r>
              <w:rPr>
                <w:rFonts w:hint="eastAsia"/>
                <w:b/>
                <w:bCs/>
                <w:sz w:val="24"/>
              </w:rPr>
              <w:t>1</w:t>
            </w:r>
            <w:r>
              <w:rPr>
                <w:b/>
                <w:bCs/>
                <w:sz w:val="24"/>
              </w:rPr>
              <w:t xml:space="preserve">0             </w:t>
            </w:r>
            <w:r>
              <w:rPr>
                <w:b/>
                <w:bCs/>
                <w:sz w:val="24"/>
              </w:rPr>
              <w:t>压占地破坏程度评价指示表</w:t>
            </w:r>
            <w:r>
              <w:rPr>
                <w:rFonts w:hint="eastAsia"/>
                <w:b/>
                <w:bCs/>
                <w:sz w:val="24"/>
              </w:rPr>
              <w:t xml:space="preserve">   </w:t>
            </w:r>
          </w:p>
        </w:tc>
      </w:tr>
      <w:tr w:rsidR="009C5C1F">
        <w:trPr>
          <w:cantSplit/>
          <w:trHeight w:val="33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评价因素</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评价因子</w:t>
            </w:r>
          </w:p>
        </w:tc>
        <w:tc>
          <w:tcPr>
            <w:tcW w:w="0" w:type="auto"/>
            <w:gridSpan w:val="3"/>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评价等级</w:t>
            </w:r>
          </w:p>
        </w:tc>
      </w:tr>
      <w:tr w:rsidR="009C5C1F">
        <w:trPr>
          <w:cantSplit/>
          <w:trHeight w:val="33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轻度破坏</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中度破坏</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重度破坏</w:t>
            </w:r>
          </w:p>
        </w:tc>
      </w:tr>
      <w:tr w:rsidR="009C5C1F">
        <w:trPr>
          <w:cantSplit/>
          <w:trHeight w:val="335"/>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地表变形</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压占面积</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&lt;1000m</w:t>
            </w:r>
            <w:r>
              <w:rPr>
                <w:szCs w:val="21"/>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1000-10000m</w:t>
            </w:r>
            <w:r>
              <w:rPr>
                <w:szCs w:val="21"/>
                <w:vertAlign w:val="superscript"/>
              </w:rPr>
              <w:t>2</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&gt;10000m</w:t>
            </w:r>
            <w:r>
              <w:rPr>
                <w:szCs w:val="21"/>
                <w:vertAlign w:val="superscript"/>
              </w:rPr>
              <w:t>2</w:t>
            </w:r>
          </w:p>
        </w:tc>
      </w:tr>
      <w:tr w:rsidR="009C5C1F">
        <w:trPr>
          <w:cantSplit/>
          <w:trHeight w:val="33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压占高度</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&lt;20m</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20-50m</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ind w:firstLine="105"/>
              <w:jc w:val="center"/>
              <w:rPr>
                <w:szCs w:val="21"/>
              </w:rPr>
            </w:pPr>
            <w:r>
              <w:rPr>
                <w:szCs w:val="21"/>
              </w:rPr>
              <w:t>&gt;50m</w:t>
            </w:r>
          </w:p>
        </w:tc>
      </w:tr>
      <w:tr w:rsidR="009C5C1F">
        <w:trPr>
          <w:cantSplit/>
          <w:trHeight w:val="33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边坡坡度</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&lt;25°</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pacing w:val="-4"/>
                <w:szCs w:val="21"/>
              </w:rPr>
              <w:t>25°-50°</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ind w:firstLine="105"/>
              <w:jc w:val="center"/>
              <w:rPr>
                <w:szCs w:val="21"/>
              </w:rPr>
            </w:pPr>
            <w:r>
              <w:rPr>
                <w:szCs w:val="21"/>
              </w:rPr>
              <w:t>&gt;35°</w:t>
            </w:r>
          </w:p>
        </w:tc>
      </w:tr>
      <w:tr w:rsidR="009C5C1F">
        <w:trPr>
          <w:cantSplit/>
          <w:trHeight w:val="257"/>
          <w:jc w:val="center"/>
        </w:trPr>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稳定性</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稳定性</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稳定</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较稳定</w:t>
            </w:r>
          </w:p>
        </w:tc>
        <w:tc>
          <w:tcPr>
            <w:tcW w:w="0" w:type="auto"/>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ind w:firstLine="105"/>
              <w:jc w:val="center"/>
              <w:rPr>
                <w:szCs w:val="21"/>
              </w:rPr>
            </w:pPr>
            <w:r>
              <w:rPr>
                <w:rFonts w:hAnsi="宋体"/>
                <w:szCs w:val="21"/>
              </w:rPr>
              <w:t>不稳定</w:t>
            </w:r>
          </w:p>
        </w:tc>
      </w:tr>
    </w:tbl>
    <w:p w:rsidR="009C5C1F" w:rsidRDefault="004D2E0D">
      <w:pPr>
        <w:spacing w:beforeLines="50" w:before="120" w:line="360" w:lineRule="auto"/>
        <w:ind w:firstLine="482"/>
        <w:rPr>
          <w:rFonts w:ascii="宋体" w:hAnsi="宋体"/>
          <w:sz w:val="24"/>
        </w:rPr>
      </w:pPr>
      <w:r>
        <w:rPr>
          <w:rFonts w:ascii="宋体" w:hAnsi="宋体" w:hint="eastAsia"/>
          <w:sz w:val="24"/>
        </w:rPr>
        <w:t>该矿为新建矿山，目前未进行矿山生产建设，因此现状下矿区内无已损毁区域。</w:t>
      </w:r>
    </w:p>
    <w:p w:rsidR="009C5C1F" w:rsidRDefault="004D2E0D">
      <w:pPr>
        <w:keepNext/>
        <w:keepLines/>
        <w:suppressAutoHyphens/>
        <w:wordWrap w:val="0"/>
        <w:topLinePunct/>
        <w:spacing w:beforeLines="50" w:before="120" w:line="360" w:lineRule="auto"/>
        <w:ind w:firstLineChars="200" w:firstLine="482"/>
        <w:outlineLvl w:val="2"/>
        <w:rPr>
          <w:b/>
          <w:sz w:val="24"/>
          <w:szCs w:val="28"/>
        </w:rPr>
      </w:pPr>
      <w:bookmarkStart w:id="961" w:name="_Toc70589864"/>
      <w:r>
        <w:rPr>
          <w:rFonts w:hint="eastAsia"/>
          <w:b/>
          <w:sz w:val="24"/>
          <w:szCs w:val="28"/>
        </w:rPr>
        <w:t>（三）损毁土地预测与评估</w:t>
      </w:r>
      <w:bookmarkEnd w:id="961"/>
    </w:p>
    <w:p w:rsidR="009C5C1F" w:rsidRDefault="004D2E0D">
      <w:pPr>
        <w:spacing w:line="360" w:lineRule="auto"/>
        <w:ind w:firstLineChars="200" w:firstLine="480"/>
        <w:rPr>
          <w:sz w:val="24"/>
        </w:rPr>
      </w:pPr>
      <w:r>
        <w:rPr>
          <w:rFonts w:hAnsi="宋体"/>
          <w:sz w:val="24"/>
        </w:rPr>
        <w:t>根据《</w:t>
      </w:r>
      <w:r>
        <w:rPr>
          <w:rFonts w:ascii="Calibri" w:hAnsi="Calibri" w:hint="eastAsia"/>
          <w:sz w:val="24"/>
        </w:rPr>
        <w:t>甘肃省临泽县板桥镇壕洼村</w:t>
      </w:r>
      <w:r>
        <w:rPr>
          <w:rFonts w:hint="eastAsia"/>
          <w:sz w:val="24"/>
        </w:rPr>
        <w:t>正北山西侧砖瓦用粘土矿</w:t>
      </w:r>
      <w:r>
        <w:rPr>
          <w:rFonts w:hAnsi="宋体"/>
          <w:sz w:val="24"/>
        </w:rPr>
        <w:t>矿产资源开发利用方案》，该矿山</w:t>
      </w:r>
      <w:r>
        <w:rPr>
          <w:rFonts w:hAnsi="宋体" w:hint="eastAsia"/>
          <w:sz w:val="24"/>
        </w:rPr>
        <w:t>服务年限约为</w:t>
      </w:r>
      <w:r>
        <w:rPr>
          <w:rFonts w:hAnsi="宋体"/>
          <w:sz w:val="24"/>
        </w:rPr>
        <w:t>11</w:t>
      </w:r>
      <w:r>
        <w:rPr>
          <w:rFonts w:hAnsi="宋体" w:hint="eastAsia"/>
          <w:sz w:val="24"/>
        </w:rPr>
        <w:t>年（不含基建期）</w:t>
      </w:r>
      <w:r>
        <w:rPr>
          <w:rFonts w:hAnsi="宋体"/>
          <w:sz w:val="24"/>
        </w:rPr>
        <w:t>，设计生产规模为</w:t>
      </w:r>
      <w:r>
        <w:rPr>
          <w:rFonts w:hint="eastAsia"/>
          <w:sz w:val="24"/>
        </w:rPr>
        <w:t>1</w:t>
      </w:r>
      <w:r>
        <w:rPr>
          <w:sz w:val="24"/>
        </w:rPr>
        <w:t>0</w:t>
      </w:r>
      <w:r>
        <w:rPr>
          <w:sz w:val="24"/>
        </w:rPr>
        <w:t>万立方米</w:t>
      </w:r>
      <w:r>
        <w:rPr>
          <w:sz w:val="24"/>
        </w:rPr>
        <w:t>/</w:t>
      </w:r>
      <w:r>
        <w:rPr>
          <w:rFonts w:hAnsi="Calibri"/>
          <w:sz w:val="24"/>
        </w:rPr>
        <w:t>年</w:t>
      </w:r>
      <w:r>
        <w:rPr>
          <w:rFonts w:hAnsi="宋体"/>
          <w:sz w:val="24"/>
        </w:rPr>
        <w:t>。未来随着矿山的开采，损毁土地面积将</w:t>
      </w:r>
      <w:r>
        <w:rPr>
          <w:rFonts w:hAnsi="宋体" w:hint="eastAsia"/>
          <w:sz w:val="24"/>
        </w:rPr>
        <w:t>逐步</w:t>
      </w:r>
      <w:r>
        <w:rPr>
          <w:rFonts w:hAnsi="宋体"/>
          <w:sz w:val="24"/>
        </w:rPr>
        <w:t>扩大。本报告对该矿山复垦方案服务年限内（</w:t>
      </w:r>
      <w:r>
        <w:rPr>
          <w:sz w:val="24"/>
        </w:rPr>
        <w:t>20</w:t>
      </w:r>
      <w:r>
        <w:rPr>
          <w:rFonts w:hint="eastAsia"/>
          <w:sz w:val="24"/>
        </w:rPr>
        <w:t>2</w:t>
      </w:r>
      <w:r>
        <w:rPr>
          <w:sz w:val="24"/>
        </w:rPr>
        <w:t>3</w:t>
      </w:r>
      <w:r>
        <w:rPr>
          <w:rFonts w:hAnsi="宋体"/>
          <w:sz w:val="24"/>
        </w:rPr>
        <w:t>年</w:t>
      </w:r>
      <w:r>
        <w:rPr>
          <w:sz w:val="24"/>
        </w:rPr>
        <w:t>8</w:t>
      </w:r>
      <w:r>
        <w:rPr>
          <w:rFonts w:hAnsi="宋体"/>
          <w:sz w:val="24"/>
        </w:rPr>
        <w:t>月～</w:t>
      </w:r>
      <w:r>
        <w:rPr>
          <w:sz w:val="24"/>
        </w:rPr>
        <w:t>2028</w:t>
      </w:r>
      <w:r>
        <w:rPr>
          <w:rFonts w:hAnsi="宋体"/>
          <w:sz w:val="24"/>
        </w:rPr>
        <w:t>年</w:t>
      </w:r>
      <w:r>
        <w:rPr>
          <w:sz w:val="24"/>
        </w:rPr>
        <w:t>8</w:t>
      </w:r>
      <w:r>
        <w:rPr>
          <w:rFonts w:hAnsi="宋体"/>
          <w:sz w:val="24"/>
        </w:rPr>
        <w:t>月）拟损毁土地进行预测分析。</w:t>
      </w:r>
    </w:p>
    <w:p w:rsidR="009C5C1F" w:rsidRDefault="004D2E0D">
      <w:pPr>
        <w:spacing w:beforeLines="50" w:before="120" w:line="360" w:lineRule="auto"/>
        <w:ind w:firstLineChars="200" w:firstLine="480"/>
        <w:rPr>
          <w:rFonts w:hAnsi="宋体"/>
          <w:sz w:val="24"/>
        </w:rPr>
      </w:pPr>
      <w:bookmarkStart w:id="962" w:name="_Toc503260913"/>
      <w:r>
        <w:rPr>
          <w:rFonts w:hAnsi="宋体" w:hint="eastAsia"/>
          <w:sz w:val="24"/>
        </w:rPr>
        <w:t>1</w:t>
      </w:r>
      <w:r>
        <w:rPr>
          <w:rFonts w:hAnsi="宋体" w:hint="eastAsia"/>
          <w:sz w:val="24"/>
        </w:rPr>
        <w:t>、拟损毁区域预测分析</w:t>
      </w:r>
    </w:p>
    <w:p w:rsidR="009C5C1F" w:rsidRDefault="004D2E0D">
      <w:pPr>
        <w:spacing w:beforeLines="50" w:before="120" w:line="360" w:lineRule="auto"/>
        <w:ind w:firstLineChars="200" w:firstLine="480"/>
        <w:rPr>
          <w:rFonts w:hAnsi="宋体"/>
          <w:sz w:val="24"/>
        </w:rPr>
      </w:pPr>
      <w:r>
        <w:rPr>
          <w:rFonts w:hAnsi="宋体" w:hint="eastAsia"/>
          <w:sz w:val="24"/>
        </w:rPr>
        <w:t>（</w:t>
      </w:r>
      <w:r>
        <w:rPr>
          <w:rFonts w:hAnsi="宋体" w:hint="eastAsia"/>
          <w:sz w:val="24"/>
        </w:rPr>
        <w:t>1</w:t>
      </w:r>
      <w:r>
        <w:rPr>
          <w:rFonts w:hAnsi="宋体" w:hint="eastAsia"/>
          <w:sz w:val="24"/>
        </w:rPr>
        <w:t>）</w:t>
      </w:r>
      <w:r>
        <w:rPr>
          <w:rFonts w:hAnsi="宋体"/>
          <w:sz w:val="24"/>
        </w:rPr>
        <w:t>露天采场损毁土地预测</w:t>
      </w:r>
      <w:bookmarkEnd w:id="962"/>
    </w:p>
    <w:p w:rsidR="009C5C1F" w:rsidRDefault="004D2E0D">
      <w:pPr>
        <w:spacing w:line="360" w:lineRule="auto"/>
        <w:ind w:firstLineChars="200" w:firstLine="480"/>
        <w:rPr>
          <w:rFonts w:hAnsi="宋体"/>
          <w:sz w:val="24"/>
        </w:rPr>
      </w:pPr>
      <w:r>
        <w:rPr>
          <w:rFonts w:hAnsi="宋体"/>
          <w:sz w:val="24"/>
        </w:rPr>
        <w:t>根据《</w:t>
      </w:r>
      <w:r>
        <w:rPr>
          <w:rFonts w:hAnsi="宋体" w:hint="eastAsia"/>
          <w:sz w:val="24"/>
        </w:rPr>
        <w:t>甘肃省临泽县板桥镇壕洼村</w:t>
      </w:r>
      <w:r>
        <w:rPr>
          <w:rFonts w:hint="eastAsia"/>
          <w:sz w:val="24"/>
        </w:rPr>
        <w:t>正北山西侧砖瓦用粘土矿</w:t>
      </w:r>
      <w:r>
        <w:rPr>
          <w:rFonts w:hAnsi="宋体"/>
          <w:sz w:val="24"/>
        </w:rPr>
        <w:t>矿产资源开发利用方案》，</w:t>
      </w:r>
      <w:r>
        <w:rPr>
          <w:rFonts w:hAnsi="宋体" w:hint="eastAsia"/>
          <w:sz w:val="24"/>
        </w:rPr>
        <w:t>该矿通过开采后形成的露天开采最终境界与矿区范围相符。</w:t>
      </w:r>
      <w:r>
        <w:rPr>
          <w:rFonts w:hAnsi="宋体"/>
          <w:sz w:val="24"/>
        </w:rPr>
        <w:t>露天采场拟损毁面积</w:t>
      </w:r>
      <w:r>
        <w:rPr>
          <w:rFonts w:hAnsi="宋体" w:hint="eastAsia"/>
          <w:sz w:val="24"/>
        </w:rPr>
        <w:t>大于</w:t>
      </w:r>
      <w:r>
        <w:rPr>
          <w:rFonts w:hAnsi="宋体"/>
          <w:sz w:val="24"/>
        </w:rPr>
        <w:t>1.75hm</w:t>
      </w:r>
      <w:r>
        <w:rPr>
          <w:rFonts w:hAnsi="宋体"/>
          <w:sz w:val="24"/>
          <w:vertAlign w:val="superscript"/>
        </w:rPr>
        <w:t>2</w:t>
      </w:r>
      <w:r>
        <w:rPr>
          <w:rFonts w:hAnsi="宋体"/>
          <w:sz w:val="24"/>
        </w:rPr>
        <w:t>，损毁类型为挖损，损毁程度为重度，占用地</w:t>
      </w:r>
      <w:proofErr w:type="gramStart"/>
      <w:r>
        <w:rPr>
          <w:rFonts w:hAnsi="宋体"/>
          <w:sz w:val="24"/>
        </w:rPr>
        <w:t>类为</w:t>
      </w:r>
      <w:r>
        <w:rPr>
          <w:rFonts w:hAnsi="宋体" w:hint="eastAsia"/>
          <w:sz w:val="24"/>
        </w:rPr>
        <w:t>裸土地</w:t>
      </w:r>
      <w:proofErr w:type="gramEnd"/>
      <w:r>
        <w:rPr>
          <w:rFonts w:hAnsi="宋体" w:hint="eastAsia"/>
          <w:sz w:val="24"/>
        </w:rPr>
        <w:t>（</w:t>
      </w:r>
      <w:r>
        <w:rPr>
          <w:rFonts w:hAnsi="宋体" w:hint="eastAsia"/>
          <w:sz w:val="24"/>
        </w:rPr>
        <w:t>1</w:t>
      </w:r>
      <w:r>
        <w:rPr>
          <w:rFonts w:hAnsi="宋体"/>
          <w:sz w:val="24"/>
        </w:rPr>
        <w:t>206</w:t>
      </w:r>
      <w:r>
        <w:rPr>
          <w:rFonts w:hAnsi="宋体" w:hint="eastAsia"/>
          <w:sz w:val="24"/>
        </w:rPr>
        <w:t>）</w:t>
      </w:r>
      <w:r>
        <w:rPr>
          <w:rFonts w:hAnsi="宋体"/>
          <w:sz w:val="24"/>
        </w:rPr>
        <w:t>。</w:t>
      </w:r>
    </w:p>
    <w:p w:rsidR="009C5C1F" w:rsidRDefault="004D2E0D">
      <w:pPr>
        <w:spacing w:beforeLines="50" w:before="120" w:line="360" w:lineRule="auto"/>
        <w:ind w:firstLineChars="200" w:firstLine="480"/>
        <w:rPr>
          <w:rFonts w:hAnsi="宋体"/>
          <w:sz w:val="24"/>
        </w:rPr>
      </w:pPr>
      <w:bookmarkStart w:id="963" w:name="_Toc503260914"/>
      <w:r>
        <w:rPr>
          <w:rFonts w:hAnsi="宋体" w:hint="eastAsia"/>
          <w:sz w:val="24"/>
        </w:rPr>
        <w:t>（</w:t>
      </w:r>
      <w:r>
        <w:rPr>
          <w:rFonts w:hAnsi="宋体" w:hint="eastAsia"/>
          <w:sz w:val="24"/>
        </w:rPr>
        <w:t>2</w:t>
      </w:r>
      <w:r>
        <w:rPr>
          <w:rFonts w:hAnsi="宋体" w:hint="eastAsia"/>
          <w:sz w:val="24"/>
        </w:rPr>
        <w:t>）</w:t>
      </w:r>
      <w:r>
        <w:rPr>
          <w:rFonts w:hAnsi="宋体"/>
          <w:sz w:val="24"/>
        </w:rPr>
        <w:t>生活办公区损毁土地预测</w:t>
      </w:r>
    </w:p>
    <w:p w:rsidR="009C5C1F" w:rsidRDefault="004D2E0D">
      <w:pPr>
        <w:tabs>
          <w:tab w:val="left" w:pos="2895"/>
        </w:tabs>
        <w:spacing w:line="360" w:lineRule="auto"/>
        <w:ind w:firstLineChars="200" w:firstLine="480"/>
        <w:rPr>
          <w:rFonts w:hAnsi="宋体"/>
          <w:sz w:val="24"/>
        </w:rPr>
      </w:pPr>
      <w:r>
        <w:rPr>
          <w:rFonts w:hAnsi="宋体"/>
          <w:sz w:val="24"/>
        </w:rPr>
        <w:t>根据开发利用方案，</w:t>
      </w:r>
      <w:r>
        <w:rPr>
          <w:rFonts w:hAnsi="宋体" w:hint="eastAsia"/>
          <w:sz w:val="24"/>
        </w:rPr>
        <w:t>矿区生活办公区布置在矿区内</w:t>
      </w:r>
      <w:proofErr w:type="gramStart"/>
      <w:r>
        <w:rPr>
          <w:rFonts w:hAnsi="宋体" w:hint="eastAsia"/>
          <w:sz w:val="24"/>
        </w:rPr>
        <w:t>已有采坑北部</w:t>
      </w:r>
      <w:proofErr w:type="gramEnd"/>
      <w:r>
        <w:rPr>
          <w:rFonts w:hAnsi="宋体" w:hint="eastAsia"/>
          <w:sz w:val="24"/>
        </w:rPr>
        <w:t>平坦宽阔场地，用地为荒地，地形较平缓。区内建设办公室、职工宿舍、食堂、库房等建筑物，建筑物面积约</w:t>
      </w:r>
      <w:r>
        <w:rPr>
          <w:rFonts w:hAnsi="宋体"/>
          <w:sz w:val="24"/>
        </w:rPr>
        <w:t>0.4125h</w:t>
      </w:r>
      <w:r>
        <w:rPr>
          <w:rFonts w:hAnsi="宋体" w:hint="eastAsia"/>
          <w:sz w:val="24"/>
        </w:rPr>
        <w:t>m</w:t>
      </w:r>
      <w:r>
        <w:rPr>
          <w:rFonts w:hAnsi="宋体" w:hint="eastAsia"/>
          <w:sz w:val="24"/>
          <w:vertAlign w:val="superscript"/>
        </w:rPr>
        <w:t>2</w:t>
      </w:r>
      <w:r>
        <w:rPr>
          <w:rFonts w:hAnsi="宋体" w:hint="eastAsia"/>
          <w:sz w:val="24"/>
        </w:rPr>
        <w:t>。因此其拟损毁土地面积为</w:t>
      </w:r>
      <w:r>
        <w:rPr>
          <w:rFonts w:hAnsi="宋体"/>
          <w:sz w:val="24"/>
        </w:rPr>
        <w:t>0.4125 hm</w:t>
      </w:r>
      <w:r>
        <w:rPr>
          <w:rFonts w:hAnsi="宋体"/>
          <w:sz w:val="24"/>
          <w:vertAlign w:val="superscript"/>
        </w:rPr>
        <w:t>2</w:t>
      </w:r>
      <w:r>
        <w:rPr>
          <w:rFonts w:hAnsi="宋体" w:hint="eastAsia"/>
          <w:sz w:val="24"/>
        </w:rPr>
        <w:t>，损毁类型为压占，损毁程度为轻度，占用地</w:t>
      </w:r>
      <w:proofErr w:type="gramStart"/>
      <w:r>
        <w:rPr>
          <w:rFonts w:hAnsi="宋体" w:hint="eastAsia"/>
          <w:sz w:val="24"/>
        </w:rPr>
        <w:t>类为裸土地</w:t>
      </w:r>
      <w:proofErr w:type="gramEnd"/>
      <w:r>
        <w:rPr>
          <w:rFonts w:hAnsi="宋体" w:hint="eastAsia"/>
          <w:sz w:val="24"/>
        </w:rPr>
        <w:t>（</w:t>
      </w:r>
      <w:r>
        <w:rPr>
          <w:rFonts w:hAnsi="宋体" w:hint="eastAsia"/>
          <w:sz w:val="24"/>
        </w:rPr>
        <w:t>1</w:t>
      </w:r>
      <w:r>
        <w:rPr>
          <w:rFonts w:hAnsi="宋体"/>
          <w:sz w:val="24"/>
        </w:rPr>
        <w:t>206</w:t>
      </w:r>
      <w:r>
        <w:rPr>
          <w:rFonts w:hAnsi="宋体" w:hint="eastAsia"/>
          <w:sz w:val="24"/>
        </w:rPr>
        <w:t>）。</w:t>
      </w:r>
    </w:p>
    <w:p w:rsidR="009C5C1F" w:rsidRDefault="004D2E0D">
      <w:pPr>
        <w:spacing w:beforeLines="50" w:before="120" w:line="360" w:lineRule="auto"/>
        <w:ind w:firstLineChars="200" w:firstLine="480"/>
        <w:rPr>
          <w:rFonts w:hAnsi="宋体"/>
          <w:sz w:val="24"/>
        </w:rPr>
      </w:pPr>
      <w:r>
        <w:rPr>
          <w:rFonts w:hAnsi="宋体" w:hint="eastAsia"/>
          <w:sz w:val="24"/>
        </w:rPr>
        <w:t>（</w:t>
      </w:r>
      <w:r>
        <w:rPr>
          <w:rFonts w:hAnsi="宋体" w:hint="eastAsia"/>
          <w:sz w:val="24"/>
        </w:rPr>
        <w:t>4</w:t>
      </w:r>
      <w:r>
        <w:rPr>
          <w:rFonts w:hAnsi="宋体" w:hint="eastAsia"/>
          <w:sz w:val="24"/>
        </w:rPr>
        <w:t>）堆料场</w:t>
      </w:r>
      <w:r>
        <w:rPr>
          <w:rFonts w:hAnsi="宋体"/>
          <w:sz w:val="24"/>
        </w:rPr>
        <w:t>损毁土地预测</w:t>
      </w:r>
      <w:bookmarkEnd w:id="963"/>
    </w:p>
    <w:p w:rsidR="009C5C1F" w:rsidRDefault="004D2E0D">
      <w:pPr>
        <w:spacing w:line="360" w:lineRule="auto"/>
        <w:ind w:firstLineChars="200" w:firstLine="480"/>
        <w:rPr>
          <w:rFonts w:hAnsi="宋体"/>
          <w:sz w:val="24"/>
        </w:rPr>
      </w:pPr>
      <w:r>
        <w:rPr>
          <w:rFonts w:hAnsi="宋体"/>
          <w:sz w:val="24"/>
        </w:rPr>
        <w:t>根据该矿开发利用方案及总平面布置图，</w:t>
      </w:r>
      <w:r>
        <w:rPr>
          <w:rFonts w:hAnsi="宋体" w:hint="eastAsia"/>
          <w:sz w:val="24"/>
        </w:rPr>
        <w:t>堆料场布置在</w:t>
      </w:r>
      <w:proofErr w:type="gramStart"/>
      <w:r>
        <w:rPr>
          <w:rFonts w:hAnsi="宋体" w:hint="eastAsia"/>
          <w:sz w:val="24"/>
        </w:rPr>
        <w:t>已有采坑中央</w:t>
      </w:r>
      <w:proofErr w:type="gramEnd"/>
      <w:r>
        <w:rPr>
          <w:rFonts w:hAnsi="宋体" w:hint="eastAsia"/>
          <w:sz w:val="24"/>
        </w:rPr>
        <w:t>，距离生活区约</w:t>
      </w:r>
      <w:r>
        <w:rPr>
          <w:rFonts w:hAnsi="宋体"/>
          <w:sz w:val="24"/>
        </w:rPr>
        <w:t>50</w:t>
      </w:r>
      <w:r>
        <w:rPr>
          <w:rFonts w:hAnsi="宋体" w:hint="eastAsia"/>
          <w:sz w:val="24"/>
        </w:rPr>
        <w:t>米，位于道路西侧。堆料场</w:t>
      </w:r>
      <w:r>
        <w:rPr>
          <w:rFonts w:hAnsi="宋体"/>
          <w:sz w:val="24"/>
        </w:rPr>
        <w:t>拟损毁面积</w:t>
      </w:r>
      <w:r>
        <w:rPr>
          <w:rFonts w:hAnsi="宋体" w:hint="eastAsia"/>
          <w:sz w:val="24"/>
        </w:rPr>
        <w:t>为</w:t>
      </w:r>
      <w:r>
        <w:rPr>
          <w:rFonts w:hAnsi="宋体"/>
          <w:sz w:val="24"/>
        </w:rPr>
        <w:t>0.936hm</w:t>
      </w:r>
      <w:r>
        <w:rPr>
          <w:rFonts w:hAnsi="宋体"/>
          <w:sz w:val="24"/>
          <w:vertAlign w:val="superscript"/>
        </w:rPr>
        <w:t>2</w:t>
      </w:r>
      <w:r>
        <w:rPr>
          <w:rFonts w:hAnsi="宋体" w:hint="eastAsia"/>
          <w:sz w:val="24"/>
        </w:rPr>
        <w:t>，损毁类型为压占，损毁程度为重度，占用地</w:t>
      </w:r>
      <w:proofErr w:type="gramStart"/>
      <w:r>
        <w:rPr>
          <w:rFonts w:hAnsi="宋体" w:hint="eastAsia"/>
          <w:sz w:val="24"/>
        </w:rPr>
        <w:t>类为裸土地</w:t>
      </w:r>
      <w:proofErr w:type="gramEnd"/>
      <w:r>
        <w:rPr>
          <w:rFonts w:hAnsi="宋体" w:hint="eastAsia"/>
          <w:sz w:val="24"/>
        </w:rPr>
        <w:t>（</w:t>
      </w:r>
      <w:r>
        <w:rPr>
          <w:rFonts w:hAnsi="宋体" w:hint="eastAsia"/>
          <w:sz w:val="24"/>
        </w:rPr>
        <w:t>1</w:t>
      </w:r>
      <w:r>
        <w:rPr>
          <w:rFonts w:hAnsi="宋体"/>
          <w:sz w:val="24"/>
        </w:rPr>
        <w:t>206</w:t>
      </w:r>
      <w:r>
        <w:rPr>
          <w:rFonts w:hAnsi="宋体" w:hint="eastAsia"/>
          <w:sz w:val="24"/>
        </w:rPr>
        <w:t>）。</w:t>
      </w:r>
    </w:p>
    <w:p w:rsidR="009C5C1F" w:rsidRDefault="004D2E0D">
      <w:pPr>
        <w:spacing w:line="360" w:lineRule="auto"/>
        <w:ind w:firstLineChars="200" w:firstLine="480"/>
        <w:rPr>
          <w:rFonts w:hAnsi="宋体"/>
          <w:sz w:val="24"/>
        </w:rPr>
      </w:pPr>
      <w:r>
        <w:rPr>
          <w:rFonts w:hAnsi="宋体" w:hint="eastAsia"/>
          <w:sz w:val="24"/>
        </w:rPr>
        <w:t>2</w:t>
      </w:r>
      <w:r>
        <w:rPr>
          <w:rFonts w:hAnsi="宋体" w:hint="eastAsia"/>
          <w:sz w:val="24"/>
        </w:rPr>
        <w:t>、拟损毁预测汇总</w:t>
      </w:r>
    </w:p>
    <w:p w:rsidR="009C5C1F" w:rsidRDefault="004D2E0D">
      <w:pPr>
        <w:spacing w:line="360" w:lineRule="auto"/>
        <w:ind w:firstLineChars="200" w:firstLine="480"/>
        <w:rPr>
          <w:rFonts w:hAnsi="宋体"/>
          <w:sz w:val="24"/>
        </w:rPr>
      </w:pPr>
      <w:r>
        <w:rPr>
          <w:rFonts w:hAnsi="宋体" w:hint="eastAsia"/>
          <w:sz w:val="24"/>
        </w:rPr>
        <w:t>综合以上</w:t>
      </w:r>
      <w:bookmarkStart w:id="964" w:name="_Toc503260917"/>
      <w:r>
        <w:rPr>
          <w:rFonts w:hAnsi="宋体" w:hint="eastAsia"/>
          <w:sz w:val="24"/>
        </w:rPr>
        <w:t>对矿区各</w:t>
      </w:r>
      <w:proofErr w:type="gramStart"/>
      <w:r>
        <w:rPr>
          <w:rFonts w:hAnsi="宋体" w:hint="eastAsia"/>
          <w:sz w:val="24"/>
        </w:rPr>
        <w:t>类拟</w:t>
      </w:r>
      <w:proofErr w:type="gramEnd"/>
      <w:r>
        <w:rPr>
          <w:rFonts w:hAnsi="宋体" w:hint="eastAsia"/>
          <w:sz w:val="24"/>
        </w:rPr>
        <w:t>损毁土地预测分析计算，该矿区预测拟损毁土地总面积约为</w:t>
      </w:r>
      <w:r>
        <w:rPr>
          <w:rFonts w:hAnsi="宋体"/>
          <w:szCs w:val="21"/>
        </w:rPr>
        <w:t>3.098</w:t>
      </w:r>
      <w:r>
        <w:rPr>
          <w:rFonts w:hAnsi="宋体"/>
          <w:sz w:val="24"/>
        </w:rPr>
        <w:t>hm</w:t>
      </w:r>
      <w:r>
        <w:rPr>
          <w:rFonts w:hAnsi="宋体"/>
          <w:sz w:val="24"/>
          <w:vertAlign w:val="superscript"/>
        </w:rPr>
        <w:t>2</w:t>
      </w:r>
      <w:r>
        <w:rPr>
          <w:rFonts w:hAnsi="宋体" w:hint="eastAsia"/>
          <w:sz w:val="24"/>
        </w:rPr>
        <w:t>，详见表</w:t>
      </w:r>
      <w:r>
        <w:rPr>
          <w:rFonts w:hAnsi="宋体"/>
          <w:sz w:val="24"/>
        </w:rPr>
        <w:t>3-</w:t>
      </w:r>
      <w:r>
        <w:rPr>
          <w:rFonts w:hAnsi="宋体" w:hint="eastAsia"/>
          <w:sz w:val="24"/>
        </w:rPr>
        <w:t>1</w:t>
      </w:r>
      <w:r>
        <w:rPr>
          <w:rFonts w:hAnsi="宋体"/>
          <w:sz w:val="24"/>
        </w:rPr>
        <w:t>1</w:t>
      </w:r>
      <w:r>
        <w:rPr>
          <w:rFonts w:hAnsi="宋体" w:hint="eastAsia"/>
          <w:sz w:val="24"/>
        </w:rPr>
        <w:t>。</w:t>
      </w:r>
      <w:bookmarkEnd w:id="964"/>
    </w:p>
    <w:p w:rsidR="009C5C1F" w:rsidRDefault="009C5C1F">
      <w:pPr>
        <w:suppressAutoHyphens/>
        <w:wordWrap w:val="0"/>
        <w:topLinePunct/>
        <w:spacing w:beforeLines="50" w:before="120" w:afterLines="50" w:after="120"/>
        <w:jc w:val="center"/>
        <w:rPr>
          <w:b/>
          <w:bCs/>
          <w:sz w:val="24"/>
        </w:rPr>
      </w:pPr>
    </w:p>
    <w:p w:rsidR="009C5C1F" w:rsidRDefault="009C5C1F">
      <w:pPr>
        <w:suppressAutoHyphens/>
        <w:wordWrap w:val="0"/>
        <w:topLinePunct/>
        <w:spacing w:beforeLines="50" w:before="120" w:afterLines="50" w:after="120"/>
        <w:rPr>
          <w:b/>
          <w:bCs/>
          <w:sz w:val="24"/>
        </w:rPr>
      </w:pPr>
    </w:p>
    <w:p w:rsidR="009C5C1F" w:rsidRDefault="009C5C1F">
      <w:pPr>
        <w:pStyle w:val="a0"/>
        <w:ind w:firstLine="210"/>
      </w:pPr>
    </w:p>
    <w:p w:rsidR="009C5C1F" w:rsidRDefault="004D2E0D">
      <w:pPr>
        <w:suppressAutoHyphens/>
        <w:wordWrap w:val="0"/>
        <w:topLinePunct/>
        <w:spacing w:beforeLines="50" w:before="120" w:afterLines="50" w:after="120"/>
        <w:jc w:val="center"/>
        <w:rPr>
          <w:b/>
          <w:bCs/>
          <w:sz w:val="24"/>
        </w:rPr>
      </w:pPr>
      <w:r>
        <w:rPr>
          <w:rFonts w:hint="eastAsia"/>
          <w:b/>
          <w:bCs/>
          <w:sz w:val="24"/>
        </w:rPr>
        <w:lastRenderedPageBreak/>
        <w:t>表</w:t>
      </w:r>
      <w:r>
        <w:rPr>
          <w:rFonts w:hint="eastAsia"/>
          <w:b/>
          <w:bCs/>
          <w:sz w:val="24"/>
        </w:rPr>
        <w:t>3</w:t>
      </w:r>
      <w:r>
        <w:rPr>
          <w:rFonts w:hint="eastAsia"/>
          <w:b/>
          <w:bCs/>
          <w:sz w:val="24"/>
        </w:rPr>
        <w:t>—</w:t>
      </w:r>
      <w:r>
        <w:rPr>
          <w:rFonts w:hint="eastAsia"/>
          <w:b/>
          <w:bCs/>
          <w:sz w:val="24"/>
        </w:rPr>
        <w:t>1</w:t>
      </w:r>
      <w:r>
        <w:rPr>
          <w:b/>
          <w:bCs/>
          <w:sz w:val="24"/>
        </w:rPr>
        <w:t xml:space="preserve">1            </w:t>
      </w:r>
      <w:r>
        <w:rPr>
          <w:rFonts w:hint="eastAsia"/>
          <w:b/>
          <w:bCs/>
          <w:sz w:val="24"/>
        </w:rPr>
        <w:t>矿区拟损毁土地利用汇总表</w:t>
      </w:r>
      <w:r>
        <w:rPr>
          <w:rFonts w:hint="eastAsia"/>
          <w:b/>
          <w:bCs/>
          <w:sz w:val="24"/>
        </w:rPr>
        <w:t xml:space="preserve">     </w:t>
      </w:r>
    </w:p>
    <w:tbl>
      <w:tblPr>
        <w:tblW w:w="82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48"/>
        <w:gridCol w:w="1361"/>
        <w:gridCol w:w="1701"/>
        <w:gridCol w:w="1276"/>
        <w:gridCol w:w="1418"/>
        <w:gridCol w:w="1435"/>
      </w:tblGrid>
      <w:tr w:rsidR="009C5C1F">
        <w:trPr>
          <w:trHeight w:val="340"/>
          <w:jc w:val="center"/>
        </w:trPr>
        <w:tc>
          <w:tcPr>
            <w:tcW w:w="1048"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序号</w:t>
            </w:r>
          </w:p>
        </w:tc>
        <w:tc>
          <w:tcPr>
            <w:tcW w:w="1361"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损毁范围</w:t>
            </w:r>
          </w:p>
        </w:tc>
        <w:tc>
          <w:tcPr>
            <w:tcW w:w="1701"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面积（</w:t>
            </w:r>
            <w:r>
              <w:rPr>
                <w:rFonts w:hAnsi="宋体"/>
                <w:szCs w:val="21"/>
              </w:rPr>
              <w:t>hm</w:t>
            </w:r>
            <w:r>
              <w:rPr>
                <w:i/>
                <w:iCs/>
                <w:spacing w:val="20"/>
                <w:kern w:val="0"/>
                <w:shd w:val="clear" w:color="auto" w:fill="FFFFFF"/>
                <w:vertAlign w:val="superscript"/>
                <w:lang w:val="zh-CN" w:eastAsia="zh-TW"/>
              </w:rPr>
              <w:t>2</w:t>
            </w:r>
            <w:r>
              <w:rPr>
                <w:rFonts w:hAnsi="宋体" w:hint="eastAsia"/>
                <w:szCs w:val="21"/>
              </w:rPr>
              <w:t>）</w:t>
            </w:r>
          </w:p>
        </w:tc>
        <w:tc>
          <w:tcPr>
            <w:tcW w:w="1276"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土地类型</w:t>
            </w:r>
          </w:p>
        </w:tc>
        <w:tc>
          <w:tcPr>
            <w:tcW w:w="1418"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损毁类型</w:t>
            </w:r>
          </w:p>
        </w:tc>
        <w:tc>
          <w:tcPr>
            <w:tcW w:w="1435"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损毁程度</w:t>
            </w:r>
          </w:p>
        </w:tc>
      </w:tr>
      <w:tr w:rsidR="009C5C1F">
        <w:trPr>
          <w:trHeight w:val="340"/>
          <w:jc w:val="center"/>
        </w:trPr>
        <w:tc>
          <w:tcPr>
            <w:tcW w:w="1048"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szCs w:val="21"/>
              </w:rPr>
              <w:t>1</w:t>
            </w:r>
          </w:p>
        </w:tc>
        <w:tc>
          <w:tcPr>
            <w:tcW w:w="1361"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露天采场</w:t>
            </w:r>
          </w:p>
        </w:tc>
        <w:tc>
          <w:tcPr>
            <w:tcW w:w="1701"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1</w:t>
            </w:r>
            <w:r>
              <w:rPr>
                <w:rFonts w:hAnsi="宋体"/>
                <w:szCs w:val="21"/>
              </w:rPr>
              <w:t>.75</w:t>
            </w:r>
          </w:p>
        </w:tc>
        <w:tc>
          <w:tcPr>
            <w:tcW w:w="1276" w:type="dxa"/>
            <w:vAlign w:val="center"/>
          </w:tcPr>
          <w:p w:rsidR="009C5C1F" w:rsidRDefault="004D2E0D">
            <w:pPr>
              <w:suppressAutoHyphens/>
              <w:wordWrap w:val="0"/>
              <w:topLinePunct/>
              <w:adjustRightInd w:val="0"/>
              <w:snapToGrid w:val="0"/>
              <w:jc w:val="center"/>
              <w:textAlignment w:val="baseline"/>
              <w:rPr>
                <w:rFonts w:hAnsi="宋体"/>
                <w:szCs w:val="21"/>
              </w:rPr>
            </w:pPr>
            <w:proofErr w:type="gramStart"/>
            <w:r>
              <w:rPr>
                <w:rFonts w:hAnsi="宋体" w:hint="eastAsia"/>
                <w:szCs w:val="21"/>
              </w:rPr>
              <w:t>裸</w:t>
            </w:r>
            <w:proofErr w:type="gramEnd"/>
            <w:r>
              <w:rPr>
                <w:rFonts w:hAnsi="宋体" w:hint="eastAsia"/>
                <w:szCs w:val="21"/>
              </w:rPr>
              <w:t>土地</w:t>
            </w:r>
          </w:p>
        </w:tc>
        <w:tc>
          <w:tcPr>
            <w:tcW w:w="1418"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挖损</w:t>
            </w:r>
          </w:p>
        </w:tc>
        <w:tc>
          <w:tcPr>
            <w:tcW w:w="1435"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重度</w:t>
            </w:r>
          </w:p>
        </w:tc>
      </w:tr>
      <w:tr w:rsidR="009C5C1F">
        <w:trPr>
          <w:trHeight w:val="340"/>
          <w:jc w:val="center"/>
        </w:trPr>
        <w:tc>
          <w:tcPr>
            <w:tcW w:w="1048"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szCs w:val="21"/>
              </w:rPr>
              <w:t>2</w:t>
            </w:r>
          </w:p>
        </w:tc>
        <w:tc>
          <w:tcPr>
            <w:tcW w:w="1361"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生活办公区</w:t>
            </w:r>
          </w:p>
        </w:tc>
        <w:tc>
          <w:tcPr>
            <w:tcW w:w="1701"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szCs w:val="21"/>
              </w:rPr>
              <w:t>0.4125</w:t>
            </w:r>
          </w:p>
        </w:tc>
        <w:tc>
          <w:tcPr>
            <w:tcW w:w="1276" w:type="dxa"/>
            <w:vAlign w:val="center"/>
          </w:tcPr>
          <w:p w:rsidR="009C5C1F" w:rsidRDefault="004D2E0D">
            <w:pPr>
              <w:jc w:val="center"/>
            </w:pPr>
            <w:proofErr w:type="gramStart"/>
            <w:r>
              <w:rPr>
                <w:rFonts w:hAnsi="宋体" w:hint="eastAsia"/>
                <w:szCs w:val="21"/>
              </w:rPr>
              <w:t>裸</w:t>
            </w:r>
            <w:proofErr w:type="gramEnd"/>
            <w:r>
              <w:rPr>
                <w:rFonts w:hAnsi="宋体" w:hint="eastAsia"/>
                <w:szCs w:val="21"/>
              </w:rPr>
              <w:t>土地</w:t>
            </w:r>
          </w:p>
        </w:tc>
        <w:tc>
          <w:tcPr>
            <w:tcW w:w="1418"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压占</w:t>
            </w:r>
          </w:p>
        </w:tc>
        <w:tc>
          <w:tcPr>
            <w:tcW w:w="1435"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轻度</w:t>
            </w:r>
          </w:p>
        </w:tc>
      </w:tr>
      <w:tr w:rsidR="009C5C1F">
        <w:trPr>
          <w:trHeight w:val="340"/>
          <w:jc w:val="center"/>
        </w:trPr>
        <w:tc>
          <w:tcPr>
            <w:tcW w:w="1048"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szCs w:val="21"/>
              </w:rPr>
              <w:t>3</w:t>
            </w:r>
          </w:p>
        </w:tc>
        <w:tc>
          <w:tcPr>
            <w:tcW w:w="1361"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堆料场</w:t>
            </w:r>
          </w:p>
        </w:tc>
        <w:tc>
          <w:tcPr>
            <w:tcW w:w="1701"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szCs w:val="21"/>
              </w:rPr>
              <w:t>0.936</w:t>
            </w:r>
          </w:p>
        </w:tc>
        <w:tc>
          <w:tcPr>
            <w:tcW w:w="1276" w:type="dxa"/>
            <w:vAlign w:val="center"/>
          </w:tcPr>
          <w:p w:rsidR="009C5C1F" w:rsidRDefault="004D2E0D">
            <w:pPr>
              <w:jc w:val="center"/>
            </w:pPr>
            <w:proofErr w:type="gramStart"/>
            <w:r>
              <w:rPr>
                <w:rFonts w:hAnsi="宋体" w:hint="eastAsia"/>
                <w:szCs w:val="21"/>
              </w:rPr>
              <w:t>裸</w:t>
            </w:r>
            <w:proofErr w:type="gramEnd"/>
            <w:r>
              <w:rPr>
                <w:rFonts w:hAnsi="宋体" w:hint="eastAsia"/>
                <w:szCs w:val="21"/>
              </w:rPr>
              <w:t>土地</w:t>
            </w:r>
          </w:p>
        </w:tc>
        <w:tc>
          <w:tcPr>
            <w:tcW w:w="1418"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压占</w:t>
            </w:r>
          </w:p>
        </w:tc>
        <w:tc>
          <w:tcPr>
            <w:tcW w:w="1435" w:type="dxa"/>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轻度</w:t>
            </w:r>
          </w:p>
        </w:tc>
      </w:tr>
      <w:tr w:rsidR="009C5C1F">
        <w:trPr>
          <w:trHeight w:val="340"/>
          <w:jc w:val="center"/>
        </w:trPr>
        <w:tc>
          <w:tcPr>
            <w:tcW w:w="2409" w:type="dxa"/>
            <w:gridSpan w:val="2"/>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合</w:t>
            </w:r>
            <w:r>
              <w:rPr>
                <w:rFonts w:hAnsi="宋体"/>
                <w:szCs w:val="21"/>
              </w:rPr>
              <w:t xml:space="preserve">  </w:t>
            </w:r>
            <w:r>
              <w:rPr>
                <w:rFonts w:hAnsi="宋体" w:hint="eastAsia"/>
                <w:szCs w:val="21"/>
              </w:rPr>
              <w:t>计</w:t>
            </w:r>
          </w:p>
        </w:tc>
        <w:tc>
          <w:tcPr>
            <w:tcW w:w="1701" w:type="dxa"/>
            <w:vAlign w:val="center"/>
          </w:tcPr>
          <w:p w:rsidR="009C5C1F" w:rsidRDefault="004D2E0D">
            <w:pPr>
              <w:suppressAutoHyphens/>
              <w:wordWrap w:val="0"/>
              <w:topLinePunct/>
              <w:adjustRightInd w:val="0"/>
              <w:snapToGrid w:val="0"/>
              <w:jc w:val="center"/>
              <w:textAlignment w:val="baseline"/>
              <w:rPr>
                <w:rFonts w:hAnsi="宋体"/>
                <w:szCs w:val="21"/>
              </w:rPr>
            </w:pPr>
            <w:bookmarkStart w:id="965" w:name="_Hlk151731959"/>
            <w:r>
              <w:rPr>
                <w:rFonts w:hAnsi="宋体"/>
                <w:szCs w:val="21"/>
              </w:rPr>
              <w:t>3.</w:t>
            </w:r>
            <w:bookmarkEnd w:id="965"/>
            <w:r>
              <w:rPr>
                <w:rFonts w:hAnsi="宋体"/>
                <w:szCs w:val="21"/>
              </w:rPr>
              <w:t>098</w:t>
            </w:r>
          </w:p>
        </w:tc>
        <w:tc>
          <w:tcPr>
            <w:tcW w:w="1276" w:type="dxa"/>
            <w:vAlign w:val="center"/>
          </w:tcPr>
          <w:p w:rsidR="009C5C1F" w:rsidRDefault="009C5C1F">
            <w:pPr>
              <w:suppressAutoHyphens/>
              <w:wordWrap w:val="0"/>
              <w:topLinePunct/>
              <w:adjustRightInd w:val="0"/>
              <w:snapToGrid w:val="0"/>
              <w:jc w:val="center"/>
              <w:textAlignment w:val="baseline"/>
              <w:rPr>
                <w:rFonts w:hAnsi="宋体"/>
                <w:szCs w:val="21"/>
              </w:rPr>
            </w:pPr>
          </w:p>
        </w:tc>
        <w:tc>
          <w:tcPr>
            <w:tcW w:w="1418" w:type="dxa"/>
            <w:vAlign w:val="center"/>
          </w:tcPr>
          <w:p w:rsidR="009C5C1F" w:rsidRDefault="009C5C1F">
            <w:pPr>
              <w:suppressAutoHyphens/>
              <w:wordWrap w:val="0"/>
              <w:topLinePunct/>
              <w:adjustRightInd w:val="0"/>
              <w:snapToGrid w:val="0"/>
              <w:jc w:val="center"/>
              <w:textAlignment w:val="baseline"/>
              <w:rPr>
                <w:rFonts w:hAnsi="宋体"/>
                <w:szCs w:val="21"/>
              </w:rPr>
            </w:pPr>
          </w:p>
        </w:tc>
        <w:tc>
          <w:tcPr>
            <w:tcW w:w="1435" w:type="dxa"/>
            <w:vAlign w:val="center"/>
          </w:tcPr>
          <w:p w:rsidR="009C5C1F" w:rsidRDefault="009C5C1F">
            <w:pPr>
              <w:suppressAutoHyphens/>
              <w:wordWrap w:val="0"/>
              <w:topLinePunct/>
              <w:adjustRightInd w:val="0"/>
              <w:snapToGrid w:val="0"/>
              <w:jc w:val="center"/>
              <w:textAlignment w:val="baseline"/>
              <w:rPr>
                <w:rFonts w:hAnsi="宋体"/>
                <w:szCs w:val="21"/>
              </w:rPr>
            </w:pPr>
          </w:p>
        </w:tc>
      </w:tr>
    </w:tbl>
    <w:p w:rsidR="009C5C1F" w:rsidRDefault="004D2E0D">
      <w:pPr>
        <w:spacing w:beforeLines="50" w:before="120" w:line="360" w:lineRule="auto"/>
        <w:ind w:firstLineChars="200" w:firstLine="480"/>
        <w:rPr>
          <w:rFonts w:hAnsi="宋体"/>
          <w:sz w:val="24"/>
        </w:rPr>
      </w:pPr>
      <w:r>
        <w:rPr>
          <w:rFonts w:hAnsi="宋体" w:hint="eastAsia"/>
          <w:sz w:val="24"/>
        </w:rPr>
        <w:t>该矿矿山道路在矿山开采结束后可作为该区域的公共便道，不进行恢复治理工程设计，因此没有工程布置和工程量。</w:t>
      </w:r>
    </w:p>
    <w:p w:rsidR="009C5C1F" w:rsidRDefault="004D2E0D">
      <w:pPr>
        <w:spacing w:beforeLines="50" w:before="120" w:line="360" w:lineRule="auto"/>
        <w:ind w:firstLineChars="200" w:firstLine="480"/>
        <w:rPr>
          <w:rFonts w:hAnsi="宋体"/>
          <w:sz w:val="24"/>
        </w:rPr>
      </w:pPr>
      <w:r>
        <w:rPr>
          <w:rFonts w:hAnsi="宋体" w:hint="eastAsia"/>
          <w:sz w:val="24"/>
        </w:rPr>
        <w:t>3</w:t>
      </w:r>
      <w:r>
        <w:rPr>
          <w:rFonts w:hAnsi="宋体" w:hint="eastAsia"/>
          <w:sz w:val="24"/>
        </w:rPr>
        <w:t>、土地损毁情况汇总</w:t>
      </w:r>
    </w:p>
    <w:p w:rsidR="009C5C1F" w:rsidRDefault="004D2E0D">
      <w:pPr>
        <w:spacing w:line="360" w:lineRule="auto"/>
        <w:ind w:firstLineChars="200" w:firstLine="480"/>
        <w:rPr>
          <w:rFonts w:hAnsi="宋体"/>
          <w:sz w:val="24"/>
        </w:rPr>
      </w:pPr>
      <w:r>
        <w:rPr>
          <w:rFonts w:hAnsi="宋体" w:hint="eastAsia"/>
          <w:sz w:val="24"/>
        </w:rPr>
        <w:t>本复垦方案服务年限内，项目区主要为预测损毁的土地，土地损毁面积为</w:t>
      </w:r>
      <w:r>
        <w:rPr>
          <w:rFonts w:hAnsi="宋体"/>
          <w:szCs w:val="21"/>
        </w:rPr>
        <w:t>3.098</w:t>
      </w:r>
      <w:r>
        <w:rPr>
          <w:rFonts w:hAnsi="宋体"/>
          <w:sz w:val="24"/>
        </w:rPr>
        <w:t>hm</w:t>
      </w:r>
      <w:r>
        <w:rPr>
          <w:rFonts w:hAnsi="宋体"/>
          <w:sz w:val="24"/>
          <w:vertAlign w:val="superscript"/>
        </w:rPr>
        <w:t>2</w:t>
      </w:r>
      <w:r>
        <w:rPr>
          <w:rFonts w:hAnsi="宋体" w:hint="eastAsia"/>
          <w:sz w:val="24"/>
        </w:rPr>
        <w:t>。详见上表</w:t>
      </w:r>
      <w:r>
        <w:rPr>
          <w:rFonts w:hAnsi="宋体" w:hint="eastAsia"/>
          <w:sz w:val="24"/>
        </w:rPr>
        <w:t>3-1</w:t>
      </w:r>
      <w:r>
        <w:rPr>
          <w:rFonts w:hAnsi="宋体"/>
          <w:sz w:val="24"/>
        </w:rPr>
        <w:t>1</w:t>
      </w:r>
      <w:r>
        <w:rPr>
          <w:rFonts w:hAnsi="宋体" w:hint="eastAsia"/>
          <w:sz w:val="24"/>
        </w:rPr>
        <w:t>。</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66" w:name="_Toc511226474"/>
      <w:bookmarkStart w:id="967" w:name="_Toc70589865"/>
      <w:bookmarkStart w:id="968" w:name="_Toc153130784"/>
      <w:r>
        <w:rPr>
          <w:rFonts w:eastAsia="黑体" w:hint="eastAsia"/>
          <w:b/>
          <w:bCs/>
          <w:sz w:val="28"/>
          <w:szCs w:val="30"/>
        </w:rPr>
        <w:t>四、</w:t>
      </w:r>
      <w:r>
        <w:rPr>
          <w:rFonts w:eastAsia="黑体"/>
          <w:b/>
          <w:bCs/>
          <w:sz w:val="28"/>
          <w:szCs w:val="30"/>
        </w:rPr>
        <w:t>矿山</w:t>
      </w:r>
      <w:r>
        <w:rPr>
          <w:rFonts w:eastAsia="黑体" w:hint="eastAsia"/>
          <w:b/>
          <w:bCs/>
          <w:sz w:val="28"/>
          <w:szCs w:val="30"/>
        </w:rPr>
        <w:t>地质环境治理分区与土地复垦范围</w:t>
      </w:r>
      <w:bookmarkEnd w:id="966"/>
      <w:bookmarkEnd w:id="967"/>
      <w:bookmarkEnd w:id="968"/>
    </w:p>
    <w:p w:rsidR="009C5C1F" w:rsidRDefault="004D2E0D">
      <w:pPr>
        <w:keepNext/>
        <w:keepLines/>
        <w:suppressAutoHyphens/>
        <w:wordWrap w:val="0"/>
        <w:topLinePunct/>
        <w:spacing w:line="360" w:lineRule="auto"/>
        <w:ind w:firstLineChars="200" w:firstLine="482"/>
        <w:outlineLvl w:val="2"/>
        <w:rPr>
          <w:b/>
          <w:bCs/>
          <w:sz w:val="24"/>
          <w:szCs w:val="32"/>
        </w:rPr>
      </w:pPr>
      <w:bookmarkStart w:id="969" w:name="_Toc70589866"/>
      <w:r>
        <w:rPr>
          <w:rFonts w:hint="eastAsia"/>
          <w:b/>
          <w:bCs/>
          <w:sz w:val="24"/>
          <w:szCs w:val="32"/>
        </w:rPr>
        <w:t>（一）</w:t>
      </w:r>
      <w:r>
        <w:rPr>
          <w:b/>
          <w:bCs/>
          <w:sz w:val="24"/>
          <w:szCs w:val="32"/>
        </w:rPr>
        <w:t>矿山</w:t>
      </w:r>
      <w:r>
        <w:rPr>
          <w:rFonts w:hint="eastAsia"/>
          <w:b/>
          <w:bCs/>
          <w:sz w:val="24"/>
          <w:szCs w:val="32"/>
        </w:rPr>
        <w:t>地质环境治理分区</w:t>
      </w:r>
      <w:bookmarkEnd w:id="969"/>
    </w:p>
    <w:p w:rsidR="009C5C1F" w:rsidRDefault="004D2E0D">
      <w:pPr>
        <w:suppressAutoHyphens/>
        <w:wordWrap w:val="0"/>
        <w:topLinePunct/>
        <w:spacing w:beforeLines="50" w:before="120" w:line="360" w:lineRule="auto"/>
        <w:ind w:firstLineChars="200" w:firstLine="482"/>
        <w:rPr>
          <w:b/>
          <w:sz w:val="24"/>
        </w:rPr>
      </w:pPr>
      <w:r>
        <w:rPr>
          <w:rFonts w:hint="eastAsia"/>
          <w:b/>
          <w:sz w:val="24"/>
        </w:rPr>
        <w:t>1</w:t>
      </w:r>
      <w:r>
        <w:rPr>
          <w:rFonts w:hint="eastAsia"/>
          <w:b/>
          <w:sz w:val="24"/>
        </w:rPr>
        <w:t>、</w:t>
      </w:r>
      <w:r>
        <w:rPr>
          <w:b/>
          <w:sz w:val="24"/>
        </w:rPr>
        <w:t>分区原则及方法</w:t>
      </w:r>
    </w:p>
    <w:p w:rsidR="009C5C1F" w:rsidRDefault="004D2E0D">
      <w:pPr>
        <w:suppressAutoHyphens/>
        <w:wordWrap w:val="0"/>
        <w:topLinePunct/>
        <w:spacing w:line="360" w:lineRule="auto"/>
        <w:ind w:firstLineChars="200" w:firstLine="480"/>
        <w:jc w:val="left"/>
        <w:rPr>
          <w:sz w:val="24"/>
        </w:rPr>
      </w:pPr>
      <w:r>
        <w:rPr>
          <w:rFonts w:hint="eastAsia"/>
          <w:sz w:val="24"/>
        </w:rPr>
        <w:t>（</w:t>
      </w:r>
      <w:r>
        <w:rPr>
          <w:rFonts w:hint="eastAsia"/>
          <w:sz w:val="24"/>
        </w:rPr>
        <w:t>1</w:t>
      </w:r>
      <w:r>
        <w:rPr>
          <w:rFonts w:hint="eastAsia"/>
          <w:sz w:val="24"/>
        </w:rPr>
        <w:t>）分区原则</w:t>
      </w:r>
    </w:p>
    <w:p w:rsidR="009C5C1F" w:rsidRDefault="004D2E0D">
      <w:pPr>
        <w:suppressAutoHyphens/>
        <w:wordWrap w:val="0"/>
        <w:topLinePunct/>
        <w:spacing w:line="360" w:lineRule="auto"/>
        <w:ind w:firstLineChars="200" w:firstLine="480"/>
        <w:jc w:val="left"/>
        <w:rPr>
          <w:sz w:val="24"/>
        </w:rPr>
      </w:pPr>
      <w:r>
        <w:rPr>
          <w:rFonts w:hint="eastAsia"/>
          <w:sz w:val="24"/>
        </w:rPr>
        <w:t>①“以人为本”原则，重点考虑矿山地质环境问题对人居环境的影响程度；</w:t>
      </w:r>
    </w:p>
    <w:p w:rsidR="009C5C1F" w:rsidRDefault="004D2E0D">
      <w:pPr>
        <w:suppressAutoHyphens/>
        <w:wordWrap w:val="0"/>
        <w:topLinePunct/>
        <w:spacing w:line="360" w:lineRule="auto"/>
        <w:ind w:firstLineChars="200" w:firstLine="480"/>
        <w:jc w:val="left"/>
        <w:rPr>
          <w:sz w:val="24"/>
        </w:rPr>
      </w:pPr>
      <w:r>
        <w:rPr>
          <w:rFonts w:hint="eastAsia"/>
          <w:sz w:val="24"/>
        </w:rPr>
        <w:t>②统筹规划，突出重点，具有可操作性原则；</w:t>
      </w:r>
    </w:p>
    <w:p w:rsidR="009C5C1F" w:rsidRDefault="004D2E0D">
      <w:pPr>
        <w:suppressAutoHyphens/>
        <w:wordWrap w:val="0"/>
        <w:topLinePunct/>
        <w:spacing w:line="360" w:lineRule="auto"/>
        <w:ind w:firstLineChars="200" w:firstLine="480"/>
        <w:jc w:val="left"/>
        <w:rPr>
          <w:sz w:val="24"/>
        </w:rPr>
      </w:pPr>
      <w:r>
        <w:rPr>
          <w:rFonts w:hint="eastAsia"/>
          <w:sz w:val="24"/>
        </w:rPr>
        <w:t>③矿产资源开发与地质环境保护并重的原则；</w:t>
      </w:r>
    </w:p>
    <w:p w:rsidR="009C5C1F" w:rsidRDefault="004D2E0D">
      <w:pPr>
        <w:suppressAutoHyphens/>
        <w:wordWrap w:val="0"/>
        <w:topLinePunct/>
        <w:spacing w:line="360" w:lineRule="auto"/>
        <w:ind w:firstLineChars="200" w:firstLine="480"/>
        <w:jc w:val="left"/>
        <w:rPr>
          <w:sz w:val="24"/>
        </w:rPr>
      </w:pPr>
      <w:r>
        <w:rPr>
          <w:rFonts w:hint="eastAsia"/>
          <w:sz w:val="24"/>
        </w:rPr>
        <w:t>④区内相似，区际相异原则；</w:t>
      </w:r>
    </w:p>
    <w:p w:rsidR="009C5C1F" w:rsidRDefault="004D2E0D">
      <w:pPr>
        <w:suppressAutoHyphens/>
        <w:wordWrap w:val="0"/>
        <w:topLinePunct/>
        <w:spacing w:line="360" w:lineRule="auto"/>
        <w:ind w:firstLineChars="200" w:firstLine="480"/>
        <w:jc w:val="left"/>
        <w:rPr>
          <w:sz w:val="24"/>
        </w:rPr>
      </w:pPr>
      <w:r>
        <w:rPr>
          <w:rFonts w:hint="eastAsia"/>
          <w:sz w:val="24"/>
        </w:rPr>
        <w:t>⑤紧密结合矿山开采规划原则。</w:t>
      </w:r>
    </w:p>
    <w:p w:rsidR="009C5C1F" w:rsidRDefault="004D2E0D">
      <w:pPr>
        <w:suppressAutoHyphens/>
        <w:wordWrap w:val="0"/>
        <w:topLinePunct/>
        <w:spacing w:line="360" w:lineRule="auto"/>
        <w:ind w:firstLineChars="200" w:firstLine="480"/>
        <w:jc w:val="left"/>
        <w:rPr>
          <w:sz w:val="24"/>
        </w:rPr>
      </w:pPr>
      <w:r>
        <w:rPr>
          <w:rFonts w:hint="eastAsia"/>
          <w:sz w:val="24"/>
        </w:rPr>
        <w:t>（</w:t>
      </w:r>
      <w:r>
        <w:rPr>
          <w:rFonts w:hint="eastAsia"/>
          <w:sz w:val="24"/>
        </w:rPr>
        <w:t>2</w:t>
      </w:r>
      <w:r>
        <w:rPr>
          <w:rFonts w:hint="eastAsia"/>
          <w:sz w:val="24"/>
        </w:rPr>
        <w:t>）分区方法：</w:t>
      </w:r>
      <w:r>
        <w:rPr>
          <w:sz w:val="24"/>
        </w:rPr>
        <w:t>矿山地质环境保护与恢复治理分区，主要依据矿产资源开发利用方案、矿山地质环境问题类型、分布特征及其影响程度，充分考虑</w:t>
      </w:r>
      <w:proofErr w:type="gramStart"/>
      <w:r>
        <w:rPr>
          <w:sz w:val="24"/>
        </w:rPr>
        <w:t>评估区</w:t>
      </w:r>
      <w:proofErr w:type="gramEnd"/>
      <w:r>
        <w:rPr>
          <w:sz w:val="24"/>
        </w:rPr>
        <w:t>地质环境条件的差异，根据</w:t>
      </w:r>
      <w:r>
        <w:rPr>
          <w:rFonts w:hint="eastAsia"/>
          <w:sz w:val="24"/>
        </w:rPr>
        <w:t>“</w:t>
      </w:r>
      <w:r>
        <w:rPr>
          <w:sz w:val="24"/>
        </w:rPr>
        <w:t>区内相似，区际相异</w:t>
      </w:r>
      <w:r>
        <w:rPr>
          <w:rFonts w:hint="eastAsia"/>
          <w:sz w:val="24"/>
        </w:rPr>
        <w:t>”</w:t>
      </w:r>
      <w:r>
        <w:rPr>
          <w:sz w:val="24"/>
        </w:rPr>
        <w:t>的原则，采用定性分析法、工程类比法、层次分析法，进行矿山地质环境保护与恢复治理分区。</w:t>
      </w:r>
      <w:r>
        <w:rPr>
          <w:rFonts w:hint="eastAsia"/>
          <w:sz w:val="24"/>
        </w:rPr>
        <w:t>分区方法具体见表</w:t>
      </w:r>
      <w:r>
        <w:rPr>
          <w:rFonts w:hint="eastAsia"/>
          <w:sz w:val="24"/>
        </w:rPr>
        <w:t>3-1</w:t>
      </w:r>
      <w:r>
        <w:rPr>
          <w:sz w:val="24"/>
        </w:rPr>
        <w:t>2</w:t>
      </w:r>
      <w:r>
        <w:rPr>
          <w:rFonts w:hint="eastAsia"/>
          <w:sz w:val="24"/>
        </w:rPr>
        <w:t>。</w:t>
      </w:r>
    </w:p>
    <w:p w:rsidR="009C5C1F" w:rsidRDefault="004D2E0D">
      <w:pPr>
        <w:suppressAutoHyphens/>
        <w:wordWrap w:val="0"/>
        <w:topLinePunct/>
        <w:spacing w:beforeLines="50" w:before="120" w:afterLines="50" w:after="120"/>
        <w:jc w:val="center"/>
        <w:rPr>
          <w:b/>
          <w:bCs/>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3</w:t>
      </w:r>
      <w:r>
        <w:rPr>
          <w:rFonts w:hint="eastAsia"/>
          <w:b/>
          <w:bCs/>
          <w:sz w:val="24"/>
        </w:rPr>
        <w:t>—</w:t>
      </w:r>
      <w:r>
        <w:rPr>
          <w:rFonts w:hint="eastAsia"/>
          <w:b/>
          <w:bCs/>
          <w:sz w:val="24"/>
        </w:rPr>
        <w:t>1</w:t>
      </w:r>
      <w:r>
        <w:rPr>
          <w:b/>
          <w:bCs/>
          <w:sz w:val="24"/>
        </w:rPr>
        <w:t xml:space="preserve">2      </w:t>
      </w:r>
      <w:r>
        <w:rPr>
          <w:b/>
          <w:bCs/>
          <w:sz w:val="24"/>
        </w:rPr>
        <w:t>矿山地质环境保护与治理恢复分区表</w:t>
      </w:r>
      <w:r>
        <w:rPr>
          <w:b/>
          <w:bCs/>
          <w:sz w:val="24"/>
        </w:rPr>
        <w:t xml:space="preserve">  </w:t>
      </w:r>
    </w:p>
    <w:tbl>
      <w:tblPr>
        <w:tblW w:w="8234" w:type="dxa"/>
        <w:jc w:val="center"/>
        <w:tblLook w:val="04A0" w:firstRow="1" w:lastRow="0" w:firstColumn="1" w:lastColumn="0" w:noHBand="0" w:noVBand="1"/>
      </w:tblPr>
      <w:tblGrid>
        <w:gridCol w:w="2069"/>
        <w:gridCol w:w="2055"/>
        <w:gridCol w:w="2055"/>
        <w:gridCol w:w="2055"/>
      </w:tblGrid>
      <w:tr w:rsidR="009C5C1F">
        <w:trPr>
          <w:trHeight w:val="355"/>
          <w:jc w:val="center"/>
        </w:trPr>
        <w:tc>
          <w:tcPr>
            <w:tcW w:w="2069" w:type="dxa"/>
            <w:vMerge w:val="restart"/>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现状评估</w:t>
            </w:r>
          </w:p>
        </w:tc>
        <w:tc>
          <w:tcPr>
            <w:tcW w:w="2055" w:type="dxa"/>
            <w:tcBorders>
              <w:top w:val="single" w:sz="6" w:space="0" w:color="000000"/>
              <w:left w:val="single" w:sz="6" w:space="0" w:color="000000"/>
              <w:bottom w:val="single" w:sz="6" w:space="0" w:color="000000"/>
            </w:tcBorders>
          </w:tcPr>
          <w:p w:rsidR="009C5C1F" w:rsidRDefault="009C5C1F">
            <w:pPr>
              <w:pStyle w:val="Default"/>
              <w:ind w:firstLine="210"/>
              <w:jc w:val="center"/>
              <w:rPr>
                <w:rFonts w:cs="Times New Roman"/>
                <w:color w:val="auto"/>
              </w:rPr>
            </w:pPr>
          </w:p>
        </w:tc>
        <w:tc>
          <w:tcPr>
            <w:tcW w:w="2055" w:type="dxa"/>
            <w:tcBorders>
              <w:top w:val="single" w:sz="6" w:space="0" w:color="000000"/>
              <w:bottom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预测评估</w:t>
            </w:r>
          </w:p>
        </w:tc>
        <w:tc>
          <w:tcPr>
            <w:tcW w:w="2055" w:type="dxa"/>
            <w:tcBorders>
              <w:top w:val="single" w:sz="6" w:space="0" w:color="000000"/>
              <w:bottom w:val="single" w:sz="6" w:space="0" w:color="000000"/>
              <w:right w:val="single" w:sz="6" w:space="0" w:color="000000"/>
            </w:tcBorders>
          </w:tcPr>
          <w:p w:rsidR="009C5C1F" w:rsidRDefault="009C5C1F">
            <w:pPr>
              <w:pStyle w:val="Default"/>
              <w:ind w:firstLine="210"/>
              <w:jc w:val="center"/>
              <w:rPr>
                <w:rFonts w:cs="Times New Roman"/>
                <w:color w:val="auto"/>
              </w:rPr>
            </w:pPr>
          </w:p>
        </w:tc>
      </w:tr>
      <w:tr w:rsidR="009C5C1F">
        <w:trPr>
          <w:trHeight w:val="337"/>
          <w:jc w:val="center"/>
        </w:trPr>
        <w:tc>
          <w:tcPr>
            <w:tcW w:w="2069" w:type="dxa"/>
            <w:vMerge/>
            <w:tcBorders>
              <w:top w:val="single" w:sz="6" w:space="0" w:color="000000"/>
              <w:left w:val="single" w:sz="6" w:space="0" w:color="000000"/>
              <w:bottom w:val="single" w:sz="6" w:space="0" w:color="000000"/>
              <w:right w:val="single" w:sz="6" w:space="0" w:color="000000"/>
            </w:tcBorders>
            <w:vAlign w:val="center"/>
          </w:tcPr>
          <w:p w:rsidR="009C5C1F" w:rsidRDefault="009C5C1F">
            <w:pPr>
              <w:pStyle w:val="Default"/>
              <w:ind w:firstLine="210"/>
              <w:jc w:val="center"/>
              <w:rPr>
                <w:rFonts w:cs="Times New Roman"/>
                <w:color w:val="auto"/>
              </w:rPr>
            </w:pP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严重</w:t>
            </w: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较严重</w:t>
            </w: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较轻</w:t>
            </w:r>
          </w:p>
        </w:tc>
      </w:tr>
      <w:tr w:rsidR="009C5C1F">
        <w:trPr>
          <w:trHeight w:val="335"/>
          <w:jc w:val="center"/>
        </w:trPr>
        <w:tc>
          <w:tcPr>
            <w:tcW w:w="2069"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严重</w:t>
            </w: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重点区</w:t>
            </w:r>
          </w:p>
        </w:tc>
      </w:tr>
      <w:tr w:rsidR="009C5C1F">
        <w:trPr>
          <w:trHeight w:val="337"/>
          <w:jc w:val="center"/>
        </w:trPr>
        <w:tc>
          <w:tcPr>
            <w:tcW w:w="2069"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较严重</w:t>
            </w: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次重点区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次重点区</w:t>
            </w:r>
          </w:p>
        </w:tc>
      </w:tr>
      <w:tr w:rsidR="009C5C1F">
        <w:trPr>
          <w:trHeight w:val="337"/>
          <w:jc w:val="center"/>
        </w:trPr>
        <w:tc>
          <w:tcPr>
            <w:tcW w:w="2069"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较轻</w:t>
            </w: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次重点区</w:t>
            </w:r>
          </w:p>
        </w:tc>
        <w:tc>
          <w:tcPr>
            <w:tcW w:w="2055" w:type="dxa"/>
            <w:tcBorders>
              <w:top w:val="single" w:sz="6" w:space="0" w:color="000000"/>
              <w:left w:val="single" w:sz="6" w:space="0" w:color="000000"/>
              <w:bottom w:val="single" w:sz="6" w:space="0" w:color="000000"/>
              <w:right w:val="single" w:sz="6" w:space="0" w:color="000000"/>
            </w:tcBorders>
            <w:vAlign w:val="center"/>
          </w:tcPr>
          <w:p w:rsidR="009C5C1F" w:rsidRDefault="004D2E0D">
            <w:pPr>
              <w:pStyle w:val="Default"/>
              <w:ind w:firstLine="180"/>
              <w:jc w:val="center"/>
              <w:rPr>
                <w:rFonts w:ascii="宋体" w:eastAsia="宋体" w:cs="宋体"/>
                <w:sz w:val="18"/>
                <w:szCs w:val="18"/>
              </w:rPr>
            </w:pPr>
            <w:r>
              <w:rPr>
                <w:rFonts w:ascii="宋体" w:eastAsia="宋体" w:cs="宋体" w:hint="eastAsia"/>
                <w:sz w:val="18"/>
                <w:szCs w:val="18"/>
              </w:rPr>
              <w:t>一般区</w:t>
            </w:r>
          </w:p>
        </w:tc>
      </w:tr>
    </w:tbl>
    <w:p w:rsidR="009C5C1F" w:rsidRDefault="004D2E0D">
      <w:pPr>
        <w:suppressAutoHyphens/>
        <w:wordWrap w:val="0"/>
        <w:topLinePunct/>
        <w:spacing w:beforeLines="50" w:before="120" w:line="360" w:lineRule="auto"/>
        <w:ind w:firstLineChars="200" w:firstLine="482"/>
        <w:rPr>
          <w:b/>
          <w:sz w:val="24"/>
        </w:rPr>
      </w:pPr>
      <w:r>
        <w:rPr>
          <w:rFonts w:hint="eastAsia"/>
          <w:b/>
          <w:sz w:val="24"/>
        </w:rPr>
        <w:lastRenderedPageBreak/>
        <w:t>2</w:t>
      </w:r>
      <w:r>
        <w:rPr>
          <w:rFonts w:hint="eastAsia"/>
          <w:b/>
          <w:sz w:val="24"/>
        </w:rPr>
        <w:t>、</w:t>
      </w:r>
      <w:r>
        <w:rPr>
          <w:b/>
          <w:sz w:val="24"/>
        </w:rPr>
        <w:t>分区评述</w:t>
      </w:r>
    </w:p>
    <w:p w:rsidR="009C5C1F" w:rsidRDefault="004D2E0D">
      <w:pPr>
        <w:suppressAutoHyphens/>
        <w:topLinePunct/>
        <w:spacing w:beforeLines="50" w:before="120" w:line="360" w:lineRule="auto"/>
        <w:ind w:firstLineChars="200" w:firstLine="480"/>
        <w:rPr>
          <w:rFonts w:ascii="宋体" w:hAnsi="宋体"/>
          <w:bCs/>
          <w:sz w:val="24"/>
        </w:rPr>
      </w:pPr>
      <w:r>
        <w:rPr>
          <w:rFonts w:ascii="宋体" w:hAnsi="宋体"/>
          <w:bCs/>
          <w:sz w:val="24"/>
        </w:rPr>
        <w:t>根据</w:t>
      </w:r>
      <w:r>
        <w:rPr>
          <w:rFonts w:ascii="宋体" w:hAnsi="宋体" w:hint="eastAsia"/>
          <w:bCs/>
          <w:sz w:val="24"/>
        </w:rPr>
        <w:t>现状分析和预测评估结果，</w:t>
      </w:r>
      <w:r>
        <w:rPr>
          <w:rFonts w:ascii="宋体" w:hAnsi="宋体"/>
          <w:bCs/>
          <w:sz w:val="24"/>
        </w:rPr>
        <w:t>将矿区划分为矿山地质环境重点防治区（</w:t>
      </w:r>
      <w:bookmarkStart w:id="970" w:name="_Hlk151667609"/>
      <w:r>
        <w:rPr>
          <w:rFonts w:ascii="宋体" w:hAnsi="宋体" w:cs="宋体" w:hint="eastAsia"/>
          <w:bCs/>
          <w:sz w:val="24"/>
        </w:rPr>
        <w:t>Ⅰ</w:t>
      </w:r>
      <w:bookmarkEnd w:id="970"/>
      <w:r>
        <w:rPr>
          <w:rFonts w:ascii="宋体" w:hAnsi="宋体"/>
          <w:bCs/>
          <w:sz w:val="24"/>
        </w:rPr>
        <w:t>）和一般防治区（</w:t>
      </w:r>
      <w:r>
        <w:rPr>
          <w:rFonts w:ascii="宋体" w:hAnsi="宋体" w:cs="宋体" w:hint="eastAsia"/>
          <w:bCs/>
          <w:sz w:val="24"/>
        </w:rPr>
        <w:t>Ⅲ</w:t>
      </w:r>
      <w:r>
        <w:rPr>
          <w:rFonts w:ascii="宋体" w:hAnsi="宋体"/>
          <w:bCs/>
          <w:sz w:val="24"/>
        </w:rPr>
        <w:t>）2个区。</w:t>
      </w:r>
    </w:p>
    <w:p w:rsidR="009C5C1F" w:rsidRDefault="004D2E0D">
      <w:pPr>
        <w:suppressAutoHyphens/>
        <w:topLinePunct/>
        <w:spacing w:line="360" w:lineRule="auto"/>
        <w:ind w:left="480"/>
        <w:rPr>
          <w:sz w:val="24"/>
        </w:rPr>
      </w:pPr>
      <w:r>
        <w:rPr>
          <w:rFonts w:hAnsi="宋体"/>
          <w:sz w:val="24"/>
        </w:rPr>
        <w:t>（</w:t>
      </w:r>
      <w:r>
        <w:rPr>
          <w:sz w:val="24"/>
        </w:rPr>
        <w:t>1</w:t>
      </w:r>
      <w:r>
        <w:rPr>
          <w:rFonts w:hAnsi="宋体"/>
          <w:sz w:val="24"/>
        </w:rPr>
        <w:t>）重点防治区（</w:t>
      </w:r>
      <w:r>
        <w:rPr>
          <w:rFonts w:ascii="宋体" w:hAnsi="宋体" w:cs="宋体" w:hint="eastAsia"/>
          <w:bCs/>
          <w:sz w:val="24"/>
        </w:rPr>
        <w:t>Ⅰ</w:t>
      </w:r>
      <w:r>
        <w:rPr>
          <w:rFonts w:hAnsi="宋体"/>
          <w:sz w:val="24"/>
        </w:rPr>
        <w:t>）</w:t>
      </w:r>
    </w:p>
    <w:p w:rsidR="009C5C1F" w:rsidRDefault="004D2E0D">
      <w:pPr>
        <w:suppressAutoHyphens/>
        <w:topLinePunct/>
        <w:spacing w:line="360" w:lineRule="auto"/>
        <w:ind w:firstLineChars="200" w:firstLine="480"/>
        <w:rPr>
          <w:rFonts w:hAnsi="宋体"/>
          <w:sz w:val="24"/>
        </w:rPr>
      </w:pPr>
      <w:r>
        <w:rPr>
          <w:rFonts w:hAnsi="宋体"/>
          <w:sz w:val="24"/>
        </w:rPr>
        <w:t>矿山地质环境重点防治区主要针对于</w:t>
      </w:r>
      <w:proofErr w:type="gramStart"/>
      <w:r>
        <w:rPr>
          <w:rFonts w:hAnsi="宋体"/>
          <w:sz w:val="24"/>
        </w:rPr>
        <w:t>评估区</w:t>
      </w:r>
      <w:proofErr w:type="gramEnd"/>
      <w:r>
        <w:rPr>
          <w:rFonts w:hAnsi="宋体" w:hint="eastAsia"/>
          <w:sz w:val="24"/>
        </w:rPr>
        <w:t>未来</w:t>
      </w:r>
      <w:r>
        <w:rPr>
          <w:rFonts w:hAnsi="宋体"/>
          <w:sz w:val="24"/>
        </w:rPr>
        <w:t>开采形成的露天采场、</w:t>
      </w:r>
      <w:r>
        <w:rPr>
          <w:rFonts w:hAnsi="宋体" w:hint="eastAsia"/>
          <w:sz w:val="24"/>
        </w:rPr>
        <w:t>堆料场。</w:t>
      </w:r>
      <w:r>
        <w:rPr>
          <w:rFonts w:hAnsi="宋体"/>
          <w:sz w:val="24"/>
        </w:rPr>
        <w:t>占地面积</w:t>
      </w:r>
      <w:r>
        <w:rPr>
          <w:rFonts w:hAnsi="宋体" w:hint="eastAsia"/>
          <w:sz w:val="24"/>
        </w:rPr>
        <w:t>2</w:t>
      </w:r>
      <w:r>
        <w:rPr>
          <w:rFonts w:hAnsi="宋体"/>
          <w:sz w:val="24"/>
        </w:rPr>
        <w:t>.69</w:t>
      </w:r>
      <w:r>
        <w:rPr>
          <w:sz w:val="24"/>
        </w:rPr>
        <w:t>hm</w:t>
      </w:r>
      <w:r>
        <w:rPr>
          <w:sz w:val="24"/>
          <w:vertAlign w:val="superscript"/>
        </w:rPr>
        <w:t>2</w:t>
      </w:r>
      <w:r>
        <w:rPr>
          <w:rFonts w:hAnsi="宋体"/>
          <w:sz w:val="24"/>
        </w:rPr>
        <w:t>，占</w:t>
      </w:r>
      <w:proofErr w:type="gramStart"/>
      <w:r>
        <w:rPr>
          <w:rFonts w:hAnsi="宋体"/>
          <w:sz w:val="24"/>
        </w:rPr>
        <w:t>评估区</w:t>
      </w:r>
      <w:proofErr w:type="gramEnd"/>
      <w:r>
        <w:rPr>
          <w:rFonts w:hAnsi="宋体"/>
          <w:sz w:val="24"/>
        </w:rPr>
        <w:t>总面积的</w:t>
      </w:r>
      <w:r>
        <w:rPr>
          <w:rFonts w:hAnsi="宋体"/>
          <w:sz w:val="24"/>
        </w:rPr>
        <w:t>86.83</w:t>
      </w:r>
      <w:r>
        <w:rPr>
          <w:sz w:val="24"/>
        </w:rPr>
        <w:t>%</w:t>
      </w:r>
      <w:r>
        <w:rPr>
          <w:rFonts w:hAnsi="宋体"/>
          <w:sz w:val="24"/>
        </w:rPr>
        <w:t>。</w:t>
      </w:r>
    </w:p>
    <w:p w:rsidR="009C5C1F" w:rsidRDefault="004D2E0D">
      <w:pPr>
        <w:suppressAutoHyphens/>
        <w:topLinePunct/>
        <w:spacing w:line="360" w:lineRule="auto"/>
        <w:ind w:firstLineChars="200" w:firstLine="480"/>
        <w:rPr>
          <w:rFonts w:hAnsi="宋体"/>
          <w:sz w:val="24"/>
        </w:rPr>
      </w:pPr>
      <w:r>
        <w:rPr>
          <w:rFonts w:hAnsi="宋体"/>
          <w:sz w:val="24"/>
        </w:rPr>
        <w:t>现状条件下：矿山未进行生产建设</w:t>
      </w:r>
      <w:r>
        <w:rPr>
          <w:rFonts w:hAnsi="宋体" w:hint="eastAsia"/>
          <w:sz w:val="24"/>
        </w:rPr>
        <w:t>，</w:t>
      </w:r>
      <w:r>
        <w:rPr>
          <w:rFonts w:hAnsi="宋体"/>
          <w:sz w:val="24"/>
        </w:rPr>
        <w:t>对含水层</w:t>
      </w:r>
      <w:r>
        <w:rPr>
          <w:rFonts w:hAnsi="宋体" w:hint="eastAsia"/>
          <w:sz w:val="24"/>
        </w:rPr>
        <w:t>、</w:t>
      </w:r>
      <w:r>
        <w:rPr>
          <w:rFonts w:hAnsi="宋体"/>
          <w:sz w:val="24"/>
        </w:rPr>
        <w:t>矿区地形地貌景观</w:t>
      </w:r>
      <w:r>
        <w:rPr>
          <w:rFonts w:hAnsi="宋体" w:hint="eastAsia"/>
          <w:sz w:val="24"/>
        </w:rPr>
        <w:t>、</w:t>
      </w:r>
      <w:r>
        <w:rPr>
          <w:rFonts w:hAnsi="宋体"/>
          <w:sz w:val="24"/>
        </w:rPr>
        <w:t>水土环境</w:t>
      </w:r>
      <w:r>
        <w:rPr>
          <w:rFonts w:hAnsi="宋体" w:hint="eastAsia"/>
          <w:sz w:val="24"/>
        </w:rPr>
        <w:t>均无影响</w:t>
      </w:r>
      <w:r>
        <w:rPr>
          <w:rFonts w:hAnsi="宋体"/>
          <w:sz w:val="24"/>
        </w:rPr>
        <w:t>。</w:t>
      </w:r>
    </w:p>
    <w:p w:rsidR="009C5C1F" w:rsidRDefault="004D2E0D">
      <w:pPr>
        <w:suppressAutoHyphens/>
        <w:topLinePunct/>
        <w:spacing w:line="360" w:lineRule="auto"/>
        <w:ind w:firstLineChars="200" w:firstLine="480"/>
        <w:rPr>
          <w:rFonts w:hAnsi="宋体"/>
          <w:sz w:val="24"/>
        </w:rPr>
      </w:pPr>
      <w:r>
        <w:rPr>
          <w:rFonts w:hAnsi="宋体"/>
          <w:sz w:val="24"/>
        </w:rPr>
        <w:t>预测评估：未来矿山开采引发崩塌、滑坡灾害对矿山地质环境影响程度较轻；矿山开采引发、加剧洪水冲蚀、泥石流地质灾害对矿山地质环境影响程度较轻；矿业活动对含水层影响程度破坏程度较轻；矿业活动</w:t>
      </w:r>
      <w:r>
        <w:rPr>
          <w:rFonts w:hAnsi="宋体"/>
          <w:bCs/>
          <w:sz w:val="24"/>
        </w:rPr>
        <w:t>对原地形地貌景观破坏程度严重；</w:t>
      </w:r>
      <w:r>
        <w:rPr>
          <w:rFonts w:hAnsi="宋体"/>
          <w:sz w:val="24"/>
        </w:rPr>
        <w:t>矿业活动对</w:t>
      </w:r>
      <w:r>
        <w:rPr>
          <w:rFonts w:hAnsi="宋体" w:hint="eastAsia"/>
          <w:sz w:val="24"/>
        </w:rPr>
        <w:t>水土环境</w:t>
      </w:r>
      <w:r>
        <w:rPr>
          <w:rFonts w:hAnsi="宋体"/>
          <w:sz w:val="24"/>
        </w:rPr>
        <w:t>污染破坏影响程度较轻。因此确定该区为矿山地质环境保护与恢复治理重点防治区，对该区进行重点防治。</w:t>
      </w:r>
    </w:p>
    <w:p w:rsidR="009C5C1F" w:rsidRDefault="004D2E0D">
      <w:pPr>
        <w:suppressAutoHyphens/>
        <w:topLinePunct/>
        <w:spacing w:line="360" w:lineRule="auto"/>
        <w:ind w:firstLineChars="200" w:firstLine="480"/>
        <w:rPr>
          <w:rFonts w:hAnsi="宋体"/>
          <w:sz w:val="24"/>
        </w:rPr>
      </w:pPr>
      <w:r>
        <w:rPr>
          <w:rFonts w:hAnsi="宋体"/>
          <w:sz w:val="24"/>
        </w:rPr>
        <w:t>综合评估露天采场</w:t>
      </w:r>
      <w:r>
        <w:rPr>
          <w:rFonts w:hAnsi="宋体" w:hint="eastAsia"/>
          <w:sz w:val="24"/>
        </w:rPr>
        <w:t>、堆料</w:t>
      </w:r>
      <w:r>
        <w:rPr>
          <w:rFonts w:hAnsi="宋体"/>
          <w:sz w:val="24"/>
        </w:rPr>
        <w:t>场对该区地质环境影响程度严重。</w:t>
      </w:r>
    </w:p>
    <w:p w:rsidR="009C5C1F" w:rsidRDefault="004D2E0D">
      <w:pPr>
        <w:suppressAutoHyphens/>
        <w:topLinePunct/>
        <w:spacing w:line="360" w:lineRule="auto"/>
        <w:ind w:firstLineChars="200" w:firstLine="480"/>
        <w:rPr>
          <w:rFonts w:hAnsi="宋体"/>
          <w:sz w:val="24"/>
        </w:rPr>
      </w:pPr>
      <w:r>
        <w:rPr>
          <w:rFonts w:hAnsi="宋体"/>
          <w:sz w:val="24"/>
        </w:rPr>
        <w:t>防治措施建议：</w:t>
      </w:r>
    </w:p>
    <w:p w:rsidR="009C5C1F" w:rsidRDefault="004D2E0D">
      <w:pPr>
        <w:suppressAutoHyphens/>
        <w:topLinePunct/>
        <w:spacing w:line="360" w:lineRule="auto"/>
        <w:ind w:firstLineChars="200" w:firstLine="480"/>
        <w:rPr>
          <w:rFonts w:hAnsi="宋体"/>
          <w:sz w:val="24"/>
        </w:rPr>
      </w:pPr>
      <w:r>
        <w:rPr>
          <w:rFonts w:hAnsi="宋体"/>
          <w:sz w:val="24"/>
        </w:rPr>
        <w:t>建立地质环境监测机制，防止过界开挖，保护生态环境。开采过程中严格按设计控制采场边坡，对采场边坡和</w:t>
      </w:r>
      <w:r>
        <w:rPr>
          <w:rFonts w:hAnsi="宋体" w:hint="eastAsia"/>
          <w:sz w:val="24"/>
        </w:rPr>
        <w:t>堆料</w:t>
      </w:r>
      <w:r>
        <w:rPr>
          <w:rFonts w:hAnsi="宋体"/>
          <w:sz w:val="24"/>
        </w:rPr>
        <w:t>场采取监测预警、设立警示牌等预防措施，防止引发崩塌、滑坡地质灾害对采矿人员和采矿机械造成危害。闭坑后及时回填采坑，设置永久性警示牌，防止意外事故发生。</w:t>
      </w:r>
    </w:p>
    <w:p w:rsidR="009C5C1F" w:rsidRDefault="004D2E0D">
      <w:pPr>
        <w:suppressAutoHyphens/>
        <w:topLinePunct/>
        <w:spacing w:line="360" w:lineRule="auto"/>
        <w:ind w:firstLineChars="200" w:firstLine="480"/>
        <w:rPr>
          <w:sz w:val="24"/>
        </w:rPr>
      </w:pPr>
      <w:r>
        <w:rPr>
          <w:rFonts w:hAnsi="宋体"/>
          <w:sz w:val="24"/>
        </w:rPr>
        <w:t>（</w:t>
      </w:r>
      <w:r>
        <w:rPr>
          <w:sz w:val="24"/>
        </w:rPr>
        <w:t>2</w:t>
      </w:r>
      <w:r>
        <w:rPr>
          <w:rFonts w:hAnsi="宋体"/>
          <w:sz w:val="24"/>
        </w:rPr>
        <w:t>）一般防治区</w:t>
      </w:r>
      <w:r>
        <w:rPr>
          <w:sz w:val="24"/>
        </w:rPr>
        <w:t>(</w:t>
      </w:r>
      <w:r>
        <w:rPr>
          <w:rFonts w:hAnsi="宋体"/>
          <w:bCs/>
          <w:sz w:val="24"/>
        </w:rPr>
        <w:t>Ⅲ</w:t>
      </w:r>
      <w:r>
        <w:rPr>
          <w:sz w:val="24"/>
        </w:rPr>
        <w:t>)</w:t>
      </w:r>
    </w:p>
    <w:p w:rsidR="009C5C1F" w:rsidRDefault="004D2E0D">
      <w:pPr>
        <w:spacing w:line="360" w:lineRule="auto"/>
        <w:ind w:firstLineChars="200" w:firstLine="480"/>
        <w:rPr>
          <w:rFonts w:hAnsi="宋体"/>
          <w:kern w:val="0"/>
          <w:sz w:val="24"/>
        </w:rPr>
      </w:pPr>
      <w:r>
        <w:rPr>
          <w:rFonts w:hAnsi="宋体"/>
          <w:kern w:val="0"/>
          <w:sz w:val="24"/>
        </w:rPr>
        <w:t>分布于重点防治区以外的区域，面积</w:t>
      </w:r>
      <w:r>
        <w:rPr>
          <w:kern w:val="0"/>
          <w:sz w:val="24"/>
        </w:rPr>
        <w:t>0.4125hm</w:t>
      </w:r>
      <w:r>
        <w:rPr>
          <w:kern w:val="0"/>
          <w:sz w:val="24"/>
          <w:vertAlign w:val="superscript"/>
        </w:rPr>
        <w:t>2</w:t>
      </w:r>
      <w:r>
        <w:rPr>
          <w:rFonts w:hAnsi="宋体"/>
          <w:kern w:val="0"/>
          <w:sz w:val="24"/>
        </w:rPr>
        <w:t>，占</w:t>
      </w:r>
      <w:proofErr w:type="gramStart"/>
      <w:r>
        <w:rPr>
          <w:rFonts w:hAnsi="宋体"/>
          <w:kern w:val="0"/>
          <w:sz w:val="24"/>
        </w:rPr>
        <w:t>评估区</w:t>
      </w:r>
      <w:proofErr w:type="gramEnd"/>
      <w:r>
        <w:rPr>
          <w:rFonts w:hAnsi="宋体"/>
          <w:kern w:val="0"/>
          <w:sz w:val="24"/>
        </w:rPr>
        <w:t>总面积的</w:t>
      </w:r>
      <w:r>
        <w:rPr>
          <w:kern w:val="0"/>
          <w:sz w:val="24"/>
        </w:rPr>
        <w:t>13.17%</w:t>
      </w:r>
      <w:r>
        <w:rPr>
          <w:rFonts w:hAnsi="宋体"/>
          <w:kern w:val="0"/>
          <w:sz w:val="24"/>
        </w:rPr>
        <w:t>。</w:t>
      </w:r>
    </w:p>
    <w:p w:rsidR="009C5C1F" w:rsidRDefault="004D2E0D">
      <w:pPr>
        <w:spacing w:line="360" w:lineRule="auto"/>
        <w:ind w:firstLineChars="200" w:firstLine="480"/>
        <w:rPr>
          <w:rFonts w:hAnsi="宋体"/>
          <w:kern w:val="0"/>
          <w:sz w:val="24"/>
        </w:rPr>
      </w:pPr>
      <w:r>
        <w:rPr>
          <w:rFonts w:hAnsi="宋体"/>
          <w:kern w:val="0"/>
          <w:sz w:val="24"/>
        </w:rPr>
        <w:t>现状评估矿山地质灾害弱发育，危险性小；矿山未进行生产建设</w:t>
      </w:r>
      <w:r>
        <w:rPr>
          <w:rFonts w:hAnsi="宋体" w:hint="eastAsia"/>
          <w:kern w:val="0"/>
          <w:sz w:val="24"/>
        </w:rPr>
        <w:t>，</w:t>
      </w:r>
      <w:r>
        <w:rPr>
          <w:rFonts w:hAnsi="宋体"/>
          <w:kern w:val="0"/>
          <w:sz w:val="24"/>
        </w:rPr>
        <w:t>对含水层</w:t>
      </w:r>
      <w:r>
        <w:rPr>
          <w:rFonts w:hAnsi="宋体" w:hint="eastAsia"/>
          <w:kern w:val="0"/>
          <w:sz w:val="24"/>
        </w:rPr>
        <w:t>、</w:t>
      </w:r>
      <w:r>
        <w:rPr>
          <w:rFonts w:hAnsi="宋体"/>
          <w:kern w:val="0"/>
          <w:sz w:val="24"/>
        </w:rPr>
        <w:t>地形地貌景观</w:t>
      </w:r>
      <w:r>
        <w:rPr>
          <w:rFonts w:hAnsi="宋体" w:hint="eastAsia"/>
          <w:kern w:val="0"/>
          <w:sz w:val="24"/>
        </w:rPr>
        <w:t>、</w:t>
      </w:r>
      <w:r>
        <w:rPr>
          <w:rFonts w:hAnsi="宋体"/>
          <w:kern w:val="0"/>
          <w:sz w:val="24"/>
        </w:rPr>
        <w:t>水土环境无影响</w:t>
      </w:r>
      <w:r>
        <w:rPr>
          <w:rFonts w:hAnsi="宋体" w:hint="eastAsia"/>
          <w:kern w:val="0"/>
          <w:sz w:val="24"/>
        </w:rPr>
        <w:t>。</w:t>
      </w:r>
    </w:p>
    <w:p w:rsidR="009C5C1F" w:rsidRDefault="004D2E0D">
      <w:pPr>
        <w:spacing w:line="360" w:lineRule="auto"/>
        <w:ind w:firstLineChars="200" w:firstLine="480"/>
        <w:rPr>
          <w:rFonts w:hAnsi="宋体"/>
          <w:kern w:val="0"/>
          <w:sz w:val="24"/>
        </w:rPr>
      </w:pPr>
      <w:r>
        <w:rPr>
          <w:rFonts w:hAnsi="宋体"/>
          <w:kern w:val="0"/>
          <w:sz w:val="24"/>
        </w:rPr>
        <w:t>预测采矿活动引发的地质灾害可能性小，危险性小；采矿活动对地下含水层的影响或破坏程度较轻；对地形地貌破坏及土地资源的影响和破坏程度较轻。</w:t>
      </w:r>
    </w:p>
    <w:p w:rsidR="009C5C1F" w:rsidRDefault="004D2E0D">
      <w:pPr>
        <w:spacing w:line="360" w:lineRule="auto"/>
        <w:ind w:firstLineChars="200" w:firstLine="480"/>
        <w:rPr>
          <w:rFonts w:hAnsi="宋体"/>
          <w:kern w:val="0"/>
          <w:sz w:val="24"/>
        </w:rPr>
      </w:pPr>
      <w:r>
        <w:rPr>
          <w:rFonts w:hAnsi="宋体"/>
          <w:kern w:val="0"/>
          <w:sz w:val="24"/>
        </w:rPr>
        <w:t>综合评估该区对地质环境影响程度</w:t>
      </w:r>
      <w:r>
        <w:rPr>
          <w:rFonts w:hAnsi="宋体" w:hint="eastAsia"/>
          <w:kern w:val="0"/>
          <w:sz w:val="24"/>
        </w:rPr>
        <w:t>较轻</w:t>
      </w:r>
      <w:r>
        <w:rPr>
          <w:rFonts w:hAnsi="宋体"/>
          <w:kern w:val="0"/>
          <w:sz w:val="24"/>
        </w:rPr>
        <w:t>。</w:t>
      </w:r>
    </w:p>
    <w:p w:rsidR="009C5C1F" w:rsidRDefault="004D2E0D">
      <w:pPr>
        <w:spacing w:line="360" w:lineRule="auto"/>
        <w:ind w:firstLineChars="200" w:firstLine="480"/>
        <w:rPr>
          <w:rFonts w:hAnsi="宋体"/>
          <w:kern w:val="0"/>
          <w:sz w:val="24"/>
        </w:rPr>
      </w:pPr>
      <w:r>
        <w:rPr>
          <w:rFonts w:hAnsi="宋体"/>
          <w:kern w:val="0"/>
          <w:sz w:val="24"/>
        </w:rPr>
        <w:t>防治措施建议：</w:t>
      </w:r>
    </w:p>
    <w:p w:rsidR="009C5C1F" w:rsidRDefault="004D2E0D">
      <w:pPr>
        <w:spacing w:line="360" w:lineRule="auto"/>
        <w:ind w:firstLineChars="200" w:firstLine="480"/>
        <w:rPr>
          <w:rFonts w:hAnsi="宋体"/>
          <w:kern w:val="0"/>
          <w:sz w:val="24"/>
        </w:rPr>
      </w:pPr>
      <w:r>
        <w:rPr>
          <w:rFonts w:hAnsi="宋体"/>
          <w:kern w:val="0"/>
          <w:sz w:val="24"/>
        </w:rPr>
        <w:t>闭坑后及时开展生活办公区</w:t>
      </w:r>
      <w:r>
        <w:rPr>
          <w:rFonts w:hAnsi="宋体" w:hint="eastAsia"/>
          <w:kern w:val="0"/>
          <w:sz w:val="24"/>
        </w:rPr>
        <w:t>、</w:t>
      </w:r>
      <w:r>
        <w:rPr>
          <w:rFonts w:hAnsi="宋体"/>
          <w:kern w:val="0"/>
          <w:sz w:val="24"/>
        </w:rPr>
        <w:t>矿山道路的清理和养护工作，为后期进行土地复垦管护服务。加强环境保护，落实运输车辆降尘处理措施，落实绿化管护措施，不断改善周边生态环境，打造绿色矿山示范点。</w:t>
      </w:r>
    </w:p>
    <w:p w:rsidR="009C5C1F" w:rsidRDefault="004D2E0D">
      <w:pPr>
        <w:keepNext/>
        <w:keepLines/>
        <w:suppressAutoHyphens/>
        <w:wordWrap w:val="0"/>
        <w:topLinePunct/>
        <w:spacing w:line="360" w:lineRule="auto"/>
        <w:ind w:firstLineChars="200" w:firstLine="482"/>
        <w:outlineLvl w:val="2"/>
        <w:rPr>
          <w:b/>
          <w:sz w:val="24"/>
          <w:szCs w:val="28"/>
        </w:rPr>
      </w:pPr>
      <w:bookmarkStart w:id="971" w:name="_Toc70589867"/>
      <w:r>
        <w:rPr>
          <w:rFonts w:hint="eastAsia"/>
          <w:b/>
          <w:sz w:val="24"/>
          <w:szCs w:val="28"/>
        </w:rPr>
        <w:lastRenderedPageBreak/>
        <w:t>（二）土地复垦区与复垦责任范围</w:t>
      </w:r>
      <w:bookmarkEnd w:id="971"/>
    </w:p>
    <w:p w:rsidR="009C5C1F" w:rsidRDefault="004D2E0D">
      <w:pPr>
        <w:suppressAutoHyphens/>
        <w:wordWrap w:val="0"/>
        <w:topLinePunct/>
        <w:spacing w:line="360" w:lineRule="auto"/>
        <w:ind w:firstLineChars="200" w:firstLine="480"/>
        <w:rPr>
          <w:bCs/>
          <w:sz w:val="24"/>
        </w:rPr>
      </w:pPr>
      <w:r>
        <w:rPr>
          <w:rFonts w:hint="eastAsia"/>
          <w:bCs/>
          <w:sz w:val="24"/>
        </w:rPr>
        <w:t>1</w:t>
      </w:r>
      <w:r>
        <w:rPr>
          <w:rFonts w:hint="eastAsia"/>
          <w:bCs/>
          <w:sz w:val="24"/>
        </w:rPr>
        <w:t>、</w:t>
      </w:r>
      <w:r>
        <w:rPr>
          <w:bCs/>
          <w:sz w:val="24"/>
        </w:rPr>
        <w:t>复垦责任范围的确定</w:t>
      </w:r>
    </w:p>
    <w:p w:rsidR="009C5C1F" w:rsidRDefault="004D2E0D">
      <w:pPr>
        <w:suppressAutoHyphens/>
        <w:wordWrap w:val="0"/>
        <w:topLinePunct/>
        <w:spacing w:line="360" w:lineRule="auto"/>
        <w:ind w:firstLineChars="200" w:firstLine="480"/>
        <w:rPr>
          <w:bCs/>
          <w:sz w:val="24"/>
        </w:rPr>
      </w:pPr>
      <w:r>
        <w:rPr>
          <w:bCs/>
          <w:sz w:val="24"/>
        </w:rPr>
        <w:t>《土地复垦方案编制规程第</w:t>
      </w:r>
      <w:r>
        <w:rPr>
          <w:bCs/>
          <w:sz w:val="24"/>
        </w:rPr>
        <w:t>1</w:t>
      </w:r>
      <w:r>
        <w:rPr>
          <w:bCs/>
          <w:sz w:val="24"/>
        </w:rPr>
        <w:t>部分：通则》（</w:t>
      </w:r>
      <w:r>
        <w:rPr>
          <w:bCs/>
          <w:sz w:val="24"/>
        </w:rPr>
        <w:t>TD/T1031.1-2011</w:t>
      </w:r>
      <w:r>
        <w:rPr>
          <w:bCs/>
          <w:sz w:val="24"/>
        </w:rPr>
        <w:t>）规定，</w:t>
      </w:r>
      <w:proofErr w:type="gramStart"/>
      <w:r>
        <w:rPr>
          <w:bCs/>
          <w:sz w:val="24"/>
        </w:rPr>
        <w:t>复垦区</w:t>
      </w:r>
      <w:proofErr w:type="gramEnd"/>
      <w:r>
        <w:rPr>
          <w:bCs/>
          <w:sz w:val="24"/>
        </w:rPr>
        <w:t>指生产建设项目损毁土地和永久使用建设用地构成的区域；土地复垦责任范围指</w:t>
      </w:r>
      <w:proofErr w:type="gramStart"/>
      <w:r>
        <w:rPr>
          <w:bCs/>
          <w:sz w:val="24"/>
        </w:rPr>
        <w:t>复垦区</w:t>
      </w:r>
      <w:proofErr w:type="gramEnd"/>
      <w:r>
        <w:rPr>
          <w:bCs/>
          <w:sz w:val="24"/>
        </w:rPr>
        <w:t>中损毁土地及</w:t>
      </w:r>
      <w:proofErr w:type="gramStart"/>
      <w:r>
        <w:rPr>
          <w:bCs/>
          <w:sz w:val="24"/>
        </w:rPr>
        <w:t>不再留续使用</w:t>
      </w:r>
      <w:proofErr w:type="gramEnd"/>
      <w:r>
        <w:rPr>
          <w:bCs/>
          <w:sz w:val="24"/>
        </w:rPr>
        <w:t>的永久性建设用地构成的区域；永久性建设用地指依法征收并用于建设工业场地、公路和铁路等永久性建筑物、构筑物及相关用途的土地。据此，结合矿区实际情况，</w:t>
      </w:r>
      <w:r>
        <w:rPr>
          <w:rFonts w:hint="eastAsia"/>
          <w:bCs/>
          <w:sz w:val="24"/>
        </w:rPr>
        <w:t>确定</w:t>
      </w:r>
      <w:r>
        <w:rPr>
          <w:bCs/>
          <w:sz w:val="24"/>
        </w:rPr>
        <w:t>本项目</w:t>
      </w:r>
      <w:proofErr w:type="gramStart"/>
      <w:r>
        <w:rPr>
          <w:rFonts w:hint="eastAsia"/>
          <w:bCs/>
          <w:sz w:val="24"/>
        </w:rPr>
        <w:t>复垦区</w:t>
      </w:r>
      <w:proofErr w:type="gramEnd"/>
      <w:r>
        <w:rPr>
          <w:rFonts w:hint="eastAsia"/>
          <w:bCs/>
          <w:sz w:val="24"/>
        </w:rPr>
        <w:t>面积</w:t>
      </w:r>
      <w:r>
        <w:rPr>
          <w:rFonts w:hAnsi="宋体"/>
          <w:szCs w:val="21"/>
        </w:rPr>
        <w:t>3.098</w:t>
      </w:r>
      <w:r>
        <w:rPr>
          <w:bCs/>
          <w:sz w:val="24"/>
        </w:rPr>
        <w:t>公顷</w:t>
      </w:r>
      <w:r>
        <w:rPr>
          <w:rFonts w:hint="eastAsia"/>
          <w:bCs/>
          <w:sz w:val="24"/>
        </w:rPr>
        <w:t>；</w:t>
      </w:r>
      <w:r>
        <w:rPr>
          <w:bCs/>
          <w:sz w:val="24"/>
        </w:rPr>
        <w:t>确定土地复垦责任范围总面积</w:t>
      </w:r>
      <w:r>
        <w:rPr>
          <w:rFonts w:hint="eastAsia"/>
          <w:bCs/>
          <w:sz w:val="24"/>
        </w:rPr>
        <w:t>与</w:t>
      </w:r>
      <w:proofErr w:type="gramStart"/>
      <w:r>
        <w:rPr>
          <w:rFonts w:hint="eastAsia"/>
          <w:bCs/>
          <w:sz w:val="24"/>
        </w:rPr>
        <w:t>复垦区</w:t>
      </w:r>
      <w:proofErr w:type="gramEnd"/>
      <w:r>
        <w:rPr>
          <w:rFonts w:hint="eastAsia"/>
          <w:bCs/>
          <w:sz w:val="24"/>
        </w:rPr>
        <w:t>面积相同为</w:t>
      </w:r>
      <w:r>
        <w:rPr>
          <w:rFonts w:hAnsi="宋体"/>
          <w:szCs w:val="21"/>
        </w:rPr>
        <w:t>3.098</w:t>
      </w:r>
      <w:r>
        <w:rPr>
          <w:bCs/>
          <w:sz w:val="24"/>
        </w:rPr>
        <w:t>公顷，详见表</w:t>
      </w:r>
      <w:r>
        <w:rPr>
          <w:rFonts w:hint="eastAsia"/>
          <w:bCs/>
          <w:sz w:val="24"/>
        </w:rPr>
        <w:t>3-1</w:t>
      </w:r>
      <w:r>
        <w:rPr>
          <w:bCs/>
          <w:sz w:val="24"/>
        </w:rPr>
        <w:t>3</w:t>
      </w:r>
      <w:r>
        <w:rPr>
          <w:bCs/>
          <w:sz w:val="24"/>
        </w:rPr>
        <w:t>。</w:t>
      </w:r>
    </w:p>
    <w:p w:rsidR="009C5C1F" w:rsidRDefault="004D2E0D">
      <w:pPr>
        <w:suppressAutoHyphens/>
        <w:wordWrap w:val="0"/>
        <w:topLinePunct/>
        <w:spacing w:beforeLines="50" w:before="120" w:afterLines="50" w:after="120"/>
        <w:ind w:firstLine="482"/>
        <w:jc w:val="center"/>
        <w:rPr>
          <w:b/>
          <w:bCs/>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3</w:t>
      </w:r>
      <w:r>
        <w:rPr>
          <w:rFonts w:hint="eastAsia"/>
          <w:b/>
          <w:bCs/>
          <w:sz w:val="24"/>
        </w:rPr>
        <w:t>—</w:t>
      </w:r>
      <w:r>
        <w:rPr>
          <w:rFonts w:hint="eastAsia"/>
          <w:b/>
          <w:bCs/>
          <w:sz w:val="24"/>
        </w:rPr>
        <w:t>1</w:t>
      </w:r>
      <w:r>
        <w:rPr>
          <w:b/>
          <w:bCs/>
          <w:sz w:val="24"/>
        </w:rPr>
        <w:t xml:space="preserve">3            </w:t>
      </w:r>
      <w:r>
        <w:rPr>
          <w:b/>
          <w:bCs/>
          <w:sz w:val="24"/>
        </w:rPr>
        <w:t>复垦责任范围面积</w:t>
      </w:r>
      <w:r>
        <w:rPr>
          <w:rFonts w:hint="eastAsia"/>
          <w:b/>
          <w:bCs/>
          <w:sz w:val="24"/>
        </w:rPr>
        <w:t>汇总表</w:t>
      </w:r>
      <w:r>
        <w:rPr>
          <w:rFonts w:hint="eastAsia"/>
          <w:b/>
          <w:bCs/>
          <w:sz w:val="24"/>
        </w:rPr>
        <w:t xml:space="preserve">         </w:t>
      </w:r>
    </w:p>
    <w:tbl>
      <w:tblPr>
        <w:tblW w:w="4859"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694"/>
        <w:gridCol w:w="1860"/>
        <w:gridCol w:w="1318"/>
        <w:gridCol w:w="1441"/>
        <w:gridCol w:w="1441"/>
        <w:gridCol w:w="952"/>
        <w:gridCol w:w="1154"/>
      </w:tblGrid>
      <w:tr w:rsidR="009C5C1F">
        <w:trPr>
          <w:trHeight w:hRule="exact" w:val="444"/>
          <w:tblHeader/>
          <w:jc w:val="center"/>
        </w:trPr>
        <w:tc>
          <w:tcPr>
            <w:tcW w:w="392" w:type="pct"/>
            <w:vMerge w:val="restart"/>
            <w:tcBorders>
              <w:top w:val="single" w:sz="4"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序号</w:t>
            </w:r>
          </w:p>
        </w:tc>
        <w:tc>
          <w:tcPr>
            <w:tcW w:w="1050" w:type="pct"/>
            <w:vMerge w:val="restart"/>
            <w:tcBorders>
              <w:top w:val="single" w:sz="4"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损毁范围</w:t>
            </w:r>
          </w:p>
        </w:tc>
        <w:tc>
          <w:tcPr>
            <w:tcW w:w="2370" w:type="pct"/>
            <w:gridSpan w:val="3"/>
            <w:tcBorders>
              <w:top w:val="single" w:sz="4"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损毁面积</w:t>
            </w:r>
            <w:r>
              <w:rPr>
                <w:rFonts w:hAnsi="宋体" w:hint="eastAsia"/>
                <w:szCs w:val="21"/>
              </w:rPr>
              <w:t>（</w:t>
            </w:r>
            <w:r>
              <w:rPr>
                <w:rFonts w:hAnsi="宋体" w:hint="eastAsia"/>
                <w:szCs w:val="21"/>
              </w:rPr>
              <w:t>hm</w:t>
            </w:r>
            <w:r>
              <w:rPr>
                <w:rFonts w:hint="eastAsia"/>
                <w:i/>
                <w:iCs/>
                <w:spacing w:val="20"/>
                <w:kern w:val="0"/>
                <w:shd w:val="clear" w:color="auto" w:fill="FFFFFF"/>
                <w:vertAlign w:val="superscript"/>
                <w:lang w:val="zh-CN" w:eastAsia="zh-TW"/>
              </w:rPr>
              <w:t>2</w:t>
            </w:r>
            <w:r>
              <w:rPr>
                <w:rFonts w:hAnsi="宋体" w:hint="eastAsia"/>
                <w:szCs w:val="21"/>
              </w:rPr>
              <w:t>）</w:t>
            </w:r>
          </w:p>
        </w:tc>
        <w:tc>
          <w:tcPr>
            <w:tcW w:w="537" w:type="pct"/>
            <w:vMerge w:val="restart"/>
            <w:tcBorders>
              <w:top w:val="single" w:sz="4"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损毁</w:t>
            </w:r>
          </w:p>
          <w:p w:rsidR="009C5C1F" w:rsidRDefault="004D2E0D">
            <w:pPr>
              <w:suppressAutoHyphens/>
              <w:wordWrap w:val="0"/>
              <w:topLinePunct/>
              <w:adjustRightInd w:val="0"/>
              <w:snapToGrid w:val="0"/>
              <w:jc w:val="center"/>
              <w:textAlignment w:val="baseline"/>
              <w:rPr>
                <w:szCs w:val="21"/>
              </w:rPr>
            </w:pPr>
            <w:r>
              <w:rPr>
                <w:rFonts w:hAnsi="宋体"/>
                <w:szCs w:val="21"/>
              </w:rPr>
              <w:t>类型</w:t>
            </w:r>
          </w:p>
        </w:tc>
        <w:tc>
          <w:tcPr>
            <w:tcW w:w="651" w:type="pct"/>
            <w:vMerge w:val="restart"/>
            <w:tcBorders>
              <w:top w:val="single" w:sz="4"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损毁</w:t>
            </w:r>
          </w:p>
          <w:p w:rsidR="009C5C1F" w:rsidRDefault="004D2E0D">
            <w:pPr>
              <w:suppressAutoHyphens/>
              <w:wordWrap w:val="0"/>
              <w:topLinePunct/>
              <w:adjustRightInd w:val="0"/>
              <w:snapToGrid w:val="0"/>
              <w:jc w:val="center"/>
              <w:textAlignment w:val="baseline"/>
              <w:rPr>
                <w:szCs w:val="21"/>
              </w:rPr>
            </w:pPr>
            <w:r>
              <w:rPr>
                <w:rFonts w:hAnsi="宋体"/>
                <w:szCs w:val="21"/>
              </w:rPr>
              <w:t>程度</w:t>
            </w:r>
          </w:p>
        </w:tc>
      </w:tr>
      <w:tr w:rsidR="009C5C1F">
        <w:trPr>
          <w:trHeight w:hRule="exact" w:val="368"/>
          <w:tblHeader/>
          <w:jc w:val="center"/>
        </w:trPr>
        <w:tc>
          <w:tcPr>
            <w:tcW w:w="392" w:type="pct"/>
            <w:vMerge/>
            <w:tcBorders>
              <w:top w:val="single" w:sz="6" w:space="0" w:color="auto"/>
              <w:bottom w:val="single" w:sz="6" w:space="0" w:color="auto"/>
            </w:tcBorders>
            <w:vAlign w:val="center"/>
          </w:tcPr>
          <w:p w:rsidR="009C5C1F" w:rsidRDefault="009C5C1F">
            <w:pPr>
              <w:suppressAutoHyphens/>
              <w:wordWrap w:val="0"/>
              <w:topLinePunct/>
              <w:adjustRightInd w:val="0"/>
              <w:snapToGrid w:val="0"/>
              <w:jc w:val="center"/>
              <w:textAlignment w:val="baseline"/>
              <w:rPr>
                <w:szCs w:val="21"/>
              </w:rPr>
            </w:pPr>
          </w:p>
        </w:tc>
        <w:tc>
          <w:tcPr>
            <w:tcW w:w="1050" w:type="pct"/>
            <w:vMerge/>
            <w:tcBorders>
              <w:top w:val="single" w:sz="6" w:space="0" w:color="auto"/>
              <w:bottom w:val="single" w:sz="6" w:space="0" w:color="auto"/>
            </w:tcBorders>
            <w:vAlign w:val="center"/>
          </w:tcPr>
          <w:p w:rsidR="009C5C1F" w:rsidRDefault="009C5C1F">
            <w:pPr>
              <w:suppressAutoHyphens/>
              <w:wordWrap w:val="0"/>
              <w:topLinePunct/>
              <w:adjustRightInd w:val="0"/>
              <w:snapToGrid w:val="0"/>
              <w:jc w:val="center"/>
              <w:textAlignment w:val="baseline"/>
              <w:rPr>
                <w:szCs w:val="21"/>
              </w:rPr>
            </w:pPr>
          </w:p>
        </w:tc>
        <w:tc>
          <w:tcPr>
            <w:tcW w:w="744"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已损毁</w:t>
            </w:r>
          </w:p>
        </w:tc>
        <w:tc>
          <w:tcPr>
            <w:tcW w:w="813"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拟损毁</w:t>
            </w:r>
          </w:p>
        </w:tc>
        <w:tc>
          <w:tcPr>
            <w:tcW w:w="813"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合计</w:t>
            </w:r>
          </w:p>
        </w:tc>
        <w:tc>
          <w:tcPr>
            <w:tcW w:w="537" w:type="pct"/>
            <w:vMerge/>
            <w:tcBorders>
              <w:top w:val="single" w:sz="6" w:space="0" w:color="auto"/>
              <w:bottom w:val="single" w:sz="6" w:space="0" w:color="auto"/>
            </w:tcBorders>
            <w:vAlign w:val="center"/>
          </w:tcPr>
          <w:p w:rsidR="009C5C1F" w:rsidRDefault="009C5C1F">
            <w:pPr>
              <w:suppressAutoHyphens/>
              <w:wordWrap w:val="0"/>
              <w:topLinePunct/>
              <w:adjustRightInd w:val="0"/>
              <w:snapToGrid w:val="0"/>
              <w:jc w:val="center"/>
              <w:textAlignment w:val="baseline"/>
              <w:rPr>
                <w:szCs w:val="21"/>
              </w:rPr>
            </w:pPr>
          </w:p>
        </w:tc>
        <w:tc>
          <w:tcPr>
            <w:tcW w:w="651" w:type="pct"/>
            <w:vMerge/>
            <w:tcBorders>
              <w:top w:val="single" w:sz="6" w:space="0" w:color="auto"/>
              <w:bottom w:val="single" w:sz="6" w:space="0" w:color="auto"/>
            </w:tcBorders>
            <w:vAlign w:val="center"/>
          </w:tcPr>
          <w:p w:rsidR="009C5C1F" w:rsidRDefault="009C5C1F">
            <w:pPr>
              <w:suppressAutoHyphens/>
              <w:wordWrap w:val="0"/>
              <w:topLinePunct/>
              <w:adjustRightInd w:val="0"/>
              <w:snapToGrid w:val="0"/>
              <w:jc w:val="center"/>
              <w:textAlignment w:val="baseline"/>
              <w:rPr>
                <w:szCs w:val="21"/>
              </w:rPr>
            </w:pPr>
          </w:p>
        </w:tc>
      </w:tr>
      <w:tr w:rsidR="009C5C1F">
        <w:trPr>
          <w:trHeight w:hRule="exact" w:val="397"/>
          <w:jc w:val="center"/>
        </w:trPr>
        <w:tc>
          <w:tcPr>
            <w:tcW w:w="392"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szCs w:val="21"/>
              </w:rPr>
              <w:t>1</w:t>
            </w:r>
          </w:p>
        </w:tc>
        <w:tc>
          <w:tcPr>
            <w:tcW w:w="1050"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hint="eastAsia"/>
                <w:szCs w:val="21"/>
              </w:rPr>
              <w:t>露天采场</w:t>
            </w:r>
          </w:p>
        </w:tc>
        <w:tc>
          <w:tcPr>
            <w:tcW w:w="744"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int="eastAsia"/>
                <w:szCs w:val="21"/>
              </w:rPr>
              <w:t>/</w:t>
            </w:r>
          </w:p>
        </w:tc>
        <w:tc>
          <w:tcPr>
            <w:tcW w:w="813"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int="eastAsia"/>
                <w:szCs w:val="21"/>
              </w:rPr>
              <w:t>1</w:t>
            </w:r>
            <w:r>
              <w:rPr>
                <w:szCs w:val="21"/>
              </w:rPr>
              <w:t>.75</w:t>
            </w:r>
          </w:p>
        </w:tc>
        <w:tc>
          <w:tcPr>
            <w:tcW w:w="813"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szCs w:val="21"/>
              </w:rPr>
              <w:t>1.75</w:t>
            </w:r>
          </w:p>
        </w:tc>
        <w:tc>
          <w:tcPr>
            <w:tcW w:w="537"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挖损</w:t>
            </w:r>
          </w:p>
        </w:tc>
        <w:tc>
          <w:tcPr>
            <w:tcW w:w="651"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重度</w:t>
            </w:r>
          </w:p>
        </w:tc>
      </w:tr>
      <w:tr w:rsidR="009C5C1F">
        <w:trPr>
          <w:trHeight w:hRule="exact" w:val="397"/>
          <w:jc w:val="center"/>
        </w:trPr>
        <w:tc>
          <w:tcPr>
            <w:tcW w:w="392"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szCs w:val="21"/>
              </w:rPr>
              <w:t>2</w:t>
            </w:r>
          </w:p>
        </w:tc>
        <w:tc>
          <w:tcPr>
            <w:tcW w:w="1050"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hint="eastAsia"/>
                <w:szCs w:val="21"/>
              </w:rPr>
              <w:t>生活办公区</w:t>
            </w:r>
          </w:p>
        </w:tc>
        <w:tc>
          <w:tcPr>
            <w:tcW w:w="744"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int="eastAsia"/>
                <w:szCs w:val="21"/>
              </w:rPr>
              <w:t>/</w:t>
            </w:r>
          </w:p>
        </w:tc>
        <w:tc>
          <w:tcPr>
            <w:tcW w:w="813"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0.936</w:t>
            </w:r>
          </w:p>
        </w:tc>
        <w:tc>
          <w:tcPr>
            <w:tcW w:w="813"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0.936</w:t>
            </w:r>
          </w:p>
        </w:tc>
        <w:tc>
          <w:tcPr>
            <w:tcW w:w="537"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压占</w:t>
            </w:r>
          </w:p>
        </w:tc>
        <w:tc>
          <w:tcPr>
            <w:tcW w:w="651"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hint="eastAsia"/>
                <w:szCs w:val="21"/>
              </w:rPr>
              <w:t>轻</w:t>
            </w:r>
            <w:r>
              <w:rPr>
                <w:rFonts w:hAnsi="宋体"/>
                <w:szCs w:val="21"/>
              </w:rPr>
              <w:t>度</w:t>
            </w:r>
          </w:p>
        </w:tc>
      </w:tr>
      <w:tr w:rsidR="009C5C1F">
        <w:trPr>
          <w:trHeight w:hRule="exact" w:val="397"/>
          <w:jc w:val="center"/>
        </w:trPr>
        <w:tc>
          <w:tcPr>
            <w:tcW w:w="392"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int="eastAsia"/>
                <w:szCs w:val="21"/>
              </w:rPr>
              <w:t>3</w:t>
            </w:r>
          </w:p>
        </w:tc>
        <w:tc>
          <w:tcPr>
            <w:tcW w:w="1050"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堆料场</w:t>
            </w:r>
          </w:p>
        </w:tc>
        <w:tc>
          <w:tcPr>
            <w:tcW w:w="744"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int="eastAsia"/>
                <w:szCs w:val="21"/>
              </w:rPr>
              <w:t>/</w:t>
            </w:r>
          </w:p>
        </w:tc>
        <w:tc>
          <w:tcPr>
            <w:tcW w:w="813"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0.4125</w:t>
            </w:r>
          </w:p>
        </w:tc>
        <w:tc>
          <w:tcPr>
            <w:tcW w:w="813"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0.4125</w:t>
            </w:r>
          </w:p>
        </w:tc>
        <w:tc>
          <w:tcPr>
            <w:tcW w:w="537"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压占</w:t>
            </w:r>
          </w:p>
        </w:tc>
        <w:tc>
          <w:tcPr>
            <w:tcW w:w="651"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轻度</w:t>
            </w:r>
          </w:p>
        </w:tc>
      </w:tr>
      <w:tr w:rsidR="009C5C1F">
        <w:trPr>
          <w:trHeight w:hRule="exact" w:val="397"/>
          <w:jc w:val="center"/>
        </w:trPr>
        <w:tc>
          <w:tcPr>
            <w:tcW w:w="1442" w:type="pct"/>
            <w:gridSpan w:val="2"/>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合计</w:t>
            </w:r>
          </w:p>
        </w:tc>
        <w:tc>
          <w:tcPr>
            <w:tcW w:w="744" w:type="pct"/>
            <w:tcBorders>
              <w:top w:val="single" w:sz="6" w:space="0" w:color="auto"/>
              <w:bottom w:val="single" w:sz="6" w:space="0" w:color="auto"/>
            </w:tcBorders>
            <w:vAlign w:val="center"/>
          </w:tcPr>
          <w:p w:rsidR="009C5C1F" w:rsidRDefault="009C5C1F">
            <w:pPr>
              <w:suppressAutoHyphens/>
              <w:wordWrap w:val="0"/>
              <w:topLinePunct/>
              <w:adjustRightInd w:val="0"/>
              <w:snapToGrid w:val="0"/>
              <w:jc w:val="center"/>
              <w:textAlignment w:val="baseline"/>
              <w:rPr>
                <w:szCs w:val="21"/>
              </w:rPr>
            </w:pPr>
          </w:p>
        </w:tc>
        <w:tc>
          <w:tcPr>
            <w:tcW w:w="813"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3.098</w:t>
            </w:r>
          </w:p>
        </w:tc>
        <w:tc>
          <w:tcPr>
            <w:tcW w:w="813"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3.098</w:t>
            </w:r>
          </w:p>
        </w:tc>
        <w:tc>
          <w:tcPr>
            <w:tcW w:w="537" w:type="pct"/>
            <w:tcBorders>
              <w:top w:val="single" w:sz="6" w:space="0" w:color="auto"/>
              <w:bottom w:val="single" w:sz="6" w:space="0" w:color="auto"/>
            </w:tcBorders>
            <w:vAlign w:val="center"/>
          </w:tcPr>
          <w:p w:rsidR="009C5C1F" w:rsidRDefault="004D2E0D">
            <w:pPr>
              <w:suppressAutoHyphens/>
              <w:topLinePunct/>
              <w:adjustRightInd w:val="0"/>
              <w:snapToGrid w:val="0"/>
              <w:jc w:val="center"/>
              <w:textAlignment w:val="baseline"/>
              <w:rPr>
                <w:szCs w:val="21"/>
              </w:rPr>
            </w:pPr>
            <w:r>
              <w:rPr>
                <w:rFonts w:hint="eastAsia"/>
                <w:szCs w:val="21"/>
              </w:rPr>
              <w:t>/</w:t>
            </w:r>
          </w:p>
        </w:tc>
        <w:tc>
          <w:tcPr>
            <w:tcW w:w="651" w:type="pct"/>
            <w:tcBorders>
              <w:top w:val="single" w:sz="6" w:space="0" w:color="auto"/>
              <w:bottom w:val="single" w:sz="6" w:space="0" w:color="auto"/>
            </w:tcBorders>
            <w:vAlign w:val="center"/>
          </w:tcPr>
          <w:p w:rsidR="009C5C1F" w:rsidRDefault="004D2E0D">
            <w:pPr>
              <w:suppressAutoHyphens/>
              <w:wordWrap w:val="0"/>
              <w:topLinePunct/>
              <w:adjustRightInd w:val="0"/>
              <w:snapToGrid w:val="0"/>
              <w:jc w:val="center"/>
              <w:textAlignment w:val="baseline"/>
              <w:rPr>
                <w:szCs w:val="21"/>
              </w:rPr>
            </w:pPr>
            <w:r>
              <w:rPr>
                <w:szCs w:val="21"/>
              </w:rPr>
              <w:t>/</w:t>
            </w:r>
          </w:p>
        </w:tc>
      </w:tr>
    </w:tbl>
    <w:p w:rsidR="009C5C1F" w:rsidRDefault="004D2E0D">
      <w:pPr>
        <w:suppressAutoHyphens/>
        <w:wordWrap w:val="0"/>
        <w:topLinePunct/>
        <w:spacing w:before="100" w:beforeAutospacing="1" w:line="360" w:lineRule="auto"/>
        <w:ind w:firstLineChars="200" w:firstLine="480"/>
        <w:rPr>
          <w:bCs/>
          <w:sz w:val="24"/>
        </w:rPr>
      </w:pPr>
      <w:r>
        <w:rPr>
          <w:rFonts w:hint="eastAsia"/>
          <w:bCs/>
          <w:sz w:val="24"/>
        </w:rPr>
        <w:t>2</w:t>
      </w:r>
      <w:r>
        <w:rPr>
          <w:rFonts w:hint="eastAsia"/>
          <w:bCs/>
          <w:sz w:val="24"/>
        </w:rPr>
        <w:t>、</w:t>
      </w:r>
      <w:r>
        <w:rPr>
          <w:bCs/>
          <w:sz w:val="24"/>
        </w:rPr>
        <w:t>复垦范围的确定</w:t>
      </w:r>
    </w:p>
    <w:p w:rsidR="009C5C1F" w:rsidRDefault="004D2E0D">
      <w:pPr>
        <w:suppressAutoHyphens/>
        <w:wordWrap w:val="0"/>
        <w:topLinePunct/>
        <w:spacing w:line="360" w:lineRule="auto"/>
        <w:ind w:firstLineChars="200" w:firstLine="480"/>
        <w:rPr>
          <w:bCs/>
          <w:sz w:val="24"/>
        </w:rPr>
      </w:pPr>
      <w:r>
        <w:rPr>
          <w:bCs/>
          <w:sz w:val="24"/>
        </w:rPr>
        <w:t>本方案复垦责任范围总面积为</w:t>
      </w:r>
      <w:r>
        <w:rPr>
          <w:rFonts w:hAnsi="宋体"/>
          <w:szCs w:val="21"/>
        </w:rPr>
        <w:t>3.098</w:t>
      </w:r>
      <w:r>
        <w:rPr>
          <w:bCs/>
          <w:sz w:val="24"/>
        </w:rPr>
        <w:t>hm</w:t>
      </w:r>
      <w:r>
        <w:rPr>
          <w:bCs/>
          <w:sz w:val="24"/>
          <w:vertAlign w:val="superscript"/>
        </w:rPr>
        <w:t>2</w:t>
      </w:r>
      <w:r>
        <w:rPr>
          <w:bCs/>
          <w:sz w:val="24"/>
        </w:rPr>
        <w:t>。本方案服务年限内，涉及的</w:t>
      </w:r>
      <w:proofErr w:type="gramStart"/>
      <w:r>
        <w:rPr>
          <w:bCs/>
          <w:sz w:val="24"/>
        </w:rPr>
        <w:t>复垦区</w:t>
      </w:r>
      <w:proofErr w:type="gramEnd"/>
      <w:r>
        <w:rPr>
          <w:bCs/>
          <w:sz w:val="24"/>
        </w:rPr>
        <w:t>为露天采场、</w:t>
      </w:r>
      <w:r>
        <w:rPr>
          <w:rFonts w:hint="eastAsia"/>
          <w:sz w:val="24"/>
        </w:rPr>
        <w:t>办公生活区、堆料场</w:t>
      </w:r>
      <w:r>
        <w:rPr>
          <w:bCs/>
          <w:sz w:val="24"/>
        </w:rPr>
        <w:t>，总面积</w:t>
      </w:r>
      <w:r>
        <w:rPr>
          <w:rFonts w:hAnsi="宋体"/>
          <w:szCs w:val="21"/>
        </w:rPr>
        <w:t>3.098</w:t>
      </w:r>
      <w:r>
        <w:rPr>
          <w:bCs/>
          <w:sz w:val="24"/>
        </w:rPr>
        <w:t>hm</w:t>
      </w:r>
      <w:r>
        <w:rPr>
          <w:bCs/>
          <w:sz w:val="24"/>
          <w:vertAlign w:val="superscript"/>
        </w:rPr>
        <w:t>2</w:t>
      </w:r>
      <w:r>
        <w:rPr>
          <w:bCs/>
          <w:sz w:val="24"/>
        </w:rPr>
        <w:t>。土地复垦率为</w:t>
      </w:r>
      <w:r>
        <w:rPr>
          <w:bCs/>
          <w:sz w:val="24"/>
        </w:rPr>
        <w:t>100%</w:t>
      </w:r>
      <w:r>
        <w:rPr>
          <w:bCs/>
          <w:sz w:val="24"/>
        </w:rPr>
        <w:t>。</w:t>
      </w:r>
    </w:p>
    <w:p w:rsidR="009C5C1F" w:rsidRDefault="004D2E0D">
      <w:pPr>
        <w:keepNext/>
        <w:keepLines/>
        <w:suppressAutoHyphens/>
        <w:wordWrap w:val="0"/>
        <w:topLinePunct/>
        <w:spacing w:line="360" w:lineRule="auto"/>
        <w:ind w:firstLineChars="200" w:firstLine="482"/>
        <w:outlineLvl w:val="2"/>
        <w:rPr>
          <w:b/>
          <w:sz w:val="24"/>
          <w:szCs w:val="28"/>
        </w:rPr>
      </w:pPr>
      <w:bookmarkStart w:id="972" w:name="_Toc70589868"/>
      <w:r>
        <w:rPr>
          <w:rFonts w:hint="eastAsia"/>
          <w:b/>
          <w:sz w:val="24"/>
          <w:szCs w:val="28"/>
        </w:rPr>
        <w:t>（三）土地类型与权属</w:t>
      </w:r>
      <w:bookmarkEnd w:id="972"/>
    </w:p>
    <w:p w:rsidR="009C5C1F" w:rsidRDefault="004D2E0D">
      <w:pPr>
        <w:suppressAutoHyphens/>
        <w:wordWrap w:val="0"/>
        <w:topLinePunct/>
        <w:spacing w:line="360" w:lineRule="auto"/>
        <w:ind w:firstLineChars="200" w:firstLine="480"/>
        <w:jc w:val="left"/>
        <w:rPr>
          <w:sz w:val="24"/>
        </w:rPr>
      </w:pPr>
      <w:r>
        <w:rPr>
          <w:sz w:val="24"/>
        </w:rPr>
        <w:t>1.</w:t>
      </w:r>
      <w:r>
        <w:rPr>
          <w:rFonts w:hint="eastAsia"/>
          <w:sz w:val="24"/>
        </w:rPr>
        <w:t>土地利用类型</w:t>
      </w:r>
    </w:p>
    <w:p w:rsidR="009C5C1F" w:rsidRDefault="004D2E0D">
      <w:pPr>
        <w:suppressAutoHyphens/>
        <w:wordWrap w:val="0"/>
        <w:topLinePunct/>
        <w:spacing w:line="360" w:lineRule="auto"/>
        <w:ind w:firstLineChars="200" w:firstLine="480"/>
        <w:jc w:val="left"/>
        <w:rPr>
          <w:sz w:val="24"/>
        </w:rPr>
      </w:pPr>
      <w:r>
        <w:rPr>
          <w:sz w:val="24"/>
        </w:rPr>
        <w:t>根据确定的本项目复垦责任范围，依据《土地利用现状分类》（</w:t>
      </w:r>
      <w:r>
        <w:rPr>
          <w:sz w:val="24"/>
        </w:rPr>
        <w:t>GB/T 21010-20</w:t>
      </w:r>
      <w:r>
        <w:rPr>
          <w:rFonts w:hint="eastAsia"/>
          <w:sz w:val="24"/>
        </w:rPr>
        <w:t>17</w:t>
      </w:r>
      <w:r>
        <w:rPr>
          <w:sz w:val="24"/>
        </w:rPr>
        <w:t>），确定本项目复垦责任范围内土地利用类型详见表</w:t>
      </w:r>
      <w:r>
        <w:rPr>
          <w:rFonts w:hint="eastAsia"/>
          <w:sz w:val="24"/>
        </w:rPr>
        <w:t>3-1</w:t>
      </w:r>
      <w:r>
        <w:rPr>
          <w:sz w:val="24"/>
        </w:rPr>
        <w:t>4</w:t>
      </w:r>
      <w:r>
        <w:rPr>
          <w:sz w:val="24"/>
        </w:rPr>
        <w:t>。</w:t>
      </w:r>
    </w:p>
    <w:p w:rsidR="009C5C1F" w:rsidRDefault="004D2E0D">
      <w:pPr>
        <w:suppressAutoHyphens/>
        <w:wordWrap w:val="0"/>
        <w:topLinePunct/>
        <w:spacing w:beforeLines="50" w:before="120" w:afterLines="50" w:after="120"/>
        <w:ind w:firstLine="482"/>
        <w:jc w:val="center"/>
        <w:rPr>
          <w:b/>
          <w:bCs/>
          <w:sz w:val="24"/>
        </w:rPr>
      </w:pPr>
      <w:r>
        <w:rPr>
          <w:rFonts w:hint="eastAsia"/>
          <w:b/>
          <w:bCs/>
          <w:sz w:val="24"/>
        </w:rPr>
        <w:t xml:space="preserve"> </w:t>
      </w:r>
      <w:r>
        <w:rPr>
          <w:rFonts w:hint="eastAsia"/>
          <w:b/>
          <w:bCs/>
          <w:sz w:val="24"/>
        </w:rPr>
        <w:t>表</w:t>
      </w:r>
      <w:r>
        <w:rPr>
          <w:rFonts w:hint="eastAsia"/>
          <w:b/>
          <w:bCs/>
          <w:sz w:val="24"/>
        </w:rPr>
        <w:t>3</w:t>
      </w:r>
      <w:r>
        <w:rPr>
          <w:rFonts w:hint="eastAsia"/>
          <w:b/>
          <w:bCs/>
          <w:sz w:val="24"/>
        </w:rPr>
        <w:t>—</w:t>
      </w:r>
      <w:r>
        <w:rPr>
          <w:rFonts w:hint="eastAsia"/>
          <w:b/>
          <w:bCs/>
          <w:sz w:val="24"/>
        </w:rPr>
        <w:t>1</w:t>
      </w:r>
      <w:r>
        <w:rPr>
          <w:b/>
          <w:bCs/>
          <w:sz w:val="24"/>
        </w:rPr>
        <w:t xml:space="preserve">4          </w:t>
      </w:r>
      <w:r>
        <w:rPr>
          <w:b/>
          <w:bCs/>
          <w:sz w:val="24"/>
        </w:rPr>
        <w:t>复垦责任范围土地利用类型</w:t>
      </w:r>
      <w:r>
        <w:rPr>
          <w:rFonts w:hint="eastAsia"/>
          <w:b/>
          <w:bCs/>
          <w:sz w:val="24"/>
        </w:rPr>
        <w:t xml:space="preserve">    </w:t>
      </w:r>
    </w:p>
    <w:tbl>
      <w:tblPr>
        <w:tblW w:w="906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4A0" w:firstRow="1" w:lastRow="0" w:firstColumn="1" w:lastColumn="0" w:noHBand="0" w:noVBand="1"/>
      </w:tblPr>
      <w:tblGrid>
        <w:gridCol w:w="435"/>
        <w:gridCol w:w="1348"/>
        <w:gridCol w:w="1418"/>
        <w:gridCol w:w="610"/>
        <w:gridCol w:w="1148"/>
        <w:gridCol w:w="850"/>
        <w:gridCol w:w="783"/>
        <w:gridCol w:w="739"/>
        <w:gridCol w:w="668"/>
        <w:gridCol w:w="1066"/>
      </w:tblGrid>
      <w:tr w:rsidR="009C5C1F">
        <w:trPr>
          <w:trHeight w:val="897"/>
          <w:tblHeader/>
          <w:jc w:val="center"/>
        </w:trPr>
        <w:tc>
          <w:tcPr>
            <w:tcW w:w="435" w:type="dxa"/>
            <w:tcBorders>
              <w:top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序号</w:t>
            </w:r>
          </w:p>
        </w:tc>
        <w:tc>
          <w:tcPr>
            <w:tcW w:w="134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损毁范围</w:t>
            </w:r>
          </w:p>
        </w:tc>
        <w:tc>
          <w:tcPr>
            <w:tcW w:w="141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损毁面积（公顷）</w:t>
            </w:r>
          </w:p>
        </w:tc>
        <w:tc>
          <w:tcPr>
            <w:tcW w:w="1758" w:type="dxa"/>
            <w:gridSpan w:val="2"/>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一级地类</w:t>
            </w:r>
          </w:p>
        </w:tc>
        <w:tc>
          <w:tcPr>
            <w:tcW w:w="1633" w:type="dxa"/>
            <w:gridSpan w:val="2"/>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二级地类</w:t>
            </w:r>
          </w:p>
        </w:tc>
        <w:tc>
          <w:tcPr>
            <w:tcW w:w="739"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损毁</w:t>
            </w:r>
          </w:p>
          <w:p w:rsidR="009C5C1F" w:rsidRDefault="004D2E0D">
            <w:pPr>
              <w:suppressAutoHyphens/>
              <w:wordWrap w:val="0"/>
              <w:topLinePunct/>
              <w:adjustRightInd w:val="0"/>
              <w:snapToGrid w:val="0"/>
              <w:jc w:val="center"/>
              <w:textAlignment w:val="baseline"/>
              <w:rPr>
                <w:szCs w:val="21"/>
              </w:rPr>
            </w:pPr>
            <w:r>
              <w:rPr>
                <w:rFonts w:hAnsi="宋体"/>
                <w:szCs w:val="21"/>
              </w:rPr>
              <w:t>类型</w:t>
            </w:r>
          </w:p>
        </w:tc>
        <w:tc>
          <w:tcPr>
            <w:tcW w:w="66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损毁</w:t>
            </w:r>
          </w:p>
          <w:p w:rsidR="009C5C1F" w:rsidRDefault="004D2E0D">
            <w:pPr>
              <w:suppressAutoHyphens/>
              <w:wordWrap w:val="0"/>
              <w:topLinePunct/>
              <w:adjustRightInd w:val="0"/>
              <w:snapToGrid w:val="0"/>
              <w:jc w:val="center"/>
              <w:textAlignment w:val="baseline"/>
              <w:rPr>
                <w:szCs w:val="21"/>
              </w:rPr>
            </w:pPr>
            <w:r>
              <w:rPr>
                <w:rFonts w:hAnsi="宋体"/>
                <w:szCs w:val="21"/>
              </w:rPr>
              <w:t>程度</w:t>
            </w:r>
          </w:p>
        </w:tc>
        <w:tc>
          <w:tcPr>
            <w:tcW w:w="1066" w:type="dxa"/>
            <w:tcBorders>
              <w:top w:val="single" w:sz="4" w:space="0" w:color="auto"/>
              <w:left w:val="single" w:sz="4" w:space="0" w:color="auto"/>
              <w:bottom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占总面</w:t>
            </w:r>
          </w:p>
          <w:p w:rsidR="009C5C1F" w:rsidRDefault="004D2E0D">
            <w:pPr>
              <w:suppressAutoHyphens/>
              <w:wordWrap w:val="0"/>
              <w:topLinePunct/>
              <w:adjustRightInd w:val="0"/>
              <w:snapToGrid w:val="0"/>
              <w:jc w:val="center"/>
              <w:textAlignment w:val="baseline"/>
              <w:rPr>
                <w:szCs w:val="21"/>
              </w:rPr>
            </w:pPr>
            <w:r>
              <w:rPr>
                <w:rFonts w:hAnsi="宋体"/>
                <w:szCs w:val="21"/>
              </w:rPr>
              <w:t>积比例</w:t>
            </w:r>
          </w:p>
          <w:p w:rsidR="009C5C1F" w:rsidRDefault="004D2E0D">
            <w:pPr>
              <w:suppressAutoHyphens/>
              <w:wordWrap w:val="0"/>
              <w:topLinePunct/>
              <w:adjustRightInd w:val="0"/>
              <w:snapToGrid w:val="0"/>
              <w:jc w:val="center"/>
              <w:textAlignment w:val="baseline"/>
              <w:rPr>
                <w:szCs w:val="21"/>
              </w:rPr>
            </w:pPr>
            <w:r>
              <w:rPr>
                <w:rFonts w:hAnsi="宋体"/>
                <w:szCs w:val="21"/>
              </w:rPr>
              <w:t>（</w:t>
            </w:r>
            <w:r>
              <w:rPr>
                <w:szCs w:val="21"/>
              </w:rPr>
              <w:t>%</w:t>
            </w:r>
            <w:r>
              <w:rPr>
                <w:rFonts w:hAnsi="宋体"/>
                <w:szCs w:val="21"/>
              </w:rPr>
              <w:t>）</w:t>
            </w:r>
          </w:p>
        </w:tc>
      </w:tr>
      <w:tr w:rsidR="009C5C1F">
        <w:trPr>
          <w:trHeight w:val="646"/>
          <w:jc w:val="center"/>
        </w:trPr>
        <w:tc>
          <w:tcPr>
            <w:tcW w:w="435" w:type="dxa"/>
            <w:tcBorders>
              <w:top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szCs w:val="21"/>
              </w:rPr>
              <w:t>1</w:t>
            </w:r>
          </w:p>
        </w:tc>
        <w:tc>
          <w:tcPr>
            <w:tcW w:w="134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hint="eastAsia"/>
                <w:szCs w:val="21"/>
              </w:rPr>
              <w:t>露天采场</w:t>
            </w:r>
          </w:p>
        </w:tc>
        <w:tc>
          <w:tcPr>
            <w:tcW w:w="141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int="eastAsia"/>
                <w:szCs w:val="21"/>
              </w:rPr>
              <w:t>1</w:t>
            </w:r>
            <w:r>
              <w:rPr>
                <w:szCs w:val="21"/>
              </w:rPr>
              <w:t>.7</w:t>
            </w:r>
            <w:r>
              <w:rPr>
                <w:rFonts w:hint="eastAsia"/>
                <w:szCs w:val="21"/>
              </w:rPr>
              <w:t>5</w:t>
            </w:r>
          </w:p>
        </w:tc>
        <w:tc>
          <w:tcPr>
            <w:tcW w:w="610"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1</w:t>
            </w:r>
            <w:r>
              <w:rPr>
                <w:rFonts w:hAnsi="宋体"/>
                <w:szCs w:val="21"/>
              </w:rPr>
              <w:t>2</w:t>
            </w:r>
          </w:p>
        </w:tc>
        <w:tc>
          <w:tcPr>
            <w:tcW w:w="114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其他土地</w:t>
            </w:r>
          </w:p>
        </w:tc>
        <w:tc>
          <w:tcPr>
            <w:tcW w:w="850" w:type="dxa"/>
            <w:tcBorders>
              <w:top w:val="single" w:sz="4" w:space="0" w:color="auto"/>
              <w:left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1</w:t>
            </w:r>
            <w:r>
              <w:rPr>
                <w:rFonts w:hAnsi="宋体"/>
                <w:szCs w:val="21"/>
              </w:rPr>
              <w:t>206</w:t>
            </w:r>
          </w:p>
        </w:tc>
        <w:tc>
          <w:tcPr>
            <w:tcW w:w="783" w:type="dxa"/>
            <w:tcBorders>
              <w:top w:val="single" w:sz="4" w:space="0" w:color="auto"/>
              <w:left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proofErr w:type="gramStart"/>
            <w:r>
              <w:rPr>
                <w:rFonts w:hAnsi="宋体" w:hint="eastAsia"/>
                <w:szCs w:val="21"/>
              </w:rPr>
              <w:t>裸</w:t>
            </w:r>
            <w:proofErr w:type="gramEnd"/>
            <w:r>
              <w:rPr>
                <w:rFonts w:hAnsi="宋体" w:hint="eastAsia"/>
                <w:szCs w:val="21"/>
              </w:rPr>
              <w:t>土地</w:t>
            </w:r>
          </w:p>
        </w:tc>
        <w:tc>
          <w:tcPr>
            <w:tcW w:w="739"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挖损</w:t>
            </w:r>
          </w:p>
        </w:tc>
        <w:tc>
          <w:tcPr>
            <w:tcW w:w="66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重度</w:t>
            </w:r>
          </w:p>
        </w:tc>
        <w:tc>
          <w:tcPr>
            <w:tcW w:w="1066" w:type="dxa"/>
            <w:tcBorders>
              <w:top w:val="single" w:sz="4" w:space="0" w:color="auto"/>
              <w:left w:val="single" w:sz="4" w:space="0" w:color="auto"/>
              <w:bottom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szCs w:val="21"/>
              </w:rPr>
              <w:t>56.49</w:t>
            </w:r>
          </w:p>
        </w:tc>
      </w:tr>
      <w:tr w:rsidR="009C5C1F">
        <w:trPr>
          <w:trHeight w:val="543"/>
          <w:jc w:val="center"/>
        </w:trPr>
        <w:tc>
          <w:tcPr>
            <w:tcW w:w="435" w:type="dxa"/>
            <w:tcBorders>
              <w:top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szCs w:val="21"/>
              </w:rPr>
              <w:t>2</w:t>
            </w:r>
          </w:p>
        </w:tc>
        <w:tc>
          <w:tcPr>
            <w:tcW w:w="134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w w:val="90"/>
                <w:szCs w:val="21"/>
              </w:rPr>
            </w:pPr>
            <w:r>
              <w:rPr>
                <w:rFonts w:hAnsi="宋体" w:hint="eastAsia"/>
                <w:szCs w:val="21"/>
              </w:rPr>
              <w:t>生活办公区</w:t>
            </w:r>
          </w:p>
        </w:tc>
        <w:tc>
          <w:tcPr>
            <w:tcW w:w="141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szCs w:val="21"/>
              </w:rPr>
              <w:t>0.936</w:t>
            </w:r>
          </w:p>
        </w:tc>
        <w:tc>
          <w:tcPr>
            <w:tcW w:w="610"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1</w:t>
            </w:r>
            <w:r>
              <w:rPr>
                <w:rFonts w:hAnsi="宋体"/>
                <w:szCs w:val="21"/>
              </w:rPr>
              <w:t>2</w:t>
            </w:r>
          </w:p>
        </w:tc>
        <w:tc>
          <w:tcPr>
            <w:tcW w:w="114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其他土地</w:t>
            </w:r>
          </w:p>
        </w:tc>
        <w:tc>
          <w:tcPr>
            <w:tcW w:w="850" w:type="dxa"/>
            <w:tcBorders>
              <w:top w:val="single" w:sz="4" w:space="0" w:color="auto"/>
              <w:left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1</w:t>
            </w:r>
            <w:r>
              <w:rPr>
                <w:rFonts w:hAnsi="宋体"/>
                <w:szCs w:val="21"/>
              </w:rPr>
              <w:t>206</w:t>
            </w:r>
          </w:p>
        </w:tc>
        <w:tc>
          <w:tcPr>
            <w:tcW w:w="783" w:type="dxa"/>
            <w:tcBorders>
              <w:top w:val="single" w:sz="4" w:space="0" w:color="auto"/>
              <w:left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proofErr w:type="gramStart"/>
            <w:r>
              <w:rPr>
                <w:rFonts w:hAnsi="宋体" w:hint="eastAsia"/>
                <w:szCs w:val="21"/>
              </w:rPr>
              <w:t>裸</w:t>
            </w:r>
            <w:proofErr w:type="gramEnd"/>
            <w:r>
              <w:rPr>
                <w:rFonts w:hAnsi="宋体" w:hint="eastAsia"/>
                <w:szCs w:val="21"/>
              </w:rPr>
              <w:t>土地</w:t>
            </w:r>
          </w:p>
        </w:tc>
        <w:tc>
          <w:tcPr>
            <w:tcW w:w="739"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压占</w:t>
            </w:r>
          </w:p>
        </w:tc>
        <w:tc>
          <w:tcPr>
            <w:tcW w:w="66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hint="eastAsia"/>
                <w:szCs w:val="21"/>
              </w:rPr>
              <w:t>轻</w:t>
            </w:r>
            <w:r>
              <w:rPr>
                <w:rFonts w:hAnsi="宋体"/>
                <w:szCs w:val="21"/>
              </w:rPr>
              <w:t>度</w:t>
            </w:r>
          </w:p>
        </w:tc>
        <w:tc>
          <w:tcPr>
            <w:tcW w:w="1066" w:type="dxa"/>
            <w:tcBorders>
              <w:top w:val="single" w:sz="4" w:space="0" w:color="auto"/>
              <w:left w:val="single" w:sz="4" w:space="0" w:color="auto"/>
              <w:bottom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int="eastAsia"/>
                <w:szCs w:val="21"/>
              </w:rPr>
              <w:t>3</w:t>
            </w:r>
            <w:r>
              <w:rPr>
                <w:szCs w:val="21"/>
              </w:rPr>
              <w:t>0.21</w:t>
            </w:r>
          </w:p>
        </w:tc>
      </w:tr>
      <w:tr w:rsidR="009C5C1F">
        <w:trPr>
          <w:trHeight w:val="543"/>
          <w:jc w:val="center"/>
        </w:trPr>
        <w:tc>
          <w:tcPr>
            <w:tcW w:w="435" w:type="dxa"/>
            <w:tcBorders>
              <w:top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int="eastAsia"/>
                <w:szCs w:val="21"/>
              </w:rPr>
              <w:t>3</w:t>
            </w:r>
          </w:p>
        </w:tc>
        <w:tc>
          <w:tcPr>
            <w:tcW w:w="134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w w:val="90"/>
                <w:szCs w:val="21"/>
              </w:rPr>
            </w:pPr>
            <w:r>
              <w:rPr>
                <w:rFonts w:hAnsi="宋体" w:hint="eastAsia"/>
                <w:szCs w:val="21"/>
              </w:rPr>
              <w:t>堆料场</w:t>
            </w:r>
          </w:p>
        </w:tc>
        <w:tc>
          <w:tcPr>
            <w:tcW w:w="141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szCs w:val="21"/>
              </w:rPr>
              <w:t>0.4125</w:t>
            </w:r>
          </w:p>
        </w:tc>
        <w:tc>
          <w:tcPr>
            <w:tcW w:w="610"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1</w:t>
            </w:r>
            <w:r>
              <w:rPr>
                <w:rFonts w:hAnsi="宋体"/>
                <w:szCs w:val="21"/>
              </w:rPr>
              <w:t>2</w:t>
            </w:r>
          </w:p>
        </w:tc>
        <w:tc>
          <w:tcPr>
            <w:tcW w:w="114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其他土地</w:t>
            </w:r>
          </w:p>
        </w:tc>
        <w:tc>
          <w:tcPr>
            <w:tcW w:w="850" w:type="dxa"/>
            <w:tcBorders>
              <w:top w:val="single" w:sz="4" w:space="0" w:color="auto"/>
              <w:left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r>
              <w:rPr>
                <w:rFonts w:hAnsi="宋体" w:hint="eastAsia"/>
                <w:szCs w:val="21"/>
              </w:rPr>
              <w:t>1</w:t>
            </w:r>
            <w:r>
              <w:rPr>
                <w:rFonts w:hAnsi="宋体"/>
                <w:szCs w:val="21"/>
              </w:rPr>
              <w:t>206</w:t>
            </w:r>
          </w:p>
        </w:tc>
        <w:tc>
          <w:tcPr>
            <w:tcW w:w="783" w:type="dxa"/>
            <w:tcBorders>
              <w:top w:val="single" w:sz="4" w:space="0" w:color="auto"/>
              <w:left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rFonts w:hAnsi="宋体"/>
                <w:szCs w:val="21"/>
              </w:rPr>
            </w:pPr>
            <w:proofErr w:type="gramStart"/>
            <w:r>
              <w:rPr>
                <w:rFonts w:hAnsi="宋体" w:hint="eastAsia"/>
                <w:szCs w:val="21"/>
              </w:rPr>
              <w:t>裸</w:t>
            </w:r>
            <w:proofErr w:type="gramEnd"/>
            <w:r>
              <w:rPr>
                <w:rFonts w:hAnsi="宋体" w:hint="eastAsia"/>
                <w:szCs w:val="21"/>
              </w:rPr>
              <w:t>土地</w:t>
            </w:r>
          </w:p>
        </w:tc>
        <w:tc>
          <w:tcPr>
            <w:tcW w:w="739"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压占</w:t>
            </w:r>
          </w:p>
        </w:tc>
        <w:tc>
          <w:tcPr>
            <w:tcW w:w="668"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hint="eastAsia"/>
                <w:szCs w:val="21"/>
              </w:rPr>
              <w:t>轻</w:t>
            </w:r>
            <w:r>
              <w:rPr>
                <w:rFonts w:hAnsi="宋体"/>
                <w:szCs w:val="21"/>
              </w:rPr>
              <w:t>度</w:t>
            </w:r>
          </w:p>
        </w:tc>
        <w:tc>
          <w:tcPr>
            <w:tcW w:w="1066" w:type="dxa"/>
            <w:tcBorders>
              <w:top w:val="single" w:sz="4" w:space="0" w:color="auto"/>
              <w:left w:val="single" w:sz="4" w:space="0" w:color="auto"/>
              <w:bottom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int="eastAsia"/>
                <w:szCs w:val="21"/>
              </w:rPr>
              <w:t>1</w:t>
            </w:r>
            <w:r>
              <w:rPr>
                <w:szCs w:val="21"/>
              </w:rPr>
              <w:t>3.32</w:t>
            </w:r>
          </w:p>
        </w:tc>
      </w:tr>
      <w:tr w:rsidR="009C5C1F">
        <w:trPr>
          <w:trHeight w:hRule="exact" w:val="385"/>
          <w:jc w:val="center"/>
        </w:trPr>
        <w:tc>
          <w:tcPr>
            <w:tcW w:w="1783" w:type="dxa"/>
            <w:gridSpan w:val="2"/>
            <w:tcBorders>
              <w:top w:val="single" w:sz="4" w:space="0" w:color="auto"/>
              <w:bottom w:val="single" w:sz="2"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合计</w:t>
            </w:r>
          </w:p>
        </w:tc>
        <w:tc>
          <w:tcPr>
            <w:tcW w:w="1418" w:type="dxa"/>
            <w:tcBorders>
              <w:top w:val="single" w:sz="4" w:space="0" w:color="auto"/>
              <w:left w:val="single" w:sz="4" w:space="0" w:color="auto"/>
              <w:bottom w:val="single" w:sz="2"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rFonts w:hAnsi="宋体"/>
                <w:szCs w:val="21"/>
              </w:rPr>
              <w:t>3.098</w:t>
            </w:r>
          </w:p>
        </w:tc>
        <w:tc>
          <w:tcPr>
            <w:tcW w:w="4798" w:type="dxa"/>
            <w:gridSpan w:val="6"/>
            <w:tcBorders>
              <w:top w:val="single" w:sz="4" w:space="0" w:color="auto"/>
              <w:left w:val="single" w:sz="4" w:space="0" w:color="auto"/>
              <w:bottom w:val="single" w:sz="2" w:space="0" w:color="auto"/>
              <w:right w:val="single" w:sz="4" w:space="0" w:color="auto"/>
            </w:tcBorders>
            <w:vAlign w:val="center"/>
          </w:tcPr>
          <w:p w:rsidR="009C5C1F" w:rsidRDefault="004D2E0D">
            <w:pPr>
              <w:suppressAutoHyphens/>
              <w:wordWrap w:val="0"/>
              <w:topLinePunct/>
              <w:adjustRightInd w:val="0"/>
              <w:snapToGrid w:val="0"/>
              <w:jc w:val="center"/>
              <w:textAlignment w:val="baseline"/>
              <w:rPr>
                <w:szCs w:val="21"/>
              </w:rPr>
            </w:pPr>
            <w:r>
              <w:rPr>
                <w:szCs w:val="21"/>
              </w:rPr>
              <w:t>——</w:t>
            </w:r>
          </w:p>
        </w:tc>
        <w:tc>
          <w:tcPr>
            <w:tcW w:w="1066" w:type="dxa"/>
            <w:tcBorders>
              <w:top w:val="single" w:sz="4" w:space="0" w:color="auto"/>
              <w:left w:val="single" w:sz="4" w:space="0" w:color="auto"/>
              <w:bottom w:val="single" w:sz="2" w:space="0" w:color="auto"/>
            </w:tcBorders>
            <w:vAlign w:val="center"/>
          </w:tcPr>
          <w:p w:rsidR="009C5C1F" w:rsidRDefault="004D2E0D">
            <w:pPr>
              <w:suppressAutoHyphens/>
              <w:wordWrap w:val="0"/>
              <w:topLinePunct/>
              <w:adjustRightInd w:val="0"/>
              <w:snapToGrid w:val="0"/>
              <w:jc w:val="center"/>
              <w:textAlignment w:val="baseline"/>
              <w:rPr>
                <w:szCs w:val="21"/>
              </w:rPr>
            </w:pPr>
            <w:r>
              <w:rPr>
                <w:szCs w:val="21"/>
              </w:rPr>
              <w:t>100</w:t>
            </w:r>
          </w:p>
        </w:tc>
      </w:tr>
    </w:tbl>
    <w:p w:rsidR="009C5C1F" w:rsidRDefault="004D2E0D">
      <w:pPr>
        <w:suppressAutoHyphens/>
        <w:wordWrap w:val="0"/>
        <w:topLinePunct/>
        <w:spacing w:beforeLines="50" w:before="120" w:line="360" w:lineRule="auto"/>
        <w:ind w:firstLineChars="200" w:firstLine="480"/>
        <w:jc w:val="left"/>
        <w:rPr>
          <w:sz w:val="24"/>
        </w:rPr>
      </w:pPr>
      <w:r>
        <w:rPr>
          <w:sz w:val="24"/>
        </w:rPr>
        <w:lastRenderedPageBreak/>
        <w:t>2.</w:t>
      </w:r>
      <w:r>
        <w:rPr>
          <w:rFonts w:hint="eastAsia"/>
          <w:sz w:val="24"/>
        </w:rPr>
        <w:t>土地权属状况</w:t>
      </w:r>
    </w:p>
    <w:p w:rsidR="009C5C1F" w:rsidRDefault="004D2E0D">
      <w:pPr>
        <w:suppressAutoHyphens/>
        <w:wordWrap w:val="0"/>
        <w:topLinePunct/>
        <w:spacing w:line="360" w:lineRule="auto"/>
        <w:ind w:firstLineChars="200" w:firstLine="480"/>
        <w:jc w:val="left"/>
        <w:rPr>
          <w:sz w:val="24"/>
        </w:rPr>
      </w:pPr>
      <w:r>
        <w:rPr>
          <w:rFonts w:hint="eastAsia"/>
          <w:sz w:val="24"/>
        </w:rPr>
        <w:t>根据全国第二次土地调查成果资料，甘肃省临泽县板桥</w:t>
      </w:r>
      <w:proofErr w:type="gramStart"/>
      <w:r>
        <w:rPr>
          <w:rFonts w:hint="eastAsia"/>
          <w:sz w:val="24"/>
        </w:rPr>
        <w:t>镇壕洼村</w:t>
      </w:r>
      <w:proofErr w:type="gramEnd"/>
      <w:r>
        <w:rPr>
          <w:rFonts w:hint="eastAsia"/>
          <w:sz w:val="24"/>
        </w:rPr>
        <w:t>正北山西侧砖瓦用粘土</w:t>
      </w:r>
      <w:proofErr w:type="gramStart"/>
      <w:r>
        <w:rPr>
          <w:rFonts w:hint="eastAsia"/>
          <w:sz w:val="24"/>
        </w:rPr>
        <w:t>矿土地</w:t>
      </w:r>
      <w:proofErr w:type="gramEnd"/>
      <w:r>
        <w:rPr>
          <w:rFonts w:hint="eastAsia"/>
          <w:sz w:val="24"/>
        </w:rPr>
        <w:t>权属临泽县板桥镇管辖，</w:t>
      </w:r>
      <w:r>
        <w:rPr>
          <w:sz w:val="24"/>
        </w:rPr>
        <w:t>权属明晰，界限分明，无争议。</w:t>
      </w:r>
    </w:p>
    <w:p w:rsidR="009C5C1F" w:rsidRDefault="004D2E0D">
      <w:pPr>
        <w:suppressAutoHyphens/>
        <w:wordWrap w:val="0"/>
        <w:topLinePunct/>
        <w:spacing w:line="360" w:lineRule="auto"/>
        <w:ind w:firstLineChars="200" w:firstLine="480"/>
        <w:jc w:val="left"/>
        <w:rPr>
          <w:sz w:val="24"/>
        </w:rPr>
      </w:pPr>
      <w:r>
        <w:rPr>
          <w:rFonts w:hint="eastAsia"/>
          <w:sz w:val="24"/>
        </w:rPr>
        <w:t>矿山闭坑后，矿区土地交于临泽县板桥镇管辖。矿区及周边范围</w:t>
      </w:r>
      <w:proofErr w:type="gramStart"/>
      <w:r>
        <w:rPr>
          <w:rFonts w:hint="eastAsia"/>
          <w:sz w:val="24"/>
        </w:rPr>
        <w:t>主要为裸土地</w:t>
      </w:r>
      <w:proofErr w:type="gramEnd"/>
      <w:r>
        <w:rPr>
          <w:rFonts w:hint="eastAsia"/>
          <w:sz w:val="24"/>
        </w:rPr>
        <w:t>（</w:t>
      </w:r>
      <w:r>
        <w:rPr>
          <w:rFonts w:hint="eastAsia"/>
          <w:sz w:val="24"/>
        </w:rPr>
        <w:t>1</w:t>
      </w:r>
      <w:r>
        <w:rPr>
          <w:sz w:val="24"/>
        </w:rPr>
        <w:t>206</w:t>
      </w:r>
      <w:r>
        <w:rPr>
          <w:rFonts w:hint="eastAsia"/>
          <w:sz w:val="24"/>
        </w:rPr>
        <w:t>），还有小面积的裸岩石砾地（</w:t>
      </w:r>
      <w:r>
        <w:rPr>
          <w:rFonts w:hint="eastAsia"/>
          <w:sz w:val="24"/>
        </w:rPr>
        <w:t>1</w:t>
      </w:r>
      <w:r>
        <w:rPr>
          <w:sz w:val="24"/>
        </w:rPr>
        <w:t>207</w:t>
      </w:r>
      <w:r>
        <w:rPr>
          <w:rFonts w:hint="eastAsia"/>
          <w:sz w:val="24"/>
        </w:rPr>
        <w:t>），地表大部分地区为第四系地层，植被覆盖率较低。</w:t>
      </w:r>
    </w:p>
    <w:p w:rsidR="009C5C1F" w:rsidRDefault="009C5C1F">
      <w:pPr>
        <w:suppressAutoHyphens/>
        <w:wordWrap w:val="0"/>
        <w:topLinePunct/>
        <w:spacing w:before="100" w:beforeAutospacing="1" w:line="360" w:lineRule="auto"/>
        <w:ind w:firstLineChars="200" w:firstLine="480"/>
        <w:jc w:val="left"/>
        <w:rPr>
          <w:sz w:val="24"/>
        </w:rPr>
        <w:sectPr w:rsidR="009C5C1F">
          <w:headerReference w:type="even" r:id="rId35"/>
          <w:headerReference w:type="default" r:id="rId36"/>
          <w:pgSz w:w="11907" w:h="16840"/>
          <w:pgMar w:top="1418" w:right="1418" w:bottom="1418" w:left="1588" w:header="851" w:footer="737" w:gutter="0"/>
          <w:cols w:space="425"/>
          <w:docGrid w:linePitch="598" w:charSpace="-518"/>
        </w:sectPr>
      </w:pPr>
    </w:p>
    <w:p w:rsidR="009C5C1F" w:rsidRDefault="004D2E0D">
      <w:pPr>
        <w:keepNext/>
        <w:keepLines/>
        <w:suppressAutoHyphens/>
        <w:wordWrap w:val="0"/>
        <w:topLinePunct/>
        <w:spacing w:beforeLines="50" w:before="120" w:afterLines="50" w:after="120" w:line="580" w:lineRule="exact"/>
        <w:jc w:val="center"/>
        <w:outlineLvl w:val="0"/>
        <w:rPr>
          <w:b/>
          <w:bCs/>
          <w:kern w:val="44"/>
          <w:sz w:val="36"/>
          <w:szCs w:val="36"/>
        </w:rPr>
      </w:pPr>
      <w:bookmarkStart w:id="973" w:name="_Toc70589869"/>
      <w:bookmarkStart w:id="974" w:name="_Toc511226475"/>
      <w:bookmarkStart w:id="975" w:name="_Toc153130785"/>
      <w:r>
        <w:rPr>
          <w:rFonts w:hint="eastAsia"/>
          <w:b/>
          <w:bCs/>
          <w:kern w:val="44"/>
          <w:sz w:val="36"/>
          <w:szCs w:val="36"/>
        </w:rPr>
        <w:lastRenderedPageBreak/>
        <w:t>第四章</w:t>
      </w:r>
      <w:r>
        <w:rPr>
          <w:rFonts w:hint="eastAsia"/>
          <w:b/>
          <w:bCs/>
          <w:kern w:val="44"/>
          <w:sz w:val="36"/>
          <w:szCs w:val="36"/>
        </w:rPr>
        <w:t xml:space="preserve">   </w:t>
      </w:r>
      <w:r>
        <w:rPr>
          <w:rFonts w:hint="eastAsia"/>
          <w:b/>
          <w:bCs/>
          <w:kern w:val="44"/>
          <w:sz w:val="36"/>
          <w:szCs w:val="36"/>
        </w:rPr>
        <w:t>矿山地质环境治理与土地复垦可行性分析</w:t>
      </w:r>
      <w:bookmarkEnd w:id="973"/>
      <w:bookmarkEnd w:id="974"/>
      <w:bookmarkEnd w:id="975"/>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76" w:name="_Toc511226476"/>
      <w:bookmarkStart w:id="977" w:name="_Toc70589870"/>
      <w:bookmarkStart w:id="978" w:name="_Toc153130786"/>
      <w:r>
        <w:rPr>
          <w:rFonts w:eastAsia="黑体" w:hint="eastAsia"/>
          <w:b/>
          <w:bCs/>
          <w:sz w:val="28"/>
          <w:szCs w:val="30"/>
        </w:rPr>
        <w:t>一、</w:t>
      </w:r>
      <w:r>
        <w:rPr>
          <w:rFonts w:eastAsia="黑体"/>
          <w:b/>
          <w:bCs/>
          <w:sz w:val="28"/>
          <w:szCs w:val="30"/>
        </w:rPr>
        <w:t>矿山</w:t>
      </w:r>
      <w:r>
        <w:rPr>
          <w:rFonts w:eastAsia="黑体" w:hint="eastAsia"/>
          <w:b/>
          <w:bCs/>
          <w:sz w:val="28"/>
          <w:szCs w:val="30"/>
        </w:rPr>
        <w:t>地质环境治理可行性分析</w:t>
      </w:r>
      <w:bookmarkEnd w:id="976"/>
      <w:bookmarkEnd w:id="977"/>
      <w:bookmarkEnd w:id="978"/>
    </w:p>
    <w:p w:rsidR="009C5C1F" w:rsidRDefault="004D2E0D">
      <w:pPr>
        <w:keepNext/>
        <w:keepLines/>
        <w:suppressAutoHyphens/>
        <w:wordWrap w:val="0"/>
        <w:topLinePunct/>
        <w:spacing w:line="360" w:lineRule="auto"/>
        <w:ind w:firstLineChars="200" w:firstLine="482"/>
        <w:outlineLvl w:val="2"/>
        <w:rPr>
          <w:b/>
          <w:sz w:val="24"/>
          <w:szCs w:val="28"/>
        </w:rPr>
      </w:pPr>
      <w:bookmarkStart w:id="979" w:name="_Toc70589871"/>
      <w:r>
        <w:rPr>
          <w:rFonts w:hint="eastAsia"/>
          <w:b/>
          <w:sz w:val="24"/>
          <w:szCs w:val="28"/>
        </w:rPr>
        <w:t>（一）技术可行性分析</w:t>
      </w:r>
      <w:bookmarkEnd w:id="979"/>
    </w:p>
    <w:p w:rsidR="009C5C1F" w:rsidRDefault="004D2E0D">
      <w:pPr>
        <w:suppressAutoHyphens/>
        <w:wordWrap w:val="0"/>
        <w:topLinePunct/>
        <w:spacing w:line="360" w:lineRule="auto"/>
        <w:ind w:firstLineChars="200" w:firstLine="480"/>
        <w:rPr>
          <w:bCs/>
          <w:sz w:val="24"/>
        </w:rPr>
      </w:pPr>
      <w:r>
        <w:rPr>
          <w:rFonts w:hint="eastAsia"/>
          <w:bCs/>
          <w:sz w:val="24"/>
        </w:rPr>
        <w:t>本次矿山地质环境治理充分收集利用已有的资料，开展系统的矿山环境地质调查，查明各类地质灾害的危害程度和稳定性，在此基础上借鉴其它矿区比较成熟的矿山地质环境治理方法，实施各项治理工程，从根本上解决</w:t>
      </w:r>
      <w:r>
        <w:rPr>
          <w:rFonts w:hint="eastAsia"/>
          <w:sz w:val="24"/>
        </w:rPr>
        <w:t>甘肃省临泽县板桥</w:t>
      </w:r>
      <w:proofErr w:type="gramStart"/>
      <w:r>
        <w:rPr>
          <w:rFonts w:hint="eastAsia"/>
          <w:sz w:val="24"/>
        </w:rPr>
        <w:t>镇壕洼村</w:t>
      </w:r>
      <w:proofErr w:type="gramEnd"/>
      <w:r>
        <w:rPr>
          <w:rFonts w:hint="eastAsia"/>
          <w:sz w:val="24"/>
        </w:rPr>
        <w:t>正北山西侧砖瓦用粘土</w:t>
      </w:r>
      <w:proofErr w:type="gramStart"/>
      <w:r>
        <w:rPr>
          <w:rFonts w:hint="eastAsia"/>
          <w:sz w:val="24"/>
        </w:rPr>
        <w:t>矿</w:t>
      </w:r>
      <w:r>
        <w:rPr>
          <w:rFonts w:hint="eastAsia"/>
          <w:bCs/>
          <w:sz w:val="24"/>
        </w:rPr>
        <w:t>可能</w:t>
      </w:r>
      <w:proofErr w:type="gramEnd"/>
      <w:r>
        <w:rPr>
          <w:rFonts w:hint="eastAsia"/>
          <w:bCs/>
          <w:sz w:val="24"/>
        </w:rPr>
        <w:t>发生的各类地质灾害，恢复矿山的生态环境。</w:t>
      </w:r>
    </w:p>
    <w:p w:rsidR="009C5C1F" w:rsidRDefault="004D2E0D">
      <w:pPr>
        <w:suppressAutoHyphens/>
        <w:wordWrap w:val="0"/>
        <w:topLinePunct/>
        <w:spacing w:line="360" w:lineRule="auto"/>
        <w:ind w:firstLineChars="200" w:firstLine="480"/>
        <w:rPr>
          <w:bCs/>
          <w:sz w:val="24"/>
        </w:rPr>
      </w:pPr>
      <w:r>
        <w:rPr>
          <w:rFonts w:hint="eastAsia"/>
          <w:bCs/>
          <w:sz w:val="24"/>
        </w:rPr>
        <w:t>本项目的矿山地质环境主要问题为地貌景观及土地资源的破坏，如前所述，</w:t>
      </w:r>
      <w:r>
        <w:rPr>
          <w:rFonts w:hint="eastAsia"/>
          <w:sz w:val="24"/>
        </w:rPr>
        <w:t>本矿区</w:t>
      </w:r>
      <w:r>
        <w:rPr>
          <w:sz w:val="24"/>
          <w:lang w:val="zh-TW"/>
        </w:rPr>
        <w:t>地表无径流，</w:t>
      </w:r>
      <w:r>
        <w:rPr>
          <w:rFonts w:hint="eastAsia"/>
          <w:sz w:val="24"/>
        </w:rPr>
        <w:t>矿区地下水为基岩裂隙水，补给来源为大气降水，补给来源十分贫乏。</w:t>
      </w:r>
      <w:r>
        <w:rPr>
          <w:rFonts w:hint="eastAsia"/>
          <w:bCs/>
          <w:sz w:val="24"/>
        </w:rPr>
        <w:t>露天开采处于当地最低侵蚀基准面之上，矿山地质环境治理工程主要为地表恢复治理，恢复其地土地类，保护矿区生态环境，对于此类工程在甘肃省有诸多成功的实例，治理方法已经成熟；同时，拥有众多从事此类勘查、设计、施工工作的专业技术队伍，为方案的实施提供了技术保障，技术上较为可行。</w:t>
      </w:r>
    </w:p>
    <w:p w:rsidR="009C5C1F" w:rsidRDefault="004D2E0D">
      <w:pPr>
        <w:keepNext/>
        <w:keepLines/>
        <w:suppressAutoHyphens/>
        <w:wordWrap w:val="0"/>
        <w:topLinePunct/>
        <w:spacing w:line="360" w:lineRule="auto"/>
        <w:ind w:firstLineChars="200" w:firstLine="482"/>
        <w:outlineLvl w:val="2"/>
        <w:rPr>
          <w:b/>
          <w:sz w:val="24"/>
          <w:szCs w:val="28"/>
        </w:rPr>
      </w:pPr>
      <w:bookmarkStart w:id="980" w:name="_Toc70589872"/>
      <w:r>
        <w:rPr>
          <w:rFonts w:hint="eastAsia"/>
          <w:b/>
          <w:sz w:val="24"/>
          <w:szCs w:val="28"/>
        </w:rPr>
        <w:t>（二）经济可行性分析</w:t>
      </w:r>
      <w:bookmarkEnd w:id="980"/>
    </w:p>
    <w:p w:rsidR="009C5C1F" w:rsidRDefault="004D2E0D">
      <w:pPr>
        <w:suppressAutoHyphens/>
        <w:wordWrap w:val="0"/>
        <w:topLinePunct/>
        <w:spacing w:line="360" w:lineRule="auto"/>
        <w:ind w:firstLineChars="200" w:firstLine="480"/>
        <w:rPr>
          <w:bCs/>
          <w:sz w:val="24"/>
        </w:rPr>
      </w:pPr>
      <w:r>
        <w:rPr>
          <w:rFonts w:hint="eastAsia"/>
          <w:bCs/>
          <w:sz w:val="24"/>
        </w:rPr>
        <w:t>矿山地质环境保护与土地复垦工作是一项全新的“功在当代，利及千秋”的自然资源地质环境整治工程，是</w:t>
      </w:r>
      <w:proofErr w:type="gramStart"/>
      <w:r>
        <w:rPr>
          <w:rFonts w:hint="eastAsia"/>
          <w:bCs/>
          <w:sz w:val="24"/>
        </w:rPr>
        <w:t>整治受</w:t>
      </w:r>
      <w:proofErr w:type="gramEnd"/>
      <w:r>
        <w:rPr>
          <w:rFonts w:hint="eastAsia"/>
          <w:bCs/>
          <w:sz w:val="24"/>
        </w:rPr>
        <w:t>破坏的矿山地质环境，恢复其原貌，保护矿区生态环境的必要措施，也是矿山开采活动中不可分割的组成部分。在恢复治理产业中，工矿企业、政府等参与者结成“风险共担，利益共享”的利益共同体。通过恢复治理和土地复垦，确保项目区内地质环境的动态平衡，保护了项目区内的人民生命财产安全。改善了矿山和地方政府、周边居民的关系，保障了社会的和谐稳定。通过恢复治理和土地复垦，有利于促进区域经济发展，确保社会的稳定。</w:t>
      </w:r>
    </w:p>
    <w:p w:rsidR="009C5C1F" w:rsidRDefault="004D2E0D">
      <w:pPr>
        <w:suppressAutoHyphens/>
        <w:wordWrap w:val="0"/>
        <w:topLinePunct/>
        <w:spacing w:line="360" w:lineRule="auto"/>
        <w:ind w:firstLineChars="200" w:firstLine="480"/>
        <w:rPr>
          <w:bCs/>
          <w:sz w:val="24"/>
        </w:rPr>
      </w:pPr>
      <w:r>
        <w:rPr>
          <w:rFonts w:hint="eastAsia"/>
          <w:sz w:val="24"/>
        </w:rPr>
        <w:t>甘肃省临泽县板桥</w:t>
      </w:r>
      <w:proofErr w:type="gramStart"/>
      <w:r>
        <w:rPr>
          <w:rFonts w:hint="eastAsia"/>
          <w:sz w:val="24"/>
        </w:rPr>
        <w:t>镇壕洼村</w:t>
      </w:r>
      <w:proofErr w:type="gramEnd"/>
      <w:r>
        <w:rPr>
          <w:rFonts w:hint="eastAsia"/>
          <w:sz w:val="24"/>
        </w:rPr>
        <w:t>正北山西侧砖瓦用粘土矿</w:t>
      </w:r>
      <w:r>
        <w:rPr>
          <w:rFonts w:hint="eastAsia"/>
          <w:bCs/>
          <w:sz w:val="24"/>
        </w:rPr>
        <w:t>地质环境保护与土地复垦方案项目的实施，有利于改善矿区的矿山地质环境，消除地质灾害隐患，更好地推进当地的经济发展。</w:t>
      </w:r>
    </w:p>
    <w:p w:rsidR="009C5C1F" w:rsidRDefault="004D2E0D">
      <w:pPr>
        <w:suppressAutoHyphens/>
        <w:wordWrap w:val="0"/>
        <w:topLinePunct/>
        <w:spacing w:line="360" w:lineRule="auto"/>
        <w:ind w:firstLineChars="200" w:firstLine="480"/>
        <w:rPr>
          <w:bCs/>
          <w:sz w:val="24"/>
        </w:rPr>
      </w:pPr>
      <w:r>
        <w:rPr>
          <w:rFonts w:hint="eastAsia"/>
          <w:bCs/>
          <w:sz w:val="24"/>
        </w:rPr>
        <w:t>通过各种防治措施使地灾隐患得到治理，保证了矿区工作人员生命财产安全，极大地改善了矿区的经济发展环境。</w:t>
      </w:r>
    </w:p>
    <w:p w:rsidR="009C5C1F" w:rsidRDefault="004D2E0D">
      <w:pPr>
        <w:suppressAutoHyphens/>
        <w:wordWrap w:val="0"/>
        <w:topLinePunct/>
        <w:spacing w:line="360" w:lineRule="auto"/>
        <w:ind w:firstLineChars="200" w:firstLine="480"/>
        <w:rPr>
          <w:bCs/>
          <w:sz w:val="24"/>
        </w:rPr>
      </w:pPr>
      <w:r>
        <w:rPr>
          <w:rFonts w:hint="eastAsia"/>
          <w:bCs/>
          <w:sz w:val="24"/>
        </w:rPr>
        <w:t>因此，投入一定量的治理和土地复垦工程费用，换取一个安全的生产环境，保障矿山经济持续增长，其经济效益不言而喻。</w:t>
      </w:r>
    </w:p>
    <w:p w:rsidR="009C5C1F" w:rsidRDefault="004D2E0D">
      <w:pPr>
        <w:keepNext/>
        <w:keepLines/>
        <w:suppressAutoHyphens/>
        <w:wordWrap w:val="0"/>
        <w:topLinePunct/>
        <w:spacing w:line="360" w:lineRule="auto"/>
        <w:ind w:firstLineChars="200" w:firstLine="482"/>
        <w:outlineLvl w:val="2"/>
        <w:rPr>
          <w:b/>
          <w:sz w:val="24"/>
          <w:szCs w:val="28"/>
        </w:rPr>
      </w:pPr>
      <w:bookmarkStart w:id="981" w:name="_Toc70589873"/>
      <w:r>
        <w:rPr>
          <w:rFonts w:hint="eastAsia"/>
          <w:b/>
          <w:sz w:val="24"/>
          <w:szCs w:val="28"/>
        </w:rPr>
        <w:lastRenderedPageBreak/>
        <w:t>（三）生态环境协调性分析</w:t>
      </w:r>
      <w:bookmarkEnd w:id="981"/>
    </w:p>
    <w:p w:rsidR="009C5C1F" w:rsidRDefault="004D2E0D">
      <w:pPr>
        <w:suppressAutoHyphens/>
        <w:wordWrap w:val="0"/>
        <w:topLinePunct/>
        <w:spacing w:line="360" w:lineRule="auto"/>
        <w:ind w:firstLineChars="200" w:firstLine="480"/>
        <w:rPr>
          <w:bCs/>
          <w:sz w:val="24"/>
        </w:rPr>
      </w:pPr>
      <w:r>
        <w:rPr>
          <w:rFonts w:hint="eastAsia"/>
          <w:bCs/>
          <w:sz w:val="24"/>
        </w:rPr>
        <w:t>通过矿山恢复治理，使矿山生态结构、地质环境和生态平衡得以恢复，地面坡度得到较好调整，地质灾害隐患得到遏制，地下水环境破坏也将得到有效控制，并在一定程度上改善区内不良地质环境和生态环境。通过对区内地质灾害实施有效监测，有利于判断其稳定性和发展趋势，有利于矿区人民群众安居乐业和社会稳定。这样的地质环境基本维持原来的平衡条件或优于原来的矿山地质环境，最大程度地减少了地质灾害的发生，适宜人、动物的活动及植物的生长。</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82" w:name="_Toc153130787"/>
      <w:bookmarkStart w:id="983" w:name="_Toc70589874"/>
      <w:bookmarkStart w:id="984" w:name="_Toc511226477"/>
      <w:r>
        <w:rPr>
          <w:rFonts w:eastAsia="黑体" w:hint="eastAsia"/>
          <w:b/>
          <w:bCs/>
          <w:sz w:val="28"/>
          <w:szCs w:val="30"/>
        </w:rPr>
        <w:t>二、矿区土地复垦可行性分析</w:t>
      </w:r>
      <w:bookmarkEnd w:id="982"/>
      <w:bookmarkEnd w:id="983"/>
      <w:bookmarkEnd w:id="984"/>
    </w:p>
    <w:p w:rsidR="009C5C1F" w:rsidRDefault="004D2E0D">
      <w:pPr>
        <w:keepNext/>
        <w:keepLines/>
        <w:suppressAutoHyphens/>
        <w:wordWrap w:val="0"/>
        <w:topLinePunct/>
        <w:spacing w:line="360" w:lineRule="auto"/>
        <w:ind w:firstLineChars="200" w:firstLine="482"/>
        <w:outlineLvl w:val="2"/>
        <w:rPr>
          <w:b/>
          <w:sz w:val="24"/>
          <w:szCs w:val="28"/>
        </w:rPr>
      </w:pPr>
      <w:bookmarkStart w:id="985" w:name="_Toc70589875"/>
      <w:r>
        <w:rPr>
          <w:rFonts w:hint="eastAsia"/>
          <w:b/>
          <w:sz w:val="24"/>
          <w:szCs w:val="28"/>
        </w:rPr>
        <w:t>（一）</w:t>
      </w:r>
      <w:proofErr w:type="gramStart"/>
      <w:r>
        <w:rPr>
          <w:rFonts w:hint="eastAsia"/>
          <w:b/>
          <w:sz w:val="24"/>
          <w:szCs w:val="28"/>
        </w:rPr>
        <w:t>复垦区</w:t>
      </w:r>
      <w:proofErr w:type="gramEnd"/>
      <w:r>
        <w:rPr>
          <w:rFonts w:hint="eastAsia"/>
          <w:b/>
          <w:sz w:val="24"/>
          <w:szCs w:val="28"/>
        </w:rPr>
        <w:t>土地利用现状</w:t>
      </w:r>
      <w:bookmarkEnd w:id="985"/>
    </w:p>
    <w:p w:rsidR="009C5C1F" w:rsidRDefault="004D2E0D">
      <w:pPr>
        <w:suppressAutoHyphens/>
        <w:wordWrap w:val="0"/>
        <w:topLinePunct/>
        <w:spacing w:line="360" w:lineRule="auto"/>
        <w:ind w:firstLineChars="200" w:firstLine="480"/>
        <w:rPr>
          <w:sz w:val="24"/>
        </w:rPr>
      </w:pPr>
      <w:r>
        <w:rPr>
          <w:bCs/>
          <w:sz w:val="24"/>
        </w:rPr>
        <w:t>矿区采矿权范围内</w:t>
      </w:r>
      <w:proofErr w:type="gramStart"/>
      <w:r>
        <w:rPr>
          <w:bCs/>
          <w:sz w:val="24"/>
        </w:rPr>
        <w:t>土地类型</w:t>
      </w:r>
      <w:r>
        <w:rPr>
          <w:rFonts w:hint="eastAsia"/>
          <w:bCs/>
          <w:sz w:val="24"/>
        </w:rPr>
        <w:t>为裸土地</w:t>
      </w:r>
      <w:proofErr w:type="gramEnd"/>
      <w:r>
        <w:rPr>
          <w:rFonts w:hint="eastAsia"/>
          <w:bCs/>
          <w:sz w:val="24"/>
        </w:rPr>
        <w:t>（</w:t>
      </w:r>
      <w:r>
        <w:rPr>
          <w:bCs/>
          <w:sz w:val="24"/>
        </w:rPr>
        <w:t>1206</w:t>
      </w:r>
      <w:r>
        <w:rPr>
          <w:rFonts w:hint="eastAsia"/>
          <w:bCs/>
          <w:sz w:val="24"/>
        </w:rPr>
        <w:t>），项目区破坏的土地类型</w:t>
      </w:r>
      <w:proofErr w:type="gramStart"/>
      <w:r>
        <w:rPr>
          <w:rFonts w:hint="eastAsia"/>
          <w:bCs/>
          <w:sz w:val="24"/>
        </w:rPr>
        <w:t>主要为裸土地</w:t>
      </w:r>
      <w:proofErr w:type="gramEnd"/>
      <w:r>
        <w:rPr>
          <w:rFonts w:hint="eastAsia"/>
          <w:bCs/>
          <w:sz w:val="24"/>
        </w:rPr>
        <w:t>（具体见上表</w:t>
      </w:r>
      <w:r>
        <w:rPr>
          <w:rFonts w:hint="eastAsia"/>
          <w:bCs/>
          <w:sz w:val="24"/>
        </w:rPr>
        <w:t>3-14</w:t>
      </w:r>
      <w:r>
        <w:rPr>
          <w:rFonts w:hint="eastAsia"/>
          <w:bCs/>
          <w:sz w:val="24"/>
        </w:rPr>
        <w:t>）</w:t>
      </w:r>
      <w:r>
        <w:rPr>
          <w:bCs/>
          <w:sz w:val="24"/>
        </w:rPr>
        <w:t>。</w:t>
      </w:r>
    </w:p>
    <w:p w:rsidR="009C5C1F" w:rsidRDefault="004D2E0D">
      <w:pPr>
        <w:keepNext/>
        <w:keepLines/>
        <w:suppressAutoHyphens/>
        <w:wordWrap w:val="0"/>
        <w:topLinePunct/>
        <w:spacing w:line="360" w:lineRule="auto"/>
        <w:ind w:firstLineChars="200" w:firstLine="482"/>
        <w:outlineLvl w:val="2"/>
        <w:rPr>
          <w:b/>
          <w:sz w:val="24"/>
          <w:szCs w:val="28"/>
        </w:rPr>
      </w:pPr>
      <w:bookmarkStart w:id="986" w:name="_Toc70589876"/>
      <w:r>
        <w:rPr>
          <w:rFonts w:hint="eastAsia"/>
          <w:b/>
          <w:sz w:val="24"/>
          <w:szCs w:val="28"/>
        </w:rPr>
        <w:t>（二）土地复垦适宜性评价</w:t>
      </w:r>
      <w:bookmarkEnd w:id="986"/>
    </w:p>
    <w:p w:rsidR="009C5C1F" w:rsidRDefault="004D2E0D">
      <w:pPr>
        <w:wordWrap w:val="0"/>
        <w:topLinePunct/>
        <w:spacing w:line="360" w:lineRule="auto"/>
        <w:ind w:firstLineChars="200" w:firstLine="480"/>
        <w:rPr>
          <w:rFonts w:hAnsi="宋体"/>
          <w:kern w:val="0"/>
          <w:sz w:val="24"/>
        </w:rPr>
      </w:pPr>
      <w:r>
        <w:rPr>
          <w:rFonts w:hAnsi="宋体"/>
          <w:kern w:val="0"/>
          <w:sz w:val="24"/>
        </w:rPr>
        <w:t>1</w:t>
      </w:r>
      <w:r>
        <w:rPr>
          <w:rFonts w:hAnsi="宋体"/>
          <w:kern w:val="0"/>
          <w:sz w:val="24"/>
        </w:rPr>
        <w:t>、土地复垦适宜性评价的目的和原则</w:t>
      </w:r>
    </w:p>
    <w:p w:rsidR="009C5C1F" w:rsidRDefault="004D2E0D">
      <w:pPr>
        <w:wordWrap w:val="0"/>
        <w:topLinePunct/>
        <w:spacing w:line="360" w:lineRule="auto"/>
        <w:ind w:firstLineChars="200" w:firstLine="480"/>
        <w:rPr>
          <w:kern w:val="0"/>
          <w:sz w:val="24"/>
        </w:rPr>
      </w:pPr>
      <w:r>
        <w:rPr>
          <w:rFonts w:hAnsi="宋体"/>
          <w:kern w:val="0"/>
          <w:sz w:val="24"/>
        </w:rPr>
        <w:t>土地复垦适宜性评价的目的是通过分析土地开发、复垦和整理</w:t>
      </w:r>
      <w:r>
        <w:rPr>
          <w:rFonts w:hAnsi="宋体" w:hint="eastAsia"/>
          <w:kern w:val="0"/>
          <w:sz w:val="24"/>
        </w:rPr>
        <w:t>一些</w:t>
      </w:r>
      <w:r>
        <w:rPr>
          <w:rFonts w:hAnsi="宋体"/>
          <w:kern w:val="0"/>
          <w:sz w:val="24"/>
        </w:rPr>
        <w:t>可能性</w:t>
      </w:r>
      <w:r>
        <w:rPr>
          <w:rFonts w:hAnsi="宋体" w:hint="eastAsia"/>
          <w:kern w:val="0"/>
          <w:sz w:val="24"/>
        </w:rPr>
        <w:t>因素，其</w:t>
      </w:r>
      <w:r>
        <w:rPr>
          <w:rFonts w:hAnsi="宋体"/>
          <w:kern w:val="0"/>
          <w:sz w:val="24"/>
        </w:rPr>
        <w:t>对生态环境产生的影响，确定拟复垦的土地对于某种用途的适宜性及适宜程度的高低，它是确定土地利用方向的基本依据。</w:t>
      </w:r>
    </w:p>
    <w:p w:rsidR="009C5C1F" w:rsidRDefault="004D2E0D">
      <w:pPr>
        <w:wordWrap w:val="0"/>
        <w:topLinePunct/>
        <w:spacing w:line="360" w:lineRule="auto"/>
        <w:ind w:firstLineChars="200" w:firstLine="480"/>
        <w:rPr>
          <w:rFonts w:hAnsi="宋体"/>
          <w:kern w:val="0"/>
          <w:sz w:val="24"/>
        </w:rPr>
      </w:pPr>
      <w:r>
        <w:rPr>
          <w:rFonts w:hAnsi="宋体"/>
          <w:kern w:val="0"/>
          <w:sz w:val="24"/>
        </w:rPr>
        <w:t>2</w:t>
      </w:r>
      <w:r>
        <w:rPr>
          <w:rFonts w:hAnsi="宋体"/>
          <w:kern w:val="0"/>
          <w:sz w:val="24"/>
        </w:rPr>
        <w:t>、评价范围和初步复垦方向的确定</w:t>
      </w:r>
    </w:p>
    <w:p w:rsidR="009C5C1F" w:rsidRDefault="004D2E0D">
      <w:pPr>
        <w:wordWrap w:val="0"/>
        <w:topLinePunct/>
        <w:spacing w:line="360" w:lineRule="auto"/>
        <w:ind w:firstLineChars="200" w:firstLine="480"/>
        <w:rPr>
          <w:rFonts w:hAnsi="宋体"/>
          <w:kern w:val="0"/>
          <w:sz w:val="24"/>
        </w:rPr>
      </w:pPr>
      <w:r>
        <w:rPr>
          <w:rFonts w:hAnsi="宋体" w:hint="eastAsia"/>
          <w:kern w:val="0"/>
          <w:sz w:val="24"/>
        </w:rPr>
        <w:t>甘肃省临泽县板桥</w:t>
      </w:r>
      <w:proofErr w:type="gramStart"/>
      <w:r>
        <w:rPr>
          <w:rFonts w:hAnsi="宋体" w:hint="eastAsia"/>
          <w:kern w:val="0"/>
          <w:sz w:val="24"/>
        </w:rPr>
        <w:t>镇壕洼村</w:t>
      </w:r>
      <w:proofErr w:type="gramEnd"/>
      <w:r>
        <w:rPr>
          <w:rFonts w:hint="eastAsia"/>
          <w:sz w:val="24"/>
        </w:rPr>
        <w:t>正北山西侧砖瓦用粘土矿</w:t>
      </w:r>
      <w:r>
        <w:rPr>
          <w:rFonts w:hAnsi="宋体"/>
          <w:kern w:val="0"/>
          <w:sz w:val="24"/>
        </w:rPr>
        <w:t>土地复垦评价范围为</w:t>
      </w:r>
      <w:proofErr w:type="gramStart"/>
      <w:r>
        <w:rPr>
          <w:rFonts w:hAnsi="宋体"/>
          <w:kern w:val="0"/>
          <w:sz w:val="24"/>
        </w:rPr>
        <w:t>复垦区</w:t>
      </w:r>
      <w:proofErr w:type="gramEnd"/>
      <w:r>
        <w:rPr>
          <w:rFonts w:hAnsi="宋体"/>
          <w:kern w:val="0"/>
          <w:sz w:val="24"/>
        </w:rPr>
        <w:t>范围。</w:t>
      </w:r>
    </w:p>
    <w:p w:rsidR="009C5C1F" w:rsidRDefault="004D2E0D">
      <w:pPr>
        <w:wordWrap w:val="0"/>
        <w:topLinePunct/>
        <w:spacing w:line="360" w:lineRule="auto"/>
        <w:ind w:firstLineChars="200" w:firstLine="480"/>
        <w:rPr>
          <w:kern w:val="0"/>
          <w:sz w:val="24"/>
        </w:rPr>
      </w:pPr>
      <w:r>
        <w:rPr>
          <w:rFonts w:hAnsi="宋体"/>
          <w:kern w:val="0"/>
          <w:sz w:val="24"/>
        </w:rPr>
        <w:t>按</w:t>
      </w:r>
      <w:proofErr w:type="gramStart"/>
      <w:r>
        <w:rPr>
          <w:rFonts w:hAnsi="宋体"/>
          <w:kern w:val="0"/>
          <w:sz w:val="24"/>
        </w:rPr>
        <w:t>复垦区</w:t>
      </w:r>
      <w:proofErr w:type="gramEnd"/>
      <w:r>
        <w:rPr>
          <w:rFonts w:hAnsi="宋体"/>
          <w:kern w:val="0"/>
          <w:sz w:val="24"/>
        </w:rPr>
        <w:t>土地利用总体规划，拟复垦土地的复垦方向应在土地适宜性评价的基础上，其复垦</w:t>
      </w:r>
      <w:r>
        <w:rPr>
          <w:rFonts w:hAnsi="宋体" w:hint="eastAsia"/>
          <w:kern w:val="0"/>
          <w:sz w:val="24"/>
        </w:rPr>
        <w:t>土地</w:t>
      </w:r>
      <w:r>
        <w:rPr>
          <w:rFonts w:hAnsi="宋体"/>
          <w:kern w:val="0"/>
          <w:sz w:val="24"/>
        </w:rPr>
        <w:t>基本原则为：宜农则农、宜林则林、宜牧则牧，对难以利用土地，也应</w:t>
      </w:r>
      <w:r>
        <w:rPr>
          <w:rFonts w:hint="eastAsia"/>
          <w:iCs/>
          <w:spacing w:val="20"/>
          <w:kern w:val="0"/>
          <w:sz w:val="24"/>
          <w:shd w:val="clear" w:color="auto" w:fill="FFFFFF"/>
          <w:lang w:val="zh-TW"/>
        </w:rPr>
        <w:t>采取</w:t>
      </w:r>
      <w:r>
        <w:rPr>
          <w:rFonts w:hAnsi="宋体"/>
          <w:kern w:val="0"/>
          <w:sz w:val="24"/>
        </w:rPr>
        <w:t>有效措施与周围环境保持基本一致。</w:t>
      </w:r>
    </w:p>
    <w:p w:rsidR="009C5C1F" w:rsidRDefault="004D2E0D">
      <w:pPr>
        <w:wordWrap w:val="0"/>
        <w:topLinePunct/>
        <w:spacing w:line="360" w:lineRule="auto"/>
        <w:ind w:firstLineChars="200" w:firstLine="480"/>
        <w:rPr>
          <w:rFonts w:hAnsi="宋体"/>
          <w:kern w:val="0"/>
          <w:sz w:val="24"/>
        </w:rPr>
      </w:pPr>
      <w:r>
        <w:rPr>
          <w:rFonts w:hAnsi="宋体"/>
          <w:kern w:val="0"/>
          <w:sz w:val="24"/>
        </w:rPr>
        <w:t>根据以上原则，征求了当地农业和国</w:t>
      </w:r>
      <w:r>
        <w:rPr>
          <w:rFonts w:hAnsi="宋体" w:hint="eastAsia"/>
          <w:kern w:val="0"/>
          <w:sz w:val="24"/>
        </w:rPr>
        <w:t>土自然资源</w:t>
      </w:r>
      <w:r>
        <w:rPr>
          <w:rFonts w:hAnsi="宋体"/>
          <w:kern w:val="0"/>
          <w:sz w:val="24"/>
        </w:rPr>
        <w:t>等专业部门的意见，同时访问了土地权属人代表</w:t>
      </w:r>
      <w:r>
        <w:rPr>
          <w:rFonts w:hAnsi="宋体" w:hint="eastAsia"/>
          <w:kern w:val="0"/>
          <w:sz w:val="24"/>
        </w:rPr>
        <w:t>——</w:t>
      </w:r>
      <w:r>
        <w:rPr>
          <w:rFonts w:hAnsi="宋体"/>
          <w:kern w:val="0"/>
          <w:sz w:val="24"/>
        </w:rPr>
        <w:t>当地乡村干部及部分村民，听取了大家关于土地利用的意见</w:t>
      </w:r>
      <w:r>
        <w:rPr>
          <w:rFonts w:hAnsi="宋体" w:hint="eastAsia"/>
          <w:kern w:val="0"/>
          <w:sz w:val="24"/>
        </w:rPr>
        <w:t>，</w:t>
      </w:r>
      <w:r>
        <w:rPr>
          <w:rFonts w:hAnsi="宋体"/>
          <w:kern w:val="0"/>
          <w:sz w:val="24"/>
        </w:rPr>
        <w:t>并结合企业的投资状况和复垦意愿</w:t>
      </w:r>
      <w:r>
        <w:rPr>
          <w:rFonts w:hAnsi="宋体" w:hint="eastAsia"/>
          <w:kern w:val="0"/>
          <w:sz w:val="24"/>
        </w:rPr>
        <w:t>，</w:t>
      </w:r>
      <w:proofErr w:type="gramStart"/>
      <w:r>
        <w:rPr>
          <w:rFonts w:hAnsi="宋体"/>
          <w:kern w:val="0"/>
          <w:sz w:val="24"/>
        </w:rPr>
        <w:t>按评价</w:t>
      </w:r>
      <w:proofErr w:type="gramEnd"/>
      <w:r>
        <w:rPr>
          <w:rFonts w:hAnsi="宋体"/>
          <w:kern w:val="0"/>
          <w:sz w:val="24"/>
        </w:rPr>
        <w:t>单元</w:t>
      </w:r>
      <w:r>
        <w:rPr>
          <w:rFonts w:hAnsi="宋体" w:hint="eastAsia"/>
          <w:kern w:val="0"/>
          <w:sz w:val="24"/>
        </w:rPr>
        <w:t>，</w:t>
      </w:r>
      <w:r>
        <w:rPr>
          <w:rFonts w:hAnsi="宋体"/>
          <w:kern w:val="0"/>
          <w:sz w:val="24"/>
        </w:rPr>
        <w:t>初步确定土地复垦方向为</w:t>
      </w:r>
      <w:r>
        <w:rPr>
          <w:rFonts w:hAnsi="宋体" w:hint="eastAsia"/>
          <w:kern w:val="0"/>
          <w:sz w:val="24"/>
        </w:rPr>
        <w:t>其他</w:t>
      </w:r>
      <w:proofErr w:type="gramStart"/>
      <w:r>
        <w:rPr>
          <w:rFonts w:hAnsi="宋体" w:hint="eastAsia"/>
          <w:kern w:val="0"/>
          <w:sz w:val="24"/>
        </w:rPr>
        <w:t>裸</w:t>
      </w:r>
      <w:proofErr w:type="gramEnd"/>
      <w:r>
        <w:rPr>
          <w:rFonts w:hAnsi="宋体" w:hint="eastAsia"/>
          <w:kern w:val="0"/>
          <w:sz w:val="24"/>
        </w:rPr>
        <w:t>土地</w:t>
      </w:r>
      <w:r>
        <w:rPr>
          <w:rFonts w:hAnsi="宋体"/>
          <w:spacing w:val="30"/>
          <w:kern w:val="0"/>
          <w:sz w:val="24"/>
          <w:shd w:val="clear" w:color="auto" w:fill="FFFFFF"/>
          <w:lang w:val="zh-TW"/>
        </w:rPr>
        <w:t>，</w:t>
      </w:r>
      <w:r>
        <w:rPr>
          <w:rFonts w:hAnsi="宋体" w:hint="eastAsia"/>
          <w:spacing w:val="30"/>
          <w:kern w:val="0"/>
          <w:sz w:val="24"/>
          <w:shd w:val="clear" w:color="auto" w:fill="FFFFFF"/>
          <w:lang w:val="zh-TW"/>
        </w:rPr>
        <w:t>复垦后自然恢复，无需人工处理</w:t>
      </w:r>
      <w:r>
        <w:rPr>
          <w:rFonts w:hAnsi="宋体" w:hint="eastAsia"/>
          <w:kern w:val="0"/>
          <w:sz w:val="24"/>
        </w:rPr>
        <w:t>。</w:t>
      </w:r>
    </w:p>
    <w:p w:rsidR="009C5C1F" w:rsidRDefault="004D2E0D">
      <w:pPr>
        <w:wordWrap w:val="0"/>
        <w:topLinePunct/>
        <w:spacing w:line="360" w:lineRule="auto"/>
        <w:ind w:firstLineChars="200" w:firstLine="480"/>
        <w:rPr>
          <w:rFonts w:hAnsi="宋体"/>
          <w:kern w:val="0"/>
          <w:sz w:val="24"/>
        </w:rPr>
      </w:pPr>
      <w:r>
        <w:rPr>
          <w:rFonts w:hAnsi="宋体"/>
          <w:kern w:val="0"/>
          <w:sz w:val="24"/>
        </w:rPr>
        <w:t>3</w:t>
      </w:r>
      <w:r>
        <w:rPr>
          <w:rFonts w:hAnsi="宋体"/>
          <w:kern w:val="0"/>
          <w:sz w:val="24"/>
        </w:rPr>
        <w:t>、待复垦土地适宜性评价单元的划分</w:t>
      </w:r>
    </w:p>
    <w:p w:rsidR="009C5C1F" w:rsidRDefault="004D2E0D">
      <w:pPr>
        <w:suppressAutoHyphens/>
        <w:wordWrap w:val="0"/>
        <w:topLinePunct/>
        <w:spacing w:line="360" w:lineRule="auto"/>
        <w:ind w:firstLineChars="200" w:firstLine="480"/>
        <w:rPr>
          <w:sz w:val="24"/>
        </w:rPr>
      </w:pPr>
      <w:r>
        <w:rPr>
          <w:rFonts w:hAnsi="宋体"/>
          <w:sz w:val="24"/>
        </w:rPr>
        <w:t>根据</w:t>
      </w:r>
      <w:proofErr w:type="gramStart"/>
      <w:r>
        <w:rPr>
          <w:rFonts w:hAnsi="宋体"/>
          <w:sz w:val="24"/>
        </w:rPr>
        <w:t>复垦区</w:t>
      </w:r>
      <w:proofErr w:type="gramEnd"/>
      <w:r>
        <w:rPr>
          <w:rFonts w:hAnsi="宋体"/>
          <w:sz w:val="24"/>
        </w:rPr>
        <w:t>各单元场地的相似性并结合开发利用方案</w:t>
      </w:r>
      <w:r>
        <w:rPr>
          <w:rFonts w:hAnsi="宋体" w:hint="eastAsia"/>
          <w:sz w:val="24"/>
        </w:rPr>
        <w:t>，</w:t>
      </w:r>
      <w:r>
        <w:rPr>
          <w:rFonts w:hint="eastAsia"/>
          <w:sz w:val="24"/>
        </w:rPr>
        <w:t>综合考虑土地损毁方式、</w:t>
      </w:r>
      <w:r>
        <w:rPr>
          <w:sz w:val="24"/>
        </w:rPr>
        <w:t>复垦措施的相似度</w:t>
      </w:r>
      <w:r>
        <w:rPr>
          <w:rFonts w:hint="eastAsia"/>
          <w:sz w:val="24"/>
        </w:rPr>
        <w:t>和复垦利用方向划分了</w:t>
      </w:r>
      <w:r>
        <w:rPr>
          <w:rFonts w:hint="eastAsia"/>
          <w:sz w:val="24"/>
        </w:rPr>
        <w:t>3</w:t>
      </w:r>
      <w:r>
        <w:rPr>
          <w:rFonts w:hint="eastAsia"/>
          <w:sz w:val="24"/>
        </w:rPr>
        <w:t>个复垦单元</w:t>
      </w:r>
      <w:r>
        <w:rPr>
          <w:sz w:val="24"/>
        </w:rPr>
        <w:t>。</w:t>
      </w:r>
    </w:p>
    <w:p w:rsidR="009C5C1F" w:rsidRDefault="004D2E0D">
      <w:pPr>
        <w:suppressAutoHyphens/>
        <w:wordWrap w:val="0"/>
        <w:topLinePunct/>
        <w:spacing w:line="360" w:lineRule="auto"/>
        <w:ind w:firstLineChars="200" w:firstLine="480"/>
        <w:rPr>
          <w:sz w:val="24"/>
        </w:rPr>
      </w:pPr>
      <w:r>
        <w:rPr>
          <w:sz w:val="24"/>
        </w:rPr>
        <w:lastRenderedPageBreak/>
        <w:t>复垦单元</w:t>
      </w:r>
      <w:proofErr w:type="gramStart"/>
      <w:r>
        <w:rPr>
          <w:sz w:val="24"/>
        </w:rPr>
        <w:t>一</w:t>
      </w:r>
      <w:proofErr w:type="gramEnd"/>
      <w:r>
        <w:rPr>
          <w:sz w:val="24"/>
        </w:rPr>
        <w:t>：采场；</w:t>
      </w:r>
    </w:p>
    <w:p w:rsidR="009C5C1F" w:rsidRDefault="004D2E0D">
      <w:pPr>
        <w:suppressAutoHyphens/>
        <w:wordWrap w:val="0"/>
        <w:topLinePunct/>
        <w:spacing w:line="360" w:lineRule="auto"/>
        <w:ind w:firstLineChars="200" w:firstLine="480"/>
        <w:rPr>
          <w:sz w:val="24"/>
        </w:rPr>
      </w:pPr>
      <w:r>
        <w:rPr>
          <w:sz w:val="24"/>
        </w:rPr>
        <w:t>复垦单元二：</w:t>
      </w:r>
      <w:r>
        <w:rPr>
          <w:rFonts w:hint="eastAsia"/>
          <w:sz w:val="24"/>
        </w:rPr>
        <w:t>堆料场；</w:t>
      </w:r>
    </w:p>
    <w:p w:rsidR="009C5C1F" w:rsidRDefault="004D2E0D">
      <w:pPr>
        <w:suppressAutoHyphens/>
        <w:wordWrap w:val="0"/>
        <w:topLinePunct/>
        <w:spacing w:line="360" w:lineRule="auto"/>
        <w:ind w:firstLineChars="200" w:firstLine="480"/>
        <w:rPr>
          <w:sz w:val="24"/>
        </w:rPr>
      </w:pPr>
      <w:r>
        <w:rPr>
          <w:sz w:val="24"/>
        </w:rPr>
        <w:t>复垦单元</w:t>
      </w:r>
      <w:r>
        <w:rPr>
          <w:rFonts w:hint="eastAsia"/>
          <w:sz w:val="24"/>
        </w:rPr>
        <w:t>三</w:t>
      </w:r>
      <w:r>
        <w:rPr>
          <w:sz w:val="24"/>
        </w:rPr>
        <w:t>：</w:t>
      </w:r>
      <w:r>
        <w:rPr>
          <w:rFonts w:hint="eastAsia"/>
          <w:sz w:val="24"/>
        </w:rPr>
        <w:t>生活办公区。</w:t>
      </w:r>
    </w:p>
    <w:p w:rsidR="009C5C1F" w:rsidRDefault="004D2E0D">
      <w:pPr>
        <w:wordWrap w:val="0"/>
        <w:topLinePunct/>
        <w:spacing w:line="360" w:lineRule="auto"/>
        <w:ind w:firstLineChars="200" w:firstLine="480"/>
        <w:rPr>
          <w:rFonts w:hAnsi="宋体"/>
          <w:kern w:val="0"/>
          <w:sz w:val="24"/>
        </w:rPr>
      </w:pPr>
      <w:r>
        <w:rPr>
          <w:rFonts w:hAnsi="宋体"/>
          <w:kern w:val="0"/>
          <w:sz w:val="24"/>
        </w:rPr>
        <w:t>4</w:t>
      </w:r>
      <w:r>
        <w:rPr>
          <w:rFonts w:hAnsi="宋体"/>
          <w:kern w:val="0"/>
          <w:sz w:val="24"/>
        </w:rPr>
        <w:t>、参评因素的选择</w:t>
      </w:r>
    </w:p>
    <w:p w:rsidR="009C5C1F" w:rsidRDefault="004D2E0D">
      <w:pPr>
        <w:wordWrap w:val="0"/>
        <w:topLinePunct/>
        <w:spacing w:line="360" w:lineRule="auto"/>
        <w:ind w:firstLineChars="200" w:firstLine="480"/>
        <w:rPr>
          <w:kern w:val="0"/>
          <w:sz w:val="24"/>
        </w:rPr>
      </w:pPr>
      <w:r>
        <w:rPr>
          <w:rFonts w:hAnsi="宋体"/>
          <w:kern w:val="0"/>
          <w:sz w:val="24"/>
        </w:rPr>
        <w:t>参考《中国</w:t>
      </w:r>
      <w:r>
        <w:rPr>
          <w:iCs/>
          <w:spacing w:val="20"/>
          <w:kern w:val="0"/>
          <w:sz w:val="24"/>
          <w:shd w:val="clear" w:color="auto" w:fill="FFFFFF"/>
          <w:lang w:val="zh-TW"/>
        </w:rPr>
        <w:t>1:100</w:t>
      </w:r>
      <w:r>
        <w:rPr>
          <w:rFonts w:hAnsi="宋体"/>
          <w:kern w:val="0"/>
          <w:sz w:val="24"/>
        </w:rPr>
        <w:t>万土地资源图》西北干旱区主要限制因素的农林牧业评价等级标准、《耕地后备资源调查与评价技术规程》中后备耕地评价</w:t>
      </w:r>
      <w:r>
        <w:rPr>
          <w:kern w:val="0"/>
          <w:sz w:val="24"/>
        </w:rPr>
        <w:t xml:space="preserve"> </w:t>
      </w:r>
      <w:r>
        <w:rPr>
          <w:rFonts w:hAnsi="宋体"/>
          <w:kern w:val="0"/>
          <w:sz w:val="24"/>
        </w:rPr>
        <w:t>等级标准；通过实地调查验证和专家咨询论证等方法，确定了影响土地复垦方向的主要影响因素，选取了土壤侵蚀性（</w:t>
      </w:r>
      <w:proofErr w:type="gramStart"/>
      <w:r>
        <w:rPr>
          <w:rFonts w:hAnsi="宋体"/>
          <w:kern w:val="0"/>
          <w:sz w:val="24"/>
        </w:rPr>
        <w:t>侵蚀沟占土地面积</w:t>
      </w:r>
      <w:proofErr w:type="gramEnd"/>
      <w:r>
        <w:rPr>
          <w:rFonts w:hAnsi="宋体"/>
          <w:kern w:val="0"/>
          <w:sz w:val="24"/>
        </w:rPr>
        <w:t>％</w:t>
      </w:r>
      <w:r>
        <w:rPr>
          <w:kern w:val="0"/>
          <w:sz w:val="24"/>
        </w:rPr>
        <w:t>)</w:t>
      </w:r>
      <w:r>
        <w:rPr>
          <w:rFonts w:hAnsi="宋体"/>
          <w:kern w:val="0"/>
          <w:sz w:val="24"/>
        </w:rPr>
        <w:t>、地形坡度、土层厚度、有效土层厚度（腐</w:t>
      </w:r>
      <w:proofErr w:type="gramStart"/>
      <w:r>
        <w:rPr>
          <w:rFonts w:hAnsi="宋体"/>
          <w:kern w:val="0"/>
          <w:sz w:val="24"/>
        </w:rPr>
        <w:t>殖</w:t>
      </w:r>
      <w:proofErr w:type="gramEnd"/>
      <w:r>
        <w:rPr>
          <w:rFonts w:hAnsi="宋体"/>
          <w:kern w:val="0"/>
          <w:sz w:val="24"/>
        </w:rPr>
        <w:t>层厚度）、土壤质地、排水条件、水源保证状况作为土地复垦的参评因素，构成反映该矿区复垦土地质量评价指标体系。</w:t>
      </w:r>
    </w:p>
    <w:p w:rsidR="009C5C1F" w:rsidRDefault="004D2E0D">
      <w:pPr>
        <w:wordWrap w:val="0"/>
        <w:topLinePunct/>
        <w:spacing w:line="360" w:lineRule="auto"/>
        <w:ind w:firstLineChars="200" w:firstLine="480"/>
        <w:rPr>
          <w:rFonts w:hAnsi="宋体"/>
          <w:kern w:val="0"/>
          <w:sz w:val="24"/>
        </w:rPr>
      </w:pPr>
      <w:r>
        <w:rPr>
          <w:rFonts w:hAnsi="宋体"/>
          <w:kern w:val="0"/>
          <w:sz w:val="24"/>
        </w:rPr>
        <w:t>5</w:t>
      </w:r>
      <w:r>
        <w:rPr>
          <w:rFonts w:hAnsi="宋体"/>
          <w:kern w:val="0"/>
          <w:sz w:val="24"/>
        </w:rPr>
        <w:t>、评价因子适宜程度分级和评价标准的确定</w:t>
      </w:r>
    </w:p>
    <w:p w:rsidR="009C5C1F" w:rsidRDefault="004D2E0D">
      <w:pPr>
        <w:wordWrap w:val="0"/>
        <w:topLinePunct/>
        <w:spacing w:line="360" w:lineRule="auto"/>
        <w:ind w:firstLineChars="200" w:firstLine="480"/>
        <w:rPr>
          <w:rFonts w:hAnsi="宋体"/>
          <w:kern w:val="0"/>
          <w:sz w:val="24"/>
        </w:rPr>
      </w:pPr>
      <w:r>
        <w:rPr>
          <w:rFonts w:hAnsi="宋体"/>
          <w:kern w:val="0"/>
          <w:sz w:val="24"/>
        </w:rPr>
        <w:t>对各评价因子进行分级，将其适宜程度分为宜耕类、宜园类、宜林类、</w:t>
      </w:r>
      <w:r>
        <w:rPr>
          <w:kern w:val="0"/>
          <w:sz w:val="24"/>
        </w:rPr>
        <w:t xml:space="preserve"> </w:t>
      </w:r>
      <w:r>
        <w:rPr>
          <w:rFonts w:hAnsi="宋体"/>
          <w:kern w:val="0"/>
          <w:sz w:val="24"/>
        </w:rPr>
        <w:t>宜牧类及其它类</w:t>
      </w:r>
      <w:r>
        <w:rPr>
          <w:iCs/>
          <w:spacing w:val="20"/>
          <w:kern w:val="0"/>
          <w:sz w:val="24"/>
          <w:shd w:val="clear" w:color="auto" w:fill="FFFFFF"/>
          <w:lang w:val="zh-TW"/>
        </w:rPr>
        <w:t>5</w:t>
      </w:r>
      <w:r>
        <w:rPr>
          <w:rFonts w:hAnsi="宋体"/>
          <w:kern w:val="0"/>
          <w:sz w:val="24"/>
        </w:rPr>
        <w:t>个等级。各评价因子适宜程度分级情况如表</w:t>
      </w:r>
      <w:r>
        <w:rPr>
          <w:iCs/>
          <w:spacing w:val="20"/>
          <w:kern w:val="0"/>
          <w:sz w:val="24"/>
          <w:shd w:val="clear" w:color="auto" w:fill="FFFFFF"/>
          <w:lang w:val="zh-CN"/>
        </w:rPr>
        <w:t>4-1</w:t>
      </w:r>
      <w:r>
        <w:rPr>
          <w:rFonts w:hAnsi="宋体"/>
          <w:kern w:val="0"/>
          <w:sz w:val="24"/>
        </w:rPr>
        <w:t>所示。</w:t>
      </w:r>
    </w:p>
    <w:p w:rsidR="009C5C1F" w:rsidRDefault="004D2E0D">
      <w:pPr>
        <w:suppressAutoHyphens/>
        <w:wordWrap w:val="0"/>
        <w:topLinePunct/>
        <w:spacing w:beforeLines="50" w:before="120" w:afterLines="50" w:after="120"/>
        <w:jc w:val="center"/>
        <w:rPr>
          <w:b/>
          <w:bCs/>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4</w:t>
      </w:r>
      <w:r>
        <w:rPr>
          <w:rFonts w:hint="eastAsia"/>
          <w:b/>
          <w:bCs/>
          <w:sz w:val="24"/>
        </w:rPr>
        <w:t>—</w:t>
      </w:r>
      <w:r>
        <w:rPr>
          <w:rFonts w:hint="eastAsia"/>
          <w:b/>
          <w:bCs/>
          <w:sz w:val="24"/>
        </w:rPr>
        <w:t>1</w:t>
      </w:r>
      <w:r>
        <w:rPr>
          <w:b/>
          <w:bCs/>
          <w:sz w:val="24"/>
        </w:rPr>
        <w:t xml:space="preserve">        </w:t>
      </w:r>
      <w:r>
        <w:rPr>
          <w:b/>
          <w:bCs/>
          <w:sz w:val="24"/>
        </w:rPr>
        <w:t>适宜性评价标准一览表</w:t>
      </w:r>
      <w:r>
        <w:rPr>
          <w:rFonts w:hint="eastAsia"/>
          <w:b/>
          <w:bCs/>
          <w:sz w:val="24"/>
        </w:rPr>
        <w:t xml:space="preserve">        </w:t>
      </w:r>
    </w:p>
    <w:tbl>
      <w:tblPr>
        <w:tblW w:w="0" w:type="auto"/>
        <w:jc w:val="center"/>
        <w:tblLayout w:type="fixed"/>
        <w:tblCellMar>
          <w:left w:w="10" w:type="dxa"/>
          <w:right w:w="10" w:type="dxa"/>
        </w:tblCellMar>
        <w:tblLook w:val="04A0" w:firstRow="1" w:lastRow="0" w:firstColumn="1" w:lastColumn="0" w:noHBand="0" w:noVBand="1"/>
      </w:tblPr>
      <w:tblGrid>
        <w:gridCol w:w="1440"/>
        <w:gridCol w:w="1184"/>
        <w:gridCol w:w="1184"/>
        <w:gridCol w:w="1184"/>
        <w:gridCol w:w="1184"/>
        <w:gridCol w:w="887"/>
        <w:gridCol w:w="888"/>
        <w:gridCol w:w="859"/>
      </w:tblGrid>
      <w:tr w:rsidR="009C5C1F">
        <w:trPr>
          <w:trHeight w:hRule="exact" w:val="322"/>
          <w:jc w:val="center"/>
        </w:trPr>
        <w:tc>
          <w:tcPr>
            <w:tcW w:w="1440" w:type="dxa"/>
            <w:vMerge w:val="restart"/>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级别</w:t>
            </w:r>
          </w:p>
        </w:tc>
        <w:tc>
          <w:tcPr>
            <w:tcW w:w="3551" w:type="dxa"/>
            <w:gridSpan w:val="3"/>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proofErr w:type="gramStart"/>
            <w:r>
              <w:rPr>
                <w:rFonts w:hAnsi="宋体"/>
                <w:spacing w:val="-10"/>
                <w:kern w:val="0"/>
                <w:shd w:val="clear" w:color="auto" w:fill="FFFFFF"/>
                <w:lang w:val="zh-CN"/>
              </w:rPr>
              <w:t>宜耕类</w:t>
            </w:r>
            <w:proofErr w:type="gramEnd"/>
          </w:p>
        </w:tc>
        <w:tc>
          <w:tcPr>
            <w:tcW w:w="1184" w:type="dxa"/>
            <w:vMerge w:val="restart"/>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proofErr w:type="gramStart"/>
            <w:r>
              <w:rPr>
                <w:rFonts w:hAnsi="宋体"/>
                <w:spacing w:val="-10"/>
                <w:kern w:val="0"/>
                <w:shd w:val="clear" w:color="auto" w:fill="FFFFFF"/>
                <w:lang w:val="zh-CN"/>
              </w:rPr>
              <w:t>宜园类</w:t>
            </w:r>
            <w:proofErr w:type="gramEnd"/>
          </w:p>
        </w:tc>
        <w:tc>
          <w:tcPr>
            <w:tcW w:w="887" w:type="dxa"/>
            <w:vMerge w:val="restart"/>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宜林类</w:t>
            </w:r>
          </w:p>
        </w:tc>
        <w:tc>
          <w:tcPr>
            <w:tcW w:w="888" w:type="dxa"/>
            <w:vMerge w:val="restart"/>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宜牧类</w:t>
            </w:r>
          </w:p>
        </w:tc>
        <w:tc>
          <w:tcPr>
            <w:tcW w:w="859" w:type="dxa"/>
            <w:vMerge w:val="restart"/>
            <w:tcBorders>
              <w:top w:val="single" w:sz="4" w:space="0" w:color="auto"/>
              <w:left w:val="single" w:sz="4" w:space="0" w:color="auto"/>
              <w:right w:val="single" w:sz="4" w:space="0" w:color="auto"/>
            </w:tcBorders>
            <w:shd w:val="clear" w:color="auto" w:fill="FFFFFF"/>
            <w:vAlign w:val="center"/>
          </w:tcPr>
          <w:p w:rsidR="009C5C1F" w:rsidRDefault="004D2E0D">
            <w:pPr>
              <w:wordWrap w:val="0"/>
              <w:topLinePunct/>
              <w:jc w:val="center"/>
              <w:rPr>
                <w:bCs/>
                <w:kern w:val="0"/>
                <w:szCs w:val="21"/>
              </w:rPr>
            </w:pPr>
            <w:r>
              <w:rPr>
                <w:rFonts w:hAnsi="宋体"/>
                <w:bCs/>
                <w:spacing w:val="-10"/>
                <w:kern w:val="0"/>
                <w:shd w:val="clear" w:color="auto" w:fill="FFFFFF"/>
                <w:lang w:val="zh-CN"/>
              </w:rPr>
              <w:t>其它类</w:t>
            </w:r>
          </w:p>
        </w:tc>
      </w:tr>
      <w:tr w:rsidR="009C5C1F">
        <w:trPr>
          <w:trHeight w:hRule="exact" w:val="288"/>
          <w:jc w:val="center"/>
        </w:trPr>
        <w:tc>
          <w:tcPr>
            <w:tcW w:w="1440" w:type="dxa"/>
            <w:vMerge/>
            <w:tcBorders>
              <w:left w:val="single" w:sz="4" w:space="0" w:color="auto"/>
            </w:tcBorders>
            <w:shd w:val="clear" w:color="auto" w:fill="FFFFFF"/>
            <w:vAlign w:val="center"/>
          </w:tcPr>
          <w:p w:rsidR="009C5C1F" w:rsidRDefault="009C5C1F">
            <w:pPr>
              <w:wordWrap w:val="0"/>
              <w:topLinePunct/>
              <w:jc w:val="center"/>
              <w:rPr>
                <w:szCs w:val="21"/>
              </w:rPr>
            </w:pP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一等</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二等</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三等</w:t>
            </w:r>
          </w:p>
        </w:tc>
        <w:tc>
          <w:tcPr>
            <w:tcW w:w="1184" w:type="dxa"/>
            <w:vMerge/>
            <w:tcBorders>
              <w:left w:val="single" w:sz="4" w:space="0" w:color="auto"/>
            </w:tcBorders>
            <w:shd w:val="clear" w:color="auto" w:fill="FFFFFF"/>
            <w:vAlign w:val="center"/>
          </w:tcPr>
          <w:p w:rsidR="009C5C1F" w:rsidRDefault="009C5C1F">
            <w:pPr>
              <w:wordWrap w:val="0"/>
              <w:topLinePunct/>
              <w:jc w:val="center"/>
              <w:rPr>
                <w:szCs w:val="21"/>
              </w:rPr>
            </w:pPr>
          </w:p>
        </w:tc>
        <w:tc>
          <w:tcPr>
            <w:tcW w:w="887" w:type="dxa"/>
            <w:vMerge/>
            <w:tcBorders>
              <w:left w:val="single" w:sz="4" w:space="0" w:color="auto"/>
            </w:tcBorders>
            <w:shd w:val="clear" w:color="auto" w:fill="FFFFFF"/>
            <w:vAlign w:val="center"/>
          </w:tcPr>
          <w:p w:rsidR="009C5C1F" w:rsidRDefault="009C5C1F">
            <w:pPr>
              <w:wordWrap w:val="0"/>
              <w:topLinePunct/>
              <w:jc w:val="center"/>
              <w:rPr>
                <w:szCs w:val="21"/>
              </w:rPr>
            </w:pPr>
          </w:p>
        </w:tc>
        <w:tc>
          <w:tcPr>
            <w:tcW w:w="888" w:type="dxa"/>
            <w:vMerge/>
            <w:tcBorders>
              <w:left w:val="single" w:sz="4" w:space="0" w:color="auto"/>
            </w:tcBorders>
            <w:shd w:val="clear" w:color="auto" w:fill="FFFFFF"/>
            <w:vAlign w:val="center"/>
          </w:tcPr>
          <w:p w:rsidR="009C5C1F" w:rsidRDefault="009C5C1F">
            <w:pPr>
              <w:wordWrap w:val="0"/>
              <w:topLinePunct/>
              <w:jc w:val="center"/>
              <w:rPr>
                <w:szCs w:val="21"/>
              </w:rPr>
            </w:pPr>
          </w:p>
        </w:tc>
        <w:tc>
          <w:tcPr>
            <w:tcW w:w="859" w:type="dxa"/>
            <w:vMerge/>
            <w:tcBorders>
              <w:left w:val="single" w:sz="4" w:space="0" w:color="auto"/>
              <w:right w:val="single" w:sz="4" w:space="0" w:color="auto"/>
            </w:tcBorders>
            <w:shd w:val="clear" w:color="auto" w:fill="FFFFFF"/>
            <w:vAlign w:val="center"/>
          </w:tcPr>
          <w:p w:rsidR="009C5C1F" w:rsidRDefault="009C5C1F">
            <w:pPr>
              <w:wordWrap w:val="0"/>
              <w:topLinePunct/>
              <w:jc w:val="center"/>
              <w:rPr>
                <w:szCs w:val="21"/>
              </w:rPr>
            </w:pPr>
          </w:p>
        </w:tc>
      </w:tr>
      <w:tr w:rsidR="009C5C1F">
        <w:trPr>
          <w:trHeight w:hRule="exact" w:val="293"/>
          <w:jc w:val="center"/>
        </w:trPr>
        <w:tc>
          <w:tcPr>
            <w:tcW w:w="1440" w:type="dxa"/>
            <w:tcBorders>
              <w:top w:val="single" w:sz="4" w:space="0" w:color="auto"/>
              <w:left w:val="single" w:sz="4" w:space="0" w:color="auto"/>
            </w:tcBorders>
            <w:shd w:val="clear" w:color="auto" w:fill="FFFFFF"/>
            <w:vAlign w:val="center"/>
          </w:tcPr>
          <w:p w:rsidR="009C5C1F" w:rsidRDefault="004D2E0D">
            <w:pPr>
              <w:wordWrap w:val="0"/>
              <w:topLinePunct/>
              <w:jc w:val="center"/>
              <w:rPr>
                <w:w w:val="90"/>
                <w:kern w:val="0"/>
                <w:szCs w:val="21"/>
              </w:rPr>
            </w:pPr>
            <w:r>
              <w:rPr>
                <w:rFonts w:hAnsi="宋体"/>
                <w:spacing w:val="-10"/>
                <w:w w:val="90"/>
                <w:kern w:val="0"/>
                <w:shd w:val="clear" w:color="auto" w:fill="FFFFFF"/>
                <w:lang w:val="zh-CN"/>
              </w:rPr>
              <w:t>地面坡度</w:t>
            </w:r>
            <w:r>
              <w:rPr>
                <w:rFonts w:hAnsi="宋体"/>
                <w:iCs/>
                <w:spacing w:val="20"/>
                <w:w w:val="90"/>
                <w:kern w:val="0"/>
                <w:shd w:val="clear" w:color="auto" w:fill="FFFFFF"/>
                <w:lang w:val="zh-TW"/>
              </w:rPr>
              <w:t>（</w:t>
            </w:r>
            <w:r>
              <w:rPr>
                <w:iCs/>
                <w:spacing w:val="20"/>
                <w:w w:val="90"/>
                <w:kern w:val="0"/>
                <w:shd w:val="clear" w:color="auto" w:fill="FFFFFF"/>
                <w:lang w:val="zh-TW"/>
              </w:rPr>
              <w:t>°)</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TW"/>
              </w:rPr>
              <w:t>&lt;6</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CN"/>
              </w:rPr>
              <w:t>6-15</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CN"/>
              </w:rPr>
              <w:t>15-25</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CN"/>
              </w:rPr>
              <w:t>6-25</w:t>
            </w:r>
          </w:p>
        </w:tc>
        <w:tc>
          <w:tcPr>
            <w:tcW w:w="887"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TW"/>
              </w:rPr>
              <w:t>&gt;25</w:t>
            </w:r>
          </w:p>
        </w:tc>
        <w:tc>
          <w:tcPr>
            <w:tcW w:w="888"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CN"/>
              </w:rPr>
              <w:t>20-35</w:t>
            </w:r>
          </w:p>
        </w:tc>
        <w:tc>
          <w:tcPr>
            <w:tcW w:w="859" w:type="dxa"/>
            <w:tcBorders>
              <w:top w:val="single" w:sz="4" w:space="0" w:color="auto"/>
              <w:left w:val="single" w:sz="4" w:space="0" w:color="auto"/>
              <w:righ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CN"/>
              </w:rPr>
              <w:t>-</w:t>
            </w:r>
          </w:p>
        </w:tc>
      </w:tr>
      <w:tr w:rsidR="009C5C1F">
        <w:trPr>
          <w:trHeight w:hRule="exact" w:val="742"/>
          <w:jc w:val="center"/>
        </w:trPr>
        <w:tc>
          <w:tcPr>
            <w:tcW w:w="1440"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w w:val="85"/>
                <w:kern w:val="0"/>
                <w:szCs w:val="21"/>
              </w:rPr>
            </w:pPr>
            <w:r>
              <w:rPr>
                <w:rFonts w:hAnsi="宋体"/>
                <w:spacing w:val="-10"/>
                <w:w w:val="85"/>
                <w:kern w:val="0"/>
                <w:shd w:val="clear" w:color="auto" w:fill="FFFFFF"/>
                <w:lang w:val="zh-CN"/>
              </w:rPr>
              <w:t>土壤侵蚀性</w:t>
            </w:r>
            <w:r>
              <w:rPr>
                <w:spacing w:val="-10"/>
                <w:w w:val="85"/>
                <w:kern w:val="0"/>
                <w:shd w:val="clear" w:color="auto" w:fill="FFFFFF"/>
                <w:lang w:val="zh-CN"/>
              </w:rPr>
              <w:t xml:space="preserve"> (</w:t>
            </w:r>
            <w:proofErr w:type="gramStart"/>
            <w:r>
              <w:rPr>
                <w:rFonts w:hAnsi="宋体"/>
                <w:spacing w:val="-10"/>
                <w:w w:val="85"/>
                <w:kern w:val="0"/>
                <w:shd w:val="clear" w:color="auto" w:fill="FFFFFF"/>
                <w:lang w:val="zh-CN"/>
              </w:rPr>
              <w:t>侵蚀沟占土地面</w:t>
            </w:r>
            <w:r>
              <w:rPr>
                <w:rFonts w:hAnsi="宋体" w:hint="eastAsia"/>
                <w:iCs/>
                <w:spacing w:val="20"/>
                <w:w w:val="85"/>
                <w:kern w:val="0"/>
                <w:shd w:val="clear" w:color="auto" w:fill="FFFFFF"/>
                <w:lang w:val="zh-TW"/>
              </w:rPr>
              <w:t>积</w:t>
            </w:r>
            <w:proofErr w:type="gramEnd"/>
            <w:r>
              <w:rPr>
                <w:rFonts w:hAnsi="宋体"/>
                <w:iCs/>
                <w:spacing w:val="20"/>
                <w:w w:val="85"/>
                <w:kern w:val="0"/>
                <w:shd w:val="clear" w:color="auto" w:fill="FFFFFF"/>
                <w:lang w:val="zh-TW"/>
              </w:rPr>
              <w:t>％</w:t>
            </w:r>
            <w:r>
              <w:rPr>
                <w:iCs/>
                <w:spacing w:val="20"/>
                <w:w w:val="85"/>
                <w:kern w:val="0"/>
                <w:shd w:val="clear" w:color="auto" w:fill="FFFFFF"/>
                <w:lang w:val="zh-TW"/>
              </w:rPr>
              <w:t>)</w:t>
            </w:r>
          </w:p>
        </w:tc>
        <w:tc>
          <w:tcPr>
            <w:tcW w:w="1184"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无</w:t>
            </w:r>
          </w:p>
        </w:tc>
        <w:tc>
          <w:tcPr>
            <w:tcW w:w="1184"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TW"/>
              </w:rPr>
              <w:t>&lt;10</w:t>
            </w:r>
          </w:p>
        </w:tc>
        <w:tc>
          <w:tcPr>
            <w:tcW w:w="1184"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TW"/>
              </w:rPr>
              <w:t xml:space="preserve">11 </w:t>
            </w:r>
            <w:r>
              <w:rPr>
                <w:rFonts w:eastAsia="Arial Unicode MS" w:hAnsi="宋体"/>
                <w:iCs/>
                <w:spacing w:val="20"/>
                <w:kern w:val="0"/>
                <w:shd w:val="clear" w:color="auto" w:fill="FFFFFF"/>
                <w:lang w:val="zh-TW"/>
              </w:rPr>
              <w:t>〜</w:t>
            </w:r>
            <w:r>
              <w:rPr>
                <w:iCs/>
                <w:spacing w:val="20"/>
                <w:kern w:val="0"/>
                <w:shd w:val="clear" w:color="auto" w:fill="FFFFFF"/>
                <w:lang w:val="zh-TW"/>
              </w:rPr>
              <w:t>30</w:t>
            </w:r>
          </w:p>
        </w:tc>
        <w:tc>
          <w:tcPr>
            <w:tcW w:w="1184"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TW"/>
              </w:rPr>
              <w:t xml:space="preserve">30 </w:t>
            </w:r>
            <w:r>
              <w:rPr>
                <w:rFonts w:eastAsia="Arial Unicode MS" w:hAnsi="宋体"/>
                <w:iCs/>
                <w:spacing w:val="20"/>
                <w:kern w:val="0"/>
                <w:shd w:val="clear" w:color="auto" w:fill="FFFFFF"/>
                <w:lang w:val="zh-TW"/>
              </w:rPr>
              <w:t>〜</w:t>
            </w:r>
            <w:r>
              <w:rPr>
                <w:iCs/>
                <w:spacing w:val="20"/>
                <w:kern w:val="0"/>
                <w:shd w:val="clear" w:color="auto" w:fill="FFFFFF"/>
                <w:lang w:val="zh-TW"/>
              </w:rPr>
              <w:t>50</w:t>
            </w:r>
          </w:p>
        </w:tc>
        <w:tc>
          <w:tcPr>
            <w:tcW w:w="887"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TW"/>
              </w:rPr>
              <w:t xml:space="preserve">30 </w:t>
            </w:r>
            <w:r>
              <w:rPr>
                <w:rFonts w:eastAsia="Arial Unicode MS" w:hAnsi="宋体"/>
                <w:iCs/>
                <w:spacing w:val="20"/>
                <w:kern w:val="0"/>
                <w:shd w:val="clear" w:color="auto" w:fill="FFFFFF"/>
                <w:lang w:val="zh-TW"/>
              </w:rPr>
              <w:t>〜</w:t>
            </w:r>
            <w:r>
              <w:rPr>
                <w:iCs/>
                <w:spacing w:val="20"/>
                <w:kern w:val="0"/>
                <w:shd w:val="clear" w:color="auto" w:fill="FFFFFF"/>
                <w:lang w:val="zh-TW"/>
              </w:rPr>
              <w:t>50</w:t>
            </w:r>
          </w:p>
        </w:tc>
        <w:tc>
          <w:tcPr>
            <w:tcW w:w="888"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TW"/>
              </w:rPr>
              <w:t>&gt;50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CN"/>
              </w:rPr>
              <w:t>-</w:t>
            </w:r>
          </w:p>
        </w:tc>
      </w:tr>
      <w:tr w:rsidR="009C5C1F">
        <w:trPr>
          <w:trHeight w:hRule="exact" w:val="849"/>
          <w:jc w:val="center"/>
        </w:trPr>
        <w:tc>
          <w:tcPr>
            <w:tcW w:w="1440" w:type="dxa"/>
            <w:tcBorders>
              <w:top w:val="single" w:sz="4" w:space="0" w:color="auto"/>
              <w:left w:val="single" w:sz="4" w:space="0" w:color="auto"/>
            </w:tcBorders>
            <w:shd w:val="clear" w:color="auto" w:fill="FFFFFF"/>
            <w:vAlign w:val="center"/>
          </w:tcPr>
          <w:p w:rsidR="009C5C1F" w:rsidRDefault="004D2E0D">
            <w:pPr>
              <w:wordWrap w:val="0"/>
              <w:topLinePunct/>
              <w:jc w:val="center"/>
              <w:rPr>
                <w:rFonts w:hAnsi="宋体"/>
                <w:spacing w:val="-10"/>
                <w:w w:val="85"/>
                <w:kern w:val="0"/>
                <w:shd w:val="clear" w:color="auto" w:fill="FFFFFF"/>
                <w:lang w:val="zh-CN"/>
              </w:rPr>
            </w:pPr>
            <w:r>
              <w:rPr>
                <w:rFonts w:hAnsi="宋体"/>
                <w:spacing w:val="-10"/>
                <w:w w:val="85"/>
                <w:kern w:val="0"/>
                <w:shd w:val="clear" w:color="auto" w:fill="FFFFFF"/>
                <w:lang w:val="zh-CN"/>
              </w:rPr>
              <w:t>有效土层厚</w:t>
            </w:r>
            <w:r>
              <w:rPr>
                <w:rFonts w:hAnsi="宋体"/>
                <w:spacing w:val="-10"/>
                <w:w w:val="85"/>
                <w:kern w:val="0"/>
                <w:shd w:val="clear" w:color="auto" w:fill="FFFFFF"/>
                <w:lang w:val="zh-CN"/>
              </w:rPr>
              <w:t xml:space="preserve"> </w:t>
            </w:r>
            <w:r>
              <w:rPr>
                <w:rFonts w:hAnsi="宋体"/>
                <w:spacing w:val="-10"/>
                <w:w w:val="85"/>
                <w:kern w:val="0"/>
                <w:shd w:val="clear" w:color="auto" w:fill="FFFFFF"/>
                <w:lang w:val="zh-CN"/>
              </w:rPr>
              <w:t>度（腐</w:t>
            </w:r>
            <w:proofErr w:type="gramStart"/>
            <w:r>
              <w:rPr>
                <w:rFonts w:hAnsi="宋体"/>
                <w:spacing w:val="-10"/>
                <w:w w:val="85"/>
                <w:kern w:val="0"/>
                <w:shd w:val="clear" w:color="auto" w:fill="FFFFFF"/>
                <w:lang w:val="zh-CN"/>
              </w:rPr>
              <w:t>殖</w:t>
            </w:r>
            <w:proofErr w:type="gramEnd"/>
            <w:r>
              <w:rPr>
                <w:rFonts w:hAnsi="宋体"/>
                <w:spacing w:val="-10"/>
                <w:w w:val="85"/>
                <w:kern w:val="0"/>
                <w:shd w:val="clear" w:color="auto" w:fill="FFFFFF"/>
                <w:lang w:val="zh-CN"/>
              </w:rPr>
              <w:t>层厚</w:t>
            </w:r>
            <w:r>
              <w:rPr>
                <w:rFonts w:hAnsi="宋体"/>
                <w:spacing w:val="-10"/>
                <w:w w:val="85"/>
                <w:kern w:val="0"/>
                <w:shd w:val="clear" w:color="auto" w:fill="FFFFFF"/>
                <w:lang w:val="zh-CN"/>
              </w:rPr>
              <w:t xml:space="preserve"> </w:t>
            </w:r>
            <w:r>
              <w:rPr>
                <w:rFonts w:hAnsi="宋体"/>
                <w:spacing w:val="-10"/>
                <w:w w:val="85"/>
                <w:kern w:val="0"/>
                <w:shd w:val="clear" w:color="auto" w:fill="FFFFFF"/>
                <w:lang w:val="zh-CN"/>
              </w:rPr>
              <w:t>度</w:t>
            </w:r>
            <w:r>
              <w:rPr>
                <w:rFonts w:hAnsi="宋体"/>
                <w:spacing w:val="-10"/>
                <w:w w:val="85"/>
                <w:kern w:val="0"/>
                <w:shd w:val="clear" w:color="auto" w:fill="FFFFFF"/>
                <w:lang w:val="zh-CN"/>
              </w:rPr>
              <w:t>mm)</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TW"/>
              </w:rPr>
              <w:t>&gt;100</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CN"/>
              </w:rPr>
              <w:t>50-100</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CN"/>
              </w:rPr>
              <w:t>30-50</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CN"/>
              </w:rPr>
              <w:t>50-100</w:t>
            </w:r>
          </w:p>
        </w:tc>
        <w:tc>
          <w:tcPr>
            <w:tcW w:w="887"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CN"/>
              </w:rPr>
              <w:t>50-100</w:t>
            </w:r>
          </w:p>
        </w:tc>
        <w:tc>
          <w:tcPr>
            <w:tcW w:w="888"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CN"/>
              </w:rPr>
              <w:t>10-50</w:t>
            </w:r>
          </w:p>
        </w:tc>
        <w:tc>
          <w:tcPr>
            <w:tcW w:w="859" w:type="dxa"/>
            <w:tcBorders>
              <w:top w:val="single" w:sz="4" w:space="0" w:color="auto"/>
              <w:left w:val="single" w:sz="4" w:space="0" w:color="auto"/>
              <w:right w:val="single" w:sz="4" w:space="0" w:color="auto"/>
            </w:tcBorders>
            <w:shd w:val="clear" w:color="auto" w:fill="FFFFFF"/>
            <w:vAlign w:val="center"/>
          </w:tcPr>
          <w:p w:rsidR="009C5C1F" w:rsidRDefault="004D2E0D">
            <w:pPr>
              <w:wordWrap w:val="0"/>
              <w:topLinePunct/>
              <w:jc w:val="center"/>
              <w:rPr>
                <w:kern w:val="0"/>
                <w:szCs w:val="21"/>
              </w:rPr>
            </w:pPr>
            <w:r>
              <w:rPr>
                <w:iCs/>
                <w:spacing w:val="20"/>
                <w:kern w:val="0"/>
                <w:shd w:val="clear" w:color="auto" w:fill="FFFFFF"/>
                <w:lang w:val="zh-TW"/>
              </w:rPr>
              <w:t>&lt;10</w:t>
            </w:r>
          </w:p>
        </w:tc>
      </w:tr>
      <w:tr w:rsidR="009C5C1F">
        <w:trPr>
          <w:trHeight w:hRule="exact" w:val="571"/>
          <w:jc w:val="center"/>
        </w:trPr>
        <w:tc>
          <w:tcPr>
            <w:tcW w:w="1440"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土壤质地</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轻</w:t>
            </w:r>
            <w:proofErr w:type="gramStart"/>
            <w:r>
              <w:rPr>
                <w:rFonts w:hAnsi="宋体"/>
                <w:spacing w:val="-10"/>
                <w:kern w:val="0"/>
                <w:shd w:val="clear" w:color="auto" w:fill="FFFFFF"/>
                <w:lang w:val="zh-CN"/>
              </w:rPr>
              <w:t>壤</w:t>
            </w:r>
            <w:proofErr w:type="gramEnd"/>
          </w:p>
          <w:p w:rsidR="009C5C1F" w:rsidRDefault="004D2E0D">
            <w:pPr>
              <w:wordWrap w:val="0"/>
              <w:topLinePunct/>
              <w:jc w:val="center"/>
              <w:rPr>
                <w:kern w:val="0"/>
                <w:szCs w:val="21"/>
              </w:rPr>
            </w:pPr>
            <w:r>
              <w:rPr>
                <w:rFonts w:hAnsi="宋体"/>
                <w:spacing w:val="-10"/>
                <w:kern w:val="0"/>
                <w:shd w:val="clear" w:color="auto" w:fill="FFFFFF"/>
                <w:lang w:val="zh-CN"/>
              </w:rPr>
              <w:t>中</w:t>
            </w:r>
            <w:proofErr w:type="gramStart"/>
            <w:r>
              <w:rPr>
                <w:rFonts w:hAnsi="宋体"/>
                <w:spacing w:val="-10"/>
                <w:kern w:val="0"/>
                <w:shd w:val="clear" w:color="auto" w:fill="FFFFFF"/>
                <w:lang w:val="zh-CN"/>
              </w:rPr>
              <w:t>壤</w:t>
            </w:r>
            <w:proofErr w:type="gramEnd"/>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砂</w:t>
            </w:r>
            <w:proofErr w:type="gramStart"/>
            <w:r>
              <w:rPr>
                <w:rFonts w:hAnsi="宋体"/>
                <w:spacing w:val="-10"/>
                <w:kern w:val="0"/>
                <w:shd w:val="clear" w:color="auto" w:fill="FFFFFF"/>
                <w:lang w:val="zh-CN"/>
              </w:rPr>
              <w:t>壤</w:t>
            </w:r>
            <w:proofErr w:type="gramEnd"/>
          </w:p>
          <w:p w:rsidR="009C5C1F" w:rsidRDefault="004D2E0D">
            <w:pPr>
              <w:wordWrap w:val="0"/>
              <w:topLinePunct/>
              <w:jc w:val="center"/>
              <w:rPr>
                <w:kern w:val="0"/>
                <w:szCs w:val="21"/>
              </w:rPr>
            </w:pPr>
            <w:r>
              <w:rPr>
                <w:rFonts w:hAnsi="宋体"/>
                <w:spacing w:val="-10"/>
                <w:kern w:val="0"/>
                <w:shd w:val="clear" w:color="auto" w:fill="FFFFFF"/>
                <w:lang w:val="zh-CN"/>
              </w:rPr>
              <w:t>重</w:t>
            </w:r>
            <w:proofErr w:type="gramStart"/>
            <w:r>
              <w:rPr>
                <w:rFonts w:hAnsi="宋体"/>
                <w:spacing w:val="-10"/>
                <w:kern w:val="0"/>
                <w:shd w:val="clear" w:color="auto" w:fill="FFFFFF"/>
                <w:lang w:val="zh-CN"/>
              </w:rPr>
              <w:t>壤</w:t>
            </w:r>
            <w:proofErr w:type="gramEnd"/>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砂土</w:t>
            </w:r>
          </w:p>
          <w:p w:rsidR="009C5C1F" w:rsidRDefault="004D2E0D">
            <w:pPr>
              <w:wordWrap w:val="0"/>
              <w:topLinePunct/>
              <w:jc w:val="center"/>
              <w:rPr>
                <w:kern w:val="0"/>
                <w:szCs w:val="21"/>
              </w:rPr>
            </w:pPr>
            <w:r>
              <w:rPr>
                <w:rFonts w:hAnsi="宋体"/>
                <w:spacing w:val="-10"/>
                <w:kern w:val="0"/>
                <w:shd w:val="clear" w:color="auto" w:fill="FFFFFF"/>
                <w:lang w:val="zh-CN"/>
              </w:rPr>
              <w:t>粘土</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砂</w:t>
            </w:r>
            <w:proofErr w:type="gramStart"/>
            <w:r>
              <w:rPr>
                <w:rFonts w:hAnsi="宋体"/>
                <w:spacing w:val="-10"/>
                <w:kern w:val="0"/>
                <w:shd w:val="clear" w:color="auto" w:fill="FFFFFF"/>
                <w:lang w:val="zh-CN"/>
              </w:rPr>
              <w:t>壤</w:t>
            </w:r>
            <w:proofErr w:type="gramEnd"/>
          </w:p>
          <w:p w:rsidR="009C5C1F" w:rsidRDefault="004D2E0D">
            <w:pPr>
              <w:wordWrap w:val="0"/>
              <w:topLinePunct/>
              <w:jc w:val="center"/>
              <w:rPr>
                <w:kern w:val="0"/>
                <w:szCs w:val="21"/>
              </w:rPr>
            </w:pPr>
            <w:r>
              <w:rPr>
                <w:rFonts w:hAnsi="宋体"/>
                <w:spacing w:val="-10"/>
                <w:kern w:val="0"/>
                <w:shd w:val="clear" w:color="auto" w:fill="FFFFFF"/>
                <w:lang w:val="zh-CN"/>
              </w:rPr>
              <w:t>砂土</w:t>
            </w:r>
          </w:p>
        </w:tc>
        <w:tc>
          <w:tcPr>
            <w:tcW w:w="887"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砂土</w:t>
            </w:r>
          </w:p>
        </w:tc>
        <w:tc>
          <w:tcPr>
            <w:tcW w:w="888"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砂土</w:t>
            </w:r>
          </w:p>
        </w:tc>
        <w:tc>
          <w:tcPr>
            <w:tcW w:w="859" w:type="dxa"/>
            <w:tcBorders>
              <w:top w:val="single" w:sz="4" w:space="0" w:color="auto"/>
              <w:left w:val="single" w:sz="4" w:space="0" w:color="auto"/>
              <w:righ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流沙</w:t>
            </w:r>
          </w:p>
          <w:p w:rsidR="009C5C1F" w:rsidRDefault="004D2E0D">
            <w:pPr>
              <w:wordWrap w:val="0"/>
              <w:topLinePunct/>
              <w:jc w:val="center"/>
              <w:rPr>
                <w:kern w:val="0"/>
                <w:szCs w:val="21"/>
              </w:rPr>
            </w:pPr>
            <w:r>
              <w:rPr>
                <w:rFonts w:hAnsi="宋体"/>
                <w:spacing w:val="-10"/>
                <w:kern w:val="0"/>
                <w:shd w:val="clear" w:color="auto" w:fill="FFFFFF"/>
                <w:lang w:val="zh-CN"/>
              </w:rPr>
              <w:t>裸岩</w:t>
            </w:r>
          </w:p>
        </w:tc>
      </w:tr>
      <w:tr w:rsidR="009C5C1F">
        <w:trPr>
          <w:trHeight w:hRule="exact" w:val="1295"/>
          <w:jc w:val="center"/>
        </w:trPr>
        <w:tc>
          <w:tcPr>
            <w:tcW w:w="1440"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排水条件</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proofErr w:type="gramStart"/>
            <w:r>
              <w:rPr>
                <w:rFonts w:hAnsi="宋体"/>
                <w:spacing w:val="-10"/>
                <w:kern w:val="0"/>
                <w:shd w:val="clear" w:color="auto" w:fill="FFFFFF"/>
                <w:lang w:val="zh-CN"/>
              </w:rPr>
              <w:t>不</w:t>
            </w:r>
            <w:proofErr w:type="gramEnd"/>
            <w:r>
              <w:rPr>
                <w:rFonts w:hAnsi="宋体"/>
                <w:spacing w:val="-10"/>
                <w:kern w:val="0"/>
                <w:shd w:val="clear" w:color="auto" w:fill="FFFFFF"/>
                <w:lang w:val="zh-CN"/>
              </w:rPr>
              <w:t>淹没或偶</w:t>
            </w:r>
            <w:r>
              <w:rPr>
                <w:spacing w:val="-10"/>
                <w:kern w:val="0"/>
                <w:shd w:val="clear" w:color="auto" w:fill="FFFFFF"/>
                <w:lang w:val="zh-CN"/>
              </w:rPr>
              <w:t xml:space="preserve"> </w:t>
            </w:r>
            <w:r>
              <w:rPr>
                <w:rFonts w:hAnsi="宋体"/>
                <w:spacing w:val="-10"/>
                <w:kern w:val="0"/>
                <w:shd w:val="clear" w:color="auto" w:fill="FFFFFF"/>
                <w:lang w:val="zh-CN"/>
              </w:rPr>
              <w:t>然淹没，排</w:t>
            </w:r>
            <w:r>
              <w:rPr>
                <w:spacing w:val="-10"/>
                <w:kern w:val="0"/>
                <w:shd w:val="clear" w:color="auto" w:fill="FFFFFF"/>
                <w:lang w:val="zh-CN"/>
              </w:rPr>
              <w:t xml:space="preserve"> </w:t>
            </w:r>
            <w:proofErr w:type="gramStart"/>
            <w:r>
              <w:rPr>
                <w:rFonts w:hAnsi="宋体"/>
                <w:spacing w:val="-10"/>
                <w:kern w:val="0"/>
                <w:shd w:val="clear" w:color="auto" w:fill="FFFFFF"/>
                <w:lang w:val="zh-CN"/>
              </w:rPr>
              <w:t>水条件</w:t>
            </w:r>
            <w:proofErr w:type="gramEnd"/>
            <w:r>
              <w:rPr>
                <w:rFonts w:hAnsi="宋体"/>
                <w:spacing w:val="-10"/>
                <w:kern w:val="0"/>
                <w:shd w:val="clear" w:color="auto" w:fill="FFFFFF"/>
                <w:lang w:val="zh-CN"/>
              </w:rPr>
              <w:t>好</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proofErr w:type="gramStart"/>
            <w:r>
              <w:rPr>
                <w:rFonts w:hAnsi="宋体"/>
                <w:spacing w:val="-10"/>
                <w:kern w:val="0"/>
                <w:shd w:val="clear" w:color="auto" w:fill="FFFFFF"/>
                <w:lang w:val="zh-CN"/>
              </w:rPr>
              <w:t>不</w:t>
            </w:r>
            <w:proofErr w:type="gramEnd"/>
            <w:r>
              <w:rPr>
                <w:rFonts w:hAnsi="宋体"/>
                <w:spacing w:val="-10"/>
                <w:kern w:val="0"/>
                <w:shd w:val="clear" w:color="auto" w:fill="FFFFFF"/>
                <w:lang w:val="zh-CN"/>
              </w:rPr>
              <w:t>淹没或偶</w:t>
            </w:r>
            <w:r>
              <w:rPr>
                <w:spacing w:val="-10"/>
                <w:kern w:val="0"/>
                <w:shd w:val="clear" w:color="auto" w:fill="FFFFFF"/>
                <w:lang w:val="zh-CN"/>
              </w:rPr>
              <w:t xml:space="preserve"> </w:t>
            </w:r>
            <w:r>
              <w:rPr>
                <w:rFonts w:hAnsi="宋体"/>
                <w:spacing w:val="-10"/>
                <w:kern w:val="0"/>
                <w:shd w:val="clear" w:color="auto" w:fill="FFFFFF"/>
                <w:lang w:val="zh-CN"/>
              </w:rPr>
              <w:t>然淹没，排</w:t>
            </w:r>
            <w:r>
              <w:rPr>
                <w:spacing w:val="-10"/>
                <w:kern w:val="0"/>
                <w:shd w:val="clear" w:color="auto" w:fill="FFFFFF"/>
                <w:lang w:val="zh-CN"/>
              </w:rPr>
              <w:t xml:space="preserve"> </w:t>
            </w:r>
            <w:proofErr w:type="gramStart"/>
            <w:r>
              <w:rPr>
                <w:rFonts w:hAnsi="宋体"/>
                <w:spacing w:val="-10"/>
                <w:kern w:val="0"/>
                <w:shd w:val="clear" w:color="auto" w:fill="FFFFFF"/>
                <w:lang w:val="zh-CN"/>
              </w:rPr>
              <w:t>水条件</w:t>
            </w:r>
            <w:proofErr w:type="gramEnd"/>
            <w:r>
              <w:rPr>
                <w:rFonts w:hAnsi="宋体"/>
                <w:spacing w:val="-10"/>
                <w:kern w:val="0"/>
                <w:shd w:val="clear" w:color="auto" w:fill="FFFFFF"/>
                <w:lang w:val="zh-CN"/>
              </w:rPr>
              <w:t>好</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季节性短期</w:t>
            </w:r>
            <w:r>
              <w:rPr>
                <w:spacing w:val="-10"/>
                <w:kern w:val="0"/>
                <w:shd w:val="clear" w:color="auto" w:fill="FFFFFF"/>
                <w:lang w:val="zh-CN"/>
              </w:rPr>
              <w:t xml:space="preserve"> </w:t>
            </w:r>
            <w:r>
              <w:rPr>
                <w:rFonts w:hAnsi="宋体"/>
                <w:spacing w:val="-10"/>
                <w:kern w:val="0"/>
                <w:shd w:val="clear" w:color="auto" w:fill="FFFFFF"/>
                <w:lang w:val="zh-CN"/>
              </w:rPr>
              <w:t>淹没，排水</w:t>
            </w:r>
            <w:r>
              <w:rPr>
                <w:spacing w:val="-10"/>
                <w:kern w:val="0"/>
                <w:shd w:val="clear" w:color="auto" w:fill="FFFFFF"/>
                <w:lang w:val="zh-CN"/>
              </w:rPr>
              <w:t xml:space="preserve"> </w:t>
            </w:r>
            <w:r>
              <w:rPr>
                <w:rFonts w:hAnsi="宋体"/>
                <w:spacing w:val="-10"/>
                <w:kern w:val="0"/>
                <w:shd w:val="clear" w:color="auto" w:fill="FFFFFF"/>
                <w:lang w:val="zh-CN"/>
              </w:rPr>
              <w:t>条件较好</w:t>
            </w:r>
          </w:p>
        </w:tc>
        <w:tc>
          <w:tcPr>
            <w:tcW w:w="1184" w:type="dxa"/>
            <w:tcBorders>
              <w:top w:val="single" w:sz="4" w:space="0" w:color="auto"/>
              <w:left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季节性短</w:t>
            </w:r>
            <w:r>
              <w:rPr>
                <w:spacing w:val="-10"/>
                <w:kern w:val="0"/>
                <w:shd w:val="clear" w:color="auto" w:fill="FFFFFF"/>
                <w:lang w:val="zh-CN"/>
              </w:rPr>
              <w:t xml:space="preserve"> </w:t>
            </w:r>
            <w:r>
              <w:rPr>
                <w:rFonts w:hAnsi="宋体"/>
                <w:spacing w:val="-10"/>
                <w:kern w:val="0"/>
                <w:shd w:val="clear" w:color="auto" w:fill="FFFFFF"/>
                <w:lang w:val="zh-CN"/>
              </w:rPr>
              <w:t>期淹没，排</w:t>
            </w:r>
            <w:r>
              <w:rPr>
                <w:spacing w:val="-10"/>
                <w:kern w:val="0"/>
                <w:shd w:val="clear" w:color="auto" w:fill="FFFFFF"/>
                <w:lang w:val="zh-CN"/>
              </w:rPr>
              <w:t xml:space="preserve"> </w:t>
            </w:r>
            <w:proofErr w:type="gramStart"/>
            <w:r>
              <w:rPr>
                <w:rFonts w:hAnsi="宋体"/>
                <w:spacing w:val="-10"/>
                <w:kern w:val="0"/>
                <w:shd w:val="clear" w:color="auto" w:fill="FFFFFF"/>
                <w:lang w:val="zh-CN"/>
              </w:rPr>
              <w:t>水条件</w:t>
            </w:r>
            <w:proofErr w:type="gramEnd"/>
            <w:r>
              <w:rPr>
                <w:rFonts w:hAnsi="宋体"/>
                <w:spacing w:val="-10"/>
                <w:kern w:val="0"/>
                <w:shd w:val="clear" w:color="auto" w:fill="FFFFFF"/>
                <w:lang w:val="zh-CN"/>
              </w:rPr>
              <w:t>较</w:t>
            </w:r>
            <w:r>
              <w:rPr>
                <w:spacing w:val="-10"/>
                <w:kern w:val="0"/>
                <w:shd w:val="clear" w:color="auto" w:fill="FFFFFF"/>
                <w:lang w:val="zh-CN"/>
              </w:rPr>
              <w:t xml:space="preserve"> </w:t>
            </w:r>
            <w:r>
              <w:rPr>
                <w:rFonts w:hAnsi="宋体"/>
                <w:spacing w:val="-10"/>
                <w:kern w:val="0"/>
                <w:shd w:val="clear" w:color="auto" w:fill="FFFFFF"/>
                <w:lang w:val="zh-CN"/>
              </w:rPr>
              <w:t>好</w:t>
            </w:r>
          </w:p>
        </w:tc>
        <w:tc>
          <w:tcPr>
            <w:tcW w:w="887" w:type="dxa"/>
            <w:tcBorders>
              <w:top w:val="single" w:sz="4" w:space="0" w:color="auto"/>
              <w:left w:val="single" w:sz="4" w:space="0" w:color="auto"/>
            </w:tcBorders>
            <w:shd w:val="clear" w:color="auto" w:fill="FFFFFF"/>
            <w:vAlign w:val="center"/>
          </w:tcPr>
          <w:p w:rsidR="009C5C1F" w:rsidRDefault="004D2E0D">
            <w:pPr>
              <w:wordWrap w:val="0"/>
              <w:topLinePunct/>
              <w:jc w:val="center"/>
              <w:rPr>
                <w:w w:val="90"/>
                <w:kern w:val="0"/>
                <w:szCs w:val="21"/>
              </w:rPr>
            </w:pPr>
            <w:r>
              <w:rPr>
                <w:rFonts w:hAnsi="宋体"/>
                <w:spacing w:val="-10"/>
                <w:w w:val="90"/>
                <w:kern w:val="0"/>
                <w:shd w:val="clear" w:color="auto" w:fill="FFFFFF"/>
                <w:lang w:val="zh-CN"/>
              </w:rPr>
              <w:t>季节性</w:t>
            </w:r>
            <w:r>
              <w:rPr>
                <w:spacing w:val="-10"/>
                <w:w w:val="90"/>
                <w:kern w:val="0"/>
                <w:shd w:val="clear" w:color="auto" w:fill="FFFFFF"/>
                <w:lang w:val="zh-CN"/>
              </w:rPr>
              <w:t xml:space="preserve"> </w:t>
            </w:r>
            <w:r>
              <w:rPr>
                <w:rFonts w:hAnsi="宋体"/>
                <w:spacing w:val="-10"/>
                <w:w w:val="90"/>
                <w:kern w:val="0"/>
                <w:shd w:val="clear" w:color="auto" w:fill="FFFFFF"/>
                <w:lang w:val="zh-CN"/>
              </w:rPr>
              <w:t>短期淹</w:t>
            </w:r>
            <w:r>
              <w:rPr>
                <w:spacing w:val="-10"/>
                <w:w w:val="90"/>
                <w:kern w:val="0"/>
                <w:shd w:val="clear" w:color="auto" w:fill="FFFFFF"/>
                <w:lang w:val="zh-CN"/>
              </w:rPr>
              <w:t xml:space="preserve"> </w:t>
            </w:r>
            <w:r>
              <w:rPr>
                <w:rFonts w:hAnsi="宋体"/>
                <w:spacing w:val="-10"/>
                <w:w w:val="90"/>
                <w:kern w:val="0"/>
                <w:shd w:val="clear" w:color="auto" w:fill="FFFFFF"/>
                <w:lang w:val="zh-CN"/>
              </w:rPr>
              <w:t>没</w:t>
            </w:r>
            <w:proofErr w:type="gramStart"/>
            <w:r>
              <w:rPr>
                <w:spacing w:val="-10"/>
                <w:w w:val="90"/>
                <w:kern w:val="0"/>
                <w:shd w:val="clear" w:color="auto" w:fill="FFFFFF"/>
                <w:lang w:val="zh-CN"/>
              </w:rPr>
              <w:t>’</w:t>
            </w:r>
            <w:proofErr w:type="gramEnd"/>
            <w:r>
              <w:rPr>
                <w:rFonts w:hAnsi="宋体"/>
                <w:spacing w:val="-10"/>
                <w:w w:val="90"/>
                <w:kern w:val="0"/>
                <w:shd w:val="clear" w:color="auto" w:fill="FFFFFF"/>
                <w:lang w:val="zh-CN"/>
              </w:rPr>
              <w:t>排水</w:t>
            </w:r>
            <w:r>
              <w:rPr>
                <w:spacing w:val="-10"/>
                <w:w w:val="90"/>
                <w:kern w:val="0"/>
                <w:shd w:val="clear" w:color="auto" w:fill="FFFFFF"/>
                <w:lang w:val="zh-CN"/>
              </w:rPr>
              <w:t xml:space="preserve"> </w:t>
            </w:r>
            <w:r>
              <w:rPr>
                <w:rFonts w:hAnsi="宋体"/>
                <w:spacing w:val="-10"/>
                <w:w w:val="90"/>
                <w:kern w:val="0"/>
                <w:shd w:val="clear" w:color="auto" w:fill="FFFFFF"/>
                <w:lang w:val="zh-CN"/>
              </w:rPr>
              <w:t>条件较</w:t>
            </w:r>
            <w:r>
              <w:rPr>
                <w:spacing w:val="-10"/>
                <w:w w:val="90"/>
                <w:kern w:val="0"/>
                <w:shd w:val="clear" w:color="auto" w:fill="FFFFFF"/>
                <w:lang w:val="zh-CN"/>
              </w:rPr>
              <w:t xml:space="preserve"> </w:t>
            </w:r>
            <w:r>
              <w:rPr>
                <w:rFonts w:hAnsi="宋体"/>
                <w:spacing w:val="-10"/>
                <w:w w:val="90"/>
                <w:kern w:val="0"/>
                <w:shd w:val="clear" w:color="auto" w:fill="FFFFFF"/>
                <w:lang w:val="zh-CN"/>
              </w:rPr>
              <w:t>好</w:t>
            </w:r>
          </w:p>
        </w:tc>
        <w:tc>
          <w:tcPr>
            <w:tcW w:w="888" w:type="dxa"/>
            <w:tcBorders>
              <w:top w:val="single" w:sz="4" w:space="0" w:color="auto"/>
              <w:left w:val="single" w:sz="4" w:space="0" w:color="auto"/>
            </w:tcBorders>
            <w:shd w:val="clear" w:color="auto" w:fill="FFFFFF"/>
            <w:vAlign w:val="center"/>
          </w:tcPr>
          <w:p w:rsidR="009C5C1F" w:rsidRDefault="004D2E0D">
            <w:pPr>
              <w:wordWrap w:val="0"/>
              <w:topLinePunct/>
              <w:jc w:val="center"/>
              <w:rPr>
                <w:w w:val="90"/>
                <w:kern w:val="0"/>
                <w:szCs w:val="21"/>
              </w:rPr>
            </w:pPr>
            <w:r>
              <w:rPr>
                <w:rFonts w:hAnsi="宋体"/>
                <w:spacing w:val="-10"/>
                <w:w w:val="90"/>
                <w:kern w:val="0"/>
                <w:shd w:val="clear" w:color="auto" w:fill="FFFFFF"/>
                <w:lang w:val="zh-CN"/>
              </w:rPr>
              <w:t>季节性</w:t>
            </w:r>
            <w:r>
              <w:rPr>
                <w:spacing w:val="-10"/>
                <w:w w:val="90"/>
                <w:kern w:val="0"/>
                <w:shd w:val="clear" w:color="auto" w:fill="FFFFFF"/>
                <w:lang w:val="zh-CN"/>
              </w:rPr>
              <w:t xml:space="preserve"> </w:t>
            </w:r>
            <w:r>
              <w:rPr>
                <w:rFonts w:hAnsi="宋体"/>
                <w:spacing w:val="-10"/>
                <w:w w:val="90"/>
                <w:kern w:val="0"/>
                <w:shd w:val="clear" w:color="auto" w:fill="FFFFFF"/>
                <w:lang w:val="zh-CN"/>
              </w:rPr>
              <w:t>较长期</w:t>
            </w:r>
            <w:r>
              <w:rPr>
                <w:spacing w:val="-10"/>
                <w:w w:val="90"/>
                <w:kern w:val="0"/>
                <w:shd w:val="clear" w:color="auto" w:fill="FFFFFF"/>
                <w:lang w:val="zh-CN"/>
              </w:rPr>
              <w:t xml:space="preserve"> </w:t>
            </w:r>
            <w:r>
              <w:rPr>
                <w:rFonts w:hAnsi="宋体"/>
                <w:spacing w:val="-10"/>
                <w:w w:val="90"/>
                <w:kern w:val="0"/>
                <w:shd w:val="clear" w:color="auto" w:fill="FFFFFF"/>
                <w:lang w:val="zh-CN"/>
              </w:rPr>
              <w:t>淹没</w:t>
            </w:r>
            <w:proofErr w:type="gramStart"/>
            <w:r>
              <w:rPr>
                <w:spacing w:val="-10"/>
                <w:w w:val="90"/>
                <w:kern w:val="0"/>
                <w:shd w:val="clear" w:color="auto" w:fill="FFFFFF"/>
                <w:lang w:val="zh-CN"/>
              </w:rPr>
              <w:t>’</w:t>
            </w:r>
            <w:proofErr w:type="gramEnd"/>
            <w:r>
              <w:rPr>
                <w:rFonts w:hAnsi="宋体"/>
                <w:spacing w:val="-10"/>
                <w:w w:val="90"/>
                <w:kern w:val="0"/>
                <w:shd w:val="clear" w:color="auto" w:fill="FFFFFF"/>
                <w:lang w:val="zh-CN"/>
              </w:rPr>
              <w:t>排</w:t>
            </w:r>
            <w:r>
              <w:rPr>
                <w:spacing w:val="-10"/>
                <w:w w:val="90"/>
                <w:kern w:val="0"/>
                <w:shd w:val="clear" w:color="auto" w:fill="FFFFFF"/>
                <w:lang w:val="zh-CN"/>
              </w:rPr>
              <w:t xml:space="preserve"> </w:t>
            </w:r>
            <w:proofErr w:type="gramStart"/>
            <w:r>
              <w:rPr>
                <w:rFonts w:hAnsi="宋体"/>
                <w:spacing w:val="-10"/>
                <w:w w:val="90"/>
                <w:kern w:val="0"/>
                <w:shd w:val="clear" w:color="auto" w:fill="FFFFFF"/>
                <w:lang w:val="zh-CN"/>
              </w:rPr>
              <w:t>水条件</w:t>
            </w:r>
            <w:proofErr w:type="gramEnd"/>
            <w:r>
              <w:rPr>
                <w:spacing w:val="-10"/>
                <w:w w:val="90"/>
                <w:kern w:val="0"/>
                <w:shd w:val="clear" w:color="auto" w:fill="FFFFFF"/>
                <w:lang w:val="zh-CN"/>
              </w:rPr>
              <w:t xml:space="preserve"> </w:t>
            </w:r>
            <w:r>
              <w:rPr>
                <w:rFonts w:hAnsi="宋体"/>
                <w:spacing w:val="-10"/>
                <w:w w:val="90"/>
                <w:kern w:val="0"/>
                <w:shd w:val="clear" w:color="auto" w:fill="FFFFFF"/>
                <w:lang w:val="zh-CN"/>
              </w:rPr>
              <w:t>较差</w:t>
            </w:r>
          </w:p>
        </w:tc>
        <w:tc>
          <w:tcPr>
            <w:tcW w:w="859" w:type="dxa"/>
            <w:tcBorders>
              <w:top w:val="single" w:sz="4" w:space="0" w:color="auto"/>
              <w:left w:val="single" w:sz="4" w:space="0" w:color="auto"/>
              <w:right w:val="single" w:sz="4" w:space="0" w:color="auto"/>
            </w:tcBorders>
            <w:shd w:val="clear" w:color="auto" w:fill="FFFFFF"/>
            <w:vAlign w:val="center"/>
          </w:tcPr>
          <w:p w:rsidR="009C5C1F" w:rsidRDefault="004D2E0D">
            <w:pPr>
              <w:wordWrap w:val="0"/>
              <w:topLinePunct/>
              <w:jc w:val="center"/>
              <w:rPr>
                <w:w w:val="90"/>
                <w:kern w:val="0"/>
                <w:szCs w:val="21"/>
              </w:rPr>
            </w:pPr>
            <w:r>
              <w:rPr>
                <w:rFonts w:hAnsi="宋体"/>
                <w:spacing w:val="-10"/>
                <w:w w:val="90"/>
                <w:kern w:val="0"/>
                <w:shd w:val="clear" w:color="auto" w:fill="FFFFFF"/>
                <w:lang w:val="zh-CN"/>
              </w:rPr>
              <w:t>长期淹</w:t>
            </w:r>
            <w:r>
              <w:rPr>
                <w:spacing w:val="-10"/>
                <w:w w:val="90"/>
                <w:kern w:val="0"/>
                <w:shd w:val="clear" w:color="auto" w:fill="FFFFFF"/>
                <w:lang w:val="zh-CN"/>
              </w:rPr>
              <w:t xml:space="preserve"> </w:t>
            </w:r>
            <w:r>
              <w:rPr>
                <w:rFonts w:hAnsi="宋体"/>
                <w:spacing w:val="-10"/>
                <w:w w:val="90"/>
                <w:kern w:val="0"/>
                <w:shd w:val="clear" w:color="auto" w:fill="FFFFFF"/>
                <w:lang w:val="zh-CN"/>
              </w:rPr>
              <w:t>没，排</w:t>
            </w:r>
            <w:r>
              <w:rPr>
                <w:spacing w:val="-10"/>
                <w:w w:val="90"/>
                <w:kern w:val="0"/>
                <w:shd w:val="clear" w:color="auto" w:fill="FFFFFF"/>
                <w:lang w:val="zh-CN"/>
              </w:rPr>
              <w:t xml:space="preserve"> </w:t>
            </w:r>
            <w:proofErr w:type="gramStart"/>
            <w:r>
              <w:rPr>
                <w:rFonts w:hAnsi="宋体"/>
                <w:spacing w:val="-10"/>
                <w:w w:val="90"/>
                <w:kern w:val="0"/>
                <w:shd w:val="clear" w:color="auto" w:fill="FFFFFF"/>
                <w:lang w:val="zh-CN"/>
              </w:rPr>
              <w:t>水条件</w:t>
            </w:r>
            <w:proofErr w:type="gramEnd"/>
            <w:r>
              <w:rPr>
                <w:spacing w:val="-10"/>
                <w:w w:val="90"/>
                <w:kern w:val="0"/>
                <w:shd w:val="clear" w:color="auto" w:fill="FFFFFF"/>
                <w:lang w:val="zh-CN"/>
              </w:rPr>
              <w:t xml:space="preserve"> </w:t>
            </w:r>
            <w:r>
              <w:rPr>
                <w:rFonts w:hAnsi="宋体"/>
                <w:spacing w:val="-10"/>
                <w:w w:val="90"/>
                <w:kern w:val="0"/>
                <w:shd w:val="clear" w:color="auto" w:fill="FFFFFF"/>
                <w:lang w:val="zh-CN"/>
              </w:rPr>
              <w:t>很差</w:t>
            </w:r>
          </w:p>
        </w:tc>
      </w:tr>
      <w:tr w:rsidR="009C5C1F">
        <w:trPr>
          <w:trHeight w:hRule="exact" w:val="1587"/>
          <w:jc w:val="center"/>
        </w:trPr>
        <w:tc>
          <w:tcPr>
            <w:tcW w:w="1440"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水源保证情况</w:t>
            </w:r>
          </w:p>
        </w:tc>
        <w:tc>
          <w:tcPr>
            <w:tcW w:w="1184"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旱作较稳定</w:t>
            </w:r>
            <w:r>
              <w:rPr>
                <w:spacing w:val="-10"/>
                <w:kern w:val="0"/>
                <w:shd w:val="clear" w:color="auto" w:fill="FFFFFF"/>
                <w:lang w:val="zh-CN"/>
              </w:rPr>
              <w:t xml:space="preserve"> </w:t>
            </w:r>
            <w:r>
              <w:rPr>
                <w:rFonts w:hAnsi="宋体"/>
                <w:spacing w:val="-10"/>
                <w:kern w:val="0"/>
                <w:shd w:val="clear" w:color="auto" w:fill="FFFFFF"/>
                <w:lang w:val="zh-CN"/>
              </w:rPr>
              <w:t>的有灌概的</w:t>
            </w:r>
            <w:r>
              <w:rPr>
                <w:spacing w:val="-10"/>
                <w:kern w:val="0"/>
                <w:shd w:val="clear" w:color="auto" w:fill="FFFFFF"/>
                <w:lang w:val="zh-CN"/>
              </w:rPr>
              <w:t xml:space="preserve"> </w:t>
            </w:r>
            <w:r>
              <w:rPr>
                <w:rFonts w:hAnsi="宋体"/>
                <w:spacing w:val="-10"/>
                <w:kern w:val="0"/>
                <w:shd w:val="clear" w:color="auto" w:fill="FFFFFF"/>
                <w:lang w:val="zh-CN"/>
              </w:rPr>
              <w:t>干旱、半干</w:t>
            </w:r>
            <w:r>
              <w:rPr>
                <w:spacing w:val="-10"/>
                <w:kern w:val="0"/>
                <w:shd w:val="clear" w:color="auto" w:fill="FFFFFF"/>
                <w:lang w:val="zh-CN"/>
              </w:rPr>
              <w:t xml:space="preserve"> </w:t>
            </w:r>
            <w:proofErr w:type="gramStart"/>
            <w:r>
              <w:rPr>
                <w:rFonts w:hAnsi="宋体"/>
                <w:spacing w:val="-10"/>
                <w:kern w:val="0"/>
                <w:shd w:val="clear" w:color="auto" w:fill="FFFFFF"/>
                <w:lang w:val="zh-CN"/>
              </w:rPr>
              <w:t>旱土地</w:t>
            </w:r>
            <w:proofErr w:type="gramEnd"/>
          </w:p>
        </w:tc>
        <w:tc>
          <w:tcPr>
            <w:tcW w:w="1184"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旱作较稳定</w:t>
            </w:r>
            <w:r>
              <w:rPr>
                <w:spacing w:val="-10"/>
                <w:kern w:val="0"/>
                <w:shd w:val="clear" w:color="auto" w:fill="FFFFFF"/>
                <w:lang w:val="zh-CN"/>
              </w:rPr>
              <w:t xml:space="preserve"> </w:t>
            </w:r>
            <w:r>
              <w:rPr>
                <w:rFonts w:hAnsi="宋体"/>
                <w:spacing w:val="-10"/>
                <w:kern w:val="0"/>
                <w:shd w:val="clear" w:color="auto" w:fill="FFFFFF"/>
                <w:lang w:val="zh-CN"/>
              </w:rPr>
              <w:t>的有灌溉的</w:t>
            </w:r>
            <w:r>
              <w:rPr>
                <w:spacing w:val="-10"/>
                <w:kern w:val="0"/>
                <w:shd w:val="clear" w:color="auto" w:fill="FFFFFF"/>
                <w:lang w:val="zh-CN"/>
              </w:rPr>
              <w:t xml:space="preserve"> </w:t>
            </w:r>
            <w:r>
              <w:rPr>
                <w:rFonts w:hAnsi="宋体"/>
                <w:spacing w:val="-10"/>
                <w:kern w:val="0"/>
                <w:shd w:val="clear" w:color="auto" w:fill="FFFFFF"/>
                <w:lang w:val="zh-CN"/>
              </w:rPr>
              <w:t>干旱、半干</w:t>
            </w:r>
            <w:r>
              <w:rPr>
                <w:spacing w:val="-10"/>
                <w:kern w:val="0"/>
                <w:shd w:val="clear" w:color="auto" w:fill="FFFFFF"/>
                <w:lang w:val="zh-CN"/>
              </w:rPr>
              <w:t xml:space="preserve"> </w:t>
            </w:r>
            <w:proofErr w:type="gramStart"/>
            <w:r>
              <w:rPr>
                <w:rFonts w:hAnsi="宋体"/>
                <w:spacing w:val="-10"/>
                <w:kern w:val="0"/>
                <w:shd w:val="clear" w:color="auto" w:fill="FFFFFF"/>
                <w:lang w:val="zh-CN"/>
              </w:rPr>
              <w:t>旱土地</w:t>
            </w:r>
            <w:proofErr w:type="gramEnd"/>
          </w:p>
        </w:tc>
        <w:tc>
          <w:tcPr>
            <w:tcW w:w="1184"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灌溉水源保</w:t>
            </w:r>
            <w:r>
              <w:rPr>
                <w:spacing w:val="-10"/>
                <w:kern w:val="0"/>
                <w:shd w:val="clear" w:color="auto" w:fill="FFFFFF"/>
                <w:lang w:val="zh-CN"/>
              </w:rPr>
              <w:t xml:space="preserve"> </w:t>
            </w:r>
            <w:proofErr w:type="gramStart"/>
            <w:r>
              <w:rPr>
                <w:rFonts w:hAnsi="宋体"/>
                <w:spacing w:val="-10"/>
                <w:kern w:val="0"/>
                <w:shd w:val="clear" w:color="auto" w:fill="FFFFFF"/>
                <w:lang w:val="zh-CN"/>
              </w:rPr>
              <w:t>证差的</w:t>
            </w:r>
            <w:proofErr w:type="gramEnd"/>
            <w:r>
              <w:rPr>
                <w:rFonts w:hAnsi="宋体"/>
                <w:spacing w:val="-10"/>
                <w:kern w:val="0"/>
                <w:shd w:val="clear" w:color="auto" w:fill="FFFFFF"/>
                <w:lang w:val="zh-CN"/>
              </w:rPr>
              <w:t>干</w:t>
            </w:r>
            <w:r>
              <w:rPr>
                <w:spacing w:val="-10"/>
                <w:kern w:val="0"/>
                <w:shd w:val="clear" w:color="auto" w:fill="FFFFFF"/>
                <w:lang w:val="zh-CN"/>
              </w:rPr>
              <w:t xml:space="preserve"> </w:t>
            </w:r>
            <w:r>
              <w:rPr>
                <w:rFonts w:hAnsi="宋体"/>
                <w:spacing w:val="-10"/>
                <w:kern w:val="0"/>
                <w:shd w:val="clear" w:color="auto" w:fill="FFFFFF"/>
                <w:lang w:val="zh-CN"/>
              </w:rPr>
              <w:t>旱、半干旱</w:t>
            </w:r>
            <w:r>
              <w:rPr>
                <w:spacing w:val="-10"/>
                <w:kern w:val="0"/>
                <w:shd w:val="clear" w:color="auto" w:fill="FFFFFF"/>
                <w:lang w:val="zh-CN"/>
              </w:rPr>
              <w:t xml:space="preserve"> </w:t>
            </w:r>
            <w:r>
              <w:rPr>
                <w:rFonts w:hAnsi="宋体"/>
                <w:spacing w:val="-10"/>
                <w:kern w:val="0"/>
                <w:shd w:val="clear" w:color="auto" w:fill="FFFFFF"/>
                <w:lang w:val="zh-CN"/>
              </w:rPr>
              <w:t>土地</w:t>
            </w:r>
          </w:p>
        </w:tc>
        <w:tc>
          <w:tcPr>
            <w:tcW w:w="1184"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kern w:val="0"/>
                <w:szCs w:val="21"/>
              </w:rPr>
            </w:pPr>
            <w:r>
              <w:rPr>
                <w:rFonts w:hAnsi="宋体"/>
                <w:spacing w:val="-10"/>
                <w:kern w:val="0"/>
                <w:shd w:val="clear" w:color="auto" w:fill="FFFFFF"/>
                <w:lang w:val="zh-CN"/>
              </w:rPr>
              <w:t>无灌溉水</w:t>
            </w:r>
            <w:r>
              <w:rPr>
                <w:spacing w:val="-10"/>
                <w:kern w:val="0"/>
                <w:shd w:val="clear" w:color="auto" w:fill="FFFFFF"/>
                <w:lang w:val="zh-CN"/>
              </w:rPr>
              <w:t xml:space="preserve"> </w:t>
            </w:r>
            <w:r>
              <w:rPr>
                <w:rFonts w:hAnsi="宋体"/>
                <w:spacing w:val="-10"/>
                <w:kern w:val="0"/>
                <w:shd w:val="clear" w:color="auto" w:fill="FFFFFF"/>
                <w:lang w:val="zh-CN"/>
              </w:rPr>
              <w:t>源保证，旱</w:t>
            </w:r>
            <w:r>
              <w:rPr>
                <w:spacing w:val="-10"/>
                <w:kern w:val="0"/>
                <w:shd w:val="clear" w:color="auto" w:fill="FFFFFF"/>
                <w:lang w:val="zh-CN"/>
              </w:rPr>
              <w:t xml:space="preserve"> </w:t>
            </w:r>
            <w:r>
              <w:rPr>
                <w:rFonts w:hAnsi="宋体"/>
                <w:spacing w:val="-10"/>
                <w:kern w:val="0"/>
                <w:shd w:val="clear" w:color="auto" w:fill="FFFFFF"/>
                <w:lang w:val="zh-CN"/>
              </w:rPr>
              <w:t>作不稳定</w:t>
            </w:r>
            <w:r>
              <w:rPr>
                <w:spacing w:val="-10"/>
                <w:kern w:val="0"/>
                <w:shd w:val="clear" w:color="auto" w:fill="FFFFFF"/>
                <w:lang w:val="zh-CN"/>
              </w:rPr>
              <w:t xml:space="preserve"> </w:t>
            </w:r>
            <w:r>
              <w:rPr>
                <w:rFonts w:hAnsi="宋体"/>
                <w:spacing w:val="-10"/>
                <w:kern w:val="0"/>
                <w:shd w:val="clear" w:color="auto" w:fill="FFFFFF"/>
                <w:lang w:val="zh-CN"/>
              </w:rPr>
              <w:t>的半干旱</w:t>
            </w:r>
            <w:r>
              <w:rPr>
                <w:spacing w:val="-10"/>
                <w:kern w:val="0"/>
                <w:shd w:val="clear" w:color="auto" w:fill="FFFFFF"/>
                <w:lang w:val="zh-CN"/>
              </w:rPr>
              <w:t xml:space="preserve"> </w:t>
            </w:r>
            <w:r>
              <w:rPr>
                <w:rFonts w:hAnsi="宋体"/>
                <w:spacing w:val="-10"/>
                <w:kern w:val="0"/>
                <w:shd w:val="clear" w:color="auto" w:fill="FFFFFF"/>
                <w:lang w:val="zh-CN"/>
              </w:rPr>
              <w:t>土地</w:t>
            </w:r>
          </w:p>
        </w:tc>
        <w:tc>
          <w:tcPr>
            <w:tcW w:w="887"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w w:val="90"/>
                <w:kern w:val="0"/>
                <w:szCs w:val="21"/>
              </w:rPr>
            </w:pPr>
            <w:r>
              <w:rPr>
                <w:rFonts w:hAnsi="宋体"/>
                <w:spacing w:val="-10"/>
                <w:w w:val="90"/>
                <w:kern w:val="0"/>
                <w:shd w:val="clear" w:color="auto" w:fill="FFFFFF"/>
                <w:lang w:val="zh-CN"/>
              </w:rPr>
              <w:t>无灌溉</w:t>
            </w:r>
            <w:r>
              <w:rPr>
                <w:spacing w:val="-10"/>
                <w:w w:val="90"/>
                <w:kern w:val="0"/>
                <w:shd w:val="clear" w:color="auto" w:fill="FFFFFF"/>
                <w:lang w:val="zh-CN"/>
              </w:rPr>
              <w:t xml:space="preserve"> </w:t>
            </w:r>
            <w:r>
              <w:rPr>
                <w:rFonts w:hAnsi="宋体"/>
                <w:spacing w:val="-10"/>
                <w:w w:val="90"/>
                <w:kern w:val="0"/>
                <w:shd w:val="clear" w:color="auto" w:fill="FFFFFF"/>
                <w:lang w:val="zh-CN"/>
              </w:rPr>
              <w:t>水源保</w:t>
            </w:r>
            <w:r>
              <w:rPr>
                <w:spacing w:val="-10"/>
                <w:w w:val="90"/>
                <w:kern w:val="0"/>
                <w:shd w:val="clear" w:color="auto" w:fill="FFFFFF"/>
                <w:lang w:val="zh-CN"/>
              </w:rPr>
              <w:t xml:space="preserve"> </w:t>
            </w:r>
            <w:r>
              <w:rPr>
                <w:rFonts w:hAnsi="宋体"/>
                <w:spacing w:val="-10"/>
                <w:w w:val="90"/>
                <w:kern w:val="0"/>
                <w:shd w:val="clear" w:color="auto" w:fill="FFFFFF"/>
                <w:lang w:val="zh-CN"/>
              </w:rPr>
              <w:t>证，旱作</w:t>
            </w:r>
            <w:r>
              <w:rPr>
                <w:spacing w:val="-10"/>
                <w:w w:val="90"/>
                <w:kern w:val="0"/>
                <w:shd w:val="clear" w:color="auto" w:fill="FFFFFF"/>
                <w:lang w:val="zh-CN"/>
              </w:rPr>
              <w:t xml:space="preserve"> </w:t>
            </w:r>
            <w:r>
              <w:rPr>
                <w:rFonts w:hAnsi="宋体"/>
                <w:spacing w:val="-10"/>
                <w:w w:val="90"/>
                <w:kern w:val="0"/>
                <w:shd w:val="clear" w:color="auto" w:fill="FFFFFF"/>
                <w:lang w:val="zh-CN"/>
              </w:rPr>
              <w:t>不稳定</w:t>
            </w:r>
            <w:r>
              <w:rPr>
                <w:spacing w:val="-10"/>
                <w:w w:val="90"/>
                <w:kern w:val="0"/>
                <w:shd w:val="clear" w:color="auto" w:fill="FFFFFF"/>
                <w:lang w:val="zh-CN"/>
              </w:rPr>
              <w:t xml:space="preserve"> </w:t>
            </w:r>
            <w:r>
              <w:rPr>
                <w:rFonts w:hAnsi="宋体"/>
                <w:spacing w:val="-10"/>
                <w:w w:val="90"/>
                <w:kern w:val="0"/>
                <w:shd w:val="clear" w:color="auto" w:fill="FFFFFF"/>
                <w:lang w:val="zh-CN"/>
              </w:rPr>
              <w:t>的半干</w:t>
            </w:r>
            <w:r>
              <w:rPr>
                <w:spacing w:val="-10"/>
                <w:w w:val="90"/>
                <w:kern w:val="0"/>
                <w:shd w:val="clear" w:color="auto" w:fill="FFFFFF"/>
                <w:lang w:val="zh-CN"/>
              </w:rPr>
              <w:t xml:space="preserve"> </w:t>
            </w:r>
            <w:proofErr w:type="gramStart"/>
            <w:r>
              <w:rPr>
                <w:rFonts w:hAnsi="宋体"/>
                <w:spacing w:val="-10"/>
                <w:w w:val="90"/>
                <w:kern w:val="0"/>
                <w:shd w:val="clear" w:color="auto" w:fill="FFFFFF"/>
                <w:lang w:val="zh-CN"/>
              </w:rPr>
              <w:t>旱土地</w:t>
            </w:r>
            <w:proofErr w:type="gramEnd"/>
          </w:p>
        </w:tc>
        <w:tc>
          <w:tcPr>
            <w:tcW w:w="888" w:type="dxa"/>
            <w:tcBorders>
              <w:top w:val="single" w:sz="4" w:space="0" w:color="auto"/>
              <w:left w:val="single" w:sz="4" w:space="0" w:color="auto"/>
              <w:bottom w:val="single" w:sz="4" w:space="0" w:color="auto"/>
            </w:tcBorders>
            <w:shd w:val="clear" w:color="auto" w:fill="FFFFFF"/>
            <w:vAlign w:val="center"/>
          </w:tcPr>
          <w:p w:rsidR="009C5C1F" w:rsidRDefault="004D2E0D">
            <w:pPr>
              <w:wordWrap w:val="0"/>
              <w:topLinePunct/>
              <w:jc w:val="center"/>
              <w:rPr>
                <w:w w:val="90"/>
                <w:kern w:val="0"/>
                <w:szCs w:val="21"/>
              </w:rPr>
            </w:pPr>
            <w:r>
              <w:rPr>
                <w:rFonts w:hAnsi="宋体"/>
                <w:spacing w:val="-10"/>
                <w:w w:val="90"/>
                <w:kern w:val="0"/>
                <w:shd w:val="clear" w:color="auto" w:fill="FFFFFF"/>
                <w:lang w:val="zh-CN"/>
              </w:rPr>
              <w:t>无灌溉</w:t>
            </w:r>
            <w:r>
              <w:rPr>
                <w:spacing w:val="-10"/>
                <w:w w:val="90"/>
                <w:kern w:val="0"/>
                <w:shd w:val="clear" w:color="auto" w:fill="FFFFFF"/>
                <w:lang w:val="zh-CN"/>
              </w:rPr>
              <w:t xml:space="preserve"> </w:t>
            </w:r>
            <w:r>
              <w:rPr>
                <w:rFonts w:hAnsi="宋体"/>
                <w:spacing w:val="-10"/>
                <w:w w:val="90"/>
                <w:kern w:val="0"/>
                <w:shd w:val="clear" w:color="auto" w:fill="FFFFFF"/>
                <w:lang w:val="zh-CN"/>
              </w:rPr>
              <w:t>水源保</w:t>
            </w:r>
            <w:r>
              <w:rPr>
                <w:spacing w:val="-10"/>
                <w:w w:val="90"/>
                <w:kern w:val="0"/>
                <w:shd w:val="clear" w:color="auto" w:fill="FFFFFF"/>
                <w:lang w:val="zh-CN"/>
              </w:rPr>
              <w:t xml:space="preserve"> </w:t>
            </w:r>
            <w:r>
              <w:rPr>
                <w:rFonts w:hAnsi="宋体"/>
                <w:spacing w:val="-10"/>
                <w:w w:val="90"/>
                <w:kern w:val="0"/>
                <w:shd w:val="clear" w:color="auto" w:fill="FFFFFF"/>
                <w:lang w:val="zh-CN"/>
              </w:rPr>
              <w:t>证</w:t>
            </w:r>
            <w:r>
              <w:rPr>
                <w:rFonts w:hint="eastAsia"/>
                <w:spacing w:val="-10"/>
                <w:w w:val="90"/>
                <w:kern w:val="0"/>
                <w:shd w:val="clear" w:color="auto" w:fill="FFFFFF"/>
                <w:lang w:val="zh-CN"/>
              </w:rPr>
              <w:t>，</w:t>
            </w:r>
            <w:r>
              <w:rPr>
                <w:rFonts w:hAnsi="宋体"/>
                <w:spacing w:val="-10"/>
                <w:w w:val="90"/>
                <w:kern w:val="0"/>
                <w:shd w:val="clear" w:color="auto" w:fill="FFFFFF"/>
                <w:lang w:val="zh-CN"/>
              </w:rPr>
              <w:t>旱作</w:t>
            </w:r>
            <w:r>
              <w:rPr>
                <w:spacing w:val="-10"/>
                <w:w w:val="90"/>
                <w:kern w:val="0"/>
                <w:shd w:val="clear" w:color="auto" w:fill="FFFFFF"/>
                <w:lang w:val="zh-CN"/>
              </w:rPr>
              <w:t xml:space="preserve"> </w:t>
            </w:r>
            <w:r>
              <w:rPr>
                <w:rFonts w:hAnsi="宋体"/>
                <w:spacing w:val="-10"/>
                <w:w w:val="90"/>
                <w:kern w:val="0"/>
                <w:shd w:val="clear" w:color="auto" w:fill="FFFFFF"/>
                <w:lang w:val="zh-CN"/>
              </w:rPr>
              <w:t>不稳定</w:t>
            </w:r>
            <w:r>
              <w:rPr>
                <w:spacing w:val="-10"/>
                <w:w w:val="90"/>
                <w:kern w:val="0"/>
                <w:shd w:val="clear" w:color="auto" w:fill="FFFFFF"/>
                <w:lang w:val="zh-CN"/>
              </w:rPr>
              <w:t xml:space="preserve"> </w:t>
            </w:r>
            <w:r>
              <w:rPr>
                <w:rFonts w:hAnsi="宋体"/>
                <w:spacing w:val="-10"/>
                <w:w w:val="90"/>
                <w:kern w:val="0"/>
                <w:shd w:val="clear" w:color="auto" w:fill="FFFFFF"/>
                <w:lang w:val="zh-CN"/>
              </w:rPr>
              <w:t>的半干</w:t>
            </w:r>
            <w:r>
              <w:rPr>
                <w:spacing w:val="-10"/>
                <w:w w:val="90"/>
                <w:kern w:val="0"/>
                <w:shd w:val="clear" w:color="auto" w:fill="FFFFFF"/>
                <w:lang w:val="zh-CN"/>
              </w:rPr>
              <w:t xml:space="preserve"> </w:t>
            </w:r>
            <w:proofErr w:type="gramStart"/>
            <w:r>
              <w:rPr>
                <w:rFonts w:hAnsi="宋体"/>
                <w:spacing w:val="-10"/>
                <w:w w:val="90"/>
                <w:kern w:val="0"/>
                <w:shd w:val="clear" w:color="auto" w:fill="FFFFFF"/>
                <w:lang w:val="zh-CN"/>
              </w:rPr>
              <w:t>旱土地</w:t>
            </w:r>
            <w:proofErr w:type="gramEnd"/>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9C5C1F" w:rsidRDefault="004D2E0D">
            <w:pPr>
              <w:wordWrap w:val="0"/>
              <w:topLinePunct/>
              <w:jc w:val="center"/>
              <w:rPr>
                <w:w w:val="90"/>
                <w:kern w:val="0"/>
                <w:szCs w:val="21"/>
              </w:rPr>
            </w:pPr>
            <w:r>
              <w:rPr>
                <w:rFonts w:hAnsi="宋体"/>
                <w:spacing w:val="-10"/>
                <w:w w:val="90"/>
                <w:kern w:val="0"/>
                <w:shd w:val="clear" w:color="auto" w:fill="FFFFFF"/>
                <w:lang w:val="zh-CN"/>
              </w:rPr>
              <w:t>无灌溉</w:t>
            </w:r>
            <w:r>
              <w:rPr>
                <w:spacing w:val="-10"/>
                <w:w w:val="90"/>
                <w:kern w:val="0"/>
                <w:shd w:val="clear" w:color="auto" w:fill="FFFFFF"/>
                <w:lang w:val="zh-CN"/>
              </w:rPr>
              <w:t xml:space="preserve"> </w:t>
            </w:r>
            <w:proofErr w:type="gramStart"/>
            <w:r>
              <w:rPr>
                <w:rFonts w:hAnsi="宋体"/>
                <w:spacing w:val="-10"/>
                <w:w w:val="90"/>
                <w:kern w:val="0"/>
                <w:shd w:val="clear" w:color="auto" w:fill="FFFFFF"/>
                <w:lang w:val="zh-CN"/>
              </w:rPr>
              <w:t>源保</w:t>
            </w:r>
            <w:proofErr w:type="gramEnd"/>
            <w:r>
              <w:rPr>
                <w:spacing w:val="-10"/>
                <w:w w:val="90"/>
                <w:kern w:val="0"/>
                <w:shd w:val="clear" w:color="auto" w:fill="FFFFFF"/>
                <w:lang w:val="zh-CN"/>
              </w:rPr>
              <w:t xml:space="preserve"> </w:t>
            </w:r>
            <w:r>
              <w:rPr>
                <w:rFonts w:hAnsi="宋体"/>
                <w:spacing w:val="-10"/>
                <w:w w:val="90"/>
                <w:kern w:val="0"/>
                <w:shd w:val="clear" w:color="auto" w:fill="FFFFFF"/>
                <w:lang w:val="zh-CN"/>
              </w:rPr>
              <w:t>证</w:t>
            </w:r>
            <w:r>
              <w:rPr>
                <w:rFonts w:hint="eastAsia"/>
                <w:spacing w:val="-10"/>
                <w:w w:val="90"/>
                <w:kern w:val="0"/>
                <w:shd w:val="clear" w:color="auto" w:fill="FFFFFF"/>
                <w:lang w:val="zh-CN"/>
              </w:rPr>
              <w:t>，</w:t>
            </w:r>
            <w:r>
              <w:rPr>
                <w:rFonts w:hAnsi="宋体"/>
                <w:spacing w:val="-10"/>
                <w:w w:val="90"/>
                <w:kern w:val="0"/>
                <w:shd w:val="clear" w:color="auto" w:fill="FFFFFF"/>
                <w:lang w:val="zh-CN"/>
              </w:rPr>
              <w:t>不</w:t>
            </w:r>
            <w:r>
              <w:rPr>
                <w:spacing w:val="-10"/>
                <w:w w:val="90"/>
                <w:kern w:val="0"/>
                <w:shd w:val="clear" w:color="auto" w:fill="FFFFFF"/>
                <w:lang w:val="zh-CN"/>
              </w:rPr>
              <w:t xml:space="preserve"> </w:t>
            </w:r>
            <w:proofErr w:type="gramStart"/>
            <w:r>
              <w:rPr>
                <w:rFonts w:hAnsi="宋体"/>
                <w:spacing w:val="-10"/>
                <w:w w:val="90"/>
                <w:kern w:val="0"/>
                <w:shd w:val="clear" w:color="auto" w:fill="FFFFFF"/>
                <w:lang w:val="zh-CN"/>
              </w:rPr>
              <w:t>能旱作</w:t>
            </w:r>
            <w:proofErr w:type="gramEnd"/>
            <w:r>
              <w:rPr>
                <w:spacing w:val="-10"/>
                <w:w w:val="90"/>
                <w:kern w:val="0"/>
                <w:shd w:val="clear" w:color="auto" w:fill="FFFFFF"/>
                <w:lang w:val="zh-CN"/>
              </w:rPr>
              <w:t xml:space="preserve"> </w:t>
            </w:r>
            <w:r>
              <w:rPr>
                <w:rFonts w:hAnsi="宋体"/>
                <w:spacing w:val="-10"/>
                <w:w w:val="90"/>
                <w:kern w:val="0"/>
                <w:shd w:val="clear" w:color="auto" w:fill="FFFFFF"/>
                <w:lang w:val="zh-CN"/>
              </w:rPr>
              <w:t>的干旱</w:t>
            </w:r>
            <w:r>
              <w:rPr>
                <w:spacing w:val="-10"/>
                <w:w w:val="90"/>
                <w:kern w:val="0"/>
                <w:shd w:val="clear" w:color="auto" w:fill="FFFFFF"/>
                <w:lang w:val="zh-CN"/>
              </w:rPr>
              <w:t xml:space="preserve"> </w:t>
            </w:r>
            <w:r>
              <w:rPr>
                <w:rFonts w:hAnsi="宋体"/>
                <w:spacing w:val="-10"/>
                <w:w w:val="90"/>
                <w:kern w:val="0"/>
                <w:shd w:val="clear" w:color="auto" w:fill="FFFFFF"/>
                <w:lang w:val="zh-CN"/>
              </w:rPr>
              <w:t>地区</w:t>
            </w:r>
          </w:p>
        </w:tc>
      </w:tr>
    </w:tbl>
    <w:p w:rsidR="009C5C1F" w:rsidRDefault="004D2E0D">
      <w:pPr>
        <w:wordWrap w:val="0"/>
        <w:topLinePunct/>
        <w:spacing w:line="360" w:lineRule="auto"/>
        <w:ind w:firstLineChars="200" w:firstLine="480"/>
        <w:rPr>
          <w:rFonts w:hAnsi="宋体"/>
          <w:kern w:val="0"/>
          <w:sz w:val="24"/>
        </w:rPr>
      </w:pPr>
      <w:r>
        <w:rPr>
          <w:rFonts w:hAnsi="宋体"/>
          <w:kern w:val="0"/>
          <w:sz w:val="24"/>
        </w:rPr>
        <w:t>6</w:t>
      </w:r>
      <w:r>
        <w:rPr>
          <w:rFonts w:hAnsi="宋体"/>
          <w:kern w:val="0"/>
          <w:sz w:val="24"/>
        </w:rPr>
        <w:t>、矿区适宜性评价单元土地质量指标预测</w:t>
      </w:r>
    </w:p>
    <w:p w:rsidR="009C5C1F" w:rsidRDefault="004D2E0D">
      <w:pPr>
        <w:wordWrap w:val="0"/>
        <w:topLinePunct/>
        <w:spacing w:line="360" w:lineRule="auto"/>
        <w:ind w:firstLineChars="200" w:firstLine="480"/>
        <w:rPr>
          <w:rFonts w:hAnsi="宋体"/>
          <w:kern w:val="0"/>
          <w:sz w:val="24"/>
        </w:rPr>
      </w:pPr>
      <w:r>
        <w:rPr>
          <w:rFonts w:hAnsi="宋体"/>
          <w:kern w:val="0"/>
          <w:sz w:val="24"/>
        </w:rPr>
        <w:t>根据</w:t>
      </w:r>
      <w:r>
        <w:rPr>
          <w:rFonts w:hAnsi="宋体" w:hint="eastAsia"/>
          <w:kern w:val="0"/>
          <w:sz w:val="24"/>
        </w:rPr>
        <w:t>矿山</w:t>
      </w:r>
      <w:r>
        <w:rPr>
          <w:rFonts w:hAnsi="宋体"/>
          <w:kern w:val="0"/>
          <w:sz w:val="24"/>
        </w:rPr>
        <w:t>开发利用方案和矿区被破坏土地的情况，将矿区参评单元的土地质量列于表</w:t>
      </w:r>
      <w:r>
        <w:rPr>
          <w:iCs/>
          <w:spacing w:val="20"/>
          <w:kern w:val="0"/>
          <w:sz w:val="24"/>
          <w:shd w:val="clear" w:color="auto" w:fill="FFFFFF"/>
          <w:lang w:val="zh-CN"/>
        </w:rPr>
        <w:t>4-2</w:t>
      </w:r>
      <w:r>
        <w:rPr>
          <w:rFonts w:hAnsi="宋体"/>
          <w:kern w:val="0"/>
          <w:sz w:val="24"/>
        </w:rPr>
        <w:t>中。</w:t>
      </w:r>
    </w:p>
    <w:p w:rsidR="009C5C1F" w:rsidRDefault="004D2E0D">
      <w:pPr>
        <w:kinsoku w:val="0"/>
        <w:overflowPunct w:val="0"/>
        <w:autoSpaceDE w:val="0"/>
        <w:autoSpaceDN w:val="0"/>
        <w:adjustRightInd w:val="0"/>
        <w:ind w:firstLineChars="1000" w:firstLine="2409"/>
        <w:jc w:val="left"/>
        <w:rPr>
          <w:b/>
          <w:bCs/>
          <w:kern w:val="0"/>
          <w:sz w:val="20"/>
          <w:szCs w:val="20"/>
        </w:rPr>
      </w:pPr>
      <w:r>
        <w:rPr>
          <w:rFonts w:ascii="宋体" w:cs="宋体" w:hint="eastAsia"/>
          <w:b/>
          <w:bCs/>
          <w:kern w:val="0"/>
          <w:sz w:val="24"/>
        </w:rPr>
        <w:lastRenderedPageBreak/>
        <w:t>表</w:t>
      </w:r>
      <w:r>
        <w:rPr>
          <w:rFonts w:ascii="宋体" w:cs="宋体"/>
          <w:b/>
          <w:bCs/>
          <w:kern w:val="0"/>
          <w:sz w:val="24"/>
        </w:rPr>
        <w:t xml:space="preserve"> 4-2       </w:t>
      </w:r>
      <w:r>
        <w:rPr>
          <w:rFonts w:ascii="宋体" w:cs="宋体"/>
          <w:b/>
          <w:bCs/>
          <w:spacing w:val="60"/>
          <w:kern w:val="0"/>
          <w:sz w:val="24"/>
        </w:rPr>
        <w:t xml:space="preserve"> </w:t>
      </w:r>
      <w:proofErr w:type="gramStart"/>
      <w:r>
        <w:rPr>
          <w:rFonts w:ascii="宋体" w:cs="宋体" w:hint="eastAsia"/>
          <w:b/>
          <w:bCs/>
          <w:kern w:val="0"/>
          <w:sz w:val="24"/>
        </w:rPr>
        <w:t>待评价</w:t>
      </w:r>
      <w:proofErr w:type="gramEnd"/>
      <w:r>
        <w:rPr>
          <w:rFonts w:ascii="宋体" w:cs="宋体" w:hint="eastAsia"/>
          <w:b/>
          <w:bCs/>
          <w:kern w:val="0"/>
          <w:sz w:val="24"/>
        </w:rPr>
        <w:t>适宜性等级评定标准表</w:t>
      </w:r>
    </w:p>
    <w:p w:rsidR="009C5C1F" w:rsidRDefault="009C5C1F">
      <w:pPr>
        <w:kinsoku w:val="0"/>
        <w:overflowPunct w:val="0"/>
        <w:autoSpaceDE w:val="0"/>
        <w:autoSpaceDN w:val="0"/>
        <w:adjustRightInd w:val="0"/>
        <w:spacing w:before="8"/>
        <w:jc w:val="left"/>
        <w:rPr>
          <w:rFonts w:ascii="宋体" w:cs="宋体"/>
          <w:kern w:val="0"/>
          <w:sz w:val="2"/>
          <w:szCs w:val="2"/>
        </w:rPr>
      </w:pPr>
    </w:p>
    <w:tbl>
      <w:tblPr>
        <w:tblW w:w="8896" w:type="dxa"/>
        <w:tblInd w:w="96" w:type="dxa"/>
        <w:tblLayout w:type="fixed"/>
        <w:tblCellMar>
          <w:left w:w="0" w:type="dxa"/>
          <w:right w:w="0" w:type="dxa"/>
        </w:tblCellMar>
        <w:tblLook w:val="04A0" w:firstRow="1" w:lastRow="0" w:firstColumn="1" w:lastColumn="0" w:noHBand="0" w:noVBand="1"/>
      </w:tblPr>
      <w:tblGrid>
        <w:gridCol w:w="2051"/>
        <w:gridCol w:w="2597"/>
        <w:gridCol w:w="2594"/>
        <w:gridCol w:w="1654"/>
      </w:tblGrid>
      <w:tr w:rsidR="009C5C1F">
        <w:trPr>
          <w:trHeight w:hRule="exact" w:val="381"/>
        </w:trPr>
        <w:tc>
          <w:tcPr>
            <w:tcW w:w="4648" w:type="dxa"/>
            <w:gridSpan w:val="2"/>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line="247" w:lineRule="exact"/>
              <w:ind w:left="1373"/>
              <w:jc w:val="left"/>
              <w:rPr>
                <w:kern w:val="0"/>
                <w:sz w:val="24"/>
              </w:rPr>
            </w:pPr>
            <w:r>
              <w:rPr>
                <w:rFonts w:ascii="宋体" w:cs="宋体" w:hint="eastAsia"/>
                <w:kern w:val="0"/>
                <w:szCs w:val="21"/>
              </w:rPr>
              <w:t>限制因素及分级指标</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5"/>
              <w:ind w:left="889"/>
              <w:jc w:val="left"/>
              <w:rPr>
                <w:kern w:val="0"/>
                <w:sz w:val="24"/>
              </w:rPr>
            </w:pPr>
            <w:r>
              <w:rPr>
                <w:rFonts w:ascii="宋体" w:cs="宋体" w:hint="eastAsia"/>
                <w:kern w:val="0"/>
                <w:szCs w:val="21"/>
              </w:rPr>
              <w:t>林地评价</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5"/>
              <w:ind w:left="423"/>
              <w:jc w:val="left"/>
              <w:rPr>
                <w:kern w:val="0"/>
                <w:sz w:val="24"/>
              </w:rPr>
            </w:pPr>
            <w:r>
              <w:rPr>
                <w:rFonts w:ascii="宋体" w:cs="宋体" w:hint="eastAsia"/>
                <w:kern w:val="0"/>
                <w:szCs w:val="21"/>
              </w:rPr>
              <w:t>草地评价</w:t>
            </w:r>
          </w:p>
        </w:tc>
      </w:tr>
      <w:tr w:rsidR="009C5C1F">
        <w:trPr>
          <w:trHeight w:hRule="exact" w:val="401"/>
        </w:trPr>
        <w:tc>
          <w:tcPr>
            <w:tcW w:w="2051" w:type="dxa"/>
            <w:vMerge w:val="restart"/>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jc w:val="left"/>
              <w:rPr>
                <w:rFonts w:ascii="宋体" w:cs="宋体"/>
                <w:kern w:val="0"/>
                <w:sz w:val="20"/>
                <w:szCs w:val="20"/>
              </w:rPr>
            </w:pPr>
          </w:p>
          <w:p w:rsidR="009C5C1F" w:rsidRDefault="004D2E0D">
            <w:pPr>
              <w:kinsoku w:val="0"/>
              <w:overflowPunct w:val="0"/>
              <w:autoSpaceDE w:val="0"/>
              <w:autoSpaceDN w:val="0"/>
              <w:adjustRightInd w:val="0"/>
              <w:ind w:left="449"/>
              <w:jc w:val="left"/>
              <w:rPr>
                <w:kern w:val="0"/>
                <w:sz w:val="24"/>
              </w:rPr>
            </w:pPr>
            <w:r>
              <w:rPr>
                <w:rFonts w:ascii="宋体" w:cs="宋体" w:hint="eastAsia"/>
                <w:kern w:val="0"/>
                <w:szCs w:val="21"/>
              </w:rPr>
              <w:t>坡度／°</w:t>
            </w: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23"/>
              <w:jc w:val="center"/>
              <w:rPr>
                <w:kern w:val="0"/>
                <w:sz w:val="24"/>
              </w:rPr>
            </w:pPr>
            <w:r>
              <w:rPr>
                <w:rFonts w:ascii="宋体" w:cs="宋体" w:hint="eastAsia"/>
                <w:kern w:val="0"/>
                <w:szCs w:val="21"/>
              </w:rPr>
              <w:t>＜</w:t>
            </w:r>
            <w:r>
              <w:rPr>
                <w:rFonts w:ascii="宋体" w:cs="宋体"/>
                <w:kern w:val="0"/>
                <w:szCs w:val="21"/>
              </w:rPr>
              <w:t>5</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31"/>
              <w:jc w:val="center"/>
              <w:rPr>
                <w:kern w:val="0"/>
                <w:sz w:val="24"/>
              </w:rPr>
            </w:pPr>
            <w:r>
              <w:rPr>
                <w:rFonts w:ascii="宋体" w:cs="宋体"/>
                <w:kern w:val="0"/>
                <w:szCs w:val="21"/>
              </w:rPr>
              <w:t xml:space="preserve">1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41"/>
              <w:jc w:val="center"/>
              <w:rPr>
                <w:kern w:val="0"/>
                <w:sz w:val="24"/>
              </w:rPr>
            </w:pPr>
            <w:r>
              <w:rPr>
                <w:rFonts w:ascii="宋体" w:cs="宋体"/>
                <w:kern w:val="0"/>
                <w:szCs w:val="21"/>
              </w:rPr>
              <w:t xml:space="preserve">1 </w:t>
            </w:r>
            <w:r>
              <w:rPr>
                <w:rFonts w:ascii="宋体" w:cs="宋体" w:hint="eastAsia"/>
                <w:kern w:val="0"/>
                <w:szCs w:val="21"/>
              </w:rPr>
              <w:t>等</w:t>
            </w:r>
          </w:p>
        </w:tc>
      </w:tr>
      <w:tr w:rsidR="009C5C1F">
        <w:trPr>
          <w:trHeight w:hRule="exact" w:val="403"/>
        </w:trPr>
        <w:tc>
          <w:tcPr>
            <w:tcW w:w="2051"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76"/>
              <w:ind w:left="41"/>
              <w:jc w:val="center"/>
              <w:rPr>
                <w:kern w:val="0"/>
                <w:sz w:val="24"/>
              </w:rPr>
            </w:pP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8"/>
              <w:ind w:left="23"/>
              <w:jc w:val="center"/>
              <w:rPr>
                <w:kern w:val="0"/>
                <w:sz w:val="24"/>
              </w:rPr>
            </w:pPr>
            <w:r>
              <w:rPr>
                <w:rFonts w:ascii="宋体" w:cs="宋体"/>
                <w:kern w:val="0"/>
                <w:szCs w:val="21"/>
              </w:rPr>
              <w:t>5</w:t>
            </w:r>
            <w:r>
              <w:rPr>
                <w:rFonts w:ascii="宋体" w:cs="宋体" w:hint="eastAsia"/>
                <w:kern w:val="0"/>
                <w:szCs w:val="21"/>
              </w:rPr>
              <w:t>～</w:t>
            </w:r>
            <w:r>
              <w:rPr>
                <w:rFonts w:ascii="宋体" w:cs="宋体"/>
                <w:kern w:val="0"/>
                <w:szCs w:val="21"/>
              </w:rPr>
              <w:t>25</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8"/>
              <w:ind w:left="31"/>
              <w:jc w:val="center"/>
              <w:rPr>
                <w:kern w:val="0"/>
                <w:sz w:val="24"/>
              </w:rPr>
            </w:pPr>
            <w:r>
              <w:rPr>
                <w:rFonts w:ascii="宋体" w:cs="宋体"/>
                <w:kern w:val="0"/>
                <w:szCs w:val="21"/>
              </w:rPr>
              <w:t xml:space="preserve">1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8"/>
              <w:ind w:left="41"/>
              <w:jc w:val="center"/>
              <w:rPr>
                <w:kern w:val="0"/>
                <w:sz w:val="24"/>
              </w:rPr>
            </w:pPr>
            <w:r>
              <w:rPr>
                <w:rFonts w:ascii="宋体" w:cs="宋体"/>
                <w:kern w:val="0"/>
                <w:szCs w:val="21"/>
              </w:rPr>
              <w:t xml:space="preserve">1 </w:t>
            </w:r>
            <w:r>
              <w:rPr>
                <w:rFonts w:ascii="宋体" w:cs="宋体" w:hint="eastAsia"/>
                <w:kern w:val="0"/>
                <w:szCs w:val="21"/>
              </w:rPr>
              <w:t>等</w:t>
            </w:r>
          </w:p>
        </w:tc>
      </w:tr>
      <w:tr w:rsidR="009C5C1F">
        <w:trPr>
          <w:trHeight w:hRule="exact" w:val="403"/>
        </w:trPr>
        <w:tc>
          <w:tcPr>
            <w:tcW w:w="2051"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78"/>
              <w:ind w:left="41"/>
              <w:jc w:val="center"/>
              <w:rPr>
                <w:kern w:val="0"/>
                <w:sz w:val="24"/>
              </w:rPr>
            </w:pP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23"/>
              <w:jc w:val="center"/>
              <w:rPr>
                <w:kern w:val="0"/>
                <w:sz w:val="24"/>
              </w:rPr>
            </w:pPr>
            <w:r>
              <w:rPr>
                <w:rFonts w:ascii="宋体" w:cs="宋体"/>
                <w:kern w:val="0"/>
                <w:szCs w:val="21"/>
              </w:rPr>
              <w:t>25</w:t>
            </w:r>
            <w:r>
              <w:rPr>
                <w:rFonts w:ascii="宋体" w:cs="宋体" w:hint="eastAsia"/>
                <w:kern w:val="0"/>
                <w:szCs w:val="21"/>
              </w:rPr>
              <w:t>～</w:t>
            </w:r>
            <w:r>
              <w:rPr>
                <w:rFonts w:ascii="宋体" w:cs="宋体"/>
                <w:kern w:val="0"/>
                <w:szCs w:val="21"/>
              </w:rPr>
              <w:t>45</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31"/>
              <w:jc w:val="center"/>
              <w:rPr>
                <w:kern w:val="0"/>
                <w:sz w:val="24"/>
              </w:rPr>
            </w:pPr>
            <w:r>
              <w:rPr>
                <w:rFonts w:ascii="宋体" w:cs="宋体"/>
                <w:kern w:val="0"/>
                <w:szCs w:val="21"/>
              </w:rPr>
              <w:t xml:space="preserve">2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41"/>
              <w:jc w:val="center"/>
              <w:rPr>
                <w:kern w:val="0"/>
                <w:sz w:val="24"/>
              </w:rPr>
            </w:pPr>
            <w:r>
              <w:rPr>
                <w:rFonts w:ascii="宋体" w:cs="宋体"/>
                <w:kern w:val="0"/>
                <w:szCs w:val="21"/>
              </w:rPr>
              <w:t xml:space="preserve">2 </w:t>
            </w:r>
            <w:r>
              <w:rPr>
                <w:rFonts w:ascii="宋体" w:cs="宋体" w:hint="eastAsia"/>
                <w:kern w:val="0"/>
                <w:szCs w:val="21"/>
              </w:rPr>
              <w:t>等</w:t>
            </w:r>
          </w:p>
        </w:tc>
      </w:tr>
      <w:tr w:rsidR="009C5C1F">
        <w:trPr>
          <w:trHeight w:hRule="exact" w:val="631"/>
        </w:trPr>
        <w:tc>
          <w:tcPr>
            <w:tcW w:w="2051"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76"/>
              <w:ind w:left="41"/>
              <w:jc w:val="center"/>
              <w:rPr>
                <w:kern w:val="0"/>
                <w:sz w:val="24"/>
              </w:rPr>
            </w:pP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25"/>
              <w:jc w:val="center"/>
              <w:rPr>
                <w:kern w:val="0"/>
                <w:sz w:val="24"/>
              </w:rPr>
            </w:pPr>
            <w:r>
              <w:rPr>
                <w:rFonts w:ascii="宋体" w:cs="宋体" w:hint="eastAsia"/>
                <w:kern w:val="0"/>
                <w:szCs w:val="21"/>
              </w:rPr>
              <w:t>＞</w:t>
            </w:r>
            <w:r>
              <w:rPr>
                <w:rFonts w:ascii="宋体" w:cs="宋体"/>
                <w:kern w:val="0"/>
                <w:szCs w:val="21"/>
              </w:rPr>
              <w:t>45</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31"/>
              <w:jc w:val="center"/>
              <w:rPr>
                <w:kern w:val="0"/>
                <w:sz w:val="24"/>
              </w:rPr>
            </w:pPr>
            <w:r>
              <w:rPr>
                <w:rFonts w:ascii="宋体" w:cs="宋体"/>
                <w:kern w:val="0"/>
                <w:szCs w:val="21"/>
              </w:rPr>
              <w:t xml:space="preserve">3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21" w:line="250" w:lineRule="exact"/>
              <w:ind w:left="738" w:right="379" w:hanging="315"/>
              <w:jc w:val="left"/>
              <w:rPr>
                <w:kern w:val="0"/>
                <w:sz w:val="24"/>
              </w:rPr>
            </w:pPr>
            <w:r>
              <w:rPr>
                <w:rFonts w:ascii="宋体" w:cs="宋体"/>
                <w:kern w:val="0"/>
                <w:szCs w:val="21"/>
              </w:rPr>
              <w:t xml:space="preserve">2 </w:t>
            </w:r>
            <w:r>
              <w:rPr>
                <w:rFonts w:ascii="宋体" w:cs="宋体" w:hint="eastAsia"/>
                <w:kern w:val="0"/>
                <w:szCs w:val="21"/>
              </w:rPr>
              <w:t>等或</w:t>
            </w:r>
            <w:r>
              <w:rPr>
                <w:rFonts w:ascii="宋体" w:cs="宋体"/>
                <w:spacing w:val="-3"/>
                <w:kern w:val="0"/>
                <w:szCs w:val="21"/>
              </w:rPr>
              <w:t xml:space="preserve"> </w:t>
            </w:r>
            <w:r>
              <w:rPr>
                <w:rFonts w:ascii="宋体" w:cs="宋体"/>
                <w:kern w:val="0"/>
                <w:szCs w:val="21"/>
              </w:rPr>
              <w:t>3</w:t>
            </w:r>
            <w:r>
              <w:rPr>
                <w:rFonts w:ascii="宋体" w:cs="宋体"/>
                <w:w w:val="99"/>
                <w:kern w:val="0"/>
                <w:szCs w:val="21"/>
              </w:rPr>
              <w:t xml:space="preserve"> </w:t>
            </w:r>
            <w:r>
              <w:rPr>
                <w:rFonts w:ascii="宋体" w:cs="宋体" w:hint="eastAsia"/>
                <w:kern w:val="0"/>
                <w:szCs w:val="21"/>
              </w:rPr>
              <w:t>等</w:t>
            </w:r>
          </w:p>
        </w:tc>
      </w:tr>
      <w:tr w:rsidR="009C5C1F">
        <w:trPr>
          <w:trHeight w:hRule="exact" w:val="403"/>
        </w:trPr>
        <w:tc>
          <w:tcPr>
            <w:tcW w:w="2051" w:type="dxa"/>
            <w:vMerge w:val="restart"/>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jc w:val="left"/>
              <w:rPr>
                <w:rFonts w:ascii="宋体" w:cs="宋体"/>
                <w:kern w:val="0"/>
                <w:sz w:val="20"/>
                <w:szCs w:val="20"/>
              </w:rPr>
            </w:pPr>
          </w:p>
          <w:p w:rsidR="009C5C1F" w:rsidRDefault="004D2E0D">
            <w:pPr>
              <w:kinsoku w:val="0"/>
              <w:overflowPunct w:val="0"/>
              <w:autoSpaceDE w:val="0"/>
              <w:autoSpaceDN w:val="0"/>
              <w:adjustRightInd w:val="0"/>
              <w:spacing w:before="177"/>
              <w:ind w:left="238"/>
              <w:jc w:val="left"/>
              <w:rPr>
                <w:kern w:val="0"/>
                <w:sz w:val="24"/>
              </w:rPr>
            </w:pPr>
            <w:r>
              <w:rPr>
                <w:rFonts w:ascii="宋体" w:cs="宋体" w:hint="eastAsia"/>
                <w:kern w:val="0"/>
                <w:szCs w:val="21"/>
              </w:rPr>
              <w:t>地表组成物质</w:t>
            </w: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8"/>
              <w:ind w:left="675"/>
              <w:jc w:val="left"/>
              <w:rPr>
                <w:kern w:val="0"/>
                <w:sz w:val="24"/>
              </w:rPr>
            </w:pPr>
            <w:r>
              <w:rPr>
                <w:rFonts w:ascii="宋体" w:cs="宋体" w:hint="eastAsia"/>
                <w:kern w:val="0"/>
                <w:szCs w:val="21"/>
              </w:rPr>
              <w:t>壤土、沙壤土</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8"/>
              <w:ind w:left="31"/>
              <w:jc w:val="center"/>
              <w:rPr>
                <w:kern w:val="0"/>
                <w:sz w:val="24"/>
              </w:rPr>
            </w:pPr>
            <w:r>
              <w:rPr>
                <w:rFonts w:ascii="宋体" w:cs="宋体"/>
                <w:kern w:val="0"/>
                <w:szCs w:val="21"/>
              </w:rPr>
              <w:t xml:space="preserve">1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8"/>
              <w:ind w:left="41"/>
              <w:jc w:val="center"/>
              <w:rPr>
                <w:kern w:val="0"/>
                <w:sz w:val="24"/>
              </w:rPr>
            </w:pPr>
            <w:r>
              <w:rPr>
                <w:rFonts w:ascii="宋体" w:cs="宋体"/>
                <w:kern w:val="0"/>
                <w:szCs w:val="21"/>
              </w:rPr>
              <w:t xml:space="preserve">1 </w:t>
            </w:r>
            <w:r>
              <w:rPr>
                <w:rFonts w:ascii="宋体" w:cs="宋体" w:hint="eastAsia"/>
                <w:kern w:val="0"/>
                <w:szCs w:val="21"/>
              </w:rPr>
              <w:t>等</w:t>
            </w:r>
          </w:p>
        </w:tc>
      </w:tr>
      <w:tr w:rsidR="009C5C1F">
        <w:trPr>
          <w:trHeight w:hRule="exact" w:val="635"/>
        </w:trPr>
        <w:tc>
          <w:tcPr>
            <w:tcW w:w="2051"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78"/>
              <w:ind w:left="41"/>
              <w:jc w:val="center"/>
              <w:rPr>
                <w:kern w:val="0"/>
                <w:sz w:val="24"/>
              </w:rPr>
            </w:pP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781"/>
              <w:jc w:val="left"/>
              <w:rPr>
                <w:kern w:val="0"/>
                <w:sz w:val="24"/>
              </w:rPr>
            </w:pPr>
            <w:r>
              <w:rPr>
                <w:rFonts w:ascii="宋体" w:cs="宋体" w:hint="eastAsia"/>
                <w:kern w:val="0"/>
                <w:szCs w:val="21"/>
              </w:rPr>
              <w:t>岩土混合物</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728"/>
              <w:jc w:val="left"/>
              <w:rPr>
                <w:kern w:val="0"/>
                <w:sz w:val="24"/>
              </w:rPr>
            </w:pPr>
            <w:r>
              <w:rPr>
                <w:rFonts w:ascii="宋体" w:cs="宋体"/>
                <w:kern w:val="0"/>
                <w:szCs w:val="21"/>
              </w:rPr>
              <w:t xml:space="preserve">2 </w:t>
            </w:r>
            <w:r>
              <w:rPr>
                <w:rFonts w:ascii="宋体" w:cs="宋体" w:hint="eastAsia"/>
                <w:kern w:val="0"/>
                <w:szCs w:val="21"/>
              </w:rPr>
              <w:t>等或</w:t>
            </w:r>
            <w:r>
              <w:rPr>
                <w:rFonts w:ascii="宋体" w:cs="宋体"/>
                <w:kern w:val="0"/>
                <w:szCs w:val="21"/>
              </w:rPr>
              <w:t xml:space="preserve"> 3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20" w:line="252" w:lineRule="exact"/>
              <w:ind w:left="738" w:right="379" w:hanging="315"/>
              <w:jc w:val="left"/>
              <w:rPr>
                <w:kern w:val="0"/>
                <w:sz w:val="24"/>
              </w:rPr>
            </w:pPr>
            <w:r>
              <w:rPr>
                <w:rFonts w:ascii="宋体" w:cs="宋体"/>
                <w:kern w:val="0"/>
                <w:szCs w:val="21"/>
              </w:rPr>
              <w:t xml:space="preserve">2 </w:t>
            </w:r>
            <w:r>
              <w:rPr>
                <w:rFonts w:ascii="宋体" w:cs="宋体" w:hint="eastAsia"/>
                <w:kern w:val="0"/>
                <w:szCs w:val="21"/>
              </w:rPr>
              <w:t>等或</w:t>
            </w:r>
            <w:r>
              <w:rPr>
                <w:rFonts w:ascii="宋体" w:cs="宋体"/>
                <w:spacing w:val="-3"/>
                <w:kern w:val="0"/>
                <w:szCs w:val="21"/>
              </w:rPr>
              <w:t xml:space="preserve"> </w:t>
            </w:r>
            <w:r>
              <w:rPr>
                <w:rFonts w:ascii="宋体" w:cs="宋体"/>
                <w:kern w:val="0"/>
                <w:szCs w:val="21"/>
              </w:rPr>
              <w:t>3</w:t>
            </w:r>
            <w:r>
              <w:rPr>
                <w:rFonts w:ascii="宋体" w:cs="宋体"/>
                <w:w w:val="99"/>
                <w:kern w:val="0"/>
                <w:szCs w:val="21"/>
              </w:rPr>
              <w:t xml:space="preserve"> </w:t>
            </w:r>
            <w:r>
              <w:rPr>
                <w:rFonts w:ascii="宋体" w:cs="宋体" w:hint="eastAsia"/>
                <w:kern w:val="0"/>
                <w:szCs w:val="21"/>
              </w:rPr>
              <w:t>等</w:t>
            </w:r>
          </w:p>
        </w:tc>
      </w:tr>
      <w:tr w:rsidR="009C5C1F">
        <w:trPr>
          <w:trHeight w:hRule="exact" w:val="400"/>
        </w:trPr>
        <w:tc>
          <w:tcPr>
            <w:tcW w:w="2051"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120" w:line="252" w:lineRule="exact"/>
              <w:ind w:left="738" w:right="379" w:hanging="315"/>
              <w:jc w:val="left"/>
              <w:rPr>
                <w:kern w:val="0"/>
                <w:sz w:val="24"/>
              </w:rPr>
            </w:pP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5"/>
              <w:ind w:left="781"/>
              <w:jc w:val="left"/>
              <w:rPr>
                <w:kern w:val="0"/>
                <w:sz w:val="24"/>
              </w:rPr>
            </w:pPr>
            <w:r>
              <w:rPr>
                <w:rFonts w:ascii="宋体" w:cs="宋体" w:hint="eastAsia"/>
                <w:kern w:val="0"/>
                <w:szCs w:val="21"/>
              </w:rPr>
              <w:t>砂土、砾质</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5"/>
              <w:ind w:left="31"/>
              <w:jc w:val="center"/>
              <w:rPr>
                <w:kern w:val="0"/>
                <w:sz w:val="24"/>
              </w:rPr>
            </w:pPr>
            <w:r>
              <w:rPr>
                <w:rFonts w:ascii="宋体" w:cs="宋体"/>
                <w:kern w:val="0"/>
                <w:szCs w:val="21"/>
              </w:rPr>
              <w:t xml:space="preserve">3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5"/>
              <w:ind w:left="41"/>
              <w:jc w:val="center"/>
              <w:rPr>
                <w:kern w:val="0"/>
                <w:sz w:val="24"/>
              </w:rPr>
            </w:pPr>
            <w:r>
              <w:rPr>
                <w:rFonts w:ascii="宋体" w:cs="宋体"/>
                <w:kern w:val="0"/>
                <w:szCs w:val="21"/>
              </w:rPr>
              <w:t xml:space="preserve">3 </w:t>
            </w:r>
            <w:r>
              <w:rPr>
                <w:rFonts w:ascii="宋体" w:cs="宋体" w:hint="eastAsia"/>
                <w:kern w:val="0"/>
                <w:szCs w:val="21"/>
              </w:rPr>
              <w:t>等</w:t>
            </w:r>
          </w:p>
        </w:tc>
      </w:tr>
      <w:tr w:rsidR="009C5C1F">
        <w:trPr>
          <w:trHeight w:hRule="exact" w:val="403"/>
        </w:trPr>
        <w:tc>
          <w:tcPr>
            <w:tcW w:w="2051"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75"/>
              <w:ind w:left="41"/>
              <w:jc w:val="center"/>
              <w:rPr>
                <w:kern w:val="0"/>
                <w:sz w:val="24"/>
              </w:rPr>
            </w:pP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8"/>
              <w:ind w:left="21"/>
              <w:jc w:val="center"/>
              <w:rPr>
                <w:kern w:val="0"/>
                <w:sz w:val="24"/>
              </w:rPr>
            </w:pPr>
            <w:r>
              <w:rPr>
                <w:rFonts w:ascii="宋体" w:cs="宋体" w:hint="eastAsia"/>
                <w:kern w:val="0"/>
                <w:szCs w:val="21"/>
              </w:rPr>
              <w:t>砾质</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8"/>
              <w:ind w:left="31"/>
              <w:jc w:val="center"/>
              <w:rPr>
                <w:kern w:val="0"/>
                <w:sz w:val="24"/>
              </w:rPr>
            </w:pPr>
            <w:r>
              <w:rPr>
                <w:rFonts w:ascii="宋体" w:cs="宋体"/>
                <w:kern w:val="0"/>
                <w:szCs w:val="21"/>
              </w:rPr>
              <w:t xml:space="preserve">3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8"/>
              <w:ind w:left="42"/>
              <w:jc w:val="center"/>
              <w:rPr>
                <w:kern w:val="0"/>
                <w:sz w:val="24"/>
              </w:rPr>
            </w:pPr>
            <w:r>
              <w:rPr>
                <w:rFonts w:ascii="宋体" w:cs="宋体"/>
                <w:w w:val="99"/>
                <w:kern w:val="0"/>
                <w:szCs w:val="21"/>
              </w:rPr>
              <w:t>N</w:t>
            </w:r>
          </w:p>
        </w:tc>
      </w:tr>
      <w:tr w:rsidR="009C5C1F">
        <w:trPr>
          <w:trHeight w:hRule="exact" w:val="403"/>
        </w:trPr>
        <w:tc>
          <w:tcPr>
            <w:tcW w:w="2051" w:type="dxa"/>
            <w:vMerge w:val="restart"/>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97"/>
              <w:ind w:left="542"/>
              <w:jc w:val="left"/>
              <w:rPr>
                <w:rFonts w:ascii="宋体" w:cs="宋体"/>
                <w:kern w:val="0"/>
                <w:sz w:val="20"/>
                <w:szCs w:val="20"/>
              </w:rPr>
            </w:pPr>
            <w:r>
              <w:rPr>
                <w:rFonts w:ascii="宋体" w:cs="宋体" w:hint="eastAsia"/>
                <w:w w:val="120"/>
                <w:kern w:val="0"/>
                <w:sz w:val="20"/>
                <w:szCs w:val="20"/>
              </w:rPr>
              <w:t>土壤有机质</w:t>
            </w:r>
          </w:p>
          <w:p w:rsidR="009C5C1F" w:rsidRDefault="004D2E0D">
            <w:pPr>
              <w:kinsoku w:val="0"/>
              <w:overflowPunct w:val="0"/>
              <w:autoSpaceDE w:val="0"/>
              <w:autoSpaceDN w:val="0"/>
              <w:adjustRightInd w:val="0"/>
              <w:spacing w:before="20"/>
              <w:ind w:left="586"/>
              <w:jc w:val="left"/>
              <w:rPr>
                <w:kern w:val="0"/>
                <w:sz w:val="24"/>
              </w:rPr>
            </w:pPr>
            <w:r>
              <w:rPr>
                <w:rFonts w:ascii="宋体" w:cs="宋体"/>
                <w:i/>
                <w:iCs/>
                <w:w w:val="110"/>
                <w:kern w:val="0"/>
                <w:sz w:val="23"/>
                <w:szCs w:val="23"/>
              </w:rPr>
              <w:t xml:space="preserve">g </w:t>
            </w:r>
            <w:r>
              <w:rPr>
                <w:rFonts w:ascii="宋体" w:cs="宋体"/>
                <w:w w:val="110"/>
                <w:kern w:val="0"/>
                <w:sz w:val="20"/>
                <w:szCs w:val="20"/>
              </w:rPr>
              <w:t>kg</w:t>
            </w:r>
            <w:r>
              <w:rPr>
                <w:rFonts w:ascii="宋体" w:cs="宋体"/>
                <w:spacing w:val="35"/>
                <w:w w:val="110"/>
                <w:kern w:val="0"/>
                <w:sz w:val="20"/>
                <w:szCs w:val="20"/>
              </w:rPr>
              <w:t xml:space="preserve"> </w:t>
            </w:r>
            <w:r>
              <w:rPr>
                <w:rFonts w:ascii="宋体" w:cs="宋体"/>
                <w:w w:val="110"/>
                <w:kern w:val="0"/>
                <w:position w:val="10"/>
                <w:sz w:val="10"/>
                <w:szCs w:val="10"/>
              </w:rPr>
              <w:t>1</w:t>
            </w: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25"/>
              <w:jc w:val="center"/>
              <w:rPr>
                <w:kern w:val="0"/>
                <w:sz w:val="24"/>
              </w:rPr>
            </w:pPr>
            <w:r>
              <w:rPr>
                <w:rFonts w:ascii="宋体" w:cs="宋体" w:hint="eastAsia"/>
                <w:kern w:val="0"/>
                <w:szCs w:val="21"/>
              </w:rPr>
              <w:t>＞</w:t>
            </w:r>
            <w:r>
              <w:rPr>
                <w:rFonts w:ascii="宋体" w:cs="宋体"/>
                <w:kern w:val="0"/>
                <w:szCs w:val="21"/>
              </w:rPr>
              <w:t>10</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31"/>
              <w:jc w:val="center"/>
              <w:rPr>
                <w:kern w:val="0"/>
                <w:sz w:val="24"/>
              </w:rPr>
            </w:pPr>
            <w:r>
              <w:rPr>
                <w:rFonts w:ascii="宋体" w:cs="宋体"/>
                <w:kern w:val="0"/>
                <w:szCs w:val="21"/>
              </w:rPr>
              <w:t xml:space="preserve">1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41"/>
              <w:jc w:val="center"/>
              <w:rPr>
                <w:kern w:val="0"/>
                <w:sz w:val="24"/>
              </w:rPr>
            </w:pPr>
            <w:r>
              <w:rPr>
                <w:rFonts w:ascii="宋体" w:cs="宋体"/>
                <w:kern w:val="0"/>
                <w:szCs w:val="21"/>
              </w:rPr>
              <w:t xml:space="preserve">1 </w:t>
            </w:r>
            <w:r>
              <w:rPr>
                <w:rFonts w:ascii="宋体" w:cs="宋体" w:hint="eastAsia"/>
                <w:kern w:val="0"/>
                <w:szCs w:val="21"/>
              </w:rPr>
              <w:t>等</w:t>
            </w:r>
          </w:p>
        </w:tc>
      </w:tr>
      <w:tr w:rsidR="009C5C1F">
        <w:trPr>
          <w:trHeight w:hRule="exact" w:val="401"/>
        </w:trPr>
        <w:tc>
          <w:tcPr>
            <w:tcW w:w="2051"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76"/>
              <w:ind w:left="41"/>
              <w:jc w:val="center"/>
              <w:rPr>
                <w:kern w:val="0"/>
                <w:sz w:val="24"/>
              </w:rPr>
            </w:pP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23"/>
              <w:jc w:val="center"/>
              <w:rPr>
                <w:kern w:val="0"/>
                <w:sz w:val="24"/>
              </w:rPr>
            </w:pPr>
            <w:r>
              <w:rPr>
                <w:rFonts w:ascii="宋体" w:cs="宋体"/>
                <w:kern w:val="0"/>
                <w:szCs w:val="21"/>
              </w:rPr>
              <w:t>10</w:t>
            </w:r>
            <w:r>
              <w:rPr>
                <w:rFonts w:ascii="宋体" w:cs="宋体" w:hint="eastAsia"/>
                <w:kern w:val="0"/>
                <w:szCs w:val="21"/>
              </w:rPr>
              <w:t>～</w:t>
            </w:r>
            <w:r>
              <w:rPr>
                <w:rFonts w:ascii="宋体" w:cs="宋体"/>
                <w:kern w:val="0"/>
                <w:szCs w:val="21"/>
              </w:rPr>
              <w:t>6</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31"/>
              <w:jc w:val="center"/>
              <w:rPr>
                <w:kern w:val="0"/>
                <w:sz w:val="24"/>
              </w:rPr>
            </w:pPr>
            <w:r>
              <w:rPr>
                <w:rFonts w:ascii="宋体" w:cs="宋体"/>
                <w:kern w:val="0"/>
                <w:szCs w:val="21"/>
              </w:rPr>
              <w:t xml:space="preserve">1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41"/>
              <w:jc w:val="center"/>
              <w:rPr>
                <w:kern w:val="0"/>
                <w:sz w:val="24"/>
              </w:rPr>
            </w:pPr>
            <w:r>
              <w:rPr>
                <w:rFonts w:ascii="宋体" w:cs="宋体"/>
                <w:kern w:val="0"/>
                <w:szCs w:val="21"/>
              </w:rPr>
              <w:t xml:space="preserve">1 </w:t>
            </w:r>
            <w:r>
              <w:rPr>
                <w:rFonts w:ascii="宋体" w:cs="宋体" w:hint="eastAsia"/>
                <w:kern w:val="0"/>
                <w:szCs w:val="21"/>
              </w:rPr>
              <w:t>等</w:t>
            </w:r>
          </w:p>
        </w:tc>
      </w:tr>
      <w:tr w:rsidR="009C5C1F">
        <w:trPr>
          <w:trHeight w:hRule="exact" w:val="702"/>
        </w:trPr>
        <w:tc>
          <w:tcPr>
            <w:tcW w:w="2051"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76"/>
              <w:ind w:left="41"/>
              <w:jc w:val="center"/>
              <w:rPr>
                <w:kern w:val="0"/>
                <w:sz w:val="24"/>
              </w:rPr>
            </w:pP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12"/>
              <w:ind w:left="23"/>
              <w:jc w:val="center"/>
              <w:rPr>
                <w:kern w:val="0"/>
                <w:sz w:val="24"/>
              </w:rPr>
            </w:pPr>
            <w:r>
              <w:rPr>
                <w:rFonts w:ascii="宋体" w:cs="宋体" w:hint="eastAsia"/>
                <w:kern w:val="0"/>
                <w:szCs w:val="21"/>
              </w:rPr>
              <w:t>＜</w:t>
            </w:r>
            <w:r>
              <w:rPr>
                <w:rFonts w:ascii="宋体" w:cs="宋体"/>
                <w:kern w:val="0"/>
                <w:szCs w:val="21"/>
              </w:rPr>
              <w:t>6</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12"/>
              <w:ind w:left="728"/>
              <w:jc w:val="left"/>
              <w:rPr>
                <w:kern w:val="0"/>
                <w:sz w:val="24"/>
              </w:rPr>
            </w:pPr>
            <w:r>
              <w:rPr>
                <w:rFonts w:ascii="宋体" w:cs="宋体"/>
                <w:kern w:val="0"/>
                <w:szCs w:val="21"/>
              </w:rPr>
              <w:t xml:space="preserve">2 </w:t>
            </w:r>
            <w:r>
              <w:rPr>
                <w:rFonts w:ascii="宋体" w:cs="宋体" w:hint="eastAsia"/>
                <w:kern w:val="0"/>
                <w:szCs w:val="21"/>
              </w:rPr>
              <w:t>等或</w:t>
            </w:r>
            <w:r>
              <w:rPr>
                <w:rFonts w:ascii="宋体" w:cs="宋体"/>
                <w:kern w:val="0"/>
                <w:szCs w:val="21"/>
              </w:rPr>
              <w:t xml:space="preserve"> 3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12"/>
              <w:ind w:left="738" w:right="379" w:hanging="315"/>
              <w:jc w:val="left"/>
              <w:rPr>
                <w:kern w:val="0"/>
                <w:sz w:val="24"/>
              </w:rPr>
            </w:pPr>
            <w:r>
              <w:rPr>
                <w:rFonts w:ascii="宋体" w:cs="宋体"/>
                <w:kern w:val="0"/>
                <w:szCs w:val="21"/>
              </w:rPr>
              <w:t xml:space="preserve">2 </w:t>
            </w:r>
            <w:r>
              <w:rPr>
                <w:rFonts w:ascii="宋体" w:cs="宋体" w:hint="eastAsia"/>
                <w:kern w:val="0"/>
                <w:szCs w:val="21"/>
              </w:rPr>
              <w:t>等或</w:t>
            </w:r>
            <w:r>
              <w:rPr>
                <w:rFonts w:ascii="宋体" w:cs="宋体"/>
                <w:spacing w:val="-3"/>
                <w:kern w:val="0"/>
                <w:szCs w:val="21"/>
              </w:rPr>
              <w:t xml:space="preserve"> </w:t>
            </w:r>
            <w:r>
              <w:rPr>
                <w:rFonts w:ascii="宋体" w:cs="宋体"/>
                <w:kern w:val="0"/>
                <w:szCs w:val="21"/>
              </w:rPr>
              <w:t>3</w:t>
            </w:r>
            <w:r>
              <w:rPr>
                <w:rFonts w:ascii="宋体" w:cs="宋体"/>
                <w:w w:val="99"/>
                <w:kern w:val="0"/>
                <w:szCs w:val="21"/>
              </w:rPr>
              <w:t xml:space="preserve"> </w:t>
            </w:r>
            <w:r>
              <w:rPr>
                <w:rFonts w:ascii="宋体" w:cs="宋体" w:hint="eastAsia"/>
                <w:kern w:val="0"/>
                <w:szCs w:val="21"/>
              </w:rPr>
              <w:t>等</w:t>
            </w:r>
          </w:p>
        </w:tc>
      </w:tr>
      <w:tr w:rsidR="009C5C1F">
        <w:trPr>
          <w:trHeight w:hRule="exact" w:val="403"/>
        </w:trPr>
        <w:tc>
          <w:tcPr>
            <w:tcW w:w="2051" w:type="dxa"/>
            <w:vMerge w:val="restart"/>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jc w:val="left"/>
              <w:rPr>
                <w:rFonts w:ascii="宋体" w:cs="宋体"/>
                <w:kern w:val="0"/>
                <w:sz w:val="20"/>
                <w:szCs w:val="20"/>
              </w:rPr>
            </w:pPr>
          </w:p>
          <w:p w:rsidR="009C5C1F" w:rsidRDefault="004D2E0D">
            <w:pPr>
              <w:kinsoku w:val="0"/>
              <w:overflowPunct w:val="0"/>
              <w:autoSpaceDE w:val="0"/>
              <w:autoSpaceDN w:val="0"/>
              <w:adjustRightInd w:val="0"/>
              <w:ind w:left="449"/>
              <w:jc w:val="left"/>
              <w:rPr>
                <w:kern w:val="0"/>
                <w:sz w:val="24"/>
              </w:rPr>
            </w:pPr>
            <w:r>
              <w:rPr>
                <w:rFonts w:ascii="宋体" w:cs="宋体" w:hint="eastAsia"/>
                <w:kern w:val="0"/>
                <w:szCs w:val="21"/>
              </w:rPr>
              <w:t>土壤质地</w:t>
            </w: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7"/>
              <w:ind w:left="21"/>
              <w:jc w:val="center"/>
              <w:rPr>
                <w:kern w:val="0"/>
                <w:sz w:val="24"/>
              </w:rPr>
            </w:pPr>
            <w:r>
              <w:rPr>
                <w:rFonts w:ascii="宋体" w:cs="宋体" w:hint="eastAsia"/>
                <w:kern w:val="0"/>
                <w:szCs w:val="21"/>
              </w:rPr>
              <w:t>壤土</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7"/>
              <w:ind w:left="31"/>
              <w:jc w:val="center"/>
              <w:rPr>
                <w:kern w:val="0"/>
                <w:sz w:val="24"/>
              </w:rPr>
            </w:pPr>
            <w:r>
              <w:rPr>
                <w:rFonts w:ascii="宋体" w:cs="宋体"/>
                <w:kern w:val="0"/>
                <w:szCs w:val="21"/>
              </w:rPr>
              <w:t xml:space="preserve">1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7"/>
              <w:ind w:left="41"/>
              <w:jc w:val="center"/>
              <w:rPr>
                <w:kern w:val="0"/>
                <w:sz w:val="24"/>
              </w:rPr>
            </w:pPr>
            <w:r>
              <w:rPr>
                <w:rFonts w:ascii="宋体" w:cs="宋体"/>
                <w:kern w:val="0"/>
                <w:szCs w:val="21"/>
              </w:rPr>
              <w:t xml:space="preserve">1 </w:t>
            </w:r>
            <w:r>
              <w:rPr>
                <w:rFonts w:ascii="宋体" w:cs="宋体" w:hint="eastAsia"/>
                <w:kern w:val="0"/>
                <w:szCs w:val="21"/>
              </w:rPr>
              <w:t>等</w:t>
            </w:r>
          </w:p>
        </w:tc>
      </w:tr>
      <w:tr w:rsidR="009C5C1F">
        <w:trPr>
          <w:trHeight w:hRule="exact" w:val="635"/>
        </w:trPr>
        <w:tc>
          <w:tcPr>
            <w:tcW w:w="2051"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77"/>
              <w:ind w:left="41"/>
              <w:jc w:val="center"/>
              <w:rPr>
                <w:kern w:val="0"/>
                <w:sz w:val="24"/>
              </w:rPr>
            </w:pP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5"/>
              <w:ind w:left="675"/>
              <w:jc w:val="left"/>
              <w:rPr>
                <w:kern w:val="0"/>
                <w:sz w:val="24"/>
              </w:rPr>
            </w:pPr>
            <w:r>
              <w:rPr>
                <w:rFonts w:ascii="宋体" w:cs="宋体" w:hint="eastAsia"/>
                <w:kern w:val="0"/>
                <w:szCs w:val="21"/>
              </w:rPr>
              <w:t>黏壤土、黏土</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5"/>
              <w:ind w:left="31"/>
              <w:jc w:val="center"/>
              <w:rPr>
                <w:kern w:val="0"/>
                <w:sz w:val="24"/>
              </w:rPr>
            </w:pPr>
            <w:r>
              <w:rPr>
                <w:rFonts w:ascii="宋体" w:cs="宋体"/>
                <w:kern w:val="0"/>
                <w:szCs w:val="21"/>
              </w:rPr>
              <w:t xml:space="preserve">2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119" w:line="252" w:lineRule="exact"/>
              <w:ind w:left="738" w:right="379" w:hanging="315"/>
              <w:jc w:val="left"/>
              <w:rPr>
                <w:kern w:val="0"/>
                <w:sz w:val="24"/>
              </w:rPr>
            </w:pPr>
            <w:r>
              <w:rPr>
                <w:rFonts w:ascii="宋体" w:cs="宋体"/>
                <w:kern w:val="0"/>
                <w:szCs w:val="21"/>
              </w:rPr>
              <w:t xml:space="preserve">1 </w:t>
            </w:r>
            <w:r>
              <w:rPr>
                <w:rFonts w:ascii="宋体" w:cs="宋体" w:hint="eastAsia"/>
                <w:kern w:val="0"/>
                <w:szCs w:val="21"/>
              </w:rPr>
              <w:t>等或</w:t>
            </w:r>
            <w:r>
              <w:rPr>
                <w:rFonts w:ascii="宋体" w:cs="宋体"/>
                <w:spacing w:val="-3"/>
                <w:kern w:val="0"/>
                <w:szCs w:val="21"/>
              </w:rPr>
              <w:t xml:space="preserve"> </w:t>
            </w:r>
            <w:r>
              <w:rPr>
                <w:rFonts w:ascii="宋体" w:cs="宋体"/>
                <w:kern w:val="0"/>
                <w:szCs w:val="21"/>
              </w:rPr>
              <w:t>2</w:t>
            </w:r>
            <w:r>
              <w:rPr>
                <w:rFonts w:ascii="宋体" w:cs="宋体"/>
                <w:w w:val="99"/>
                <w:kern w:val="0"/>
                <w:szCs w:val="21"/>
              </w:rPr>
              <w:t xml:space="preserve"> </w:t>
            </w:r>
            <w:r>
              <w:rPr>
                <w:rFonts w:ascii="宋体" w:cs="宋体" w:hint="eastAsia"/>
                <w:kern w:val="0"/>
                <w:szCs w:val="21"/>
              </w:rPr>
              <w:t>等</w:t>
            </w:r>
          </w:p>
        </w:tc>
      </w:tr>
      <w:tr w:rsidR="009C5C1F">
        <w:trPr>
          <w:trHeight w:hRule="exact" w:val="400"/>
        </w:trPr>
        <w:tc>
          <w:tcPr>
            <w:tcW w:w="2051" w:type="dxa"/>
            <w:vMerge/>
            <w:tcBorders>
              <w:top w:val="single" w:sz="4" w:space="0" w:color="000000"/>
              <w:left w:val="single" w:sz="4" w:space="0" w:color="000000"/>
              <w:bottom w:val="single" w:sz="4" w:space="0" w:color="000000"/>
              <w:right w:val="single" w:sz="4" w:space="0" w:color="000000"/>
            </w:tcBorders>
          </w:tcPr>
          <w:p w:rsidR="009C5C1F" w:rsidRDefault="009C5C1F">
            <w:pPr>
              <w:kinsoku w:val="0"/>
              <w:overflowPunct w:val="0"/>
              <w:autoSpaceDE w:val="0"/>
              <w:autoSpaceDN w:val="0"/>
              <w:adjustRightInd w:val="0"/>
              <w:spacing w:before="119" w:line="252" w:lineRule="exact"/>
              <w:ind w:left="738" w:right="379" w:hanging="315"/>
              <w:jc w:val="left"/>
              <w:rPr>
                <w:kern w:val="0"/>
                <w:sz w:val="24"/>
              </w:rPr>
            </w:pPr>
          </w:p>
        </w:tc>
        <w:tc>
          <w:tcPr>
            <w:tcW w:w="259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21"/>
              <w:jc w:val="center"/>
              <w:rPr>
                <w:kern w:val="0"/>
                <w:sz w:val="24"/>
              </w:rPr>
            </w:pPr>
            <w:r>
              <w:rPr>
                <w:rFonts w:ascii="宋体" w:cs="宋体" w:hint="eastAsia"/>
                <w:kern w:val="0"/>
                <w:szCs w:val="21"/>
              </w:rPr>
              <w:t>砂土</w:t>
            </w:r>
          </w:p>
        </w:tc>
        <w:tc>
          <w:tcPr>
            <w:tcW w:w="259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728"/>
              <w:jc w:val="left"/>
              <w:rPr>
                <w:kern w:val="0"/>
                <w:sz w:val="24"/>
              </w:rPr>
            </w:pPr>
            <w:r>
              <w:rPr>
                <w:rFonts w:ascii="宋体" w:cs="宋体"/>
                <w:kern w:val="0"/>
                <w:szCs w:val="21"/>
              </w:rPr>
              <w:t xml:space="preserve">2 </w:t>
            </w:r>
            <w:r>
              <w:rPr>
                <w:rFonts w:ascii="宋体" w:cs="宋体" w:hint="eastAsia"/>
                <w:kern w:val="0"/>
                <w:szCs w:val="21"/>
              </w:rPr>
              <w:t>等或</w:t>
            </w:r>
            <w:r>
              <w:rPr>
                <w:rFonts w:ascii="宋体" w:cs="宋体"/>
                <w:kern w:val="0"/>
                <w:szCs w:val="21"/>
              </w:rPr>
              <w:t xml:space="preserve"> 3 </w:t>
            </w:r>
            <w:r>
              <w:rPr>
                <w:rFonts w:ascii="宋体" w:cs="宋体" w:hint="eastAsia"/>
                <w:kern w:val="0"/>
                <w:szCs w:val="21"/>
              </w:rPr>
              <w:t>等</w:t>
            </w:r>
          </w:p>
        </w:tc>
        <w:tc>
          <w:tcPr>
            <w:tcW w:w="16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6"/>
              <w:ind w:left="41"/>
              <w:jc w:val="center"/>
              <w:rPr>
                <w:kern w:val="0"/>
                <w:sz w:val="24"/>
              </w:rPr>
            </w:pPr>
            <w:r>
              <w:rPr>
                <w:rFonts w:ascii="宋体" w:cs="宋体"/>
                <w:kern w:val="0"/>
                <w:szCs w:val="21"/>
              </w:rPr>
              <w:t xml:space="preserve">2 </w:t>
            </w:r>
            <w:r>
              <w:rPr>
                <w:rFonts w:ascii="宋体" w:cs="宋体" w:hint="eastAsia"/>
                <w:kern w:val="0"/>
                <w:szCs w:val="21"/>
              </w:rPr>
              <w:t>等</w:t>
            </w:r>
          </w:p>
        </w:tc>
      </w:tr>
      <w:tr w:rsidR="009C5C1F">
        <w:trPr>
          <w:trHeight w:hRule="exact" w:val="402"/>
        </w:trPr>
        <w:tc>
          <w:tcPr>
            <w:tcW w:w="8896" w:type="dxa"/>
            <w:gridSpan w:val="4"/>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77"/>
              <w:ind w:left="23"/>
              <w:jc w:val="center"/>
              <w:rPr>
                <w:kern w:val="0"/>
                <w:sz w:val="24"/>
              </w:rPr>
            </w:pPr>
            <w:r>
              <w:rPr>
                <w:rFonts w:ascii="宋体" w:cs="宋体" w:hint="eastAsia"/>
                <w:kern w:val="0"/>
                <w:szCs w:val="21"/>
              </w:rPr>
              <w:t>注：表中</w:t>
            </w:r>
            <w:r>
              <w:rPr>
                <w:rFonts w:ascii="宋体" w:cs="宋体"/>
                <w:kern w:val="0"/>
                <w:szCs w:val="21"/>
              </w:rPr>
              <w:t xml:space="preserve"> N </w:t>
            </w:r>
            <w:r>
              <w:rPr>
                <w:rFonts w:ascii="宋体" w:cs="宋体" w:hint="eastAsia"/>
                <w:kern w:val="0"/>
                <w:szCs w:val="21"/>
              </w:rPr>
              <w:t>为不适宜。</w:t>
            </w:r>
          </w:p>
        </w:tc>
      </w:tr>
    </w:tbl>
    <w:p w:rsidR="009C5C1F" w:rsidRDefault="009C5C1F">
      <w:pPr>
        <w:pStyle w:val="a0"/>
        <w:ind w:firstLineChars="0" w:firstLine="0"/>
      </w:pPr>
    </w:p>
    <w:p w:rsidR="009C5C1F" w:rsidRDefault="004D2E0D">
      <w:pPr>
        <w:pStyle w:val="a0"/>
        <w:ind w:firstLine="241"/>
        <w:jc w:val="center"/>
      </w:pPr>
      <w:r>
        <w:rPr>
          <w:rFonts w:hint="eastAsia"/>
          <w:b/>
          <w:bCs/>
          <w:sz w:val="24"/>
        </w:rPr>
        <w:t>表</w:t>
      </w:r>
      <w:r>
        <w:rPr>
          <w:rFonts w:hint="eastAsia"/>
          <w:b/>
          <w:bCs/>
          <w:sz w:val="24"/>
        </w:rPr>
        <w:t>4</w:t>
      </w:r>
      <w:r>
        <w:rPr>
          <w:rFonts w:hint="eastAsia"/>
          <w:b/>
          <w:bCs/>
          <w:sz w:val="24"/>
        </w:rPr>
        <w:t>—</w:t>
      </w:r>
      <w:r>
        <w:rPr>
          <w:b/>
          <w:bCs/>
          <w:sz w:val="24"/>
        </w:rPr>
        <w:t xml:space="preserve">3              </w:t>
      </w:r>
      <w:r>
        <w:rPr>
          <w:rFonts w:hint="eastAsia"/>
          <w:b/>
          <w:bCs/>
          <w:sz w:val="24"/>
        </w:rPr>
        <w:t>评价单元评价</w:t>
      </w:r>
      <w:r>
        <w:rPr>
          <w:b/>
          <w:bCs/>
          <w:sz w:val="24"/>
        </w:rPr>
        <w:t>指标</w:t>
      </w:r>
      <w:r>
        <w:rPr>
          <w:rFonts w:hint="eastAsia"/>
          <w:b/>
          <w:bCs/>
          <w:sz w:val="24"/>
        </w:rPr>
        <w:t>表</w:t>
      </w:r>
    </w:p>
    <w:p w:rsidR="009C5C1F" w:rsidRDefault="009C5C1F">
      <w:pPr>
        <w:kinsoku w:val="0"/>
        <w:overflowPunct w:val="0"/>
        <w:autoSpaceDE w:val="0"/>
        <w:autoSpaceDN w:val="0"/>
        <w:adjustRightInd w:val="0"/>
        <w:spacing w:before="11"/>
        <w:jc w:val="left"/>
        <w:rPr>
          <w:rFonts w:ascii="宋体" w:cs="宋体"/>
          <w:kern w:val="0"/>
          <w:sz w:val="2"/>
          <w:szCs w:val="2"/>
        </w:rPr>
      </w:pPr>
    </w:p>
    <w:tbl>
      <w:tblPr>
        <w:tblW w:w="0" w:type="auto"/>
        <w:tblInd w:w="96" w:type="dxa"/>
        <w:tblLayout w:type="fixed"/>
        <w:tblCellMar>
          <w:left w:w="0" w:type="dxa"/>
          <w:right w:w="0" w:type="dxa"/>
        </w:tblCellMar>
        <w:tblLook w:val="04A0" w:firstRow="1" w:lastRow="0" w:firstColumn="1" w:lastColumn="0" w:noHBand="0" w:noVBand="1"/>
      </w:tblPr>
      <w:tblGrid>
        <w:gridCol w:w="1828"/>
        <w:gridCol w:w="1844"/>
        <w:gridCol w:w="1843"/>
        <w:gridCol w:w="2127"/>
        <w:gridCol w:w="1254"/>
      </w:tblGrid>
      <w:tr w:rsidR="009C5C1F">
        <w:trPr>
          <w:trHeight w:hRule="exact" w:val="538"/>
        </w:trPr>
        <w:tc>
          <w:tcPr>
            <w:tcW w:w="1828"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5"/>
              <w:ind w:left="341"/>
              <w:jc w:val="left"/>
              <w:rPr>
                <w:kern w:val="0"/>
                <w:sz w:val="24"/>
              </w:rPr>
            </w:pPr>
            <w:r>
              <w:rPr>
                <w:rFonts w:ascii="宋体" w:cs="宋体" w:hint="eastAsia"/>
                <w:kern w:val="0"/>
                <w:szCs w:val="21"/>
              </w:rPr>
              <w:t>评价单元</w:t>
            </w:r>
          </w:p>
        </w:tc>
        <w:tc>
          <w:tcPr>
            <w:tcW w:w="184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5"/>
              <w:ind w:left="512"/>
              <w:jc w:val="left"/>
              <w:rPr>
                <w:kern w:val="0"/>
                <w:sz w:val="24"/>
              </w:rPr>
            </w:pPr>
            <w:r>
              <w:rPr>
                <w:rFonts w:ascii="宋体" w:cs="宋体" w:hint="eastAsia"/>
                <w:kern w:val="0"/>
                <w:szCs w:val="21"/>
              </w:rPr>
              <w:t>露天采场</w:t>
            </w:r>
          </w:p>
        </w:tc>
        <w:tc>
          <w:tcPr>
            <w:tcW w:w="1843"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5"/>
              <w:ind w:left="614"/>
              <w:jc w:val="left"/>
              <w:rPr>
                <w:kern w:val="0"/>
                <w:sz w:val="24"/>
              </w:rPr>
            </w:pPr>
            <w:r>
              <w:rPr>
                <w:rFonts w:ascii="宋体" w:cs="宋体" w:hint="eastAsia"/>
                <w:kern w:val="0"/>
                <w:szCs w:val="21"/>
              </w:rPr>
              <w:t>堆料场</w:t>
            </w:r>
          </w:p>
        </w:tc>
        <w:tc>
          <w:tcPr>
            <w:tcW w:w="212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5"/>
              <w:ind w:left="550"/>
              <w:jc w:val="left"/>
              <w:rPr>
                <w:kern w:val="0"/>
                <w:sz w:val="24"/>
              </w:rPr>
            </w:pPr>
            <w:r>
              <w:rPr>
                <w:rFonts w:ascii="宋体" w:cs="宋体" w:hint="eastAsia"/>
                <w:kern w:val="0"/>
                <w:szCs w:val="21"/>
              </w:rPr>
              <w:t>办公生活区</w:t>
            </w:r>
          </w:p>
        </w:tc>
        <w:tc>
          <w:tcPr>
            <w:tcW w:w="12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5"/>
              <w:ind w:left="220"/>
              <w:jc w:val="left"/>
              <w:rPr>
                <w:kern w:val="0"/>
                <w:sz w:val="24"/>
              </w:rPr>
            </w:pPr>
            <w:r>
              <w:rPr>
                <w:rFonts w:ascii="宋体" w:cs="宋体" w:hint="eastAsia"/>
                <w:kern w:val="0"/>
                <w:szCs w:val="21"/>
              </w:rPr>
              <w:t>矿山道路</w:t>
            </w:r>
          </w:p>
        </w:tc>
      </w:tr>
      <w:tr w:rsidR="009C5C1F">
        <w:trPr>
          <w:trHeight w:hRule="exact" w:val="540"/>
        </w:trPr>
        <w:tc>
          <w:tcPr>
            <w:tcW w:w="1828"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7"/>
              <w:ind w:left="11"/>
              <w:jc w:val="center"/>
              <w:rPr>
                <w:kern w:val="0"/>
                <w:sz w:val="24"/>
              </w:rPr>
            </w:pPr>
            <w:r>
              <w:rPr>
                <w:rFonts w:ascii="宋体" w:cs="宋体" w:hint="eastAsia"/>
                <w:kern w:val="0"/>
                <w:szCs w:val="21"/>
              </w:rPr>
              <w:t>坡度</w:t>
            </w:r>
          </w:p>
        </w:tc>
        <w:tc>
          <w:tcPr>
            <w:tcW w:w="184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7"/>
              <w:ind w:left="26"/>
              <w:jc w:val="center"/>
              <w:rPr>
                <w:kern w:val="0"/>
                <w:sz w:val="24"/>
              </w:rPr>
            </w:pPr>
            <w:r>
              <w:rPr>
                <w:rFonts w:ascii="宋体" w:cs="宋体"/>
                <w:kern w:val="0"/>
                <w:szCs w:val="21"/>
              </w:rPr>
              <w:t>5</w:t>
            </w:r>
            <w:r>
              <w:rPr>
                <w:rFonts w:ascii="宋体" w:cs="宋体" w:hint="eastAsia"/>
                <w:kern w:val="0"/>
                <w:szCs w:val="21"/>
              </w:rPr>
              <w:t>～</w:t>
            </w:r>
            <w:r>
              <w:rPr>
                <w:rFonts w:ascii="宋体" w:cs="宋体"/>
                <w:kern w:val="0"/>
                <w:szCs w:val="21"/>
              </w:rPr>
              <w:t>25</w:t>
            </w:r>
          </w:p>
        </w:tc>
        <w:tc>
          <w:tcPr>
            <w:tcW w:w="1843"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7"/>
              <w:ind w:left="26"/>
              <w:jc w:val="center"/>
              <w:rPr>
                <w:kern w:val="0"/>
                <w:sz w:val="24"/>
              </w:rPr>
            </w:pPr>
            <w:r>
              <w:rPr>
                <w:rFonts w:ascii="宋体" w:cs="宋体"/>
                <w:kern w:val="0"/>
                <w:szCs w:val="21"/>
              </w:rPr>
              <w:t>5</w:t>
            </w:r>
            <w:r>
              <w:rPr>
                <w:rFonts w:ascii="宋体" w:cs="宋体" w:hint="eastAsia"/>
                <w:kern w:val="0"/>
                <w:szCs w:val="21"/>
              </w:rPr>
              <w:t>～</w:t>
            </w:r>
            <w:r>
              <w:rPr>
                <w:rFonts w:ascii="宋体" w:cs="宋体"/>
                <w:kern w:val="0"/>
                <w:szCs w:val="21"/>
              </w:rPr>
              <w:t>25</w:t>
            </w:r>
          </w:p>
        </w:tc>
        <w:tc>
          <w:tcPr>
            <w:tcW w:w="212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7"/>
              <w:ind w:left="28"/>
              <w:jc w:val="center"/>
              <w:rPr>
                <w:kern w:val="0"/>
                <w:sz w:val="24"/>
              </w:rPr>
            </w:pPr>
            <w:r>
              <w:rPr>
                <w:rFonts w:ascii="宋体" w:cs="宋体" w:hint="eastAsia"/>
                <w:kern w:val="0"/>
                <w:szCs w:val="21"/>
              </w:rPr>
              <w:t>＜</w:t>
            </w:r>
            <w:r>
              <w:rPr>
                <w:rFonts w:ascii="宋体" w:cs="宋体"/>
                <w:kern w:val="0"/>
                <w:szCs w:val="21"/>
              </w:rPr>
              <w:t>5</w:t>
            </w:r>
          </w:p>
        </w:tc>
        <w:tc>
          <w:tcPr>
            <w:tcW w:w="12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7"/>
              <w:ind w:left="36"/>
              <w:jc w:val="center"/>
              <w:rPr>
                <w:kern w:val="0"/>
                <w:sz w:val="24"/>
              </w:rPr>
            </w:pPr>
            <w:r>
              <w:rPr>
                <w:rFonts w:ascii="宋体" w:cs="宋体" w:hint="eastAsia"/>
                <w:kern w:val="0"/>
                <w:szCs w:val="21"/>
              </w:rPr>
              <w:t>＜</w:t>
            </w:r>
            <w:r>
              <w:rPr>
                <w:rFonts w:ascii="宋体" w:cs="宋体"/>
                <w:kern w:val="0"/>
                <w:szCs w:val="21"/>
              </w:rPr>
              <w:t>5</w:t>
            </w:r>
          </w:p>
        </w:tc>
      </w:tr>
      <w:tr w:rsidR="009C5C1F">
        <w:trPr>
          <w:trHeight w:hRule="exact" w:val="541"/>
        </w:trPr>
        <w:tc>
          <w:tcPr>
            <w:tcW w:w="1828"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7"/>
              <w:ind w:left="379"/>
              <w:jc w:val="left"/>
              <w:rPr>
                <w:kern w:val="0"/>
                <w:sz w:val="24"/>
              </w:rPr>
            </w:pPr>
            <w:r>
              <w:rPr>
                <w:rFonts w:ascii="宋体" w:cs="宋体" w:hint="eastAsia"/>
                <w:kern w:val="0"/>
                <w:szCs w:val="21"/>
              </w:rPr>
              <w:t>地表组成物质</w:t>
            </w:r>
          </w:p>
        </w:tc>
        <w:tc>
          <w:tcPr>
            <w:tcW w:w="184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7"/>
              <w:ind w:left="406"/>
              <w:jc w:val="left"/>
              <w:rPr>
                <w:kern w:val="0"/>
                <w:sz w:val="24"/>
              </w:rPr>
            </w:pPr>
            <w:r>
              <w:rPr>
                <w:rFonts w:ascii="宋体" w:cs="宋体" w:hint="eastAsia"/>
                <w:kern w:val="0"/>
                <w:szCs w:val="21"/>
              </w:rPr>
              <w:t>岩土混合物</w:t>
            </w:r>
          </w:p>
        </w:tc>
        <w:tc>
          <w:tcPr>
            <w:tcW w:w="1843"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7"/>
              <w:ind w:left="406"/>
              <w:jc w:val="left"/>
              <w:rPr>
                <w:kern w:val="0"/>
                <w:sz w:val="24"/>
              </w:rPr>
            </w:pPr>
            <w:r>
              <w:rPr>
                <w:rFonts w:ascii="宋体" w:cs="宋体" w:hint="eastAsia"/>
                <w:kern w:val="0"/>
                <w:szCs w:val="21"/>
              </w:rPr>
              <w:t>岩土混合物</w:t>
            </w:r>
          </w:p>
        </w:tc>
        <w:tc>
          <w:tcPr>
            <w:tcW w:w="212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7"/>
              <w:ind w:left="550"/>
              <w:jc w:val="left"/>
              <w:rPr>
                <w:kern w:val="0"/>
                <w:sz w:val="24"/>
              </w:rPr>
            </w:pPr>
            <w:r>
              <w:rPr>
                <w:rFonts w:ascii="宋体" w:cs="宋体" w:hint="eastAsia"/>
                <w:kern w:val="0"/>
                <w:szCs w:val="21"/>
              </w:rPr>
              <w:t>岩土混合物</w:t>
            </w:r>
          </w:p>
        </w:tc>
        <w:tc>
          <w:tcPr>
            <w:tcW w:w="12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7"/>
              <w:ind w:left="43"/>
              <w:jc w:val="left"/>
              <w:rPr>
                <w:kern w:val="0"/>
                <w:sz w:val="24"/>
              </w:rPr>
            </w:pPr>
            <w:r>
              <w:rPr>
                <w:rFonts w:ascii="宋体" w:cs="宋体" w:hint="eastAsia"/>
                <w:kern w:val="0"/>
                <w:szCs w:val="21"/>
              </w:rPr>
              <w:t>岩土混合物</w:t>
            </w:r>
          </w:p>
        </w:tc>
      </w:tr>
      <w:tr w:rsidR="009C5C1F">
        <w:trPr>
          <w:trHeight w:hRule="exact" w:val="540"/>
        </w:trPr>
        <w:tc>
          <w:tcPr>
            <w:tcW w:w="1828"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6"/>
              <w:ind w:left="233"/>
              <w:jc w:val="left"/>
              <w:rPr>
                <w:kern w:val="0"/>
                <w:sz w:val="24"/>
              </w:rPr>
            </w:pPr>
            <w:r>
              <w:rPr>
                <w:rFonts w:ascii="宋体" w:cs="宋体" w:hint="eastAsia"/>
                <w:kern w:val="0"/>
                <w:szCs w:val="21"/>
              </w:rPr>
              <w:t>土壤有机质</w:t>
            </w:r>
          </w:p>
        </w:tc>
        <w:tc>
          <w:tcPr>
            <w:tcW w:w="184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6"/>
              <w:ind w:left="26"/>
              <w:jc w:val="center"/>
              <w:rPr>
                <w:kern w:val="0"/>
                <w:sz w:val="24"/>
              </w:rPr>
            </w:pPr>
            <w:r>
              <w:rPr>
                <w:rFonts w:ascii="宋体" w:cs="宋体" w:hint="eastAsia"/>
                <w:kern w:val="0"/>
                <w:szCs w:val="21"/>
              </w:rPr>
              <w:t>＜</w:t>
            </w:r>
            <w:r>
              <w:rPr>
                <w:rFonts w:ascii="宋体" w:cs="宋体"/>
                <w:kern w:val="0"/>
                <w:szCs w:val="21"/>
              </w:rPr>
              <w:t>6</w:t>
            </w:r>
          </w:p>
        </w:tc>
        <w:tc>
          <w:tcPr>
            <w:tcW w:w="1843"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6"/>
              <w:ind w:left="26"/>
              <w:jc w:val="center"/>
              <w:rPr>
                <w:kern w:val="0"/>
                <w:sz w:val="24"/>
              </w:rPr>
            </w:pPr>
            <w:r>
              <w:rPr>
                <w:rFonts w:ascii="宋体" w:cs="宋体" w:hint="eastAsia"/>
                <w:kern w:val="0"/>
                <w:szCs w:val="21"/>
              </w:rPr>
              <w:t>＜</w:t>
            </w:r>
            <w:r>
              <w:rPr>
                <w:rFonts w:ascii="宋体" w:cs="宋体"/>
                <w:kern w:val="0"/>
                <w:szCs w:val="21"/>
              </w:rPr>
              <w:t>6</w:t>
            </w:r>
          </w:p>
        </w:tc>
        <w:tc>
          <w:tcPr>
            <w:tcW w:w="212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6"/>
              <w:ind w:left="28"/>
              <w:jc w:val="center"/>
              <w:rPr>
                <w:kern w:val="0"/>
                <w:sz w:val="24"/>
              </w:rPr>
            </w:pPr>
            <w:r>
              <w:rPr>
                <w:rFonts w:ascii="宋体" w:cs="宋体" w:hint="eastAsia"/>
                <w:kern w:val="0"/>
                <w:szCs w:val="21"/>
              </w:rPr>
              <w:t>＜</w:t>
            </w:r>
            <w:r>
              <w:rPr>
                <w:rFonts w:ascii="宋体" w:cs="宋体"/>
                <w:kern w:val="0"/>
                <w:szCs w:val="21"/>
              </w:rPr>
              <w:t>6</w:t>
            </w:r>
          </w:p>
        </w:tc>
        <w:tc>
          <w:tcPr>
            <w:tcW w:w="12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6"/>
              <w:ind w:left="36"/>
              <w:jc w:val="center"/>
              <w:rPr>
                <w:kern w:val="0"/>
                <w:sz w:val="24"/>
              </w:rPr>
            </w:pPr>
            <w:r>
              <w:rPr>
                <w:rFonts w:ascii="宋体" w:cs="宋体" w:hint="eastAsia"/>
                <w:kern w:val="0"/>
                <w:szCs w:val="21"/>
              </w:rPr>
              <w:t>＜</w:t>
            </w:r>
            <w:r>
              <w:rPr>
                <w:rFonts w:ascii="宋体" w:cs="宋体"/>
                <w:kern w:val="0"/>
                <w:szCs w:val="21"/>
              </w:rPr>
              <w:t>6</w:t>
            </w:r>
          </w:p>
        </w:tc>
      </w:tr>
      <w:tr w:rsidR="009C5C1F">
        <w:trPr>
          <w:trHeight w:hRule="exact" w:val="539"/>
        </w:trPr>
        <w:tc>
          <w:tcPr>
            <w:tcW w:w="1828"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6"/>
              <w:ind w:left="341"/>
              <w:jc w:val="left"/>
              <w:rPr>
                <w:kern w:val="0"/>
                <w:sz w:val="24"/>
              </w:rPr>
            </w:pPr>
            <w:r>
              <w:rPr>
                <w:rFonts w:ascii="宋体" w:cs="宋体" w:hint="eastAsia"/>
                <w:kern w:val="0"/>
                <w:szCs w:val="21"/>
              </w:rPr>
              <w:t>土壤质地</w:t>
            </w:r>
          </w:p>
        </w:tc>
        <w:tc>
          <w:tcPr>
            <w:tcW w:w="184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6"/>
              <w:ind w:left="25"/>
              <w:jc w:val="center"/>
              <w:rPr>
                <w:kern w:val="0"/>
                <w:sz w:val="24"/>
              </w:rPr>
            </w:pPr>
            <w:r>
              <w:rPr>
                <w:rFonts w:ascii="宋体" w:cs="宋体" w:hint="eastAsia"/>
                <w:kern w:val="0"/>
                <w:szCs w:val="21"/>
              </w:rPr>
              <w:t>砂土</w:t>
            </w:r>
          </w:p>
        </w:tc>
        <w:tc>
          <w:tcPr>
            <w:tcW w:w="1843"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6"/>
              <w:ind w:left="25"/>
              <w:jc w:val="center"/>
              <w:rPr>
                <w:kern w:val="0"/>
                <w:sz w:val="24"/>
              </w:rPr>
            </w:pPr>
            <w:r>
              <w:rPr>
                <w:rFonts w:ascii="宋体" w:cs="宋体" w:hint="eastAsia"/>
                <w:kern w:val="0"/>
                <w:szCs w:val="21"/>
              </w:rPr>
              <w:t>砂土</w:t>
            </w:r>
          </w:p>
        </w:tc>
        <w:tc>
          <w:tcPr>
            <w:tcW w:w="2127"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6"/>
              <w:ind w:left="24"/>
              <w:jc w:val="center"/>
              <w:rPr>
                <w:kern w:val="0"/>
                <w:sz w:val="24"/>
              </w:rPr>
            </w:pPr>
            <w:r>
              <w:rPr>
                <w:rFonts w:ascii="宋体" w:cs="宋体" w:hint="eastAsia"/>
                <w:kern w:val="0"/>
                <w:szCs w:val="21"/>
              </w:rPr>
              <w:t>砂土</w:t>
            </w:r>
          </w:p>
        </w:tc>
        <w:tc>
          <w:tcPr>
            <w:tcW w:w="1254" w:type="dxa"/>
            <w:tcBorders>
              <w:top w:val="single" w:sz="4" w:space="0" w:color="000000"/>
              <w:left w:val="single" w:sz="4" w:space="0" w:color="000000"/>
              <w:bottom w:val="single" w:sz="4" w:space="0" w:color="000000"/>
              <w:right w:val="single" w:sz="4" w:space="0" w:color="000000"/>
            </w:tcBorders>
          </w:tcPr>
          <w:p w:rsidR="009C5C1F" w:rsidRDefault="004D2E0D">
            <w:pPr>
              <w:kinsoku w:val="0"/>
              <w:overflowPunct w:val="0"/>
              <w:autoSpaceDE w:val="0"/>
              <w:autoSpaceDN w:val="0"/>
              <w:adjustRightInd w:val="0"/>
              <w:spacing w:before="86"/>
              <w:ind w:left="429"/>
              <w:jc w:val="left"/>
              <w:rPr>
                <w:kern w:val="0"/>
                <w:sz w:val="24"/>
              </w:rPr>
            </w:pPr>
            <w:r>
              <w:rPr>
                <w:rFonts w:ascii="宋体" w:cs="宋体" w:hint="eastAsia"/>
                <w:kern w:val="0"/>
                <w:szCs w:val="21"/>
              </w:rPr>
              <w:t>砂土</w:t>
            </w:r>
          </w:p>
        </w:tc>
      </w:tr>
    </w:tbl>
    <w:p w:rsidR="009C5C1F" w:rsidRDefault="009C5C1F">
      <w:pPr>
        <w:wordWrap w:val="0"/>
        <w:topLinePunct/>
        <w:spacing w:line="360" w:lineRule="auto"/>
        <w:ind w:firstLineChars="200" w:firstLine="482"/>
        <w:rPr>
          <w:b/>
          <w:bCs/>
          <w:sz w:val="24"/>
        </w:rPr>
      </w:pPr>
    </w:p>
    <w:p w:rsidR="009C5C1F" w:rsidRDefault="004D2E0D">
      <w:pPr>
        <w:wordWrap w:val="0"/>
        <w:topLinePunct/>
        <w:spacing w:line="360" w:lineRule="auto"/>
        <w:ind w:firstLineChars="200" w:firstLine="480"/>
        <w:rPr>
          <w:rFonts w:hAnsi="宋体"/>
          <w:kern w:val="0"/>
          <w:sz w:val="24"/>
        </w:rPr>
      </w:pPr>
      <w:r>
        <w:rPr>
          <w:rFonts w:hAnsi="宋体"/>
          <w:kern w:val="0"/>
          <w:sz w:val="24"/>
        </w:rPr>
        <w:t>7</w:t>
      </w:r>
      <w:r>
        <w:rPr>
          <w:rFonts w:hAnsi="宋体"/>
          <w:kern w:val="0"/>
          <w:sz w:val="24"/>
        </w:rPr>
        <w:t>、待复垦土地适宜性评价结果</w:t>
      </w:r>
    </w:p>
    <w:p w:rsidR="009C5C1F" w:rsidRDefault="004D2E0D">
      <w:pPr>
        <w:suppressAutoHyphens/>
        <w:wordWrap w:val="0"/>
        <w:topLinePunct/>
        <w:spacing w:line="360" w:lineRule="auto"/>
        <w:ind w:firstLineChars="200" w:firstLine="480"/>
        <w:rPr>
          <w:sz w:val="24"/>
        </w:rPr>
      </w:pPr>
      <w:r>
        <w:rPr>
          <w:sz w:val="24"/>
        </w:rPr>
        <w:t>根据土地复垦适宜性评价指标分析，结合矿区实际情况，项目区</w:t>
      </w:r>
      <w:r>
        <w:rPr>
          <w:rFonts w:hint="eastAsia"/>
          <w:sz w:val="24"/>
        </w:rPr>
        <w:t>适宜性评价属于</w:t>
      </w:r>
      <w:r>
        <w:rPr>
          <w:rFonts w:hint="eastAsia"/>
          <w:b/>
          <w:bCs/>
          <w:sz w:val="24"/>
        </w:rPr>
        <w:t>其它类</w:t>
      </w:r>
      <w:r>
        <w:rPr>
          <w:rFonts w:hint="eastAsia"/>
          <w:sz w:val="24"/>
        </w:rPr>
        <w:t>。</w:t>
      </w:r>
    </w:p>
    <w:p w:rsidR="009C5C1F" w:rsidRDefault="004D2E0D">
      <w:pPr>
        <w:wordWrap w:val="0"/>
        <w:topLinePunct/>
        <w:spacing w:line="360" w:lineRule="auto"/>
        <w:ind w:firstLineChars="200" w:firstLine="480"/>
        <w:rPr>
          <w:rFonts w:hAnsi="宋体"/>
          <w:kern w:val="0"/>
          <w:sz w:val="24"/>
        </w:rPr>
      </w:pPr>
      <w:r>
        <w:rPr>
          <w:rFonts w:hAnsi="宋体" w:hint="eastAsia"/>
          <w:kern w:val="0"/>
          <w:sz w:val="24"/>
        </w:rPr>
        <w:t>8</w:t>
      </w:r>
      <w:r>
        <w:rPr>
          <w:rFonts w:hAnsi="宋体" w:hint="eastAsia"/>
          <w:kern w:val="0"/>
          <w:sz w:val="24"/>
        </w:rPr>
        <w:t>、复垦方向的最终确定</w:t>
      </w:r>
    </w:p>
    <w:p w:rsidR="009C5C1F" w:rsidRDefault="004D2E0D">
      <w:pPr>
        <w:suppressAutoHyphens/>
        <w:wordWrap w:val="0"/>
        <w:topLinePunct/>
        <w:spacing w:line="360" w:lineRule="auto"/>
        <w:ind w:firstLineChars="200" w:firstLine="480"/>
        <w:rPr>
          <w:sz w:val="24"/>
        </w:rPr>
      </w:pPr>
      <w:proofErr w:type="gramStart"/>
      <w:r>
        <w:rPr>
          <w:rFonts w:hint="eastAsia"/>
          <w:sz w:val="24"/>
        </w:rPr>
        <w:t>复垦区</w:t>
      </w:r>
      <w:proofErr w:type="gramEnd"/>
      <w:r>
        <w:rPr>
          <w:rFonts w:hint="eastAsia"/>
          <w:sz w:val="24"/>
        </w:rPr>
        <w:t>原</w:t>
      </w:r>
      <w:proofErr w:type="gramStart"/>
      <w:r>
        <w:rPr>
          <w:rFonts w:hint="eastAsia"/>
          <w:sz w:val="24"/>
        </w:rPr>
        <w:t>土地利用类型为裸土地</w:t>
      </w:r>
      <w:proofErr w:type="gramEnd"/>
      <w:r>
        <w:rPr>
          <w:rFonts w:hint="eastAsia"/>
          <w:sz w:val="24"/>
        </w:rPr>
        <w:t>（</w:t>
      </w:r>
      <w:r>
        <w:rPr>
          <w:rFonts w:hint="eastAsia"/>
          <w:sz w:val="24"/>
        </w:rPr>
        <w:t>1</w:t>
      </w:r>
      <w:r>
        <w:rPr>
          <w:sz w:val="24"/>
        </w:rPr>
        <w:t>206</w:t>
      </w:r>
      <w:r>
        <w:rPr>
          <w:rFonts w:hint="eastAsia"/>
          <w:sz w:val="24"/>
        </w:rPr>
        <w:t>）。综合考虑当地生态环境、政策因素及公</w:t>
      </w:r>
      <w:r>
        <w:rPr>
          <w:rFonts w:hint="eastAsia"/>
          <w:sz w:val="24"/>
        </w:rPr>
        <w:lastRenderedPageBreak/>
        <w:t>众参与意见，复垦方向最终确定按类型</w:t>
      </w:r>
      <w:proofErr w:type="gramStart"/>
      <w:r>
        <w:rPr>
          <w:rFonts w:hint="eastAsia"/>
          <w:sz w:val="24"/>
        </w:rPr>
        <w:t>复垦为裸土地</w:t>
      </w:r>
      <w:proofErr w:type="gramEnd"/>
      <w:r>
        <w:rPr>
          <w:rFonts w:ascii="宋体" w:hAnsi="宋体" w:cs="宋体" w:hint="eastAsia"/>
          <w:bCs/>
          <w:sz w:val="24"/>
        </w:rPr>
        <w:t>（1</w:t>
      </w:r>
      <w:r>
        <w:rPr>
          <w:rFonts w:ascii="宋体" w:hAnsi="宋体" w:cs="宋体"/>
          <w:bCs/>
          <w:sz w:val="24"/>
        </w:rPr>
        <w:t>206</w:t>
      </w:r>
      <w:r>
        <w:rPr>
          <w:rFonts w:ascii="宋体" w:hAnsi="宋体" w:cs="宋体" w:hint="eastAsia"/>
          <w:bCs/>
          <w:sz w:val="24"/>
        </w:rPr>
        <w:t>）</w:t>
      </w:r>
      <w:r>
        <w:rPr>
          <w:rFonts w:hint="eastAsia"/>
          <w:sz w:val="24"/>
        </w:rPr>
        <w:t>。</w:t>
      </w:r>
    </w:p>
    <w:p w:rsidR="009C5C1F" w:rsidRDefault="004D2E0D">
      <w:pPr>
        <w:keepNext/>
        <w:keepLines/>
        <w:suppressAutoHyphens/>
        <w:wordWrap w:val="0"/>
        <w:topLinePunct/>
        <w:spacing w:line="360" w:lineRule="auto"/>
        <w:ind w:firstLineChars="200" w:firstLine="482"/>
        <w:outlineLvl w:val="2"/>
        <w:rPr>
          <w:b/>
          <w:sz w:val="24"/>
          <w:szCs w:val="28"/>
        </w:rPr>
      </w:pPr>
      <w:bookmarkStart w:id="987" w:name="_Toc70589877"/>
      <w:r>
        <w:rPr>
          <w:rFonts w:hint="eastAsia"/>
          <w:b/>
          <w:sz w:val="24"/>
          <w:szCs w:val="28"/>
        </w:rPr>
        <w:t>（三）水土资源平衡分析</w:t>
      </w:r>
      <w:bookmarkEnd w:id="987"/>
    </w:p>
    <w:p w:rsidR="009C5C1F" w:rsidRDefault="004D2E0D">
      <w:pPr>
        <w:suppressAutoHyphens/>
        <w:wordWrap w:val="0"/>
        <w:topLinePunct/>
        <w:spacing w:beforeLines="50" w:before="120" w:line="360" w:lineRule="auto"/>
        <w:ind w:firstLineChars="200" w:firstLine="480"/>
        <w:rPr>
          <w:sz w:val="24"/>
        </w:rPr>
      </w:pPr>
      <w:r>
        <w:rPr>
          <w:rFonts w:hint="eastAsia"/>
          <w:sz w:val="24"/>
        </w:rPr>
        <w:t>矿区大部分地段粘土裸露，少部分被薄层砂土覆盖，基本无表土剥离，</w:t>
      </w:r>
      <w:r>
        <w:rPr>
          <w:sz w:val="24"/>
        </w:rPr>
        <w:t>根据</w:t>
      </w:r>
      <w:proofErr w:type="gramStart"/>
      <w:r>
        <w:rPr>
          <w:rFonts w:hint="eastAsia"/>
          <w:sz w:val="24"/>
        </w:rPr>
        <w:t>复垦区</w:t>
      </w:r>
      <w:proofErr w:type="gramEnd"/>
      <w:r>
        <w:rPr>
          <w:rFonts w:hint="eastAsia"/>
          <w:sz w:val="24"/>
        </w:rPr>
        <w:t>周边土地类型现状，项目区复垦</w:t>
      </w:r>
      <w:proofErr w:type="gramStart"/>
      <w:r>
        <w:rPr>
          <w:rFonts w:hint="eastAsia"/>
          <w:sz w:val="24"/>
        </w:rPr>
        <w:t>方向为裸土地</w:t>
      </w:r>
      <w:proofErr w:type="gramEnd"/>
      <w:r>
        <w:rPr>
          <w:rFonts w:hint="eastAsia"/>
          <w:sz w:val="24"/>
        </w:rPr>
        <w:t>，损毁的土地经回填、整平后，进行自然恢复，不进行人工灌溉。</w:t>
      </w:r>
    </w:p>
    <w:p w:rsidR="009C5C1F" w:rsidRDefault="004D2E0D">
      <w:pPr>
        <w:suppressAutoHyphens/>
        <w:wordWrap w:val="0"/>
        <w:topLinePunct/>
        <w:spacing w:line="360" w:lineRule="auto"/>
        <w:ind w:firstLineChars="200" w:firstLine="480"/>
        <w:rPr>
          <w:sz w:val="24"/>
        </w:rPr>
      </w:pPr>
      <w:r>
        <w:rPr>
          <w:rFonts w:hint="eastAsia"/>
          <w:sz w:val="24"/>
        </w:rPr>
        <w:t>矿区由自来水公司供水，供水管已通往矿区，完全能满足矿区生活用水和生产用水的需要。生产用水主要指路面洒水。</w:t>
      </w:r>
    </w:p>
    <w:p w:rsidR="009C5C1F" w:rsidRDefault="004D2E0D">
      <w:pPr>
        <w:keepNext/>
        <w:keepLines/>
        <w:suppressAutoHyphens/>
        <w:wordWrap w:val="0"/>
        <w:topLinePunct/>
        <w:spacing w:line="360" w:lineRule="auto"/>
        <w:ind w:firstLineChars="200" w:firstLine="482"/>
        <w:outlineLvl w:val="2"/>
        <w:rPr>
          <w:b/>
          <w:sz w:val="24"/>
          <w:szCs w:val="28"/>
        </w:rPr>
      </w:pPr>
      <w:bookmarkStart w:id="988" w:name="_Toc70589878"/>
      <w:r>
        <w:rPr>
          <w:rFonts w:hint="eastAsia"/>
          <w:b/>
          <w:sz w:val="24"/>
          <w:szCs w:val="28"/>
        </w:rPr>
        <w:t>（四）土地复垦质量要求</w:t>
      </w:r>
      <w:bookmarkEnd w:id="988"/>
    </w:p>
    <w:p w:rsidR="009C5C1F" w:rsidRDefault="004D2E0D">
      <w:pPr>
        <w:wordWrap w:val="0"/>
        <w:topLinePunct/>
        <w:spacing w:line="480" w:lineRule="exact"/>
        <w:ind w:firstLineChars="200" w:firstLine="480"/>
        <w:rPr>
          <w:rFonts w:eastAsiaTheme="minorEastAsia" w:hAnsiTheme="minorEastAsia"/>
          <w:iCs/>
          <w:kern w:val="0"/>
          <w:sz w:val="24"/>
          <w:shd w:val="clear" w:color="auto" w:fill="FFFFFF"/>
          <w:lang w:val="zh-TW"/>
        </w:rPr>
      </w:pPr>
      <w:r>
        <w:rPr>
          <w:rFonts w:eastAsiaTheme="minorEastAsia" w:hAnsiTheme="minorEastAsia"/>
          <w:iCs/>
          <w:kern w:val="0"/>
          <w:sz w:val="24"/>
          <w:shd w:val="clear" w:color="auto" w:fill="FFFFFF"/>
          <w:lang w:val="zh-TW"/>
        </w:rPr>
        <w:t>1.</w:t>
      </w:r>
      <w:r>
        <w:rPr>
          <w:rFonts w:eastAsiaTheme="minorEastAsia" w:hAnsiTheme="minorEastAsia" w:hint="eastAsia"/>
          <w:iCs/>
          <w:kern w:val="0"/>
          <w:sz w:val="24"/>
          <w:shd w:val="clear" w:color="auto" w:fill="FFFFFF"/>
          <w:lang w:val="zh-TW"/>
        </w:rPr>
        <w:t>复垦标准文件依据</w:t>
      </w:r>
    </w:p>
    <w:p w:rsidR="009C5C1F" w:rsidRDefault="004D2E0D">
      <w:pPr>
        <w:wordWrap w:val="0"/>
        <w:topLinePunct/>
        <w:spacing w:line="480" w:lineRule="exact"/>
        <w:ind w:firstLineChars="200" w:firstLine="480"/>
        <w:rPr>
          <w:rFonts w:eastAsiaTheme="minorEastAsia" w:hAnsiTheme="minorEastAsia"/>
          <w:iCs/>
          <w:kern w:val="0"/>
          <w:sz w:val="24"/>
          <w:shd w:val="clear" w:color="auto" w:fill="FFFFFF"/>
          <w:lang w:val="zh-TW"/>
        </w:rPr>
      </w:pPr>
      <w:r>
        <w:rPr>
          <w:rFonts w:eastAsiaTheme="minorEastAsia" w:hAnsiTheme="minorEastAsia" w:hint="eastAsia"/>
          <w:iCs/>
          <w:kern w:val="0"/>
          <w:sz w:val="24"/>
          <w:shd w:val="clear" w:color="auto" w:fill="FFFFFF"/>
          <w:lang w:val="zh-TW"/>
        </w:rPr>
        <w:t>①国家土地管理</w:t>
      </w:r>
      <w:r>
        <w:rPr>
          <w:rFonts w:eastAsiaTheme="minorEastAsia" w:hAnsiTheme="minorEastAsia"/>
          <w:iCs/>
          <w:kern w:val="0"/>
          <w:sz w:val="24"/>
          <w:shd w:val="clear" w:color="auto" w:fill="FFFFFF"/>
          <w:lang w:val="zh-TW"/>
        </w:rPr>
        <w:t>[1995]</w:t>
      </w:r>
      <w:r>
        <w:rPr>
          <w:rFonts w:eastAsiaTheme="minorEastAsia" w:hAnsiTheme="minorEastAsia" w:hint="eastAsia"/>
          <w:iCs/>
          <w:kern w:val="0"/>
          <w:sz w:val="24"/>
          <w:shd w:val="clear" w:color="auto" w:fill="FFFFFF"/>
          <w:lang w:val="zh-TW"/>
        </w:rPr>
        <w:t>国土</w:t>
      </w:r>
      <w:r>
        <w:rPr>
          <w:rFonts w:eastAsiaTheme="minorEastAsia" w:hAnsiTheme="minorEastAsia"/>
          <w:iCs/>
          <w:kern w:val="0"/>
          <w:sz w:val="24"/>
          <w:shd w:val="clear" w:color="auto" w:fill="FFFFFF"/>
          <w:lang w:val="zh-TW"/>
        </w:rPr>
        <w:t>[</w:t>
      </w:r>
      <w:proofErr w:type="gramStart"/>
      <w:r>
        <w:rPr>
          <w:rFonts w:eastAsiaTheme="minorEastAsia" w:hAnsiTheme="minorEastAsia" w:hint="eastAsia"/>
          <w:iCs/>
          <w:kern w:val="0"/>
          <w:sz w:val="24"/>
          <w:shd w:val="clear" w:color="auto" w:fill="FFFFFF"/>
          <w:lang w:val="zh-TW"/>
        </w:rPr>
        <w:t>规</w:t>
      </w:r>
      <w:proofErr w:type="gramEnd"/>
      <w:r>
        <w:rPr>
          <w:rFonts w:eastAsiaTheme="minorEastAsia" w:hAnsiTheme="minorEastAsia"/>
          <w:iCs/>
          <w:kern w:val="0"/>
          <w:sz w:val="24"/>
          <w:shd w:val="clear" w:color="auto" w:fill="FFFFFF"/>
          <w:lang w:val="zh-TW"/>
        </w:rPr>
        <w:t>]</w:t>
      </w:r>
      <w:r>
        <w:rPr>
          <w:rFonts w:eastAsiaTheme="minorEastAsia" w:hAnsiTheme="minorEastAsia" w:hint="eastAsia"/>
          <w:iCs/>
          <w:kern w:val="0"/>
          <w:sz w:val="24"/>
          <w:shd w:val="clear" w:color="auto" w:fill="FFFFFF"/>
          <w:lang w:val="zh-TW"/>
        </w:rPr>
        <w:t>字第</w:t>
      </w:r>
      <w:r>
        <w:rPr>
          <w:rFonts w:eastAsiaTheme="minorEastAsia" w:hAnsiTheme="minorEastAsia"/>
          <w:iCs/>
          <w:kern w:val="0"/>
          <w:sz w:val="24"/>
          <w:shd w:val="clear" w:color="auto" w:fill="FFFFFF"/>
          <w:lang w:val="zh-TW"/>
        </w:rPr>
        <w:t xml:space="preserve">103 </w:t>
      </w:r>
      <w:r>
        <w:rPr>
          <w:rFonts w:eastAsiaTheme="minorEastAsia" w:hAnsiTheme="minorEastAsia" w:hint="eastAsia"/>
          <w:iCs/>
          <w:kern w:val="0"/>
          <w:sz w:val="24"/>
          <w:shd w:val="clear" w:color="auto" w:fill="FFFFFF"/>
          <w:lang w:val="zh-TW"/>
        </w:rPr>
        <w:t>号《土地复垦技术标准</w:t>
      </w:r>
      <w:r>
        <w:rPr>
          <w:rFonts w:eastAsiaTheme="minorEastAsia" w:hAnsiTheme="minorEastAsia"/>
          <w:iCs/>
          <w:kern w:val="0"/>
          <w:sz w:val="24"/>
          <w:shd w:val="clear" w:color="auto" w:fill="FFFFFF"/>
          <w:lang w:val="zh-TW"/>
        </w:rPr>
        <w:t>(</w:t>
      </w:r>
      <w:r>
        <w:rPr>
          <w:rFonts w:eastAsiaTheme="minorEastAsia" w:hAnsiTheme="minorEastAsia" w:hint="eastAsia"/>
          <w:iCs/>
          <w:kern w:val="0"/>
          <w:sz w:val="24"/>
          <w:shd w:val="clear" w:color="auto" w:fill="FFFFFF"/>
          <w:lang w:val="zh-TW"/>
        </w:rPr>
        <w:t>试行</w:t>
      </w:r>
      <w:r>
        <w:rPr>
          <w:rFonts w:eastAsiaTheme="minorEastAsia" w:hAnsiTheme="minorEastAsia"/>
          <w:iCs/>
          <w:kern w:val="0"/>
          <w:sz w:val="24"/>
          <w:shd w:val="clear" w:color="auto" w:fill="FFFFFF"/>
          <w:lang w:val="zh-TW"/>
        </w:rPr>
        <w:t>)</w:t>
      </w:r>
      <w:r>
        <w:rPr>
          <w:rFonts w:eastAsiaTheme="minorEastAsia" w:hAnsiTheme="minorEastAsia" w:hint="eastAsia"/>
          <w:iCs/>
          <w:kern w:val="0"/>
          <w:sz w:val="24"/>
          <w:shd w:val="clear" w:color="auto" w:fill="FFFFFF"/>
          <w:lang w:val="zh-TW"/>
        </w:rPr>
        <w:t>》；</w:t>
      </w:r>
    </w:p>
    <w:p w:rsidR="009C5C1F" w:rsidRDefault="004D2E0D">
      <w:pPr>
        <w:wordWrap w:val="0"/>
        <w:topLinePunct/>
        <w:spacing w:line="480" w:lineRule="exact"/>
        <w:ind w:firstLineChars="200" w:firstLine="480"/>
        <w:rPr>
          <w:rFonts w:eastAsiaTheme="minorEastAsia" w:hAnsiTheme="minorEastAsia"/>
          <w:iCs/>
          <w:kern w:val="0"/>
          <w:sz w:val="24"/>
          <w:shd w:val="clear" w:color="auto" w:fill="FFFFFF"/>
          <w:lang w:val="zh-TW"/>
        </w:rPr>
      </w:pPr>
      <w:r>
        <w:rPr>
          <w:rFonts w:eastAsiaTheme="minorEastAsia" w:hAnsiTheme="minorEastAsia" w:hint="eastAsia"/>
          <w:iCs/>
          <w:kern w:val="0"/>
          <w:sz w:val="24"/>
          <w:shd w:val="clear" w:color="auto" w:fill="FFFFFF"/>
          <w:lang w:val="zh-TW"/>
        </w:rPr>
        <w:t>②《关于组织土地复垦方案编制和审查有关问题的通知》</w:t>
      </w:r>
      <w:proofErr w:type="gramStart"/>
      <w:r>
        <w:rPr>
          <w:rFonts w:eastAsiaTheme="minorEastAsia" w:hAnsiTheme="minorEastAsia" w:hint="eastAsia"/>
          <w:iCs/>
          <w:kern w:val="0"/>
          <w:sz w:val="24"/>
          <w:shd w:val="clear" w:color="auto" w:fill="FFFFFF"/>
          <w:lang w:val="zh-TW"/>
        </w:rPr>
        <w:t>国土资发</w:t>
      </w:r>
      <w:proofErr w:type="gramEnd"/>
      <w:r>
        <w:rPr>
          <w:rFonts w:eastAsiaTheme="minorEastAsia" w:hAnsiTheme="minorEastAsia"/>
          <w:iCs/>
          <w:kern w:val="0"/>
          <w:sz w:val="24"/>
          <w:shd w:val="clear" w:color="auto" w:fill="FFFFFF"/>
          <w:lang w:val="zh-TW"/>
        </w:rPr>
        <w:t>[2007]81</w:t>
      </w:r>
      <w:r>
        <w:rPr>
          <w:rFonts w:eastAsiaTheme="minorEastAsia" w:hAnsiTheme="minorEastAsia" w:hint="eastAsia"/>
          <w:iCs/>
          <w:kern w:val="0"/>
          <w:sz w:val="24"/>
          <w:shd w:val="clear" w:color="auto" w:fill="FFFFFF"/>
          <w:lang w:val="zh-TW"/>
        </w:rPr>
        <w:t>号。</w:t>
      </w:r>
    </w:p>
    <w:p w:rsidR="009C5C1F" w:rsidRDefault="004D2E0D">
      <w:pPr>
        <w:wordWrap w:val="0"/>
        <w:topLinePunct/>
        <w:spacing w:line="480" w:lineRule="exact"/>
        <w:ind w:firstLineChars="200" w:firstLine="480"/>
        <w:rPr>
          <w:rFonts w:eastAsiaTheme="minorEastAsia" w:hAnsiTheme="minorEastAsia"/>
          <w:iCs/>
          <w:kern w:val="0"/>
          <w:sz w:val="24"/>
          <w:shd w:val="clear" w:color="auto" w:fill="FFFFFF"/>
          <w:lang w:val="zh-TW"/>
        </w:rPr>
      </w:pPr>
      <w:r>
        <w:rPr>
          <w:rFonts w:eastAsiaTheme="minorEastAsia" w:hAnsiTheme="minorEastAsia"/>
          <w:iCs/>
          <w:kern w:val="0"/>
          <w:sz w:val="24"/>
          <w:shd w:val="clear" w:color="auto" w:fill="FFFFFF"/>
          <w:lang w:val="zh-TW"/>
        </w:rPr>
        <w:t>2.</w:t>
      </w:r>
      <w:r>
        <w:rPr>
          <w:rFonts w:eastAsiaTheme="minorEastAsia" w:hAnsiTheme="minorEastAsia" w:hint="eastAsia"/>
          <w:iCs/>
          <w:kern w:val="0"/>
          <w:sz w:val="24"/>
          <w:shd w:val="clear" w:color="auto" w:fill="FFFFFF"/>
          <w:lang w:val="zh-TW"/>
        </w:rPr>
        <w:t>土地复垦工程标准</w:t>
      </w:r>
    </w:p>
    <w:p w:rsidR="009C5C1F" w:rsidRDefault="004D2E0D">
      <w:pPr>
        <w:wordWrap w:val="0"/>
        <w:topLinePunct/>
        <w:spacing w:line="480" w:lineRule="exact"/>
        <w:ind w:firstLineChars="200" w:firstLine="480"/>
        <w:rPr>
          <w:rFonts w:eastAsiaTheme="minorEastAsia" w:hAnsiTheme="minorEastAsia"/>
          <w:iCs/>
          <w:kern w:val="0"/>
          <w:sz w:val="24"/>
          <w:shd w:val="clear" w:color="auto" w:fill="FFFFFF"/>
          <w:lang w:val="zh-TW"/>
        </w:rPr>
      </w:pPr>
      <w:r>
        <w:rPr>
          <w:rFonts w:eastAsiaTheme="minorEastAsia" w:hAnsiTheme="minorEastAsia" w:hint="eastAsia"/>
          <w:iCs/>
          <w:kern w:val="0"/>
          <w:sz w:val="24"/>
          <w:shd w:val="clear" w:color="auto" w:fill="FFFFFF"/>
          <w:lang w:val="zh-TW"/>
        </w:rPr>
        <w:t>本复垦方案复垦面积</w:t>
      </w:r>
      <w:r>
        <w:rPr>
          <w:rFonts w:eastAsia="PMingLiU" w:hAnsiTheme="minorEastAsia"/>
          <w:iCs/>
          <w:kern w:val="0"/>
          <w:sz w:val="24"/>
          <w:shd w:val="clear" w:color="auto" w:fill="FFFFFF"/>
          <w:lang w:val="zh-TW" w:eastAsia="zh-TW"/>
        </w:rPr>
        <w:t>3.098</w:t>
      </w:r>
      <w:r>
        <w:rPr>
          <w:rFonts w:eastAsiaTheme="minorEastAsia" w:hAnsiTheme="minorEastAsia"/>
          <w:iCs/>
          <w:kern w:val="0"/>
          <w:sz w:val="24"/>
          <w:shd w:val="clear" w:color="auto" w:fill="FFFFFF"/>
          <w:lang w:val="zh-TW"/>
        </w:rPr>
        <w:t>hm</w:t>
      </w:r>
      <w:r>
        <w:rPr>
          <w:rFonts w:eastAsiaTheme="minorEastAsia" w:hAnsiTheme="minorEastAsia"/>
          <w:iCs/>
          <w:kern w:val="0"/>
          <w:sz w:val="24"/>
          <w:shd w:val="clear" w:color="auto" w:fill="FFFFFF"/>
          <w:vertAlign w:val="superscript"/>
          <w:lang w:val="zh-TW"/>
        </w:rPr>
        <w:t>2</w:t>
      </w:r>
      <w:r>
        <w:rPr>
          <w:rFonts w:eastAsiaTheme="minorEastAsia" w:hAnsiTheme="minorEastAsia" w:hint="eastAsia"/>
          <w:iCs/>
          <w:kern w:val="0"/>
          <w:sz w:val="24"/>
          <w:shd w:val="clear" w:color="auto" w:fill="FFFFFF"/>
          <w:lang w:val="zh-TW"/>
        </w:rPr>
        <w:t>，根据土地复垦适宜性评价结果，确定土地复垦最终土地利用</w:t>
      </w:r>
      <w:proofErr w:type="gramStart"/>
      <w:r>
        <w:rPr>
          <w:rFonts w:eastAsiaTheme="minorEastAsia" w:hAnsiTheme="minorEastAsia" w:hint="eastAsia"/>
          <w:iCs/>
          <w:kern w:val="0"/>
          <w:sz w:val="24"/>
          <w:shd w:val="clear" w:color="auto" w:fill="FFFFFF"/>
          <w:lang w:val="zh-TW"/>
        </w:rPr>
        <w:t>方向为</w:t>
      </w:r>
      <w:r>
        <w:rPr>
          <w:rFonts w:eastAsiaTheme="minorEastAsia" w:hAnsiTheme="minorEastAsia" w:hint="eastAsia"/>
          <w:iCs/>
          <w:kern w:val="0"/>
          <w:sz w:val="24"/>
          <w:shd w:val="clear" w:color="auto" w:fill="FFFFFF"/>
        </w:rPr>
        <w:t>裸土地</w:t>
      </w:r>
      <w:proofErr w:type="gramEnd"/>
      <w:r>
        <w:rPr>
          <w:rFonts w:eastAsiaTheme="minorEastAsia" w:hAnsiTheme="minorEastAsia" w:hint="eastAsia"/>
          <w:iCs/>
          <w:kern w:val="0"/>
          <w:sz w:val="24"/>
          <w:shd w:val="clear" w:color="auto" w:fill="FFFFFF"/>
          <w:lang w:val="zh-TW"/>
        </w:rPr>
        <w:t>。按照《土地复垦方案编制规程第</w:t>
      </w:r>
      <w:r>
        <w:rPr>
          <w:rFonts w:eastAsiaTheme="minorEastAsia" w:hAnsiTheme="minorEastAsia"/>
          <w:iCs/>
          <w:kern w:val="0"/>
          <w:sz w:val="24"/>
          <w:shd w:val="clear" w:color="auto" w:fill="FFFFFF"/>
          <w:lang w:val="zh-TW"/>
        </w:rPr>
        <w:t xml:space="preserve">1 </w:t>
      </w:r>
      <w:r>
        <w:rPr>
          <w:rFonts w:eastAsiaTheme="minorEastAsia" w:hAnsiTheme="minorEastAsia" w:hint="eastAsia"/>
          <w:iCs/>
          <w:kern w:val="0"/>
          <w:sz w:val="24"/>
          <w:shd w:val="clear" w:color="auto" w:fill="FFFFFF"/>
          <w:lang w:val="zh-TW"/>
        </w:rPr>
        <w:t>部分：通则》</w:t>
      </w:r>
      <w:r>
        <w:rPr>
          <w:rFonts w:eastAsiaTheme="minorEastAsia" w:hAnsiTheme="minorEastAsia"/>
          <w:iCs/>
          <w:kern w:val="0"/>
          <w:sz w:val="24"/>
          <w:shd w:val="clear" w:color="auto" w:fill="FFFFFF"/>
          <w:lang w:val="zh-TW"/>
        </w:rPr>
        <w:t>TD/T 1031.1-2011</w:t>
      </w:r>
      <w:r>
        <w:rPr>
          <w:rFonts w:eastAsiaTheme="minorEastAsia" w:hAnsiTheme="minorEastAsia" w:hint="eastAsia"/>
          <w:iCs/>
          <w:kern w:val="0"/>
          <w:sz w:val="24"/>
          <w:shd w:val="clear" w:color="auto" w:fill="FFFFFF"/>
          <w:lang w:val="zh-TW"/>
        </w:rPr>
        <w:t>、《土地复垦质量控制标准》</w:t>
      </w:r>
      <w:r>
        <w:rPr>
          <w:rFonts w:eastAsiaTheme="minorEastAsia" w:hAnsiTheme="minorEastAsia"/>
          <w:iCs/>
          <w:kern w:val="0"/>
          <w:sz w:val="24"/>
          <w:shd w:val="clear" w:color="auto" w:fill="FFFFFF"/>
          <w:lang w:val="zh-TW"/>
        </w:rPr>
        <w:t>TD/T 1036</w:t>
      </w:r>
      <w:r>
        <w:rPr>
          <w:rFonts w:eastAsiaTheme="minorEastAsia" w:hAnsiTheme="minorEastAsia" w:hint="eastAsia"/>
          <w:iCs/>
          <w:kern w:val="0"/>
          <w:sz w:val="24"/>
          <w:shd w:val="clear" w:color="auto" w:fill="FFFFFF"/>
          <w:lang w:val="zh-TW"/>
        </w:rPr>
        <w:t>—</w:t>
      </w:r>
      <w:r>
        <w:rPr>
          <w:rFonts w:eastAsiaTheme="minorEastAsia" w:hAnsiTheme="minorEastAsia"/>
          <w:iCs/>
          <w:kern w:val="0"/>
          <w:sz w:val="24"/>
          <w:shd w:val="clear" w:color="auto" w:fill="FFFFFF"/>
          <w:lang w:val="zh-TW"/>
        </w:rPr>
        <w:t xml:space="preserve">2013 </w:t>
      </w:r>
      <w:r>
        <w:rPr>
          <w:rFonts w:eastAsiaTheme="minorEastAsia" w:hAnsiTheme="minorEastAsia" w:hint="eastAsia"/>
          <w:iCs/>
          <w:kern w:val="0"/>
          <w:sz w:val="24"/>
          <w:shd w:val="clear" w:color="auto" w:fill="FFFFFF"/>
          <w:lang w:val="zh-TW"/>
        </w:rPr>
        <w:t>规定，复垦后的土地质量应达到以下要求：</w:t>
      </w:r>
    </w:p>
    <w:p w:rsidR="009C5C1F" w:rsidRDefault="004D2E0D">
      <w:pPr>
        <w:wordWrap w:val="0"/>
        <w:topLinePunct/>
        <w:spacing w:line="480" w:lineRule="exact"/>
        <w:ind w:firstLineChars="200" w:firstLine="480"/>
        <w:rPr>
          <w:rFonts w:eastAsiaTheme="minorEastAsia" w:hAnsiTheme="minorEastAsia"/>
          <w:iCs/>
          <w:kern w:val="0"/>
          <w:sz w:val="24"/>
          <w:shd w:val="clear" w:color="auto" w:fill="FFFFFF"/>
          <w:lang w:val="zh-TW"/>
        </w:rPr>
      </w:pPr>
      <w:r>
        <w:rPr>
          <w:rFonts w:eastAsiaTheme="minorEastAsia" w:hAnsiTheme="minorEastAsia" w:hint="eastAsia"/>
          <w:iCs/>
          <w:kern w:val="0"/>
          <w:sz w:val="24"/>
          <w:shd w:val="clear" w:color="auto" w:fill="FFFFFF"/>
          <w:lang w:val="zh-TW"/>
        </w:rPr>
        <w:t>（</w:t>
      </w:r>
      <w:r>
        <w:rPr>
          <w:rFonts w:eastAsiaTheme="minorEastAsia" w:hAnsiTheme="minorEastAsia"/>
          <w:iCs/>
          <w:kern w:val="0"/>
          <w:sz w:val="24"/>
          <w:shd w:val="clear" w:color="auto" w:fill="FFFFFF"/>
          <w:lang w:val="zh-TW"/>
        </w:rPr>
        <w:t>1</w:t>
      </w:r>
      <w:r>
        <w:rPr>
          <w:rFonts w:eastAsiaTheme="minorEastAsia" w:hAnsiTheme="minorEastAsia" w:hint="eastAsia"/>
          <w:iCs/>
          <w:kern w:val="0"/>
          <w:sz w:val="24"/>
          <w:shd w:val="clear" w:color="auto" w:fill="FFFFFF"/>
          <w:lang w:val="zh-TW"/>
        </w:rPr>
        <w:t>）与当地地形、地貌及周边环境相协调；</w:t>
      </w:r>
    </w:p>
    <w:p w:rsidR="009C5C1F" w:rsidRDefault="004D2E0D">
      <w:pPr>
        <w:wordWrap w:val="0"/>
        <w:topLinePunct/>
        <w:spacing w:line="480" w:lineRule="exact"/>
        <w:ind w:firstLineChars="200" w:firstLine="480"/>
        <w:rPr>
          <w:rFonts w:eastAsiaTheme="minorEastAsia" w:hAnsiTheme="minorEastAsia"/>
          <w:iCs/>
          <w:kern w:val="0"/>
          <w:sz w:val="24"/>
          <w:shd w:val="clear" w:color="auto" w:fill="FFFFFF"/>
          <w:lang w:val="zh-TW"/>
        </w:rPr>
      </w:pPr>
      <w:r>
        <w:rPr>
          <w:rFonts w:eastAsiaTheme="minorEastAsia" w:hAnsiTheme="minorEastAsia" w:hint="eastAsia"/>
          <w:iCs/>
          <w:kern w:val="0"/>
          <w:sz w:val="24"/>
          <w:shd w:val="clear" w:color="auto" w:fill="FFFFFF"/>
          <w:lang w:val="zh-TW"/>
        </w:rPr>
        <w:t>（</w:t>
      </w:r>
      <w:r>
        <w:rPr>
          <w:rFonts w:eastAsiaTheme="minorEastAsia" w:hAnsiTheme="minorEastAsia"/>
          <w:iCs/>
          <w:kern w:val="0"/>
          <w:sz w:val="24"/>
          <w:shd w:val="clear" w:color="auto" w:fill="FFFFFF"/>
          <w:lang w:val="zh-TW"/>
        </w:rPr>
        <w:t>2</w:t>
      </w:r>
      <w:r>
        <w:rPr>
          <w:rFonts w:eastAsiaTheme="minorEastAsia" w:hAnsiTheme="minorEastAsia" w:hint="eastAsia"/>
          <w:iCs/>
          <w:kern w:val="0"/>
          <w:sz w:val="24"/>
          <w:shd w:val="clear" w:color="auto" w:fill="FFFFFF"/>
          <w:lang w:val="zh-TW"/>
        </w:rPr>
        <w:t>）集中堆放的废、弃渣清运回填至露天采坑，边开采边回填，后将表面进行平整压实，以保持水土不再流失，满足复垦利用要求；</w:t>
      </w:r>
    </w:p>
    <w:p w:rsidR="009C5C1F" w:rsidRDefault="004D2E0D">
      <w:pPr>
        <w:wordWrap w:val="0"/>
        <w:topLinePunct/>
        <w:spacing w:line="480" w:lineRule="exact"/>
        <w:ind w:firstLineChars="200" w:firstLine="480"/>
        <w:rPr>
          <w:rFonts w:eastAsiaTheme="minorEastAsia" w:hAnsiTheme="minorEastAsia"/>
          <w:iCs/>
          <w:kern w:val="0"/>
          <w:sz w:val="24"/>
          <w:shd w:val="clear" w:color="auto" w:fill="FFFFFF"/>
          <w:lang w:val="zh-TW"/>
        </w:rPr>
      </w:pPr>
      <w:r>
        <w:rPr>
          <w:rFonts w:eastAsiaTheme="minorEastAsia" w:hAnsiTheme="minorEastAsia" w:hint="eastAsia"/>
          <w:iCs/>
          <w:kern w:val="0"/>
          <w:sz w:val="24"/>
          <w:shd w:val="clear" w:color="auto" w:fill="FFFFFF"/>
          <w:lang w:val="zh-TW"/>
        </w:rPr>
        <w:t>（</w:t>
      </w:r>
      <w:r>
        <w:rPr>
          <w:rFonts w:eastAsiaTheme="minorEastAsia" w:hAnsiTheme="minorEastAsia"/>
          <w:iCs/>
          <w:kern w:val="0"/>
          <w:sz w:val="24"/>
          <w:shd w:val="clear" w:color="auto" w:fill="FFFFFF"/>
          <w:lang w:val="zh-TW"/>
        </w:rPr>
        <w:t>3</w:t>
      </w:r>
      <w:r>
        <w:rPr>
          <w:rFonts w:eastAsiaTheme="minorEastAsia" w:hAnsiTheme="minorEastAsia" w:hint="eastAsia"/>
          <w:iCs/>
          <w:kern w:val="0"/>
          <w:sz w:val="24"/>
          <w:shd w:val="clear" w:color="auto" w:fill="FFFFFF"/>
          <w:lang w:val="zh-TW"/>
        </w:rPr>
        <w:t>）地表土层厚度约</w:t>
      </w:r>
      <w:r>
        <w:rPr>
          <w:rFonts w:eastAsiaTheme="minorEastAsia" w:hAnsiTheme="minorEastAsia" w:hint="eastAsia"/>
          <w:iCs/>
          <w:kern w:val="0"/>
          <w:sz w:val="24"/>
          <w:shd w:val="clear" w:color="auto" w:fill="FFFFFF"/>
          <w:lang w:val="zh-TW"/>
        </w:rPr>
        <w:t>5</w:t>
      </w:r>
      <w:r>
        <w:rPr>
          <w:rFonts w:eastAsiaTheme="minorEastAsia" w:hAnsiTheme="minorEastAsia"/>
          <w:iCs/>
          <w:kern w:val="0"/>
          <w:sz w:val="24"/>
          <w:shd w:val="clear" w:color="auto" w:fill="FFFFFF"/>
          <w:lang w:val="zh-TW"/>
        </w:rPr>
        <w:t>cm</w:t>
      </w:r>
      <w:r>
        <w:rPr>
          <w:rFonts w:eastAsiaTheme="minorEastAsia" w:hAnsiTheme="minorEastAsia" w:hint="eastAsia"/>
          <w:iCs/>
          <w:kern w:val="0"/>
          <w:sz w:val="24"/>
          <w:shd w:val="clear" w:color="auto" w:fill="FFFFFF"/>
          <w:lang w:val="zh-TW"/>
        </w:rPr>
        <w:t>；</w:t>
      </w:r>
    </w:p>
    <w:p w:rsidR="009C5C1F" w:rsidRDefault="004D2E0D">
      <w:pPr>
        <w:wordWrap w:val="0"/>
        <w:topLinePunct/>
        <w:spacing w:line="480" w:lineRule="exact"/>
        <w:ind w:firstLineChars="200" w:firstLine="480"/>
        <w:rPr>
          <w:rFonts w:eastAsia="PMingLiU" w:hAnsiTheme="minorEastAsia"/>
          <w:iCs/>
          <w:kern w:val="0"/>
          <w:sz w:val="24"/>
          <w:shd w:val="clear" w:color="auto" w:fill="FFFFFF"/>
          <w:lang w:val="zh-TW" w:eastAsia="zh-TW"/>
        </w:rPr>
      </w:pPr>
      <w:r>
        <w:rPr>
          <w:rFonts w:eastAsiaTheme="minorEastAsia" w:hAnsiTheme="minorEastAsia" w:hint="eastAsia"/>
          <w:iCs/>
          <w:kern w:val="0"/>
          <w:sz w:val="24"/>
          <w:shd w:val="clear" w:color="auto" w:fill="FFFFFF"/>
          <w:lang w:val="zh-TW"/>
        </w:rPr>
        <w:t>（</w:t>
      </w:r>
      <w:r>
        <w:rPr>
          <w:rFonts w:eastAsiaTheme="minorEastAsia" w:hAnsiTheme="minorEastAsia"/>
          <w:iCs/>
          <w:kern w:val="0"/>
          <w:sz w:val="24"/>
          <w:shd w:val="clear" w:color="auto" w:fill="FFFFFF"/>
          <w:lang w:val="zh-TW"/>
        </w:rPr>
        <w:t>4</w:t>
      </w:r>
      <w:r>
        <w:rPr>
          <w:rFonts w:eastAsiaTheme="minorEastAsia" w:hAnsiTheme="minorEastAsia" w:hint="eastAsia"/>
          <w:iCs/>
          <w:kern w:val="0"/>
          <w:sz w:val="24"/>
          <w:shd w:val="clear" w:color="auto" w:fill="FFFFFF"/>
          <w:lang w:val="zh-TW"/>
        </w:rPr>
        <w:t>）对整个</w:t>
      </w:r>
      <w:proofErr w:type="gramStart"/>
      <w:r>
        <w:rPr>
          <w:rFonts w:eastAsiaTheme="minorEastAsia" w:hAnsiTheme="minorEastAsia" w:hint="eastAsia"/>
          <w:iCs/>
          <w:kern w:val="0"/>
          <w:sz w:val="24"/>
          <w:shd w:val="clear" w:color="auto" w:fill="FFFFFF"/>
          <w:lang w:val="zh-TW"/>
        </w:rPr>
        <w:t>露天采坑边坡</w:t>
      </w:r>
      <w:proofErr w:type="gramEnd"/>
      <w:r>
        <w:rPr>
          <w:rFonts w:eastAsiaTheme="minorEastAsia" w:hAnsiTheme="minorEastAsia" w:hint="eastAsia"/>
          <w:iCs/>
          <w:kern w:val="0"/>
          <w:sz w:val="24"/>
          <w:shd w:val="clear" w:color="auto" w:fill="FFFFFF"/>
          <w:lang w:val="zh-TW"/>
        </w:rPr>
        <w:t>进行削坡处理，最终边坡角控制在</w:t>
      </w:r>
      <w:r>
        <w:rPr>
          <w:rFonts w:eastAsiaTheme="minorEastAsia" w:hAnsiTheme="minorEastAsia" w:hint="eastAsia"/>
          <w:iCs/>
          <w:kern w:val="0"/>
          <w:sz w:val="24"/>
          <w:shd w:val="clear" w:color="auto" w:fill="FFFFFF"/>
          <w:lang w:val="zh-TW"/>
        </w:rPr>
        <w:t>4</w:t>
      </w:r>
      <w:r>
        <w:rPr>
          <w:rFonts w:eastAsia="PMingLiU" w:hAnsiTheme="minorEastAsia"/>
          <w:iCs/>
          <w:kern w:val="0"/>
          <w:sz w:val="24"/>
          <w:shd w:val="clear" w:color="auto" w:fill="FFFFFF"/>
          <w:lang w:val="zh-TW" w:eastAsia="zh-TW"/>
        </w:rPr>
        <w:t>5</w:t>
      </w:r>
      <w:r>
        <w:rPr>
          <w:rFonts w:asciiTheme="minorEastAsia" w:eastAsiaTheme="minorEastAsia" w:hAnsiTheme="minorEastAsia" w:hint="eastAsia"/>
          <w:iCs/>
          <w:kern w:val="0"/>
          <w:sz w:val="24"/>
          <w:shd w:val="clear" w:color="auto" w:fill="FFFFFF"/>
          <w:lang w:val="zh-TW" w:eastAsia="zh-TW"/>
        </w:rPr>
        <w:t>°以内；削坡处理后，采坑表面进行平整压实，通过工程措施避免扬沙起尘。</w:t>
      </w:r>
    </w:p>
    <w:p w:rsidR="009C5C1F" w:rsidRDefault="009C5C1F">
      <w:pPr>
        <w:wordWrap w:val="0"/>
        <w:topLinePunct/>
        <w:spacing w:line="480" w:lineRule="exact"/>
        <w:ind w:firstLineChars="200" w:firstLine="480"/>
        <w:rPr>
          <w:rFonts w:asciiTheme="minorEastAsia" w:eastAsiaTheme="minorEastAsia" w:hAnsiTheme="minorEastAsia"/>
          <w:iCs/>
          <w:kern w:val="0"/>
          <w:sz w:val="24"/>
          <w:shd w:val="clear" w:color="auto" w:fill="FFFFFF"/>
          <w:lang w:val="zh-TW"/>
        </w:rPr>
        <w:sectPr w:rsidR="009C5C1F">
          <w:pgSz w:w="11907" w:h="16840"/>
          <w:pgMar w:top="1418" w:right="1418" w:bottom="1418" w:left="1588" w:header="851" w:footer="737" w:gutter="0"/>
          <w:cols w:space="425"/>
          <w:docGrid w:linePitch="598" w:charSpace="-518"/>
        </w:sectPr>
      </w:pPr>
    </w:p>
    <w:p w:rsidR="009C5C1F" w:rsidRDefault="004D2E0D">
      <w:pPr>
        <w:keepNext/>
        <w:keepLines/>
        <w:suppressAutoHyphens/>
        <w:wordWrap w:val="0"/>
        <w:topLinePunct/>
        <w:spacing w:beforeLines="50" w:before="120" w:afterLines="50" w:after="120" w:line="580" w:lineRule="exact"/>
        <w:ind w:firstLine="720"/>
        <w:jc w:val="center"/>
        <w:outlineLvl w:val="0"/>
        <w:rPr>
          <w:b/>
          <w:bCs/>
          <w:kern w:val="44"/>
          <w:sz w:val="36"/>
          <w:szCs w:val="36"/>
        </w:rPr>
      </w:pPr>
      <w:bookmarkStart w:id="989" w:name="_Toc153130788"/>
      <w:bookmarkStart w:id="990" w:name="_Toc511226478"/>
      <w:bookmarkStart w:id="991" w:name="_Toc70589879"/>
      <w:r>
        <w:rPr>
          <w:rFonts w:hint="eastAsia"/>
          <w:b/>
          <w:bCs/>
          <w:kern w:val="44"/>
          <w:sz w:val="36"/>
          <w:szCs w:val="36"/>
        </w:rPr>
        <w:lastRenderedPageBreak/>
        <w:t>第五章</w:t>
      </w:r>
      <w:r>
        <w:rPr>
          <w:rFonts w:hint="eastAsia"/>
          <w:b/>
          <w:bCs/>
          <w:kern w:val="44"/>
          <w:sz w:val="36"/>
          <w:szCs w:val="36"/>
        </w:rPr>
        <w:t xml:space="preserve">   </w:t>
      </w:r>
      <w:r>
        <w:rPr>
          <w:rFonts w:hint="eastAsia"/>
          <w:b/>
          <w:bCs/>
          <w:kern w:val="44"/>
          <w:sz w:val="36"/>
          <w:szCs w:val="36"/>
        </w:rPr>
        <w:t>矿山地质环境治理与土地复垦工程</w:t>
      </w:r>
      <w:bookmarkEnd w:id="989"/>
      <w:bookmarkEnd w:id="990"/>
      <w:bookmarkEnd w:id="991"/>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92" w:name="_Toc153130789"/>
      <w:bookmarkStart w:id="993" w:name="_Toc511226479"/>
      <w:bookmarkStart w:id="994" w:name="_Toc70589880"/>
      <w:r>
        <w:rPr>
          <w:rFonts w:eastAsia="黑体" w:hint="eastAsia"/>
          <w:b/>
          <w:bCs/>
          <w:sz w:val="28"/>
          <w:szCs w:val="30"/>
        </w:rPr>
        <w:t>一、矿山地质环境保护与土地复垦预防工程</w:t>
      </w:r>
      <w:bookmarkEnd w:id="992"/>
      <w:bookmarkEnd w:id="993"/>
      <w:bookmarkEnd w:id="994"/>
    </w:p>
    <w:p w:rsidR="009C5C1F" w:rsidRDefault="004D2E0D">
      <w:pPr>
        <w:keepNext/>
        <w:keepLines/>
        <w:suppressAutoHyphens/>
        <w:wordWrap w:val="0"/>
        <w:topLinePunct/>
        <w:spacing w:line="360" w:lineRule="auto"/>
        <w:ind w:firstLineChars="200" w:firstLine="482"/>
        <w:outlineLvl w:val="2"/>
        <w:rPr>
          <w:b/>
          <w:sz w:val="24"/>
          <w:szCs w:val="28"/>
        </w:rPr>
      </w:pPr>
      <w:bookmarkStart w:id="995" w:name="_Toc70589881"/>
      <w:r>
        <w:rPr>
          <w:rFonts w:hint="eastAsia"/>
          <w:b/>
          <w:sz w:val="24"/>
          <w:szCs w:val="28"/>
        </w:rPr>
        <w:t>（一）目标任务</w:t>
      </w:r>
      <w:bookmarkEnd w:id="995"/>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t>1.</w:t>
      </w:r>
      <w:r>
        <w:rPr>
          <w:rFonts w:hint="eastAsia"/>
          <w:iCs/>
          <w:kern w:val="0"/>
          <w:sz w:val="24"/>
          <w:shd w:val="clear" w:color="auto" w:fill="FFFFFF"/>
          <w:lang w:val="zh-TW"/>
        </w:rPr>
        <w:t>总体目标</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根据矿山地质环境现状、存在的主要矿山地质环境问题和评估结果，该矿山地质环境保护与恢复治理总体目标任务是通过该方案的实施，最大限度地避免或减轻因矿山工程建设和采矿活动对矿山地质环境的影响和破坏，闭坑后实现矿山地质环境的有效恢复，即矿山关闭后地表应基本恢复到采矿前的状态，对存在的地质灾害隐患应采取永久性防治措施，使矿山地质环境问题得到有效治理，保证矿区经济社会发展和周围居民生命财产安全。具体治理目标：</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①预防地质灾害的发生，</w:t>
      </w:r>
      <w:proofErr w:type="gramStart"/>
      <w:r>
        <w:rPr>
          <w:rFonts w:hint="eastAsia"/>
          <w:iCs/>
          <w:kern w:val="0"/>
          <w:sz w:val="24"/>
          <w:shd w:val="clear" w:color="auto" w:fill="FFFFFF"/>
          <w:lang w:val="zh-TW"/>
        </w:rPr>
        <w:t>使破坏</w:t>
      </w:r>
      <w:proofErr w:type="gramEnd"/>
      <w:r>
        <w:rPr>
          <w:rFonts w:hint="eastAsia"/>
          <w:iCs/>
          <w:kern w:val="0"/>
          <w:sz w:val="24"/>
          <w:shd w:val="clear" w:color="auto" w:fill="FFFFFF"/>
          <w:lang w:val="zh-TW"/>
        </w:rPr>
        <w:t>环境的范围减少到最低点。尽快恢复治理开矿破坏的地质环境和生态环境，矿产开采完后，通过对采矿边坡进行削坡、将弃料回填</w:t>
      </w:r>
      <w:proofErr w:type="gramStart"/>
      <w:r>
        <w:rPr>
          <w:rFonts w:hint="eastAsia"/>
          <w:iCs/>
          <w:kern w:val="0"/>
          <w:sz w:val="24"/>
          <w:shd w:val="clear" w:color="auto" w:fill="FFFFFF"/>
          <w:lang w:val="zh-TW"/>
        </w:rPr>
        <w:t>至采坑</w:t>
      </w:r>
      <w:proofErr w:type="gramEnd"/>
      <w:r>
        <w:rPr>
          <w:rFonts w:hint="eastAsia"/>
          <w:iCs/>
          <w:kern w:val="0"/>
          <w:sz w:val="24"/>
          <w:shd w:val="clear" w:color="auto" w:fill="FFFFFF"/>
          <w:lang w:val="zh-TW"/>
        </w:rPr>
        <w:t>、恢复原始地形坡度。从而恢复其良好生态环境。</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②建立并完善矿山生态环境破坏和环境污染监测与治理机制，指导矿山企业做好环境保护、土地复垦、地质灾害防治等工作。加强矿山生态环境恢复治理，加快对矿山损毁土地的复垦，对矿山“三废”进行综合治理、综合利用，对矿山开发造成的崩塌等人为地质灾害及植被破坏等环境问题加强预防、监测，及时组织治理。引导矿山企业增加环保投入，加强环境保护技术方法研究，积极推进矿山环境综合治理。推进矿山生态环境恢复治理。</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③当矿山生产服务年限期满后，应在生产服务年限期满后完成恢复治理工作，实现社会效益、环境效益和经济效益新的平衡。</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t>2</w:t>
      </w:r>
      <w:r>
        <w:rPr>
          <w:rFonts w:hint="eastAsia"/>
          <w:iCs/>
          <w:kern w:val="0"/>
          <w:sz w:val="24"/>
          <w:shd w:val="clear" w:color="auto" w:fill="FFFFFF"/>
          <w:lang w:val="zh-TW"/>
        </w:rPr>
        <w:t>、矿山地质环境保护任务</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①以矿山环境影响评估为基础，设计保护措施并进行技术、经济论证。</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②学习和引进矿山环境保护的先进技术和经验，提高矿山环境保护水平。</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③遵循“以人为本”的原则，切实做到矿山生产区和生活区分离，确保人居环境的安全，提高人居环境的质量。</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④选择合理的开采工艺和方法最大限度地减少或避免矿山环境问题的发生。</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⑤要对废弃物（排）放、堆存造成的矿山环境问题制订预防性环境保护措施。</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lastRenderedPageBreak/>
        <w:t>⑥明确所执行的环境质量标准和污染物排放标准。</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⑦制定矿山环境问题监测方案，实施对矿山环境问题的动态监测。</w:t>
      </w:r>
    </w:p>
    <w:p w:rsidR="009C5C1F" w:rsidRDefault="004D2E0D">
      <w:pPr>
        <w:keepNext/>
        <w:keepLines/>
        <w:suppressAutoHyphens/>
        <w:wordWrap w:val="0"/>
        <w:topLinePunct/>
        <w:spacing w:line="360" w:lineRule="auto"/>
        <w:ind w:firstLineChars="200" w:firstLine="482"/>
        <w:outlineLvl w:val="2"/>
        <w:rPr>
          <w:b/>
          <w:sz w:val="24"/>
          <w:szCs w:val="28"/>
        </w:rPr>
      </w:pPr>
      <w:bookmarkStart w:id="996" w:name="_Toc70589882"/>
      <w:r>
        <w:rPr>
          <w:b/>
          <w:sz w:val="24"/>
          <w:szCs w:val="28"/>
        </w:rPr>
        <w:t>(</w:t>
      </w:r>
      <w:r>
        <w:rPr>
          <w:rFonts w:hint="eastAsia"/>
          <w:b/>
          <w:sz w:val="24"/>
          <w:szCs w:val="28"/>
        </w:rPr>
        <w:t>二</w:t>
      </w:r>
      <w:r>
        <w:rPr>
          <w:b/>
          <w:sz w:val="24"/>
          <w:szCs w:val="28"/>
        </w:rPr>
        <w:t>)</w:t>
      </w:r>
      <w:r>
        <w:rPr>
          <w:rFonts w:hint="eastAsia"/>
          <w:b/>
          <w:sz w:val="24"/>
          <w:szCs w:val="28"/>
        </w:rPr>
        <w:t>主要技术措施</w:t>
      </w:r>
      <w:bookmarkEnd w:id="996"/>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t>1.</w:t>
      </w:r>
      <w:r>
        <w:rPr>
          <w:rFonts w:hint="eastAsia"/>
          <w:iCs/>
          <w:kern w:val="0"/>
          <w:sz w:val="24"/>
          <w:shd w:val="clear" w:color="auto" w:fill="FFFFFF"/>
          <w:lang w:val="zh-TW"/>
        </w:rPr>
        <w:t>矿山地质灾害预防措施</w:t>
      </w:r>
    </w:p>
    <w:p w:rsidR="009C5C1F" w:rsidRDefault="004D2E0D">
      <w:pPr>
        <w:topLinePunct/>
        <w:spacing w:line="480" w:lineRule="exact"/>
        <w:ind w:firstLineChars="200" w:firstLine="480"/>
        <w:rPr>
          <w:rFonts w:eastAsia="PMingLiU"/>
          <w:iCs/>
          <w:kern w:val="0"/>
          <w:sz w:val="24"/>
          <w:shd w:val="clear" w:color="auto" w:fill="FFFFFF"/>
          <w:lang w:val="zh-TW" w:eastAsia="zh-TW"/>
        </w:rPr>
      </w:pPr>
      <w:r>
        <w:rPr>
          <w:rFonts w:hint="eastAsia"/>
          <w:iCs/>
          <w:kern w:val="0"/>
          <w:sz w:val="24"/>
          <w:shd w:val="clear" w:color="auto" w:fill="FFFFFF"/>
          <w:lang w:val="zh-TW" w:eastAsia="zh-TW"/>
        </w:rPr>
        <w:t>矿山在开采施工过程中，必须加强地质环境保护，尽量减轻人类工程对地质环境的不利影响，避免和减少会引发矿山地质灾害的行为，尽可能避免引发或加剧地质灾害。</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采取以下预防措施减少或避免引发矿业活动中地质灾害的发生。</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露天采场边坡预防措施</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t>a.</w:t>
      </w:r>
      <w:r>
        <w:rPr>
          <w:rFonts w:hint="eastAsia"/>
          <w:iCs/>
          <w:kern w:val="0"/>
          <w:sz w:val="24"/>
          <w:shd w:val="clear" w:color="auto" w:fill="FFFFFF"/>
          <w:lang w:val="zh-TW"/>
        </w:rPr>
        <w:t>在非工作帮和端帮，要严格按照设计进行采掘，不能过界，不得超挖坡底线；临近到界台阶时，采用控制性开采，不得超采，并采取削坡措施，保持边坡的稳定性；</w:t>
      </w:r>
      <w:r>
        <w:rPr>
          <w:iCs/>
          <w:kern w:val="0"/>
          <w:sz w:val="24"/>
          <w:shd w:val="clear" w:color="auto" w:fill="FFFFFF"/>
          <w:lang w:val="zh-TW"/>
        </w:rPr>
        <w:t xml:space="preserve"> </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t>b.</w:t>
      </w:r>
      <w:r>
        <w:rPr>
          <w:rFonts w:hint="eastAsia"/>
          <w:iCs/>
          <w:kern w:val="0"/>
          <w:sz w:val="24"/>
          <w:shd w:val="clear" w:color="auto" w:fill="FFFFFF"/>
          <w:lang w:val="zh-TW"/>
        </w:rPr>
        <w:t>对于有滑坡危险的地段，应及时设置安全警戒线，尽快撤出危险区内的人员与设备，严禁无关人员和设备进入，并采取有效措施消除危害，避免造成重大损失；</w:t>
      </w:r>
      <w:r>
        <w:rPr>
          <w:iCs/>
          <w:kern w:val="0"/>
          <w:sz w:val="24"/>
          <w:shd w:val="clear" w:color="auto" w:fill="FFFFFF"/>
          <w:lang w:val="zh-TW"/>
        </w:rPr>
        <w:t xml:space="preserve"> </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t>c.</w:t>
      </w:r>
      <w:r>
        <w:rPr>
          <w:rFonts w:hint="eastAsia"/>
          <w:iCs/>
          <w:kern w:val="0"/>
          <w:sz w:val="24"/>
          <w:shd w:val="clear" w:color="auto" w:fill="FFFFFF"/>
          <w:lang w:val="zh-TW"/>
        </w:rPr>
        <w:t>完善采场周边防排水体系统，季节性暴雨易形成瞬时地表径流，设计在采场境界四周外修筑截水设施，防止洪水涌入冲刷边坡及淹没采场内的人员或设备，同时也防止洪水渗入地下，降低边坡的稳定性；</w:t>
      </w:r>
    </w:p>
    <w:p w:rsidR="009C5C1F" w:rsidRDefault="004D2E0D">
      <w:pPr>
        <w:topLinePunct/>
        <w:spacing w:line="480" w:lineRule="exact"/>
        <w:ind w:firstLineChars="200" w:firstLine="480"/>
        <w:rPr>
          <w:rFonts w:asciiTheme="minorEastAsia" w:eastAsia="PMingLiU" w:hAnsiTheme="minorEastAsia"/>
          <w:iCs/>
          <w:kern w:val="0"/>
          <w:sz w:val="24"/>
          <w:shd w:val="clear" w:color="auto" w:fill="FFFFFF"/>
          <w:lang w:val="zh-TW" w:eastAsia="zh-TW"/>
        </w:rPr>
      </w:pPr>
      <w:r>
        <w:rPr>
          <w:rFonts w:eastAsia="PMingLiU"/>
          <w:iCs/>
          <w:kern w:val="0"/>
          <w:sz w:val="24"/>
          <w:shd w:val="clear" w:color="auto" w:fill="FFFFFF"/>
          <w:lang w:val="zh-TW" w:eastAsia="zh-TW"/>
        </w:rPr>
        <w:t>d.</w:t>
      </w:r>
      <w:r>
        <w:rPr>
          <w:rFonts w:asciiTheme="minorEastAsia" w:eastAsiaTheme="minorEastAsia" w:hAnsiTheme="minorEastAsia" w:hint="eastAsia"/>
          <w:iCs/>
          <w:kern w:val="0"/>
          <w:sz w:val="24"/>
          <w:shd w:val="clear" w:color="auto" w:fill="FFFFFF"/>
          <w:lang w:val="zh-TW" w:eastAsia="zh-TW"/>
        </w:rPr>
        <w:t>开采过程中对临时坡面裸露的大块危险土体要及时进行清理；</w:t>
      </w:r>
    </w:p>
    <w:p w:rsidR="009C5C1F" w:rsidRDefault="004D2E0D">
      <w:pPr>
        <w:topLinePunct/>
        <w:spacing w:line="480" w:lineRule="exact"/>
        <w:ind w:firstLineChars="200" w:firstLine="480"/>
        <w:rPr>
          <w:iCs/>
          <w:kern w:val="0"/>
          <w:sz w:val="24"/>
          <w:shd w:val="clear" w:color="auto" w:fill="FFFFFF"/>
          <w:lang w:val="zh-TW"/>
        </w:rPr>
      </w:pPr>
      <w:r>
        <w:rPr>
          <w:rFonts w:asciiTheme="minorEastAsia" w:eastAsia="PMingLiU" w:hAnsiTheme="minorEastAsia"/>
          <w:iCs/>
          <w:kern w:val="0"/>
          <w:sz w:val="24"/>
          <w:shd w:val="clear" w:color="auto" w:fill="FFFFFF"/>
          <w:lang w:val="zh-TW" w:eastAsia="zh-TW"/>
        </w:rPr>
        <w:t>e</w:t>
      </w:r>
      <w:r>
        <w:rPr>
          <w:rFonts w:asciiTheme="minorEastAsia" w:eastAsiaTheme="minorEastAsia" w:hAnsiTheme="minorEastAsia" w:hint="eastAsia"/>
          <w:iCs/>
          <w:kern w:val="0"/>
          <w:sz w:val="24"/>
          <w:shd w:val="clear" w:color="auto" w:fill="FFFFFF"/>
          <w:lang w:val="zh-TW"/>
        </w:rPr>
        <w:t>.在露天采场坡脚设置围栏和警示牌，防止意外事故发生。采取保护性开采，加强监测。</w:t>
      </w:r>
      <w:r>
        <w:rPr>
          <w:iCs/>
          <w:kern w:val="0"/>
          <w:sz w:val="24"/>
          <w:shd w:val="clear" w:color="auto" w:fill="FFFFFF"/>
          <w:lang w:val="zh-TW"/>
        </w:rPr>
        <w:t xml:space="preserve"> </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t>2.</w:t>
      </w:r>
      <w:r>
        <w:rPr>
          <w:rFonts w:hint="eastAsia"/>
          <w:iCs/>
          <w:kern w:val="0"/>
          <w:sz w:val="24"/>
          <w:shd w:val="clear" w:color="auto" w:fill="FFFFFF"/>
          <w:lang w:val="zh-TW"/>
        </w:rPr>
        <w:t>含水层保护措施</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含水层防治主要是强调含水层的自我修复能力。根据含水层结构及地下水赋存条件，结合采矿工程，本矿山开采对地下含水层的影响程度较轻，采矿结束后可自行恢复。采取以下措施，防止含水层破坏：</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fldChar w:fldCharType="begin"/>
      </w:r>
      <w:r>
        <w:rPr>
          <w:iCs/>
          <w:kern w:val="0"/>
          <w:sz w:val="24"/>
          <w:shd w:val="clear" w:color="auto" w:fill="FFFFFF"/>
          <w:lang w:val="zh-TW"/>
        </w:rPr>
        <w:instrText xml:space="preserve"> </w:instrText>
      </w:r>
      <w:r>
        <w:rPr>
          <w:rFonts w:hint="eastAsia"/>
          <w:iCs/>
          <w:kern w:val="0"/>
          <w:sz w:val="24"/>
          <w:shd w:val="clear" w:color="auto" w:fill="FFFFFF"/>
          <w:lang w:val="zh-TW"/>
        </w:rPr>
        <w:instrText>= 1 \* GB3</w:instrText>
      </w:r>
      <w:r>
        <w:rPr>
          <w:iCs/>
          <w:kern w:val="0"/>
          <w:sz w:val="24"/>
          <w:shd w:val="clear" w:color="auto" w:fill="FFFFFF"/>
          <w:lang w:val="zh-TW"/>
        </w:rPr>
        <w:instrText xml:space="preserve"> </w:instrText>
      </w:r>
      <w:r>
        <w:rPr>
          <w:iCs/>
          <w:kern w:val="0"/>
          <w:sz w:val="24"/>
          <w:shd w:val="clear" w:color="auto" w:fill="FFFFFF"/>
          <w:lang w:val="zh-TW"/>
        </w:rPr>
        <w:fldChar w:fldCharType="separate"/>
      </w:r>
      <w:r>
        <w:rPr>
          <w:rFonts w:hint="eastAsia"/>
          <w:iCs/>
          <w:kern w:val="0"/>
          <w:sz w:val="24"/>
          <w:shd w:val="clear" w:color="auto" w:fill="FFFFFF"/>
          <w:lang w:val="zh-TW"/>
        </w:rPr>
        <w:t>①</w:t>
      </w:r>
      <w:r>
        <w:rPr>
          <w:iCs/>
          <w:kern w:val="0"/>
          <w:sz w:val="24"/>
          <w:shd w:val="clear" w:color="auto" w:fill="FFFFFF"/>
          <w:lang w:val="zh-TW"/>
        </w:rPr>
        <w:fldChar w:fldCharType="end"/>
      </w:r>
      <w:r>
        <w:rPr>
          <w:rFonts w:hint="eastAsia"/>
          <w:iCs/>
          <w:kern w:val="0"/>
          <w:sz w:val="24"/>
          <w:shd w:val="clear" w:color="auto" w:fill="FFFFFF"/>
          <w:lang w:val="zh-TW"/>
        </w:rPr>
        <w:t>矿山开采过程中严格按有关要求控制采剥强度，最大程度减轻对周围岩土体的扰动，从而减轻地下水的渗漏；</w:t>
      </w:r>
    </w:p>
    <w:p w:rsidR="009C5C1F" w:rsidRDefault="004D2E0D">
      <w:pPr>
        <w:topLinePunct/>
        <w:spacing w:line="480" w:lineRule="exact"/>
        <w:ind w:firstLineChars="200" w:firstLine="480"/>
        <w:rPr>
          <w:iCs/>
          <w:kern w:val="0"/>
          <w:sz w:val="24"/>
          <w:shd w:val="clear" w:color="auto" w:fill="FFFFFF"/>
          <w:lang w:val="zh-TW"/>
        </w:rPr>
      </w:pPr>
      <w:r>
        <w:rPr>
          <w:rFonts w:eastAsia="PMingLiU"/>
          <w:iCs/>
          <w:kern w:val="0"/>
          <w:sz w:val="24"/>
          <w:shd w:val="clear" w:color="auto" w:fill="FFFFFF"/>
          <w:lang w:val="zh-TW" w:eastAsia="zh-TW"/>
        </w:rPr>
        <w:fldChar w:fldCharType="begin"/>
      </w:r>
      <w:r>
        <w:rPr>
          <w:iCs/>
          <w:kern w:val="0"/>
          <w:sz w:val="24"/>
          <w:shd w:val="clear" w:color="auto" w:fill="FFFFFF"/>
          <w:lang w:val="zh-TW"/>
        </w:rPr>
        <w:instrText xml:space="preserve"> </w:instrText>
      </w:r>
      <w:r>
        <w:rPr>
          <w:rFonts w:hint="eastAsia"/>
          <w:iCs/>
          <w:kern w:val="0"/>
          <w:sz w:val="24"/>
          <w:shd w:val="clear" w:color="auto" w:fill="FFFFFF"/>
          <w:lang w:val="zh-TW"/>
        </w:rPr>
        <w:instrText>= 2 \* GB3</w:instrText>
      </w:r>
      <w:r>
        <w:rPr>
          <w:iCs/>
          <w:kern w:val="0"/>
          <w:sz w:val="24"/>
          <w:shd w:val="clear" w:color="auto" w:fill="FFFFFF"/>
          <w:lang w:val="zh-TW"/>
        </w:rPr>
        <w:instrText xml:space="preserve"> </w:instrText>
      </w:r>
      <w:r>
        <w:rPr>
          <w:rFonts w:eastAsia="PMingLiU"/>
          <w:iCs/>
          <w:kern w:val="0"/>
          <w:sz w:val="24"/>
          <w:shd w:val="clear" w:color="auto" w:fill="FFFFFF"/>
          <w:lang w:val="zh-TW" w:eastAsia="zh-TW"/>
        </w:rPr>
        <w:fldChar w:fldCharType="separate"/>
      </w:r>
      <w:r>
        <w:rPr>
          <w:rFonts w:hint="eastAsia"/>
          <w:iCs/>
          <w:kern w:val="0"/>
          <w:sz w:val="24"/>
          <w:shd w:val="clear" w:color="auto" w:fill="FFFFFF"/>
          <w:lang w:val="zh-TW"/>
        </w:rPr>
        <w:t>②</w:t>
      </w:r>
      <w:r>
        <w:rPr>
          <w:rFonts w:eastAsia="PMingLiU"/>
          <w:iCs/>
          <w:kern w:val="0"/>
          <w:sz w:val="24"/>
          <w:shd w:val="clear" w:color="auto" w:fill="FFFFFF"/>
          <w:lang w:val="zh-TW" w:eastAsia="zh-TW"/>
        </w:rPr>
        <w:fldChar w:fldCharType="end"/>
      </w:r>
      <w:r>
        <w:rPr>
          <w:rFonts w:asciiTheme="minorEastAsia" w:eastAsiaTheme="minorEastAsia" w:hAnsiTheme="minorEastAsia" w:hint="eastAsia"/>
          <w:iCs/>
          <w:kern w:val="0"/>
          <w:sz w:val="24"/>
          <w:shd w:val="clear" w:color="auto" w:fill="FFFFFF"/>
          <w:lang w:val="zh-TW" w:eastAsia="zh-TW"/>
        </w:rPr>
        <w:t>生产、生活产生的废水除浊度偏高外，受污染较轻，不含有害物质，可用于环保等，使其资源化利用。</w:t>
      </w:r>
      <w:r>
        <w:rPr>
          <w:iCs/>
          <w:kern w:val="0"/>
          <w:sz w:val="24"/>
          <w:shd w:val="clear" w:color="auto" w:fill="FFFFFF"/>
          <w:lang w:val="zh-TW"/>
        </w:rPr>
        <w:t xml:space="preserve"> </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t>3.</w:t>
      </w:r>
      <w:r>
        <w:rPr>
          <w:rFonts w:hint="eastAsia"/>
          <w:iCs/>
          <w:kern w:val="0"/>
          <w:sz w:val="24"/>
          <w:shd w:val="clear" w:color="auto" w:fill="FFFFFF"/>
          <w:lang w:val="zh-TW"/>
        </w:rPr>
        <w:t>地形地貌景观保护措施</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矿业活动对</w:t>
      </w:r>
      <w:proofErr w:type="gramStart"/>
      <w:r>
        <w:rPr>
          <w:rFonts w:hint="eastAsia"/>
          <w:iCs/>
          <w:kern w:val="0"/>
          <w:sz w:val="24"/>
          <w:shd w:val="clear" w:color="auto" w:fill="FFFFFF"/>
          <w:lang w:val="zh-TW"/>
        </w:rPr>
        <w:t>评估区</w:t>
      </w:r>
      <w:proofErr w:type="gramEnd"/>
      <w:r>
        <w:rPr>
          <w:rFonts w:hint="eastAsia"/>
          <w:iCs/>
          <w:kern w:val="0"/>
          <w:sz w:val="24"/>
          <w:shd w:val="clear" w:color="auto" w:fill="FFFFFF"/>
          <w:lang w:val="zh-TW"/>
        </w:rPr>
        <w:t>地形地貌影响较严重的为露天开采开挖及临时堆放的废、弃渣，</w:t>
      </w:r>
      <w:r>
        <w:rPr>
          <w:rFonts w:hint="eastAsia"/>
          <w:iCs/>
          <w:kern w:val="0"/>
          <w:sz w:val="24"/>
          <w:shd w:val="clear" w:color="auto" w:fill="FFFFFF"/>
          <w:lang w:val="zh-TW"/>
        </w:rPr>
        <w:lastRenderedPageBreak/>
        <w:t>其他已建设施对区内地形地貌影响较小。因此采取以下措施，恢复或减少因矿业活动对矿区地形地貌景观的破坏。</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①边开采边治理，以防治水土流失；</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fldChar w:fldCharType="begin"/>
      </w:r>
      <w:r>
        <w:rPr>
          <w:iCs/>
          <w:kern w:val="0"/>
          <w:sz w:val="24"/>
          <w:shd w:val="clear" w:color="auto" w:fill="FFFFFF"/>
          <w:lang w:val="zh-TW"/>
        </w:rPr>
        <w:instrText xml:space="preserve"> </w:instrText>
      </w:r>
      <w:r>
        <w:rPr>
          <w:rFonts w:hint="eastAsia"/>
          <w:iCs/>
          <w:kern w:val="0"/>
          <w:sz w:val="24"/>
          <w:shd w:val="clear" w:color="auto" w:fill="FFFFFF"/>
          <w:lang w:val="zh-TW"/>
        </w:rPr>
        <w:instrText>= 2 \* GB3</w:instrText>
      </w:r>
      <w:r>
        <w:rPr>
          <w:iCs/>
          <w:kern w:val="0"/>
          <w:sz w:val="24"/>
          <w:shd w:val="clear" w:color="auto" w:fill="FFFFFF"/>
          <w:lang w:val="zh-TW"/>
        </w:rPr>
        <w:instrText xml:space="preserve"> </w:instrText>
      </w:r>
      <w:r>
        <w:rPr>
          <w:iCs/>
          <w:kern w:val="0"/>
          <w:sz w:val="24"/>
          <w:shd w:val="clear" w:color="auto" w:fill="FFFFFF"/>
          <w:lang w:val="zh-TW"/>
        </w:rPr>
        <w:fldChar w:fldCharType="separate"/>
      </w:r>
      <w:r>
        <w:rPr>
          <w:rFonts w:hint="eastAsia"/>
          <w:iCs/>
          <w:kern w:val="0"/>
          <w:sz w:val="24"/>
          <w:shd w:val="clear" w:color="auto" w:fill="FFFFFF"/>
          <w:lang w:val="zh-TW"/>
        </w:rPr>
        <w:t>②</w:t>
      </w:r>
      <w:r>
        <w:rPr>
          <w:iCs/>
          <w:kern w:val="0"/>
          <w:sz w:val="24"/>
          <w:shd w:val="clear" w:color="auto" w:fill="FFFFFF"/>
          <w:lang w:val="zh-TW"/>
        </w:rPr>
        <w:fldChar w:fldCharType="end"/>
      </w:r>
      <w:r>
        <w:rPr>
          <w:rFonts w:hint="eastAsia"/>
          <w:iCs/>
          <w:kern w:val="0"/>
          <w:sz w:val="24"/>
          <w:shd w:val="clear" w:color="auto" w:fill="FFFFFF"/>
          <w:lang w:val="zh-TW"/>
        </w:rPr>
        <w:t>合理堆放固体废弃物，选用合适的综合利用技术，加大综合利用量，减少对地形地貌的破坏；</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fldChar w:fldCharType="begin"/>
      </w:r>
      <w:r>
        <w:rPr>
          <w:iCs/>
          <w:kern w:val="0"/>
          <w:sz w:val="24"/>
          <w:shd w:val="clear" w:color="auto" w:fill="FFFFFF"/>
          <w:lang w:val="zh-TW"/>
        </w:rPr>
        <w:instrText xml:space="preserve"> </w:instrText>
      </w:r>
      <w:r>
        <w:rPr>
          <w:rFonts w:hint="eastAsia"/>
          <w:iCs/>
          <w:kern w:val="0"/>
          <w:sz w:val="24"/>
          <w:shd w:val="clear" w:color="auto" w:fill="FFFFFF"/>
          <w:lang w:val="zh-TW"/>
        </w:rPr>
        <w:instrText>= 3 \* GB3</w:instrText>
      </w:r>
      <w:r>
        <w:rPr>
          <w:iCs/>
          <w:kern w:val="0"/>
          <w:sz w:val="24"/>
          <w:shd w:val="clear" w:color="auto" w:fill="FFFFFF"/>
          <w:lang w:val="zh-TW"/>
        </w:rPr>
        <w:instrText xml:space="preserve"> </w:instrText>
      </w:r>
      <w:r>
        <w:rPr>
          <w:iCs/>
          <w:kern w:val="0"/>
          <w:sz w:val="24"/>
          <w:shd w:val="clear" w:color="auto" w:fill="FFFFFF"/>
          <w:lang w:val="zh-TW"/>
        </w:rPr>
        <w:fldChar w:fldCharType="separate"/>
      </w:r>
      <w:r>
        <w:rPr>
          <w:rFonts w:hint="eastAsia"/>
          <w:iCs/>
          <w:kern w:val="0"/>
          <w:sz w:val="24"/>
          <w:shd w:val="clear" w:color="auto" w:fill="FFFFFF"/>
          <w:lang w:val="zh-TW"/>
        </w:rPr>
        <w:t>③</w:t>
      </w:r>
      <w:r>
        <w:rPr>
          <w:iCs/>
          <w:kern w:val="0"/>
          <w:sz w:val="24"/>
          <w:shd w:val="clear" w:color="auto" w:fill="FFFFFF"/>
          <w:lang w:val="zh-TW"/>
        </w:rPr>
        <w:fldChar w:fldCharType="end"/>
      </w:r>
      <w:r>
        <w:rPr>
          <w:rFonts w:hint="eastAsia"/>
          <w:iCs/>
          <w:kern w:val="0"/>
          <w:sz w:val="24"/>
          <w:shd w:val="clear" w:color="auto" w:fill="FFFFFF"/>
          <w:lang w:val="zh-TW"/>
        </w:rPr>
        <w:t>临时堆料场合理堆放，经过地质灾害治理、土地资源恢复，达到观感整齐的要求，减少对地形地貌的破坏；</w:t>
      </w:r>
    </w:p>
    <w:p w:rsidR="009C5C1F" w:rsidRDefault="004D2E0D">
      <w:pPr>
        <w:topLinePunct/>
        <w:spacing w:line="480" w:lineRule="exact"/>
        <w:ind w:firstLineChars="200" w:firstLine="480"/>
        <w:rPr>
          <w:rFonts w:eastAsia="PMingLiU"/>
          <w:iCs/>
          <w:kern w:val="0"/>
          <w:sz w:val="24"/>
          <w:shd w:val="clear" w:color="auto" w:fill="FFFFFF"/>
          <w:lang w:val="zh-TW" w:eastAsia="zh-TW"/>
        </w:rPr>
      </w:pPr>
      <w:r>
        <w:rPr>
          <w:iCs/>
          <w:kern w:val="0"/>
          <w:sz w:val="24"/>
          <w:shd w:val="clear" w:color="auto" w:fill="FFFFFF"/>
          <w:lang w:val="zh-TW"/>
        </w:rPr>
        <w:fldChar w:fldCharType="begin"/>
      </w:r>
      <w:r>
        <w:rPr>
          <w:iCs/>
          <w:kern w:val="0"/>
          <w:sz w:val="24"/>
          <w:shd w:val="clear" w:color="auto" w:fill="FFFFFF"/>
          <w:lang w:val="zh-TW"/>
        </w:rPr>
        <w:instrText xml:space="preserve"> </w:instrText>
      </w:r>
      <w:r>
        <w:rPr>
          <w:rFonts w:hint="eastAsia"/>
          <w:iCs/>
          <w:kern w:val="0"/>
          <w:sz w:val="24"/>
          <w:shd w:val="clear" w:color="auto" w:fill="FFFFFF"/>
          <w:lang w:val="zh-TW"/>
        </w:rPr>
        <w:instrText>= 4 \* GB3</w:instrText>
      </w:r>
      <w:r>
        <w:rPr>
          <w:iCs/>
          <w:kern w:val="0"/>
          <w:sz w:val="24"/>
          <w:shd w:val="clear" w:color="auto" w:fill="FFFFFF"/>
          <w:lang w:val="zh-TW"/>
        </w:rPr>
        <w:instrText xml:space="preserve"> </w:instrText>
      </w:r>
      <w:r>
        <w:rPr>
          <w:iCs/>
          <w:kern w:val="0"/>
          <w:sz w:val="24"/>
          <w:shd w:val="clear" w:color="auto" w:fill="FFFFFF"/>
          <w:lang w:val="zh-TW"/>
        </w:rPr>
        <w:fldChar w:fldCharType="separate"/>
      </w:r>
      <w:r>
        <w:rPr>
          <w:rFonts w:hint="eastAsia"/>
          <w:iCs/>
          <w:kern w:val="0"/>
          <w:sz w:val="24"/>
          <w:shd w:val="clear" w:color="auto" w:fill="FFFFFF"/>
          <w:lang w:val="zh-TW"/>
        </w:rPr>
        <w:t>④</w:t>
      </w:r>
      <w:r>
        <w:rPr>
          <w:iCs/>
          <w:kern w:val="0"/>
          <w:sz w:val="24"/>
          <w:shd w:val="clear" w:color="auto" w:fill="FFFFFF"/>
          <w:lang w:val="zh-TW"/>
        </w:rPr>
        <w:fldChar w:fldCharType="end"/>
      </w:r>
      <w:r>
        <w:rPr>
          <w:rFonts w:hint="eastAsia"/>
          <w:iCs/>
          <w:kern w:val="0"/>
          <w:sz w:val="24"/>
          <w:shd w:val="clear" w:color="auto" w:fill="FFFFFF"/>
          <w:lang w:val="zh-TW"/>
        </w:rPr>
        <w:t>闭坑后露天</w:t>
      </w:r>
      <w:proofErr w:type="gramStart"/>
      <w:r>
        <w:rPr>
          <w:rFonts w:hint="eastAsia"/>
          <w:iCs/>
          <w:kern w:val="0"/>
          <w:sz w:val="24"/>
          <w:shd w:val="clear" w:color="auto" w:fill="FFFFFF"/>
          <w:lang w:val="zh-TW"/>
        </w:rPr>
        <w:t>采坑及时</w:t>
      </w:r>
      <w:proofErr w:type="gramEnd"/>
      <w:r>
        <w:rPr>
          <w:rFonts w:hint="eastAsia"/>
          <w:iCs/>
          <w:kern w:val="0"/>
          <w:sz w:val="24"/>
          <w:shd w:val="clear" w:color="auto" w:fill="FFFFFF"/>
          <w:lang w:val="zh-TW"/>
        </w:rPr>
        <w:t>治理，尽量减少对周边地形地貌景观的影响，使土地资源恢复，植被自然恢复，矿山服务期满后及时完成复垦工作；</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fldChar w:fldCharType="begin"/>
      </w:r>
      <w:r>
        <w:rPr>
          <w:iCs/>
          <w:kern w:val="0"/>
          <w:sz w:val="24"/>
          <w:shd w:val="clear" w:color="auto" w:fill="FFFFFF"/>
          <w:lang w:val="zh-TW"/>
        </w:rPr>
        <w:instrText xml:space="preserve"> </w:instrText>
      </w:r>
      <w:r>
        <w:rPr>
          <w:rFonts w:hint="eastAsia"/>
          <w:iCs/>
          <w:kern w:val="0"/>
          <w:sz w:val="24"/>
          <w:shd w:val="clear" w:color="auto" w:fill="FFFFFF"/>
          <w:lang w:val="zh-TW"/>
        </w:rPr>
        <w:instrText>= 5 \* GB3</w:instrText>
      </w:r>
      <w:r>
        <w:rPr>
          <w:iCs/>
          <w:kern w:val="0"/>
          <w:sz w:val="24"/>
          <w:shd w:val="clear" w:color="auto" w:fill="FFFFFF"/>
          <w:lang w:val="zh-TW"/>
        </w:rPr>
        <w:instrText xml:space="preserve"> </w:instrText>
      </w:r>
      <w:r>
        <w:rPr>
          <w:iCs/>
          <w:kern w:val="0"/>
          <w:sz w:val="24"/>
          <w:shd w:val="clear" w:color="auto" w:fill="FFFFFF"/>
          <w:lang w:val="zh-TW"/>
        </w:rPr>
        <w:fldChar w:fldCharType="separate"/>
      </w:r>
      <w:r>
        <w:rPr>
          <w:rFonts w:hint="eastAsia"/>
          <w:iCs/>
          <w:kern w:val="0"/>
          <w:sz w:val="24"/>
          <w:shd w:val="clear" w:color="auto" w:fill="FFFFFF"/>
          <w:lang w:val="zh-TW"/>
        </w:rPr>
        <w:t>⑤</w:t>
      </w:r>
      <w:r>
        <w:rPr>
          <w:iCs/>
          <w:kern w:val="0"/>
          <w:sz w:val="24"/>
          <w:shd w:val="clear" w:color="auto" w:fill="FFFFFF"/>
          <w:lang w:val="zh-TW"/>
        </w:rPr>
        <w:fldChar w:fldCharType="end"/>
      </w:r>
      <w:r>
        <w:rPr>
          <w:rFonts w:hint="eastAsia"/>
          <w:iCs/>
          <w:kern w:val="0"/>
          <w:sz w:val="24"/>
          <w:shd w:val="clear" w:color="auto" w:fill="FFFFFF"/>
          <w:lang w:val="zh-TW"/>
        </w:rPr>
        <w:t>加强环境保护，落实采矿过程中生产、生活污水、生活垃圾处理措施，落实绿地管护措施，不断改造办公、生活区环境，打造绿色矿山示范点。</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t>4.</w:t>
      </w:r>
      <w:r>
        <w:rPr>
          <w:rFonts w:hint="eastAsia"/>
          <w:iCs/>
          <w:kern w:val="0"/>
          <w:sz w:val="24"/>
          <w:shd w:val="clear" w:color="auto" w:fill="FFFFFF"/>
          <w:lang w:val="zh-TW"/>
        </w:rPr>
        <w:t>水土环境污染预防措施</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矿山生产、生活用水、及生活垃圾对水土环境造成污染的可能性小。将区内水土污染情况控制在现有水平，杜绝新的水土污染情况的发生。</w:t>
      </w:r>
    </w:p>
    <w:p w:rsidR="009C5C1F" w:rsidRDefault="004D2E0D">
      <w:pPr>
        <w:topLinePunct/>
        <w:spacing w:line="480" w:lineRule="exact"/>
        <w:ind w:firstLineChars="200" w:firstLine="480"/>
        <w:jc w:val="left"/>
        <w:rPr>
          <w:iCs/>
          <w:kern w:val="0"/>
          <w:sz w:val="24"/>
          <w:shd w:val="clear" w:color="auto" w:fill="FFFFFF"/>
          <w:lang w:val="zh-TW"/>
        </w:rPr>
      </w:pPr>
      <w:r>
        <w:rPr>
          <w:iCs/>
          <w:kern w:val="0"/>
          <w:sz w:val="24"/>
          <w:shd w:val="clear" w:color="auto" w:fill="FFFFFF"/>
          <w:lang w:val="zh-TW"/>
        </w:rPr>
        <w:fldChar w:fldCharType="begin"/>
      </w:r>
      <w:r>
        <w:rPr>
          <w:iCs/>
          <w:kern w:val="0"/>
          <w:sz w:val="24"/>
          <w:shd w:val="clear" w:color="auto" w:fill="FFFFFF"/>
          <w:lang w:val="zh-TW"/>
        </w:rPr>
        <w:instrText xml:space="preserve"> </w:instrText>
      </w:r>
      <w:r>
        <w:rPr>
          <w:rFonts w:hint="eastAsia"/>
          <w:iCs/>
          <w:kern w:val="0"/>
          <w:sz w:val="24"/>
          <w:shd w:val="clear" w:color="auto" w:fill="FFFFFF"/>
          <w:lang w:val="zh-TW"/>
        </w:rPr>
        <w:instrText>= 1 \* GB3</w:instrText>
      </w:r>
      <w:r>
        <w:rPr>
          <w:iCs/>
          <w:kern w:val="0"/>
          <w:sz w:val="24"/>
          <w:shd w:val="clear" w:color="auto" w:fill="FFFFFF"/>
          <w:lang w:val="zh-TW"/>
        </w:rPr>
        <w:instrText xml:space="preserve"> </w:instrText>
      </w:r>
      <w:r>
        <w:rPr>
          <w:iCs/>
          <w:kern w:val="0"/>
          <w:sz w:val="24"/>
          <w:shd w:val="clear" w:color="auto" w:fill="FFFFFF"/>
          <w:lang w:val="zh-TW"/>
        </w:rPr>
        <w:fldChar w:fldCharType="separate"/>
      </w:r>
      <w:r>
        <w:rPr>
          <w:rFonts w:hint="eastAsia"/>
          <w:iCs/>
          <w:kern w:val="0"/>
          <w:sz w:val="24"/>
          <w:shd w:val="clear" w:color="auto" w:fill="FFFFFF"/>
          <w:lang w:val="zh-TW"/>
        </w:rPr>
        <w:t>①</w:t>
      </w:r>
      <w:r>
        <w:rPr>
          <w:iCs/>
          <w:kern w:val="0"/>
          <w:sz w:val="24"/>
          <w:shd w:val="clear" w:color="auto" w:fill="FFFFFF"/>
          <w:lang w:val="zh-TW"/>
        </w:rPr>
        <w:fldChar w:fldCharType="end"/>
      </w:r>
      <w:r>
        <w:rPr>
          <w:rFonts w:hint="eastAsia"/>
          <w:iCs/>
          <w:kern w:val="0"/>
          <w:sz w:val="24"/>
          <w:shd w:val="clear" w:color="auto" w:fill="FFFFFF"/>
          <w:lang w:val="zh-TW" w:eastAsia="zh-TW"/>
        </w:rPr>
        <w:t>堆料</w:t>
      </w:r>
      <w:r>
        <w:rPr>
          <w:rFonts w:hint="eastAsia"/>
          <w:iCs/>
          <w:kern w:val="0"/>
          <w:sz w:val="24"/>
          <w:shd w:val="clear" w:color="auto" w:fill="FFFFFF"/>
          <w:lang w:val="zh-TW"/>
        </w:rPr>
        <w:t>场的堆放位置、堆放高度和堆放坡度严格按照技术指标进行，以减少对土地的压占损毁；根据临时堆料场的土壤条件和地形等特点，应采取综合防护措施，从根本上控制水土流失。</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②生活垃圾主要由采矿施工场地及办公生活区等场地排放。生产垃圾成分复杂，有机含量较高，要有组织的排放。配备垃圾桶和垃圾车，定期排放至矿区或当地政府规划的垃圾处理场进行统一处理。</w:t>
      </w:r>
    </w:p>
    <w:p w:rsidR="009C5C1F" w:rsidRDefault="004D2E0D">
      <w:pPr>
        <w:topLinePunct/>
        <w:spacing w:line="480" w:lineRule="exact"/>
        <w:ind w:firstLineChars="200" w:firstLine="480"/>
        <w:rPr>
          <w:iCs/>
          <w:kern w:val="0"/>
          <w:sz w:val="24"/>
          <w:shd w:val="clear" w:color="auto" w:fill="FFFFFF"/>
          <w:lang w:val="zh-TW"/>
        </w:rPr>
      </w:pPr>
      <w:r>
        <w:rPr>
          <w:iCs/>
          <w:kern w:val="0"/>
          <w:sz w:val="24"/>
          <w:shd w:val="clear" w:color="auto" w:fill="FFFFFF"/>
          <w:lang w:val="zh-TW"/>
        </w:rPr>
        <w:t>5.</w:t>
      </w:r>
      <w:r>
        <w:rPr>
          <w:rFonts w:hint="eastAsia"/>
          <w:iCs/>
          <w:kern w:val="0"/>
          <w:sz w:val="24"/>
          <w:shd w:val="clear" w:color="auto" w:fill="FFFFFF"/>
          <w:lang w:val="zh-TW"/>
        </w:rPr>
        <w:t>土地复垦预防控制措施</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预防控制措施是土地复垦的基础。在项目建设过程中做好防治工作，一方面可以防患于未然，提高施工效率，减少后期的土地复垦工程量；另一方面可以减轻对周边环境的不良影响，为建立生态系统良性循环的生态环境创造条件；再则，可以约束施工单位为降低成本而采取的牺牲环境的做法，大大减轻后期土地复垦的工作量，在生产过程中减少废弃物占地；通过水土保持措施控制土壤侵蚀、防止土地退化与环境恶化；通过边采边复垦缩短土地损毁期，加快土地生产力恢复；生产结束后，及时对被损毁土地进行复垦。</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按照“统一规划、源头控制、防复结合”的原则，在采矿过程中可以采取一些合</w:t>
      </w:r>
      <w:r>
        <w:rPr>
          <w:rFonts w:hint="eastAsia"/>
          <w:iCs/>
          <w:kern w:val="0"/>
          <w:sz w:val="24"/>
          <w:shd w:val="clear" w:color="auto" w:fill="FFFFFF"/>
          <w:lang w:val="zh-TW"/>
        </w:rPr>
        <w:lastRenderedPageBreak/>
        <w:t>理的措施，以减小和控制损毁土地的面积和程度，为土地复垦创造良好的条件。本项目的主要设施采用集中布置在地表的方式解决节约用地的问题。对于露天采场，采取压缩平台宽度，加大最终边坡角的办法，控制其损毁土地的范围。针对堆料场，把堆料场布置在露天采场附近，加大最终边坡角及充分</w:t>
      </w:r>
      <w:proofErr w:type="gramStart"/>
      <w:r>
        <w:rPr>
          <w:rFonts w:hint="eastAsia"/>
          <w:iCs/>
          <w:kern w:val="0"/>
          <w:sz w:val="24"/>
          <w:shd w:val="clear" w:color="auto" w:fill="FFFFFF"/>
          <w:lang w:val="zh-TW"/>
        </w:rPr>
        <w:t>利用总</w:t>
      </w:r>
      <w:proofErr w:type="gramEnd"/>
      <w:r>
        <w:rPr>
          <w:rFonts w:hint="eastAsia"/>
          <w:iCs/>
          <w:kern w:val="0"/>
          <w:sz w:val="24"/>
          <w:shd w:val="clear" w:color="auto" w:fill="FFFFFF"/>
          <w:lang w:val="zh-TW"/>
        </w:rPr>
        <w:t>排弃物的措施，可节约压占的土地面积。</w:t>
      </w:r>
    </w:p>
    <w:p w:rsidR="009C5C1F" w:rsidRDefault="004D2E0D">
      <w:pPr>
        <w:keepNext/>
        <w:keepLines/>
        <w:suppressAutoHyphens/>
        <w:wordWrap w:val="0"/>
        <w:topLinePunct/>
        <w:spacing w:beforeLines="50" w:before="120" w:line="360" w:lineRule="auto"/>
        <w:ind w:firstLineChars="200" w:firstLine="482"/>
        <w:outlineLvl w:val="2"/>
        <w:rPr>
          <w:b/>
          <w:sz w:val="24"/>
          <w:szCs w:val="28"/>
        </w:rPr>
      </w:pPr>
      <w:bookmarkStart w:id="997" w:name="_Toc70589883"/>
      <w:r>
        <w:rPr>
          <w:b/>
          <w:sz w:val="24"/>
          <w:szCs w:val="28"/>
        </w:rPr>
        <w:t>(</w:t>
      </w:r>
      <w:r>
        <w:rPr>
          <w:rFonts w:hint="eastAsia"/>
          <w:b/>
          <w:sz w:val="24"/>
          <w:szCs w:val="28"/>
        </w:rPr>
        <w:t>三</w:t>
      </w:r>
      <w:r>
        <w:rPr>
          <w:b/>
          <w:sz w:val="24"/>
          <w:szCs w:val="28"/>
        </w:rPr>
        <w:t>)</w:t>
      </w:r>
      <w:r>
        <w:rPr>
          <w:rFonts w:hint="eastAsia"/>
          <w:b/>
          <w:sz w:val="24"/>
          <w:szCs w:val="28"/>
        </w:rPr>
        <w:t>主要工程量</w:t>
      </w:r>
      <w:bookmarkEnd w:id="997"/>
    </w:p>
    <w:p w:rsidR="009C5C1F" w:rsidRDefault="004D2E0D">
      <w:pPr>
        <w:topLinePunct/>
        <w:spacing w:line="480" w:lineRule="exact"/>
        <w:ind w:firstLineChars="200" w:firstLine="480"/>
        <w:rPr>
          <w:rFonts w:asciiTheme="minorEastAsia" w:eastAsia="PMingLiU" w:hAnsiTheme="minorEastAsia"/>
          <w:iCs/>
          <w:kern w:val="0"/>
          <w:sz w:val="24"/>
          <w:shd w:val="clear" w:color="auto" w:fill="FFFFFF"/>
          <w:lang w:val="zh-TW" w:eastAsia="zh-TW"/>
        </w:rPr>
      </w:pPr>
      <w:r>
        <w:rPr>
          <w:rFonts w:hint="eastAsia"/>
          <w:iCs/>
          <w:kern w:val="0"/>
          <w:sz w:val="24"/>
          <w:shd w:val="clear" w:color="auto" w:fill="FFFFFF"/>
          <w:lang w:val="zh-TW"/>
        </w:rPr>
        <w:t>由于矿区地处干旱区，降雨量稀少，矿山工程地质条件良好，产生崩塌、滑坡及泥石流等地质灾害的可能性小，所以本次矿山地质环境保护与土地复垦工作中针对可能发生地质灾害主要任务为露天采场边坡稳固工作，在矿区露天采高边坡段放缓边坡坡度，以稳固坡体并开展矿山地质环境监测工作。但该矿采场边坡初始为</w:t>
      </w:r>
      <w:r>
        <w:rPr>
          <w:rFonts w:hint="eastAsia"/>
          <w:iCs/>
          <w:kern w:val="0"/>
          <w:sz w:val="24"/>
          <w:shd w:val="clear" w:color="auto" w:fill="FFFFFF"/>
          <w:lang w:val="zh-TW"/>
        </w:rPr>
        <w:t>4</w:t>
      </w:r>
      <w:r>
        <w:rPr>
          <w:rFonts w:eastAsia="PMingLiU"/>
          <w:iCs/>
          <w:kern w:val="0"/>
          <w:sz w:val="24"/>
          <w:shd w:val="clear" w:color="auto" w:fill="FFFFFF"/>
          <w:lang w:val="zh-TW" w:eastAsia="zh-TW"/>
        </w:rPr>
        <w:t>5</w:t>
      </w:r>
      <w:r>
        <w:rPr>
          <w:rFonts w:asciiTheme="minorEastAsia" w:eastAsiaTheme="minorEastAsia" w:hAnsiTheme="minorEastAsia" w:hint="eastAsia"/>
          <w:iCs/>
          <w:kern w:val="0"/>
          <w:sz w:val="24"/>
          <w:shd w:val="clear" w:color="auto" w:fill="FFFFFF"/>
          <w:lang w:val="zh-TW" w:eastAsia="zh-TW"/>
        </w:rPr>
        <w:t>°，满足最终边坡要求，故不需要进行边坡治理，工程量可忽略不计。</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矿山地质环境保护与土地复垦预防主要工程以监测为主，其工程量见第六节矿山地质环境监测。</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998" w:name="_Toc70589884"/>
      <w:bookmarkStart w:id="999" w:name="_Toc153130790"/>
      <w:r>
        <w:rPr>
          <w:rFonts w:eastAsia="黑体" w:hint="eastAsia"/>
          <w:b/>
          <w:bCs/>
          <w:sz w:val="28"/>
          <w:szCs w:val="30"/>
        </w:rPr>
        <w:t>二、矿山地质灾害治理</w:t>
      </w:r>
      <w:bookmarkEnd w:id="998"/>
      <w:bookmarkEnd w:id="999"/>
    </w:p>
    <w:p w:rsidR="009C5C1F" w:rsidRDefault="004D2E0D">
      <w:pPr>
        <w:keepNext/>
        <w:keepLines/>
        <w:suppressAutoHyphens/>
        <w:wordWrap w:val="0"/>
        <w:topLinePunct/>
        <w:spacing w:beforeLines="50" w:before="120" w:line="360" w:lineRule="auto"/>
        <w:ind w:firstLineChars="200" w:firstLine="482"/>
        <w:outlineLvl w:val="2"/>
        <w:rPr>
          <w:b/>
          <w:sz w:val="24"/>
          <w:szCs w:val="28"/>
        </w:rPr>
      </w:pPr>
      <w:bookmarkStart w:id="1000" w:name="_Toc70589885"/>
      <w:r>
        <w:rPr>
          <w:b/>
          <w:sz w:val="24"/>
          <w:szCs w:val="28"/>
        </w:rPr>
        <w:t>(</w:t>
      </w:r>
      <w:proofErr w:type="gramStart"/>
      <w:r>
        <w:rPr>
          <w:rFonts w:hint="eastAsia"/>
          <w:b/>
          <w:sz w:val="24"/>
          <w:szCs w:val="28"/>
        </w:rPr>
        <w:t>一</w:t>
      </w:r>
      <w:proofErr w:type="gramEnd"/>
      <w:r>
        <w:rPr>
          <w:b/>
          <w:sz w:val="24"/>
          <w:szCs w:val="28"/>
        </w:rPr>
        <w:t>)</w:t>
      </w:r>
      <w:r>
        <w:rPr>
          <w:rFonts w:hint="eastAsia"/>
          <w:b/>
          <w:sz w:val="24"/>
          <w:szCs w:val="28"/>
        </w:rPr>
        <w:t>目标任务</w:t>
      </w:r>
      <w:bookmarkEnd w:id="1000"/>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根据地质灾害现状分析与预测结果，矿山遭受泥石流灾害的可能性小，危险性小，矿山开采引发、加剧崩塌、滑坡、洪水冲蚀、泥石流地质灾害影响程度较轻。因此矿山地质灾害治理主要目标为最大限度地避免或减轻因矿产资源开发引起的地质灾害危害，通过开展保护与治理工作，使矿山开采工作面及堆料场</w:t>
      </w:r>
      <w:proofErr w:type="gramStart"/>
      <w:r>
        <w:rPr>
          <w:rFonts w:hint="eastAsia"/>
          <w:iCs/>
          <w:kern w:val="0"/>
          <w:sz w:val="24"/>
          <w:shd w:val="clear" w:color="auto" w:fill="FFFFFF"/>
          <w:lang w:val="zh-TW"/>
        </w:rPr>
        <w:t>堆避免</w:t>
      </w:r>
      <w:proofErr w:type="gramEnd"/>
      <w:r>
        <w:rPr>
          <w:rFonts w:hint="eastAsia"/>
          <w:iCs/>
          <w:kern w:val="0"/>
          <w:sz w:val="24"/>
          <w:shd w:val="clear" w:color="auto" w:fill="FFFFFF"/>
          <w:lang w:val="zh-TW"/>
        </w:rPr>
        <w:t>发生崩塌、泥石流灾害，避免矿区人员及工程设备遭受崩塌、泥石流灾害。主要任务为露天采场边坡稳固工作，在矿区露天采场高边坡段放缓边坡坡度，以稳固坡体并开展矿山地质环境监测工作。</w:t>
      </w:r>
    </w:p>
    <w:p w:rsidR="009C5C1F" w:rsidRDefault="004D2E0D">
      <w:pPr>
        <w:keepNext/>
        <w:keepLines/>
        <w:suppressAutoHyphens/>
        <w:wordWrap w:val="0"/>
        <w:topLinePunct/>
        <w:spacing w:beforeLines="50" w:before="120" w:line="360" w:lineRule="auto"/>
        <w:ind w:firstLineChars="200" w:firstLine="482"/>
        <w:outlineLvl w:val="2"/>
        <w:rPr>
          <w:b/>
          <w:sz w:val="24"/>
          <w:szCs w:val="28"/>
        </w:rPr>
      </w:pPr>
      <w:bookmarkStart w:id="1001" w:name="_Toc70589886"/>
      <w:r>
        <w:rPr>
          <w:b/>
          <w:sz w:val="24"/>
          <w:szCs w:val="28"/>
        </w:rPr>
        <w:t>(</w:t>
      </w:r>
      <w:r>
        <w:rPr>
          <w:rFonts w:hint="eastAsia"/>
          <w:b/>
          <w:sz w:val="24"/>
          <w:szCs w:val="28"/>
        </w:rPr>
        <w:t>二</w:t>
      </w:r>
      <w:r>
        <w:rPr>
          <w:b/>
          <w:sz w:val="24"/>
          <w:szCs w:val="28"/>
        </w:rPr>
        <w:t>)</w:t>
      </w:r>
      <w:r>
        <w:rPr>
          <w:rFonts w:hint="eastAsia"/>
          <w:b/>
          <w:sz w:val="24"/>
          <w:szCs w:val="28"/>
        </w:rPr>
        <w:t>工程设计</w:t>
      </w:r>
      <w:bookmarkEnd w:id="1001"/>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露天采场是影响本矿山地质环境的主要因素，为了避免人民生命及财产受到威胁，为了保持露天采场的稳定性，防止形成崩塌等自然灾害，造成人员伤亡事故，对整个边坡进行削坡处理，将最终边坡角控制在</w:t>
      </w:r>
      <w:r>
        <w:rPr>
          <w:rFonts w:hint="eastAsia"/>
          <w:iCs/>
          <w:kern w:val="0"/>
          <w:sz w:val="24"/>
          <w:shd w:val="clear" w:color="auto" w:fill="FFFFFF"/>
          <w:lang w:val="zh-TW"/>
        </w:rPr>
        <w:t>45</w:t>
      </w:r>
      <w:r>
        <w:rPr>
          <w:rFonts w:hint="eastAsia"/>
          <w:iCs/>
          <w:kern w:val="0"/>
          <w:sz w:val="24"/>
          <w:shd w:val="clear" w:color="auto" w:fill="FFFFFF"/>
          <w:lang w:val="zh-TW"/>
        </w:rPr>
        <w:t>°以内。</w:t>
      </w:r>
    </w:p>
    <w:p w:rsidR="009C5C1F" w:rsidRDefault="004D2E0D">
      <w:pPr>
        <w:keepNext/>
        <w:keepLines/>
        <w:suppressAutoHyphens/>
        <w:wordWrap w:val="0"/>
        <w:topLinePunct/>
        <w:spacing w:beforeLines="50" w:before="120" w:line="360" w:lineRule="auto"/>
        <w:ind w:firstLineChars="200" w:firstLine="482"/>
        <w:outlineLvl w:val="2"/>
        <w:rPr>
          <w:b/>
          <w:sz w:val="24"/>
          <w:szCs w:val="28"/>
        </w:rPr>
      </w:pPr>
      <w:bookmarkStart w:id="1002" w:name="_Toc70589887"/>
      <w:r>
        <w:rPr>
          <w:b/>
          <w:sz w:val="24"/>
          <w:szCs w:val="28"/>
        </w:rPr>
        <w:lastRenderedPageBreak/>
        <w:t>(</w:t>
      </w:r>
      <w:r>
        <w:rPr>
          <w:rFonts w:hint="eastAsia"/>
          <w:b/>
          <w:sz w:val="24"/>
          <w:szCs w:val="28"/>
        </w:rPr>
        <w:t>三</w:t>
      </w:r>
      <w:r>
        <w:rPr>
          <w:b/>
          <w:sz w:val="24"/>
          <w:szCs w:val="28"/>
        </w:rPr>
        <w:t>)</w:t>
      </w:r>
      <w:r>
        <w:rPr>
          <w:rFonts w:hint="eastAsia"/>
          <w:b/>
          <w:sz w:val="24"/>
          <w:szCs w:val="28"/>
        </w:rPr>
        <w:t>技术措施</w:t>
      </w:r>
      <w:bookmarkEnd w:id="1002"/>
    </w:p>
    <w:p w:rsidR="009C5C1F" w:rsidRDefault="004D2E0D">
      <w:pPr>
        <w:topLinePunct/>
        <w:spacing w:line="480" w:lineRule="exact"/>
        <w:ind w:firstLineChars="200" w:firstLine="480"/>
        <w:rPr>
          <w:iCs/>
          <w:kern w:val="0"/>
          <w:sz w:val="24"/>
          <w:shd w:val="clear" w:color="auto" w:fill="FFFFFF"/>
          <w:lang w:val="zh-TW"/>
        </w:rPr>
      </w:pPr>
      <w:r>
        <w:rPr>
          <w:rFonts w:eastAsia="PMingLiU"/>
          <w:iCs/>
          <w:kern w:val="0"/>
          <w:sz w:val="24"/>
          <w:shd w:val="clear" w:color="auto" w:fill="FFFFFF"/>
          <w:lang w:val="zh-TW" w:eastAsia="zh-TW"/>
        </w:rPr>
        <w:t>1.</w:t>
      </w:r>
      <w:r>
        <w:rPr>
          <w:rFonts w:hint="eastAsia"/>
          <w:iCs/>
          <w:kern w:val="0"/>
          <w:sz w:val="24"/>
          <w:shd w:val="clear" w:color="auto" w:fill="FFFFFF"/>
          <w:lang w:val="zh-TW"/>
        </w:rPr>
        <w:t>警示牌</w:t>
      </w:r>
    </w:p>
    <w:p w:rsidR="009C5C1F" w:rsidRDefault="004D2E0D">
      <w:pPr>
        <w:topLinePunct/>
        <w:spacing w:line="480" w:lineRule="exact"/>
        <w:ind w:firstLineChars="200" w:firstLine="480"/>
        <w:rPr>
          <w:iCs/>
          <w:kern w:val="0"/>
          <w:sz w:val="24"/>
          <w:shd w:val="clear" w:color="auto" w:fill="FFFFFF"/>
          <w:lang w:val="zh-TW"/>
        </w:rPr>
      </w:pPr>
      <w:r>
        <w:rPr>
          <w:rFonts w:hint="eastAsia"/>
          <w:iCs/>
          <w:kern w:val="0"/>
          <w:sz w:val="24"/>
          <w:shd w:val="clear" w:color="auto" w:fill="FFFFFF"/>
          <w:lang w:val="zh-TW"/>
        </w:rPr>
        <w:t>在进入露天采场道路入口处布设警示牌，在坡顶和坡脚石堆外围</w:t>
      </w:r>
      <w:r>
        <w:rPr>
          <w:iCs/>
          <w:kern w:val="0"/>
          <w:sz w:val="24"/>
          <w:shd w:val="clear" w:color="auto" w:fill="FFFFFF"/>
          <w:lang w:val="zh-TW"/>
        </w:rPr>
        <w:t>3m</w:t>
      </w:r>
      <w:r>
        <w:rPr>
          <w:rFonts w:hint="eastAsia"/>
          <w:iCs/>
          <w:kern w:val="0"/>
          <w:sz w:val="24"/>
          <w:shd w:val="clear" w:color="auto" w:fill="FFFFFF"/>
          <w:lang w:val="zh-TW"/>
        </w:rPr>
        <w:t>设立警示牌，明确地质灾害隐患区范围、危险性及注意事项，警示人们远离危险区或在区内谨慎行事，注意自身安全，防治意外发生。</w:t>
      </w:r>
    </w:p>
    <w:p w:rsidR="009C5C1F" w:rsidRDefault="004D2E0D" w:rsidP="009135C6">
      <w:pPr>
        <w:autoSpaceDE w:val="0"/>
        <w:autoSpaceDN w:val="0"/>
        <w:adjustRightInd w:val="0"/>
        <w:spacing w:line="480" w:lineRule="exact"/>
        <w:ind w:firstLineChars="182" w:firstLine="437"/>
        <w:jc w:val="left"/>
        <w:rPr>
          <w:rFonts w:ascii="宋体" w:hAnsi="Calibri" w:cs="宋体"/>
          <w:kern w:val="0"/>
          <w:sz w:val="24"/>
        </w:rPr>
      </w:pPr>
      <w:r>
        <w:rPr>
          <w:rFonts w:ascii="宋体" w:hAnsi="Calibri" w:cs="宋体" w:hint="eastAsia"/>
          <w:kern w:val="0"/>
          <w:sz w:val="24"/>
        </w:rPr>
        <w:t>警示牌：警示牌上用汉语文字书写内容</w:t>
      </w:r>
      <w:r>
        <w:rPr>
          <w:rFonts w:ascii="宋体" w:hAnsi="Calibri" w:cs="宋体"/>
          <w:kern w:val="0"/>
          <w:sz w:val="24"/>
        </w:rPr>
        <w:t>“</w:t>
      </w:r>
      <w:r>
        <w:rPr>
          <w:rFonts w:ascii="宋体" w:hAnsi="Calibri" w:cs="宋体" w:hint="eastAsia"/>
          <w:kern w:val="0"/>
          <w:sz w:val="24"/>
        </w:rPr>
        <w:t>露天采场，严禁入内</w:t>
      </w:r>
      <w:r>
        <w:rPr>
          <w:rFonts w:ascii="宋体" w:hAnsi="Calibri" w:cs="宋体"/>
          <w:kern w:val="0"/>
          <w:sz w:val="24"/>
        </w:rPr>
        <w:t>”</w:t>
      </w:r>
      <w:r>
        <w:rPr>
          <w:rFonts w:ascii="宋体" w:hAnsi="Calibri" w:cs="宋体" w:hint="eastAsia"/>
          <w:kern w:val="0"/>
          <w:sz w:val="24"/>
        </w:rPr>
        <w:t>。设立的警示牌采用预制水泥桩和牌（见图</w:t>
      </w:r>
      <w:r>
        <w:rPr>
          <w:rFonts w:ascii="宋体" w:hAnsi="Calibri" w:cs="宋体"/>
          <w:kern w:val="0"/>
          <w:sz w:val="24"/>
        </w:rPr>
        <w:t>5-1</w:t>
      </w:r>
      <w:r>
        <w:rPr>
          <w:rFonts w:ascii="宋体" w:hAnsi="Calibri" w:cs="宋体" w:hint="eastAsia"/>
          <w:kern w:val="0"/>
          <w:sz w:val="24"/>
        </w:rPr>
        <w:t>），桩长</w:t>
      </w:r>
      <w:r>
        <w:rPr>
          <w:rFonts w:ascii="宋体" w:hAnsi="Calibri" w:cs="宋体"/>
          <w:kern w:val="0"/>
          <w:sz w:val="24"/>
        </w:rPr>
        <w:t>1.5m</w:t>
      </w:r>
      <w:r>
        <w:rPr>
          <w:rFonts w:ascii="宋体" w:hAnsi="Calibri" w:cs="宋体" w:hint="eastAsia"/>
          <w:kern w:val="0"/>
          <w:sz w:val="24"/>
        </w:rPr>
        <w:t>，桩截面</w:t>
      </w:r>
      <w:r>
        <w:rPr>
          <w:rFonts w:ascii="宋体" w:hAnsi="Calibri" w:cs="宋体"/>
          <w:kern w:val="0"/>
          <w:sz w:val="24"/>
        </w:rPr>
        <w:t>5</w:t>
      </w:r>
      <w:r>
        <w:rPr>
          <w:rFonts w:ascii="宋体" w:hAnsi="Calibri" w:cs="宋体" w:hint="eastAsia"/>
          <w:kern w:val="0"/>
          <w:sz w:val="24"/>
        </w:rPr>
        <w:t>×</w:t>
      </w:r>
      <w:r>
        <w:rPr>
          <w:rFonts w:ascii="宋体" w:hAnsi="Calibri" w:cs="宋体"/>
          <w:kern w:val="0"/>
          <w:sz w:val="24"/>
        </w:rPr>
        <w:t>20cm</w:t>
      </w:r>
      <w:r>
        <w:rPr>
          <w:rFonts w:ascii="宋体" w:hAnsi="Calibri" w:cs="宋体" w:hint="eastAsia"/>
          <w:kern w:val="0"/>
          <w:sz w:val="24"/>
        </w:rPr>
        <w:t>，警示牌长宽厚尺寸</w:t>
      </w:r>
      <w:r>
        <w:rPr>
          <w:rFonts w:ascii="宋体" w:hAnsi="Calibri" w:cs="宋体"/>
          <w:kern w:val="0"/>
          <w:sz w:val="24"/>
        </w:rPr>
        <w:t>100cm</w:t>
      </w:r>
      <w:r>
        <w:rPr>
          <w:rFonts w:ascii="宋体" w:hAnsi="Calibri" w:cs="宋体" w:hint="eastAsia"/>
          <w:kern w:val="0"/>
          <w:sz w:val="24"/>
        </w:rPr>
        <w:t>×</w:t>
      </w:r>
      <w:r>
        <w:rPr>
          <w:rFonts w:ascii="宋体" w:hAnsi="Calibri" w:cs="宋体"/>
          <w:kern w:val="0"/>
          <w:sz w:val="24"/>
        </w:rPr>
        <w:t>50cm</w:t>
      </w:r>
      <w:r>
        <w:rPr>
          <w:rFonts w:ascii="宋体" w:hAnsi="Calibri" w:cs="宋体" w:hint="eastAsia"/>
          <w:kern w:val="0"/>
          <w:sz w:val="24"/>
        </w:rPr>
        <w:t>×</w:t>
      </w:r>
      <w:r>
        <w:rPr>
          <w:rFonts w:ascii="宋体" w:hAnsi="Calibri" w:cs="宋体"/>
          <w:kern w:val="0"/>
          <w:sz w:val="24"/>
        </w:rPr>
        <w:t>5cm</w:t>
      </w:r>
      <w:r>
        <w:rPr>
          <w:rFonts w:ascii="宋体" w:hAnsi="Calibri" w:cs="宋体" w:hint="eastAsia"/>
          <w:kern w:val="0"/>
          <w:sz w:val="24"/>
        </w:rPr>
        <w:t>。桩埋置于地下</w:t>
      </w:r>
      <w:r>
        <w:rPr>
          <w:rFonts w:ascii="宋体" w:hAnsi="Calibri" w:cs="宋体"/>
          <w:kern w:val="0"/>
          <w:sz w:val="24"/>
        </w:rPr>
        <w:t>0.5m</w:t>
      </w:r>
      <w:r>
        <w:rPr>
          <w:rFonts w:ascii="宋体" w:hAnsi="Calibri" w:cs="宋体" w:hint="eastAsia"/>
          <w:kern w:val="0"/>
          <w:sz w:val="24"/>
        </w:rPr>
        <w:t>，高出地面</w:t>
      </w:r>
      <w:r>
        <w:rPr>
          <w:rFonts w:ascii="宋体" w:hAnsi="Calibri" w:cs="宋体"/>
          <w:kern w:val="0"/>
          <w:sz w:val="24"/>
        </w:rPr>
        <w:t>1.5m</w:t>
      </w:r>
      <w:r>
        <w:rPr>
          <w:rFonts w:ascii="宋体" w:hAnsi="Calibri" w:cs="宋体" w:hint="eastAsia"/>
          <w:kern w:val="0"/>
          <w:sz w:val="24"/>
        </w:rPr>
        <w:t>。警示牌设置间距视山坡及沟道地形条件确定，对于地下低洼起伏地段间距为</w:t>
      </w:r>
      <w:r>
        <w:rPr>
          <w:rFonts w:ascii="宋体" w:hAnsi="Calibri" w:cs="宋体"/>
          <w:kern w:val="0"/>
          <w:sz w:val="24"/>
        </w:rPr>
        <w:t>80m</w:t>
      </w:r>
      <w:r>
        <w:rPr>
          <w:rFonts w:ascii="宋体" w:hAnsi="Calibri" w:cs="宋体" w:hint="eastAsia"/>
          <w:kern w:val="0"/>
          <w:sz w:val="24"/>
        </w:rPr>
        <w:t>，开阔平坦、通视性较好的地段其间距为</w:t>
      </w:r>
      <w:r>
        <w:rPr>
          <w:rFonts w:ascii="宋体" w:hAnsi="Calibri" w:cs="宋体"/>
          <w:kern w:val="0"/>
          <w:sz w:val="24"/>
        </w:rPr>
        <w:t>200-350m</w:t>
      </w:r>
      <w:r>
        <w:rPr>
          <w:rFonts w:ascii="宋体" w:hAnsi="Calibri" w:cs="宋体" w:hint="eastAsia"/>
          <w:kern w:val="0"/>
          <w:sz w:val="24"/>
        </w:rPr>
        <w:t>。估算警示</w:t>
      </w:r>
      <w:proofErr w:type="gramStart"/>
      <w:r>
        <w:rPr>
          <w:rFonts w:ascii="宋体" w:hAnsi="Calibri" w:cs="宋体" w:hint="eastAsia"/>
          <w:kern w:val="0"/>
          <w:sz w:val="24"/>
        </w:rPr>
        <w:t>牌数量</w:t>
      </w:r>
      <w:proofErr w:type="gramEnd"/>
      <w:r>
        <w:rPr>
          <w:rFonts w:ascii="宋体" w:hAnsi="Calibri" w:cs="宋体" w:hint="eastAsia"/>
          <w:kern w:val="0"/>
          <w:sz w:val="24"/>
        </w:rPr>
        <w:t>为</w:t>
      </w:r>
      <w:r>
        <w:rPr>
          <w:rFonts w:ascii="宋体" w:hAnsi="Calibri" w:cs="宋体"/>
          <w:kern w:val="0"/>
          <w:sz w:val="24"/>
        </w:rPr>
        <w:t>6</w:t>
      </w:r>
      <w:r>
        <w:rPr>
          <w:rFonts w:ascii="宋体" w:hAnsi="Calibri" w:cs="宋体" w:hint="eastAsia"/>
          <w:kern w:val="0"/>
          <w:sz w:val="24"/>
        </w:rPr>
        <w:t>个。</w:t>
      </w:r>
    </w:p>
    <w:p w:rsidR="009C5C1F" w:rsidRDefault="009C5C1F">
      <w:pPr>
        <w:pStyle w:val="a0"/>
        <w:ind w:firstLine="210"/>
      </w:pPr>
    </w:p>
    <w:p w:rsidR="009C5C1F" w:rsidRDefault="004D2E0D">
      <w:pPr>
        <w:autoSpaceDE w:val="0"/>
        <w:autoSpaceDN w:val="0"/>
        <w:adjustRightInd w:val="0"/>
        <w:spacing w:after="260"/>
        <w:jc w:val="center"/>
        <w:rPr>
          <w:rFonts w:ascii="宋体" w:hAnsi="Calibri" w:cs="宋体"/>
          <w:kern w:val="0"/>
          <w:sz w:val="24"/>
        </w:rPr>
      </w:pPr>
      <w:r>
        <w:rPr>
          <w:rFonts w:ascii="宋体" w:hAnsi="Calibri" w:cs="宋体"/>
          <w:noProof/>
          <w:kern w:val="0"/>
          <w:sz w:val="24"/>
        </w:rPr>
        <w:drawing>
          <wp:inline distT="0" distB="0" distL="0" distR="0">
            <wp:extent cx="1859915" cy="2840990"/>
            <wp:effectExtent l="19050" t="0" r="6528"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noChangeArrowheads="1"/>
                    </pic:cNvPicPr>
                  </pic:nvPicPr>
                  <pic:blipFill>
                    <a:blip r:embed="rId37"/>
                    <a:srcRect/>
                    <a:stretch>
                      <a:fillRect/>
                    </a:stretch>
                  </pic:blipFill>
                  <pic:spPr>
                    <a:xfrm>
                      <a:off x="0" y="0"/>
                      <a:ext cx="1857438" cy="2836576"/>
                    </a:xfrm>
                    <a:prstGeom prst="rect">
                      <a:avLst/>
                    </a:prstGeom>
                    <a:noFill/>
                    <a:ln w="9525">
                      <a:noFill/>
                      <a:miter lim="800000"/>
                      <a:headEnd/>
                      <a:tailEnd/>
                    </a:ln>
                  </pic:spPr>
                </pic:pic>
              </a:graphicData>
            </a:graphic>
          </wp:inline>
        </w:drawing>
      </w:r>
    </w:p>
    <w:p w:rsidR="009C5C1F" w:rsidRDefault="004D2E0D">
      <w:pPr>
        <w:autoSpaceDE w:val="0"/>
        <w:autoSpaceDN w:val="0"/>
        <w:adjustRightInd w:val="0"/>
        <w:jc w:val="center"/>
        <w:rPr>
          <w:rFonts w:ascii="宋体" w:hAnsi="Calibri" w:cs="宋体"/>
          <w:b/>
          <w:kern w:val="0"/>
          <w:szCs w:val="21"/>
        </w:rPr>
      </w:pPr>
      <w:r>
        <w:rPr>
          <w:rFonts w:ascii="宋体" w:hAnsi="Calibri" w:cs="宋体" w:hint="eastAsia"/>
          <w:b/>
          <w:kern w:val="0"/>
          <w:szCs w:val="21"/>
        </w:rPr>
        <w:t>图</w:t>
      </w:r>
      <w:r>
        <w:rPr>
          <w:rFonts w:ascii="宋体" w:hAnsi="Calibri" w:cs="宋体"/>
          <w:b/>
          <w:kern w:val="0"/>
          <w:szCs w:val="21"/>
        </w:rPr>
        <w:t>5-1</w:t>
      </w:r>
      <w:r>
        <w:rPr>
          <w:rFonts w:ascii="宋体" w:hAnsi="Calibri" w:cs="宋体" w:hint="eastAsia"/>
          <w:b/>
          <w:kern w:val="0"/>
          <w:szCs w:val="21"/>
        </w:rPr>
        <w:t>警示牌设计图</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1003" w:name="_Toc70589890"/>
      <w:bookmarkStart w:id="1004" w:name="_Toc153130791"/>
      <w:r>
        <w:rPr>
          <w:rFonts w:eastAsia="黑体" w:hint="eastAsia"/>
          <w:b/>
          <w:bCs/>
          <w:sz w:val="28"/>
          <w:szCs w:val="30"/>
        </w:rPr>
        <w:t>三、矿区土地复垦</w:t>
      </w:r>
      <w:bookmarkEnd w:id="1003"/>
      <w:bookmarkEnd w:id="1004"/>
    </w:p>
    <w:p w:rsidR="009C5C1F" w:rsidRDefault="004D2E0D">
      <w:pPr>
        <w:keepNext/>
        <w:keepLines/>
        <w:suppressAutoHyphens/>
        <w:wordWrap w:val="0"/>
        <w:topLinePunct/>
        <w:spacing w:line="360" w:lineRule="auto"/>
        <w:ind w:firstLineChars="200" w:firstLine="482"/>
        <w:outlineLvl w:val="2"/>
        <w:rPr>
          <w:b/>
          <w:sz w:val="24"/>
          <w:szCs w:val="28"/>
        </w:rPr>
      </w:pPr>
      <w:bookmarkStart w:id="1005" w:name="_Toc70589891"/>
      <w:r>
        <w:rPr>
          <w:b/>
          <w:sz w:val="24"/>
          <w:szCs w:val="28"/>
        </w:rPr>
        <w:t>(</w:t>
      </w:r>
      <w:proofErr w:type="gramStart"/>
      <w:r>
        <w:rPr>
          <w:rFonts w:hint="eastAsia"/>
          <w:b/>
          <w:sz w:val="24"/>
          <w:szCs w:val="28"/>
        </w:rPr>
        <w:t>一</w:t>
      </w:r>
      <w:proofErr w:type="gramEnd"/>
      <w:r>
        <w:rPr>
          <w:b/>
          <w:sz w:val="24"/>
          <w:szCs w:val="28"/>
        </w:rPr>
        <w:t>)</w:t>
      </w:r>
      <w:r>
        <w:rPr>
          <w:rFonts w:hint="eastAsia"/>
          <w:b/>
          <w:sz w:val="24"/>
          <w:szCs w:val="28"/>
        </w:rPr>
        <w:t>目标任务</w:t>
      </w:r>
      <w:bookmarkEnd w:id="1005"/>
    </w:p>
    <w:p w:rsidR="009C5C1F" w:rsidRDefault="004D2E0D">
      <w:pPr>
        <w:suppressAutoHyphens/>
        <w:wordWrap w:val="0"/>
        <w:topLinePunct/>
        <w:spacing w:line="480" w:lineRule="atLeast"/>
        <w:ind w:firstLineChars="200" w:firstLine="480"/>
        <w:rPr>
          <w:sz w:val="24"/>
        </w:rPr>
      </w:pPr>
      <w:r>
        <w:rPr>
          <w:rFonts w:hint="eastAsia"/>
          <w:sz w:val="24"/>
        </w:rPr>
        <w:t>对生产建设活动损毁的土地，采取整治措施，使其达到可供利用的状态。按照“谁损毁、谁复垦”的原则，通过编制土地复垦方案，将生产单位的土地复垦目标、任务、措施和计划等落到实处，为土地复垦的实施管理、监督检查以及土地复垦费征收等提供依据。本方案包含矿山在生产期间土地损毁状况的预测、土地复垦方案设计等。各项工作的内容和要求如下：</w:t>
      </w:r>
    </w:p>
    <w:p w:rsidR="009C5C1F" w:rsidRDefault="004D2E0D">
      <w:pPr>
        <w:suppressAutoHyphens/>
        <w:wordWrap w:val="0"/>
        <w:topLinePunct/>
        <w:spacing w:line="480" w:lineRule="atLeast"/>
        <w:ind w:firstLineChars="200" w:firstLine="480"/>
        <w:rPr>
          <w:rFonts w:ascii="宋体" w:hAnsi="宋体"/>
          <w:sz w:val="24"/>
        </w:rPr>
      </w:pPr>
      <w:r>
        <w:rPr>
          <w:rFonts w:ascii="宋体" w:hAnsi="宋体" w:hint="eastAsia"/>
          <w:sz w:val="24"/>
        </w:rPr>
        <w:lastRenderedPageBreak/>
        <w:t>1</w:t>
      </w:r>
      <w:r>
        <w:rPr>
          <w:rFonts w:ascii="宋体" w:hAnsi="宋体"/>
          <w:sz w:val="24"/>
        </w:rPr>
        <w:t>.</w:t>
      </w:r>
      <w:r>
        <w:rPr>
          <w:rFonts w:ascii="宋体" w:hAnsi="宋体" w:hint="eastAsia"/>
          <w:sz w:val="24"/>
        </w:rPr>
        <w:t>预测本矿在生产期间土地损毁的类型，以及各类土地的损毁范围和损毁程度，量算并统计各类被损毁土地的面积。</w:t>
      </w:r>
    </w:p>
    <w:p w:rsidR="009C5C1F" w:rsidRDefault="004D2E0D">
      <w:pPr>
        <w:suppressAutoHyphens/>
        <w:wordWrap w:val="0"/>
        <w:topLinePunct/>
        <w:spacing w:line="480" w:lineRule="atLeast"/>
        <w:ind w:firstLineChars="200" w:firstLine="480"/>
        <w:rPr>
          <w:rFonts w:ascii="宋体" w:hAnsi="宋体"/>
          <w:sz w:val="24"/>
        </w:rPr>
      </w:pPr>
      <w:r>
        <w:rPr>
          <w:rFonts w:ascii="宋体" w:hAnsi="宋体" w:hint="eastAsia"/>
          <w:sz w:val="24"/>
        </w:rPr>
        <w:t>2</w:t>
      </w:r>
      <w:r>
        <w:rPr>
          <w:rFonts w:ascii="宋体" w:hAnsi="宋体"/>
          <w:sz w:val="24"/>
        </w:rPr>
        <w:t>.</w:t>
      </w:r>
      <w:r>
        <w:rPr>
          <w:rFonts w:ascii="宋体" w:hAnsi="宋体" w:hint="eastAsia"/>
          <w:sz w:val="24"/>
        </w:rPr>
        <w:t>根据预测结果和待复垦土地可行性评价，确定各类被损毁土地的应复垦面积，合理确定复垦后的土地利用方向。并根据各类土地的损毁时间、损毁性质和损毁程度，确定复垦时间和复垦措施等。</w:t>
      </w:r>
    </w:p>
    <w:p w:rsidR="009C5C1F" w:rsidRDefault="004D2E0D">
      <w:pPr>
        <w:suppressAutoHyphens/>
        <w:wordWrap w:val="0"/>
        <w:topLinePunct/>
        <w:spacing w:line="480" w:lineRule="atLeast"/>
        <w:ind w:firstLineChars="200" w:firstLine="480"/>
        <w:rPr>
          <w:rFonts w:ascii="宋体" w:hAnsi="宋体"/>
          <w:sz w:val="24"/>
        </w:rPr>
      </w:pPr>
      <w:r>
        <w:rPr>
          <w:rFonts w:ascii="宋体" w:hAnsi="宋体" w:hint="eastAsia"/>
          <w:sz w:val="24"/>
        </w:rPr>
        <w:t>3</w:t>
      </w:r>
      <w:r>
        <w:rPr>
          <w:rFonts w:ascii="宋体" w:hAnsi="宋体"/>
          <w:sz w:val="24"/>
        </w:rPr>
        <w:t>.</w:t>
      </w:r>
      <w:r>
        <w:rPr>
          <w:rFonts w:ascii="宋体" w:hAnsi="宋体" w:hint="eastAsia"/>
          <w:sz w:val="24"/>
        </w:rPr>
        <w:t>在有关法律、法规和政策的基础上，按照本矿的生产方式、生产安排及有关的行业标准和技术参数确定复垦方案、统计复垦工程量、测算复垦工程的投资概算。把土地复垦与矿山建设工程统一设计，把复垦费用列入矿山生产成本中，使复垦费落到实处。</w:t>
      </w:r>
    </w:p>
    <w:p w:rsidR="009C5C1F" w:rsidRDefault="004D2E0D">
      <w:pPr>
        <w:suppressAutoHyphens/>
        <w:wordWrap w:val="0"/>
        <w:topLinePunct/>
        <w:spacing w:line="480" w:lineRule="atLeast"/>
        <w:ind w:firstLineChars="200" w:firstLine="480"/>
        <w:rPr>
          <w:sz w:val="24"/>
        </w:rPr>
      </w:pPr>
      <w:r>
        <w:rPr>
          <w:sz w:val="24"/>
        </w:rPr>
        <w:t>依据土地适宜性评价结果，项目区损毁</w:t>
      </w:r>
      <w:proofErr w:type="gramStart"/>
      <w:r>
        <w:rPr>
          <w:sz w:val="24"/>
        </w:rPr>
        <w:t>土地类型</w:t>
      </w:r>
      <w:r>
        <w:rPr>
          <w:rFonts w:hint="eastAsia"/>
          <w:sz w:val="24"/>
        </w:rPr>
        <w:t>为裸土地</w:t>
      </w:r>
      <w:proofErr w:type="gramEnd"/>
      <w:r>
        <w:rPr>
          <w:rFonts w:hint="eastAsia"/>
          <w:sz w:val="24"/>
        </w:rPr>
        <w:t>，复垦方向最终</w:t>
      </w:r>
      <w:proofErr w:type="gramStart"/>
      <w:r>
        <w:rPr>
          <w:rFonts w:hint="eastAsia"/>
          <w:sz w:val="24"/>
        </w:rPr>
        <w:t>确定为裸土地</w:t>
      </w:r>
      <w:proofErr w:type="gramEnd"/>
      <w:r>
        <w:rPr>
          <w:sz w:val="24"/>
        </w:rPr>
        <w:t>，</w:t>
      </w:r>
      <w:proofErr w:type="gramStart"/>
      <w:r>
        <w:rPr>
          <w:sz w:val="24"/>
        </w:rPr>
        <w:t>复垦</w:t>
      </w:r>
      <w:r>
        <w:rPr>
          <w:rFonts w:hint="eastAsia"/>
          <w:sz w:val="24"/>
        </w:rPr>
        <w:t>区</w:t>
      </w:r>
      <w:proofErr w:type="gramEnd"/>
      <w:r>
        <w:rPr>
          <w:sz w:val="24"/>
        </w:rPr>
        <w:t>面积</w:t>
      </w:r>
      <w:r>
        <w:rPr>
          <w:rFonts w:hAnsi="宋体"/>
          <w:szCs w:val="21"/>
        </w:rPr>
        <w:t>3.098</w:t>
      </w:r>
      <w:r>
        <w:rPr>
          <w:sz w:val="24"/>
        </w:rPr>
        <w:t>hm</w:t>
      </w:r>
      <w:r>
        <w:rPr>
          <w:sz w:val="24"/>
          <w:vertAlign w:val="superscript"/>
        </w:rPr>
        <w:t>2</w:t>
      </w:r>
      <w:r>
        <w:rPr>
          <w:sz w:val="24"/>
        </w:rPr>
        <w:t>，复垦责任范围</w:t>
      </w:r>
      <w:r>
        <w:rPr>
          <w:rFonts w:hAnsi="宋体"/>
          <w:szCs w:val="21"/>
        </w:rPr>
        <w:t>3.098</w:t>
      </w:r>
      <w:r>
        <w:rPr>
          <w:sz w:val="24"/>
        </w:rPr>
        <w:t>hm</w:t>
      </w:r>
      <w:r>
        <w:rPr>
          <w:sz w:val="24"/>
          <w:vertAlign w:val="superscript"/>
        </w:rPr>
        <w:t>2</w:t>
      </w:r>
      <w:r>
        <w:rPr>
          <w:sz w:val="24"/>
        </w:rPr>
        <w:t>，复垦率</w:t>
      </w:r>
      <w:r>
        <w:rPr>
          <w:sz w:val="24"/>
        </w:rPr>
        <w:t>100%</w:t>
      </w:r>
      <w:r>
        <w:rPr>
          <w:sz w:val="24"/>
        </w:rPr>
        <w:t>。复垦前后土地利用结构变化见</w:t>
      </w:r>
      <w:r>
        <w:rPr>
          <w:rFonts w:hint="eastAsia"/>
          <w:sz w:val="24"/>
        </w:rPr>
        <w:t>下</w:t>
      </w:r>
      <w:r>
        <w:rPr>
          <w:sz w:val="24"/>
        </w:rPr>
        <w:t>表</w:t>
      </w:r>
      <w:r>
        <w:rPr>
          <w:rFonts w:hint="eastAsia"/>
          <w:sz w:val="24"/>
        </w:rPr>
        <w:t>5-2</w:t>
      </w:r>
      <w:r>
        <w:rPr>
          <w:sz w:val="24"/>
        </w:rPr>
        <w:t>。</w:t>
      </w:r>
    </w:p>
    <w:tbl>
      <w:tblPr>
        <w:tblW w:w="549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51"/>
        <w:gridCol w:w="1417"/>
        <w:gridCol w:w="713"/>
        <w:gridCol w:w="1575"/>
        <w:gridCol w:w="1573"/>
        <w:gridCol w:w="1671"/>
        <w:gridCol w:w="725"/>
        <w:gridCol w:w="1693"/>
      </w:tblGrid>
      <w:tr w:rsidR="009C5C1F">
        <w:trPr>
          <w:trHeight w:hRule="exact" w:val="858"/>
          <w:jc w:val="center"/>
        </w:trPr>
        <w:tc>
          <w:tcPr>
            <w:tcW w:w="5000" w:type="pct"/>
            <w:gridSpan w:val="8"/>
            <w:tcBorders>
              <w:top w:val="nil"/>
              <w:left w:val="nil"/>
              <w:bottom w:val="single" w:sz="4" w:space="0" w:color="000000"/>
              <w:right w:val="nil"/>
            </w:tcBorders>
            <w:vAlign w:val="center"/>
          </w:tcPr>
          <w:p w:rsidR="009C5C1F" w:rsidRDefault="004D2E0D">
            <w:pPr>
              <w:topLinePunct/>
              <w:jc w:val="center"/>
              <w:rPr>
                <w:b/>
                <w:bCs/>
                <w:iCs/>
                <w:kern w:val="0"/>
                <w:sz w:val="24"/>
                <w:shd w:val="clear" w:color="auto" w:fill="FFFFFF"/>
              </w:rPr>
            </w:pPr>
            <w:r>
              <w:rPr>
                <w:rFonts w:hint="eastAsia"/>
                <w:b/>
                <w:bCs/>
                <w:iCs/>
                <w:kern w:val="0"/>
                <w:sz w:val="24"/>
                <w:shd w:val="clear" w:color="auto" w:fill="FFFFFF"/>
              </w:rPr>
              <w:t>表</w:t>
            </w:r>
            <w:r>
              <w:rPr>
                <w:rFonts w:hint="eastAsia"/>
                <w:b/>
                <w:bCs/>
                <w:iCs/>
                <w:kern w:val="0"/>
                <w:sz w:val="24"/>
                <w:shd w:val="clear" w:color="auto" w:fill="FFFFFF"/>
              </w:rPr>
              <w:t>5</w:t>
            </w:r>
            <w:r>
              <w:rPr>
                <w:rFonts w:hint="eastAsia"/>
                <w:b/>
                <w:bCs/>
                <w:iCs/>
                <w:kern w:val="0"/>
                <w:sz w:val="24"/>
                <w:shd w:val="clear" w:color="auto" w:fill="FFFFFF"/>
              </w:rPr>
              <w:t>—</w:t>
            </w:r>
            <w:r>
              <w:rPr>
                <w:rFonts w:hint="eastAsia"/>
                <w:b/>
                <w:bCs/>
                <w:iCs/>
                <w:kern w:val="0"/>
                <w:sz w:val="24"/>
                <w:shd w:val="clear" w:color="auto" w:fill="FFFFFF"/>
              </w:rPr>
              <w:t>2</w:t>
            </w:r>
            <w:r>
              <w:rPr>
                <w:b/>
                <w:bCs/>
                <w:iCs/>
                <w:kern w:val="0"/>
                <w:sz w:val="24"/>
                <w:shd w:val="clear" w:color="auto" w:fill="FFFFFF"/>
              </w:rPr>
              <w:t xml:space="preserve">        </w:t>
            </w:r>
            <w:r>
              <w:rPr>
                <w:b/>
                <w:bCs/>
                <w:iCs/>
                <w:kern w:val="0"/>
                <w:sz w:val="24"/>
                <w:shd w:val="clear" w:color="auto" w:fill="FFFFFF"/>
              </w:rPr>
              <w:t>复垦前后土地利用结构调整表</w:t>
            </w:r>
          </w:p>
        </w:tc>
      </w:tr>
      <w:tr w:rsidR="009C5C1F">
        <w:trPr>
          <w:trHeight w:val="508"/>
          <w:jc w:val="center"/>
        </w:trPr>
        <w:tc>
          <w:tcPr>
            <w:tcW w:w="1032" w:type="pct"/>
            <w:gridSpan w:val="2"/>
            <w:vMerge w:val="restar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iCs/>
                <w:kern w:val="0"/>
                <w:sz w:val="24"/>
                <w:shd w:val="clear" w:color="auto" w:fill="FFFFFF"/>
              </w:rPr>
              <w:t>一级地类</w:t>
            </w:r>
          </w:p>
        </w:tc>
        <w:tc>
          <w:tcPr>
            <w:tcW w:w="1142" w:type="pct"/>
            <w:gridSpan w:val="2"/>
            <w:vMerge w:val="restar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iCs/>
                <w:kern w:val="0"/>
                <w:sz w:val="24"/>
                <w:shd w:val="clear" w:color="auto" w:fill="FFFFFF"/>
              </w:rPr>
              <w:t>二级地类</w:t>
            </w:r>
          </w:p>
        </w:tc>
        <w:tc>
          <w:tcPr>
            <w:tcW w:w="1618" w:type="pct"/>
            <w:gridSpan w:val="2"/>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iCs/>
                <w:kern w:val="0"/>
                <w:sz w:val="24"/>
                <w:shd w:val="clear" w:color="auto" w:fill="FFFFFF"/>
              </w:rPr>
              <w:t>面积（</w:t>
            </w:r>
            <w:r>
              <w:rPr>
                <w:iCs/>
                <w:kern w:val="0"/>
                <w:sz w:val="24"/>
                <w:shd w:val="clear" w:color="auto" w:fill="FFFFFF"/>
              </w:rPr>
              <w:t>hm</w:t>
            </w:r>
            <w:r>
              <w:rPr>
                <w:iCs/>
                <w:kern w:val="0"/>
                <w:sz w:val="24"/>
                <w:shd w:val="clear" w:color="auto" w:fill="FFFFFF"/>
                <w:vertAlign w:val="superscript"/>
              </w:rPr>
              <w:t>2</w:t>
            </w:r>
            <w:r>
              <w:rPr>
                <w:iCs/>
                <w:kern w:val="0"/>
                <w:sz w:val="24"/>
                <w:shd w:val="clear" w:color="auto" w:fill="FFFFFF"/>
              </w:rPr>
              <w:t>）</w:t>
            </w:r>
          </w:p>
        </w:tc>
        <w:tc>
          <w:tcPr>
            <w:tcW w:w="362" w:type="pct"/>
            <w:vMerge w:val="restar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iCs/>
                <w:kern w:val="0"/>
                <w:sz w:val="24"/>
                <w:shd w:val="clear" w:color="auto" w:fill="FFFFFF"/>
              </w:rPr>
              <w:t>变幅（</w:t>
            </w:r>
            <w:r>
              <w:rPr>
                <w:iCs/>
                <w:kern w:val="0"/>
                <w:sz w:val="24"/>
                <w:shd w:val="clear" w:color="auto" w:fill="FFFFFF"/>
              </w:rPr>
              <w:t>±</w:t>
            </w:r>
            <w:r>
              <w:rPr>
                <w:iCs/>
                <w:kern w:val="0"/>
                <w:sz w:val="24"/>
                <w:shd w:val="clear" w:color="auto" w:fill="FFFFFF"/>
              </w:rPr>
              <w:t>）</w:t>
            </w:r>
          </w:p>
        </w:tc>
        <w:tc>
          <w:tcPr>
            <w:tcW w:w="846" w:type="pct"/>
            <w:vMerge w:val="restart"/>
            <w:tcBorders>
              <w:top w:val="single" w:sz="4" w:space="0" w:color="000000"/>
            </w:tcBorders>
            <w:vAlign w:val="center"/>
          </w:tcPr>
          <w:p w:rsidR="009C5C1F" w:rsidRDefault="004D2E0D">
            <w:pPr>
              <w:topLinePunct/>
              <w:jc w:val="center"/>
              <w:rPr>
                <w:iCs/>
                <w:kern w:val="0"/>
                <w:sz w:val="24"/>
                <w:shd w:val="clear" w:color="auto" w:fill="FFFFFF"/>
              </w:rPr>
            </w:pPr>
            <w:r>
              <w:rPr>
                <w:iCs/>
                <w:kern w:val="0"/>
                <w:sz w:val="24"/>
                <w:shd w:val="clear" w:color="auto" w:fill="FFFFFF"/>
              </w:rPr>
              <w:t>复垦</w:t>
            </w:r>
          </w:p>
          <w:p w:rsidR="009C5C1F" w:rsidRDefault="004D2E0D">
            <w:pPr>
              <w:topLinePunct/>
              <w:jc w:val="center"/>
              <w:rPr>
                <w:iCs/>
                <w:kern w:val="0"/>
                <w:sz w:val="24"/>
                <w:shd w:val="clear" w:color="auto" w:fill="FFFFFF"/>
              </w:rPr>
            </w:pPr>
            <w:r>
              <w:rPr>
                <w:iCs/>
                <w:kern w:val="0"/>
                <w:sz w:val="24"/>
                <w:shd w:val="clear" w:color="auto" w:fill="FFFFFF"/>
              </w:rPr>
              <w:t>方向</w:t>
            </w:r>
          </w:p>
        </w:tc>
      </w:tr>
      <w:tr w:rsidR="009C5C1F">
        <w:trPr>
          <w:trHeight w:val="508"/>
          <w:jc w:val="center"/>
        </w:trPr>
        <w:tc>
          <w:tcPr>
            <w:tcW w:w="1032" w:type="pct"/>
            <w:gridSpan w:val="2"/>
            <w:vMerge/>
            <w:tcBorders>
              <w:top w:val="single" w:sz="4" w:space="0" w:color="000000"/>
              <w:bottom w:val="single" w:sz="4" w:space="0" w:color="000000"/>
            </w:tcBorders>
            <w:vAlign w:val="center"/>
          </w:tcPr>
          <w:p w:rsidR="009C5C1F" w:rsidRDefault="009C5C1F">
            <w:pPr>
              <w:topLinePunct/>
              <w:jc w:val="center"/>
              <w:rPr>
                <w:iCs/>
                <w:kern w:val="0"/>
                <w:sz w:val="24"/>
                <w:shd w:val="clear" w:color="auto" w:fill="FFFFFF"/>
              </w:rPr>
            </w:pPr>
          </w:p>
        </w:tc>
        <w:tc>
          <w:tcPr>
            <w:tcW w:w="1142" w:type="pct"/>
            <w:gridSpan w:val="2"/>
            <w:vMerge/>
            <w:tcBorders>
              <w:top w:val="single" w:sz="4" w:space="0" w:color="000000"/>
              <w:bottom w:val="single" w:sz="4" w:space="0" w:color="000000"/>
            </w:tcBorders>
            <w:vAlign w:val="center"/>
          </w:tcPr>
          <w:p w:rsidR="009C5C1F" w:rsidRDefault="009C5C1F">
            <w:pPr>
              <w:topLinePunct/>
              <w:jc w:val="center"/>
              <w:rPr>
                <w:iCs/>
                <w:kern w:val="0"/>
                <w:sz w:val="24"/>
                <w:shd w:val="clear" w:color="auto" w:fill="FFFFFF"/>
              </w:rPr>
            </w:pPr>
          </w:p>
        </w:tc>
        <w:tc>
          <w:tcPr>
            <w:tcW w:w="785" w:type="pc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iCs/>
                <w:kern w:val="0"/>
                <w:sz w:val="24"/>
                <w:shd w:val="clear" w:color="auto" w:fill="FFFFFF"/>
              </w:rPr>
              <w:t>复垦前</w:t>
            </w:r>
          </w:p>
        </w:tc>
        <w:tc>
          <w:tcPr>
            <w:tcW w:w="834" w:type="pc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iCs/>
                <w:kern w:val="0"/>
                <w:sz w:val="24"/>
                <w:shd w:val="clear" w:color="auto" w:fill="FFFFFF"/>
              </w:rPr>
              <w:t>复垦后</w:t>
            </w:r>
          </w:p>
        </w:tc>
        <w:tc>
          <w:tcPr>
            <w:tcW w:w="362" w:type="pct"/>
            <w:vMerge/>
            <w:tcBorders>
              <w:top w:val="single" w:sz="4" w:space="0" w:color="000000"/>
              <w:bottom w:val="single" w:sz="4" w:space="0" w:color="000000"/>
            </w:tcBorders>
            <w:vAlign w:val="center"/>
          </w:tcPr>
          <w:p w:rsidR="009C5C1F" w:rsidRDefault="009C5C1F">
            <w:pPr>
              <w:topLinePunct/>
              <w:jc w:val="center"/>
              <w:rPr>
                <w:iCs/>
                <w:kern w:val="0"/>
                <w:sz w:val="24"/>
                <w:shd w:val="clear" w:color="auto" w:fill="FFFFFF"/>
              </w:rPr>
            </w:pPr>
          </w:p>
        </w:tc>
        <w:tc>
          <w:tcPr>
            <w:tcW w:w="846" w:type="pct"/>
            <w:vMerge/>
            <w:tcBorders>
              <w:bottom w:val="single" w:sz="4" w:space="0" w:color="000000"/>
            </w:tcBorders>
            <w:vAlign w:val="center"/>
          </w:tcPr>
          <w:p w:rsidR="009C5C1F" w:rsidRDefault="009C5C1F">
            <w:pPr>
              <w:topLinePunct/>
              <w:jc w:val="center"/>
              <w:rPr>
                <w:iCs/>
                <w:kern w:val="0"/>
                <w:sz w:val="24"/>
                <w:shd w:val="clear" w:color="auto" w:fill="FFFFFF"/>
              </w:rPr>
            </w:pPr>
          </w:p>
        </w:tc>
      </w:tr>
      <w:tr w:rsidR="009C5C1F">
        <w:trPr>
          <w:trHeight w:hRule="exact" w:val="547"/>
          <w:jc w:val="center"/>
        </w:trPr>
        <w:tc>
          <w:tcPr>
            <w:tcW w:w="325" w:type="pc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rFonts w:hint="eastAsia"/>
                <w:iCs/>
                <w:kern w:val="0"/>
                <w:sz w:val="24"/>
                <w:shd w:val="clear" w:color="auto" w:fill="FFFFFF"/>
              </w:rPr>
              <w:t>1</w:t>
            </w:r>
            <w:r>
              <w:rPr>
                <w:iCs/>
                <w:kern w:val="0"/>
                <w:sz w:val="24"/>
                <w:shd w:val="clear" w:color="auto" w:fill="FFFFFF"/>
              </w:rPr>
              <w:t>2</w:t>
            </w:r>
          </w:p>
        </w:tc>
        <w:tc>
          <w:tcPr>
            <w:tcW w:w="707" w:type="pc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rFonts w:hint="eastAsia"/>
                <w:iCs/>
                <w:kern w:val="0"/>
                <w:sz w:val="24"/>
                <w:shd w:val="clear" w:color="auto" w:fill="FFFFFF"/>
              </w:rPr>
              <w:t>其他土地</w:t>
            </w:r>
          </w:p>
        </w:tc>
        <w:tc>
          <w:tcPr>
            <w:tcW w:w="356" w:type="pc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rFonts w:hint="eastAsia"/>
                <w:iCs/>
                <w:kern w:val="0"/>
                <w:sz w:val="24"/>
                <w:shd w:val="clear" w:color="auto" w:fill="FFFFFF"/>
              </w:rPr>
              <w:t>1</w:t>
            </w:r>
            <w:r>
              <w:rPr>
                <w:iCs/>
                <w:kern w:val="0"/>
                <w:sz w:val="24"/>
                <w:shd w:val="clear" w:color="auto" w:fill="FFFFFF"/>
              </w:rPr>
              <w:t>206</w:t>
            </w:r>
          </w:p>
        </w:tc>
        <w:tc>
          <w:tcPr>
            <w:tcW w:w="786" w:type="pc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proofErr w:type="gramStart"/>
            <w:r>
              <w:rPr>
                <w:rFonts w:hint="eastAsia"/>
                <w:iCs/>
                <w:kern w:val="0"/>
                <w:sz w:val="24"/>
                <w:shd w:val="clear" w:color="auto" w:fill="FFFFFF"/>
              </w:rPr>
              <w:t>裸</w:t>
            </w:r>
            <w:proofErr w:type="gramEnd"/>
            <w:r>
              <w:rPr>
                <w:rFonts w:hint="eastAsia"/>
                <w:iCs/>
                <w:kern w:val="0"/>
                <w:sz w:val="24"/>
                <w:shd w:val="clear" w:color="auto" w:fill="FFFFFF"/>
              </w:rPr>
              <w:t>土</w:t>
            </w:r>
            <w:r>
              <w:rPr>
                <w:iCs/>
                <w:kern w:val="0"/>
                <w:sz w:val="24"/>
                <w:shd w:val="clear" w:color="auto" w:fill="FFFFFF"/>
              </w:rPr>
              <w:t>地</w:t>
            </w:r>
          </w:p>
        </w:tc>
        <w:tc>
          <w:tcPr>
            <w:tcW w:w="785" w:type="pc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rFonts w:hAnsi="宋体"/>
                <w:szCs w:val="21"/>
              </w:rPr>
              <w:t>3.098</w:t>
            </w:r>
          </w:p>
        </w:tc>
        <w:tc>
          <w:tcPr>
            <w:tcW w:w="834" w:type="pc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rFonts w:hAnsi="宋体"/>
                <w:szCs w:val="21"/>
              </w:rPr>
              <w:t>3.098</w:t>
            </w:r>
          </w:p>
        </w:tc>
        <w:tc>
          <w:tcPr>
            <w:tcW w:w="362" w:type="pct"/>
            <w:tcBorders>
              <w:top w:val="single" w:sz="4" w:space="0" w:color="000000"/>
              <w:bottom w:val="single" w:sz="4" w:space="0" w:color="000000"/>
            </w:tcBorders>
            <w:vAlign w:val="center"/>
          </w:tcPr>
          <w:p w:rsidR="009C5C1F" w:rsidRDefault="004D2E0D">
            <w:pPr>
              <w:topLinePunct/>
              <w:jc w:val="center"/>
              <w:rPr>
                <w:iCs/>
                <w:kern w:val="0"/>
                <w:sz w:val="24"/>
                <w:shd w:val="clear" w:color="auto" w:fill="FFFFFF"/>
              </w:rPr>
            </w:pPr>
            <w:r>
              <w:rPr>
                <w:rFonts w:hint="eastAsia"/>
                <w:iCs/>
                <w:kern w:val="0"/>
                <w:sz w:val="24"/>
                <w:shd w:val="clear" w:color="auto" w:fill="FFFFFF"/>
              </w:rPr>
              <w:t>0</w:t>
            </w:r>
          </w:p>
        </w:tc>
        <w:tc>
          <w:tcPr>
            <w:tcW w:w="846" w:type="pct"/>
            <w:tcBorders>
              <w:top w:val="single" w:sz="4" w:space="0" w:color="000000"/>
              <w:bottom w:val="single" w:sz="4" w:space="0" w:color="auto"/>
            </w:tcBorders>
            <w:vAlign w:val="center"/>
          </w:tcPr>
          <w:p w:rsidR="009C5C1F" w:rsidRDefault="004D2E0D">
            <w:pPr>
              <w:topLinePunct/>
              <w:jc w:val="center"/>
              <w:rPr>
                <w:iCs/>
                <w:kern w:val="0"/>
                <w:sz w:val="24"/>
                <w:shd w:val="clear" w:color="auto" w:fill="FFFFFF"/>
              </w:rPr>
            </w:pPr>
            <w:proofErr w:type="gramStart"/>
            <w:r>
              <w:rPr>
                <w:rFonts w:hint="eastAsia"/>
                <w:iCs/>
                <w:kern w:val="0"/>
                <w:sz w:val="24"/>
                <w:shd w:val="clear" w:color="auto" w:fill="FFFFFF"/>
              </w:rPr>
              <w:t>裸</w:t>
            </w:r>
            <w:proofErr w:type="gramEnd"/>
            <w:r>
              <w:rPr>
                <w:rFonts w:hint="eastAsia"/>
                <w:iCs/>
                <w:kern w:val="0"/>
                <w:sz w:val="24"/>
                <w:shd w:val="clear" w:color="auto" w:fill="FFFFFF"/>
              </w:rPr>
              <w:t>土地</w:t>
            </w:r>
          </w:p>
        </w:tc>
      </w:tr>
      <w:tr w:rsidR="009C5C1F">
        <w:trPr>
          <w:trHeight w:val="524"/>
          <w:jc w:val="center"/>
        </w:trPr>
        <w:tc>
          <w:tcPr>
            <w:tcW w:w="2174" w:type="pct"/>
            <w:gridSpan w:val="4"/>
            <w:tcBorders>
              <w:top w:val="single" w:sz="4" w:space="0" w:color="000000"/>
            </w:tcBorders>
            <w:vAlign w:val="center"/>
          </w:tcPr>
          <w:p w:rsidR="009C5C1F" w:rsidRDefault="004D2E0D">
            <w:pPr>
              <w:topLinePunct/>
              <w:jc w:val="center"/>
              <w:rPr>
                <w:iCs/>
                <w:kern w:val="0"/>
                <w:sz w:val="24"/>
                <w:shd w:val="clear" w:color="auto" w:fill="FFFFFF"/>
              </w:rPr>
            </w:pPr>
            <w:r>
              <w:rPr>
                <w:iCs/>
                <w:kern w:val="0"/>
                <w:sz w:val="24"/>
                <w:shd w:val="clear" w:color="auto" w:fill="FFFFFF"/>
              </w:rPr>
              <w:t>合计</w:t>
            </w:r>
          </w:p>
        </w:tc>
        <w:tc>
          <w:tcPr>
            <w:tcW w:w="785" w:type="pct"/>
            <w:tcBorders>
              <w:top w:val="single" w:sz="4" w:space="0" w:color="000000"/>
            </w:tcBorders>
            <w:vAlign w:val="center"/>
          </w:tcPr>
          <w:p w:rsidR="009C5C1F" w:rsidRDefault="004D2E0D">
            <w:pPr>
              <w:topLinePunct/>
              <w:jc w:val="center"/>
              <w:rPr>
                <w:iCs/>
                <w:kern w:val="0"/>
                <w:sz w:val="24"/>
                <w:shd w:val="clear" w:color="auto" w:fill="FFFFFF"/>
              </w:rPr>
            </w:pPr>
            <w:r>
              <w:rPr>
                <w:rFonts w:hAnsi="宋体"/>
                <w:szCs w:val="21"/>
              </w:rPr>
              <w:t>3.098</w:t>
            </w:r>
          </w:p>
        </w:tc>
        <w:tc>
          <w:tcPr>
            <w:tcW w:w="834" w:type="pct"/>
            <w:tcBorders>
              <w:top w:val="single" w:sz="4" w:space="0" w:color="000000"/>
            </w:tcBorders>
            <w:vAlign w:val="center"/>
          </w:tcPr>
          <w:p w:rsidR="009C5C1F" w:rsidRDefault="004D2E0D">
            <w:pPr>
              <w:topLinePunct/>
              <w:jc w:val="center"/>
              <w:rPr>
                <w:iCs/>
                <w:kern w:val="0"/>
                <w:sz w:val="24"/>
                <w:shd w:val="clear" w:color="auto" w:fill="FFFFFF"/>
              </w:rPr>
            </w:pPr>
            <w:r>
              <w:rPr>
                <w:rFonts w:hAnsi="宋体"/>
                <w:szCs w:val="21"/>
              </w:rPr>
              <w:t>3.098</w:t>
            </w:r>
          </w:p>
        </w:tc>
        <w:tc>
          <w:tcPr>
            <w:tcW w:w="362" w:type="pct"/>
            <w:tcBorders>
              <w:top w:val="single" w:sz="4" w:space="0" w:color="000000"/>
            </w:tcBorders>
            <w:vAlign w:val="center"/>
          </w:tcPr>
          <w:p w:rsidR="009C5C1F" w:rsidRDefault="004D2E0D">
            <w:pPr>
              <w:topLinePunct/>
              <w:jc w:val="center"/>
              <w:rPr>
                <w:iCs/>
                <w:kern w:val="0"/>
                <w:sz w:val="24"/>
                <w:shd w:val="clear" w:color="auto" w:fill="FFFFFF"/>
              </w:rPr>
            </w:pPr>
            <w:r>
              <w:rPr>
                <w:rFonts w:hint="eastAsia"/>
                <w:iCs/>
                <w:kern w:val="0"/>
                <w:sz w:val="24"/>
                <w:shd w:val="clear" w:color="auto" w:fill="FFFFFF"/>
              </w:rPr>
              <w:t>0</w:t>
            </w:r>
          </w:p>
        </w:tc>
        <w:tc>
          <w:tcPr>
            <w:tcW w:w="846" w:type="pct"/>
            <w:tcBorders>
              <w:top w:val="single" w:sz="4" w:space="0" w:color="000000"/>
            </w:tcBorders>
            <w:vAlign w:val="center"/>
          </w:tcPr>
          <w:p w:rsidR="009C5C1F" w:rsidRDefault="004D2E0D">
            <w:pPr>
              <w:topLinePunct/>
              <w:jc w:val="center"/>
              <w:rPr>
                <w:iCs/>
                <w:kern w:val="0"/>
                <w:sz w:val="24"/>
                <w:shd w:val="clear" w:color="auto" w:fill="FFFFFF"/>
              </w:rPr>
            </w:pPr>
            <w:r>
              <w:rPr>
                <w:iCs/>
                <w:kern w:val="0"/>
                <w:sz w:val="24"/>
                <w:shd w:val="clear" w:color="auto" w:fill="FFFFFF"/>
              </w:rPr>
              <w:t>/</w:t>
            </w:r>
          </w:p>
        </w:tc>
      </w:tr>
    </w:tbl>
    <w:p w:rsidR="009C5C1F" w:rsidRDefault="009C5C1F">
      <w:pPr>
        <w:pStyle w:val="a0"/>
        <w:ind w:firstLine="210"/>
      </w:pPr>
    </w:p>
    <w:p w:rsidR="009C5C1F" w:rsidRDefault="004D2E0D">
      <w:pPr>
        <w:keepNext/>
        <w:keepLines/>
        <w:suppressAutoHyphens/>
        <w:wordWrap w:val="0"/>
        <w:topLinePunct/>
        <w:spacing w:line="360" w:lineRule="auto"/>
        <w:ind w:firstLineChars="200" w:firstLine="482"/>
        <w:outlineLvl w:val="2"/>
        <w:rPr>
          <w:b/>
          <w:sz w:val="24"/>
          <w:szCs w:val="28"/>
        </w:rPr>
      </w:pPr>
      <w:bookmarkStart w:id="1006" w:name="_Toc70589892"/>
      <w:r>
        <w:rPr>
          <w:rFonts w:hint="eastAsia"/>
          <w:b/>
          <w:sz w:val="24"/>
          <w:szCs w:val="28"/>
        </w:rPr>
        <w:t>（二）工程设计</w:t>
      </w:r>
      <w:bookmarkEnd w:id="1006"/>
    </w:p>
    <w:p w:rsidR="009C5C1F" w:rsidRDefault="004D2E0D">
      <w:pPr>
        <w:suppressAutoHyphens/>
        <w:wordWrap w:val="0"/>
        <w:topLinePunct/>
        <w:spacing w:line="480" w:lineRule="atLeast"/>
        <w:ind w:firstLineChars="200" w:firstLine="480"/>
        <w:rPr>
          <w:sz w:val="24"/>
        </w:rPr>
      </w:pPr>
      <w:r>
        <w:rPr>
          <w:rFonts w:hint="eastAsia"/>
          <w:sz w:val="24"/>
        </w:rPr>
        <w:t>本次复垦的临时用地主要包括采场、堆料场、生产区，损毁土地总面积</w:t>
      </w:r>
      <w:r>
        <w:rPr>
          <w:rFonts w:hAnsi="宋体"/>
          <w:szCs w:val="21"/>
        </w:rPr>
        <w:t>3.098</w:t>
      </w:r>
      <w:r>
        <w:rPr>
          <w:rFonts w:hint="eastAsia"/>
          <w:sz w:val="24"/>
        </w:rPr>
        <w:t>公顷，损毁地</w:t>
      </w:r>
      <w:proofErr w:type="gramStart"/>
      <w:r>
        <w:rPr>
          <w:rFonts w:hint="eastAsia"/>
          <w:sz w:val="24"/>
        </w:rPr>
        <w:t>类为裸土地</w:t>
      </w:r>
      <w:proofErr w:type="gramEnd"/>
      <w:r>
        <w:rPr>
          <w:rFonts w:hint="eastAsia"/>
          <w:sz w:val="24"/>
        </w:rPr>
        <w:t>，复垦</w:t>
      </w:r>
      <w:proofErr w:type="gramStart"/>
      <w:r>
        <w:rPr>
          <w:rFonts w:hint="eastAsia"/>
          <w:sz w:val="24"/>
        </w:rPr>
        <w:t>方向为裸土地</w:t>
      </w:r>
      <w:proofErr w:type="gramEnd"/>
      <w:r>
        <w:rPr>
          <w:rFonts w:hint="eastAsia"/>
          <w:sz w:val="24"/>
        </w:rPr>
        <w:t>。复垦措施主要包括建筑物的拆除，回填、平整、压实。</w:t>
      </w:r>
    </w:p>
    <w:p w:rsidR="009C5C1F" w:rsidRDefault="004D2E0D">
      <w:pPr>
        <w:suppressAutoHyphens/>
        <w:wordWrap w:val="0"/>
        <w:topLinePunct/>
        <w:spacing w:line="480" w:lineRule="atLeast"/>
        <w:ind w:firstLineChars="200" w:firstLine="480"/>
        <w:rPr>
          <w:sz w:val="24"/>
        </w:rPr>
      </w:pPr>
      <w:r>
        <w:rPr>
          <w:sz w:val="24"/>
        </w:rPr>
        <w:t>1.</w:t>
      </w:r>
      <w:r>
        <w:rPr>
          <w:rFonts w:hint="eastAsia"/>
          <w:sz w:val="24"/>
        </w:rPr>
        <w:t>土方工程</w:t>
      </w:r>
    </w:p>
    <w:p w:rsidR="009C5C1F" w:rsidRDefault="004D2E0D">
      <w:pPr>
        <w:suppressAutoHyphens/>
        <w:wordWrap w:val="0"/>
        <w:topLinePunct/>
        <w:spacing w:line="480" w:lineRule="atLeast"/>
        <w:ind w:firstLineChars="200" w:firstLine="480"/>
        <w:rPr>
          <w:sz w:val="24"/>
        </w:rPr>
      </w:pPr>
      <w:r>
        <w:rPr>
          <w:sz w:val="24"/>
        </w:rPr>
        <w:fldChar w:fldCharType="begin"/>
      </w:r>
      <w:r>
        <w:rPr>
          <w:sz w:val="24"/>
        </w:rPr>
        <w:instrText xml:space="preserve"> </w:instrText>
      </w:r>
      <w:r>
        <w:rPr>
          <w:rFonts w:hint="eastAsia"/>
          <w:sz w:val="24"/>
        </w:rPr>
        <w:instrText>= 1 \* GB2</w:instrText>
      </w:r>
      <w:r>
        <w:rPr>
          <w:sz w:val="24"/>
        </w:rPr>
        <w:instrText xml:space="preserve"> </w:instrText>
      </w:r>
      <w:r>
        <w:rPr>
          <w:sz w:val="24"/>
        </w:rPr>
        <w:fldChar w:fldCharType="separate"/>
      </w:r>
      <w:r>
        <w:rPr>
          <w:rFonts w:hint="eastAsia"/>
          <w:sz w:val="24"/>
        </w:rPr>
        <w:t>⑴</w:t>
      </w:r>
      <w:r>
        <w:rPr>
          <w:sz w:val="24"/>
        </w:rPr>
        <w:fldChar w:fldCharType="end"/>
      </w:r>
      <w:r>
        <w:rPr>
          <w:rFonts w:hint="eastAsia"/>
          <w:sz w:val="24"/>
        </w:rPr>
        <w:t>回填：矿山开采结束后，</w:t>
      </w:r>
      <w:proofErr w:type="gramStart"/>
      <w:r>
        <w:rPr>
          <w:rFonts w:hint="eastAsia"/>
          <w:sz w:val="24"/>
        </w:rPr>
        <w:t>对采坑进行</w:t>
      </w:r>
      <w:proofErr w:type="gramEnd"/>
      <w:r>
        <w:rPr>
          <w:rFonts w:hint="eastAsia"/>
          <w:sz w:val="24"/>
        </w:rPr>
        <w:t>回填、平整。</w:t>
      </w:r>
    </w:p>
    <w:p w:rsidR="009C5C1F" w:rsidRDefault="004D2E0D">
      <w:pPr>
        <w:suppressAutoHyphens/>
        <w:wordWrap w:val="0"/>
        <w:topLinePunct/>
        <w:spacing w:line="480" w:lineRule="atLeast"/>
        <w:ind w:firstLineChars="200" w:firstLine="480"/>
        <w:rPr>
          <w:sz w:val="24"/>
        </w:rPr>
      </w:pPr>
      <w:r>
        <w:rPr>
          <w:sz w:val="24"/>
        </w:rPr>
        <w:fldChar w:fldCharType="begin"/>
      </w:r>
      <w:r>
        <w:rPr>
          <w:sz w:val="24"/>
        </w:rPr>
        <w:instrText xml:space="preserve"> </w:instrText>
      </w:r>
      <w:r>
        <w:rPr>
          <w:rFonts w:hint="eastAsia"/>
          <w:sz w:val="24"/>
        </w:rPr>
        <w:instrText>= 2 \* GB2</w:instrText>
      </w:r>
      <w:r>
        <w:rPr>
          <w:sz w:val="24"/>
        </w:rPr>
        <w:instrText xml:space="preserve"> </w:instrText>
      </w:r>
      <w:r>
        <w:rPr>
          <w:sz w:val="24"/>
        </w:rPr>
        <w:fldChar w:fldCharType="separate"/>
      </w:r>
      <w:r>
        <w:rPr>
          <w:rFonts w:hint="eastAsia"/>
          <w:sz w:val="24"/>
        </w:rPr>
        <w:t>⑵</w:t>
      </w:r>
      <w:r>
        <w:rPr>
          <w:sz w:val="24"/>
        </w:rPr>
        <w:fldChar w:fldCharType="end"/>
      </w:r>
      <w:r>
        <w:rPr>
          <w:rFonts w:hint="eastAsia"/>
          <w:sz w:val="24"/>
        </w:rPr>
        <w:t>平整：待</w:t>
      </w:r>
      <w:proofErr w:type="gramStart"/>
      <w:r>
        <w:rPr>
          <w:rFonts w:hint="eastAsia"/>
          <w:sz w:val="24"/>
        </w:rPr>
        <w:t>露天采坑的</w:t>
      </w:r>
      <w:proofErr w:type="gramEnd"/>
      <w:r>
        <w:rPr>
          <w:rFonts w:hint="eastAsia"/>
          <w:sz w:val="24"/>
        </w:rPr>
        <w:t>表面进行平整后，需将堆料场的堆积物（粘土）覆盖于</w:t>
      </w:r>
      <w:proofErr w:type="gramStart"/>
      <w:r>
        <w:rPr>
          <w:rFonts w:hint="eastAsia"/>
          <w:sz w:val="24"/>
        </w:rPr>
        <w:t>露天采坑等</w:t>
      </w:r>
      <w:proofErr w:type="gramEnd"/>
      <w:r>
        <w:rPr>
          <w:rFonts w:hint="eastAsia"/>
          <w:sz w:val="24"/>
        </w:rPr>
        <w:t>地表，覆盖厚度</w:t>
      </w:r>
      <w:r>
        <w:rPr>
          <w:rFonts w:hint="eastAsia"/>
          <w:sz w:val="24"/>
        </w:rPr>
        <w:t>2</w:t>
      </w:r>
      <w:r>
        <w:rPr>
          <w:sz w:val="24"/>
        </w:rPr>
        <w:t>cm</w:t>
      </w:r>
      <w:r>
        <w:rPr>
          <w:rFonts w:hint="eastAsia"/>
          <w:sz w:val="24"/>
        </w:rPr>
        <w:t>。</w:t>
      </w:r>
    </w:p>
    <w:p w:rsidR="009C5C1F" w:rsidRDefault="004D2E0D">
      <w:pPr>
        <w:suppressAutoHyphens/>
        <w:wordWrap w:val="0"/>
        <w:topLinePunct/>
        <w:spacing w:line="480" w:lineRule="atLeast"/>
        <w:ind w:firstLineChars="200" w:firstLine="480"/>
        <w:rPr>
          <w:sz w:val="24"/>
        </w:rPr>
      </w:pPr>
      <w:r>
        <w:rPr>
          <w:sz w:val="24"/>
        </w:rPr>
        <w:fldChar w:fldCharType="begin"/>
      </w:r>
      <w:r>
        <w:rPr>
          <w:sz w:val="24"/>
        </w:rPr>
        <w:instrText xml:space="preserve"> </w:instrText>
      </w:r>
      <w:r>
        <w:rPr>
          <w:rFonts w:hint="eastAsia"/>
          <w:sz w:val="24"/>
        </w:rPr>
        <w:instrText>= 3 \* GB2</w:instrText>
      </w:r>
      <w:r>
        <w:rPr>
          <w:sz w:val="24"/>
        </w:rPr>
        <w:instrText xml:space="preserve"> </w:instrText>
      </w:r>
      <w:r>
        <w:rPr>
          <w:sz w:val="24"/>
        </w:rPr>
        <w:fldChar w:fldCharType="separate"/>
      </w:r>
      <w:r>
        <w:rPr>
          <w:rFonts w:hint="eastAsia"/>
          <w:sz w:val="24"/>
        </w:rPr>
        <w:t>⑶</w:t>
      </w:r>
      <w:r>
        <w:rPr>
          <w:sz w:val="24"/>
        </w:rPr>
        <w:fldChar w:fldCharType="end"/>
      </w:r>
      <w:r>
        <w:rPr>
          <w:rFonts w:hint="eastAsia"/>
          <w:sz w:val="24"/>
        </w:rPr>
        <w:t>压实：对于整个复垦区域平整、压实、尽量保持与周边地形地貌相协调。</w:t>
      </w:r>
    </w:p>
    <w:p w:rsidR="009C5C1F" w:rsidRDefault="004D2E0D">
      <w:pPr>
        <w:suppressAutoHyphens/>
        <w:wordWrap w:val="0"/>
        <w:topLinePunct/>
        <w:spacing w:line="480" w:lineRule="atLeast"/>
        <w:ind w:firstLineChars="200" w:firstLine="480"/>
        <w:rPr>
          <w:sz w:val="24"/>
        </w:rPr>
      </w:pPr>
      <w:r>
        <w:rPr>
          <w:sz w:val="24"/>
        </w:rPr>
        <w:t>2.</w:t>
      </w:r>
      <w:r>
        <w:rPr>
          <w:rFonts w:hint="eastAsia"/>
          <w:sz w:val="24"/>
        </w:rPr>
        <w:t>拆除工程</w:t>
      </w:r>
    </w:p>
    <w:p w:rsidR="009C5C1F" w:rsidRDefault="004D2E0D">
      <w:pPr>
        <w:suppressAutoHyphens/>
        <w:wordWrap w:val="0"/>
        <w:topLinePunct/>
        <w:spacing w:line="480" w:lineRule="atLeast"/>
        <w:ind w:firstLineChars="200" w:firstLine="480"/>
        <w:rPr>
          <w:sz w:val="24"/>
        </w:rPr>
      </w:pPr>
      <w:r>
        <w:rPr>
          <w:rFonts w:hint="eastAsia"/>
          <w:sz w:val="24"/>
        </w:rPr>
        <w:lastRenderedPageBreak/>
        <w:t>拆除工程主要是在矿山开采结束后，对生产区的建筑物进行拆除</w:t>
      </w:r>
    </w:p>
    <w:p w:rsidR="009C5C1F" w:rsidRDefault="004D2E0D">
      <w:pPr>
        <w:suppressAutoHyphens/>
        <w:wordWrap w:val="0"/>
        <w:topLinePunct/>
        <w:spacing w:line="480" w:lineRule="atLeast"/>
        <w:ind w:firstLineChars="200" w:firstLine="480"/>
        <w:rPr>
          <w:sz w:val="24"/>
        </w:rPr>
      </w:pPr>
      <w:r>
        <w:rPr>
          <w:sz w:val="24"/>
        </w:rPr>
        <w:t>3.</w:t>
      </w:r>
      <w:r>
        <w:rPr>
          <w:rFonts w:hint="eastAsia"/>
          <w:sz w:val="24"/>
        </w:rPr>
        <w:t>生物措施</w:t>
      </w:r>
    </w:p>
    <w:p w:rsidR="009C5C1F" w:rsidRDefault="004D2E0D">
      <w:pPr>
        <w:suppressAutoHyphens/>
        <w:wordWrap w:val="0"/>
        <w:topLinePunct/>
        <w:spacing w:line="480" w:lineRule="atLeast"/>
        <w:ind w:firstLineChars="200" w:firstLine="480"/>
        <w:rPr>
          <w:sz w:val="24"/>
        </w:rPr>
      </w:pPr>
      <w:r>
        <w:rPr>
          <w:rFonts w:hint="eastAsia"/>
          <w:sz w:val="24"/>
        </w:rPr>
        <w:t>本次土地复垦方向为按原地类</w:t>
      </w:r>
      <w:proofErr w:type="gramStart"/>
      <w:r>
        <w:rPr>
          <w:rFonts w:hint="eastAsia"/>
          <w:sz w:val="24"/>
        </w:rPr>
        <w:t>复垦为裸土地</w:t>
      </w:r>
      <w:proofErr w:type="gramEnd"/>
      <w:r>
        <w:rPr>
          <w:rFonts w:hint="eastAsia"/>
          <w:sz w:val="24"/>
        </w:rPr>
        <w:t>（</w:t>
      </w:r>
      <w:r>
        <w:rPr>
          <w:rFonts w:hint="eastAsia"/>
          <w:sz w:val="24"/>
        </w:rPr>
        <w:t>1</w:t>
      </w:r>
      <w:r>
        <w:rPr>
          <w:sz w:val="24"/>
        </w:rPr>
        <w:t>206</w:t>
      </w:r>
      <w:r>
        <w:rPr>
          <w:rFonts w:hint="eastAsia"/>
          <w:sz w:val="24"/>
        </w:rPr>
        <w:t>），损毁的土地经回填、整平、压实后自然恢复即可，不进行人为播撒草籽及灌溉。只需对复垦区域进行监测即可。</w:t>
      </w:r>
    </w:p>
    <w:p w:rsidR="009C5C1F" w:rsidRDefault="004D2E0D">
      <w:pPr>
        <w:keepNext/>
        <w:keepLines/>
        <w:suppressAutoHyphens/>
        <w:wordWrap w:val="0"/>
        <w:topLinePunct/>
        <w:spacing w:line="360" w:lineRule="auto"/>
        <w:ind w:firstLineChars="200" w:firstLine="482"/>
        <w:outlineLvl w:val="2"/>
        <w:rPr>
          <w:b/>
          <w:sz w:val="24"/>
          <w:szCs w:val="28"/>
        </w:rPr>
      </w:pPr>
      <w:bookmarkStart w:id="1007" w:name="_Toc70589893"/>
      <w:r>
        <w:rPr>
          <w:rFonts w:hint="eastAsia"/>
          <w:b/>
          <w:sz w:val="24"/>
          <w:szCs w:val="28"/>
        </w:rPr>
        <w:t>（三）技术措施</w:t>
      </w:r>
      <w:bookmarkEnd w:id="1007"/>
    </w:p>
    <w:p w:rsidR="009C5C1F" w:rsidRDefault="004D2E0D">
      <w:pPr>
        <w:suppressAutoHyphens/>
        <w:wordWrap w:val="0"/>
        <w:topLinePunct/>
        <w:spacing w:line="480" w:lineRule="atLeast"/>
        <w:ind w:firstLineChars="200" w:firstLine="480"/>
        <w:rPr>
          <w:sz w:val="24"/>
        </w:rPr>
      </w:pPr>
      <w:r>
        <w:rPr>
          <w:sz w:val="24"/>
        </w:rPr>
        <w:t>1</w:t>
      </w:r>
      <w:r>
        <w:rPr>
          <w:sz w:val="24"/>
        </w:rPr>
        <w:t>、</w:t>
      </w:r>
      <w:r>
        <w:rPr>
          <w:rFonts w:hint="eastAsia"/>
          <w:sz w:val="24"/>
        </w:rPr>
        <w:t>工程技术措施</w:t>
      </w:r>
    </w:p>
    <w:p w:rsidR="009C5C1F" w:rsidRDefault="004D2E0D">
      <w:pPr>
        <w:suppressAutoHyphens/>
        <w:wordWrap w:val="0"/>
        <w:topLinePunct/>
        <w:spacing w:line="480" w:lineRule="atLeast"/>
        <w:ind w:firstLineChars="200" w:firstLine="480"/>
        <w:rPr>
          <w:sz w:val="24"/>
        </w:rPr>
      </w:pPr>
      <w:r>
        <w:rPr>
          <w:sz w:val="24"/>
        </w:rPr>
        <w:t>①</w:t>
      </w:r>
      <w:r>
        <w:rPr>
          <w:sz w:val="24"/>
        </w:rPr>
        <w:t>露天采场</w:t>
      </w:r>
      <w:r>
        <w:rPr>
          <w:rFonts w:hint="eastAsia"/>
          <w:sz w:val="24"/>
        </w:rPr>
        <w:t>土地复垦</w:t>
      </w:r>
      <w:r>
        <w:rPr>
          <w:sz w:val="24"/>
        </w:rPr>
        <w:t>工程</w:t>
      </w:r>
    </w:p>
    <w:p w:rsidR="009C5C1F" w:rsidRDefault="004D2E0D">
      <w:pPr>
        <w:suppressAutoHyphens/>
        <w:wordWrap w:val="0"/>
        <w:topLinePunct/>
        <w:spacing w:line="480" w:lineRule="atLeast"/>
        <w:ind w:firstLineChars="200" w:firstLine="480"/>
        <w:rPr>
          <w:sz w:val="24"/>
        </w:rPr>
      </w:pPr>
      <w:r>
        <w:rPr>
          <w:rFonts w:hint="eastAsia"/>
          <w:sz w:val="24"/>
        </w:rPr>
        <w:t>针对最终形成的露天采坑，工程结束后必须先进行土地回填、平整、压实工作，回填主要利用采场边坡削坡产生的废土、堆料场剩余的废土以及建筑物拆除产生的建筑垃圾进行回填，回填后再进行平整、压实处理。首先要保证已平整土地的密实度，不能出现架空塌陷现象；其次要求边坡要平缓稳定，与周围地形地貌相协调；最后平整土地表面，平整美观的同时要求中间稍高，四角稍低，以便降水的排泄顺利进行。</w:t>
      </w:r>
    </w:p>
    <w:p w:rsidR="009C5C1F" w:rsidRDefault="004D2E0D">
      <w:pPr>
        <w:suppressAutoHyphens/>
        <w:wordWrap w:val="0"/>
        <w:topLinePunct/>
        <w:spacing w:line="480" w:lineRule="atLeast"/>
        <w:ind w:firstLineChars="200" w:firstLine="480"/>
        <w:rPr>
          <w:sz w:val="24"/>
        </w:rPr>
      </w:pPr>
      <w:r>
        <w:rPr>
          <w:sz w:val="24"/>
        </w:rPr>
        <w:t>②</w:t>
      </w:r>
      <w:r>
        <w:rPr>
          <w:rFonts w:hint="eastAsia"/>
          <w:sz w:val="24"/>
        </w:rPr>
        <w:t>堆料场的土地复垦</w:t>
      </w:r>
      <w:r>
        <w:rPr>
          <w:sz w:val="24"/>
        </w:rPr>
        <w:t>工程</w:t>
      </w:r>
    </w:p>
    <w:p w:rsidR="009C5C1F" w:rsidRDefault="004D2E0D">
      <w:pPr>
        <w:suppressAutoHyphens/>
        <w:wordWrap w:val="0"/>
        <w:topLinePunct/>
        <w:spacing w:line="480" w:lineRule="atLeast"/>
        <w:ind w:firstLineChars="200" w:firstLine="480"/>
        <w:rPr>
          <w:sz w:val="24"/>
        </w:rPr>
      </w:pPr>
      <w:r>
        <w:rPr>
          <w:rFonts w:hint="eastAsia"/>
          <w:sz w:val="24"/>
        </w:rPr>
        <w:t>对于矿区采矿时生产的粘土要集中堆放在堆料场，生产过程中及开采结束后，要对堆料场表面进行平整、压实，保证土地有较大的密实度及稳定性。防止发生崩塌、滑坡等地质灾害，确保地形地貌与周围环境相协调。</w:t>
      </w:r>
    </w:p>
    <w:p w:rsidR="009C5C1F" w:rsidRDefault="004D2E0D">
      <w:pPr>
        <w:suppressAutoHyphens/>
        <w:wordWrap w:val="0"/>
        <w:topLinePunct/>
        <w:spacing w:line="480" w:lineRule="atLeast"/>
        <w:ind w:firstLineChars="200" w:firstLine="480"/>
        <w:rPr>
          <w:sz w:val="24"/>
        </w:rPr>
      </w:pPr>
      <w:r>
        <w:rPr>
          <w:sz w:val="24"/>
        </w:rPr>
        <w:fldChar w:fldCharType="begin"/>
      </w:r>
      <w:r>
        <w:rPr>
          <w:sz w:val="24"/>
        </w:rPr>
        <w:instrText xml:space="preserve"> </w:instrText>
      </w:r>
      <w:r>
        <w:rPr>
          <w:rFonts w:hint="eastAsia"/>
          <w:sz w:val="24"/>
        </w:rPr>
        <w:instrText>=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生产区土地复垦工程</w:t>
      </w:r>
    </w:p>
    <w:p w:rsidR="009C5C1F" w:rsidRDefault="004D2E0D">
      <w:pPr>
        <w:suppressAutoHyphens/>
        <w:wordWrap w:val="0"/>
        <w:topLinePunct/>
        <w:spacing w:line="480" w:lineRule="atLeast"/>
        <w:ind w:firstLineChars="200" w:firstLine="480"/>
        <w:rPr>
          <w:sz w:val="24"/>
        </w:rPr>
      </w:pPr>
      <w:r>
        <w:rPr>
          <w:rFonts w:hint="eastAsia"/>
          <w:sz w:val="24"/>
        </w:rPr>
        <w:t>待矿山开采结束后，对于生产区所有建筑物进行拆除。产生的建筑垃圾可以</w:t>
      </w:r>
      <w:proofErr w:type="gramStart"/>
      <w:r>
        <w:rPr>
          <w:rFonts w:hint="eastAsia"/>
          <w:sz w:val="24"/>
        </w:rPr>
        <w:t>用于采坑的</w:t>
      </w:r>
      <w:proofErr w:type="gramEnd"/>
      <w:r>
        <w:rPr>
          <w:rFonts w:hint="eastAsia"/>
          <w:sz w:val="24"/>
        </w:rPr>
        <w:t>回填，回填后对场地进行平整、压实。保证地貌景观与周围环境相协调。</w:t>
      </w:r>
    </w:p>
    <w:p w:rsidR="009C5C1F" w:rsidRDefault="004D2E0D">
      <w:pPr>
        <w:suppressAutoHyphens/>
        <w:wordWrap w:val="0"/>
        <w:topLinePunct/>
        <w:spacing w:line="480" w:lineRule="atLeast"/>
        <w:ind w:firstLineChars="200" w:firstLine="480"/>
        <w:rPr>
          <w:sz w:val="24"/>
        </w:rPr>
      </w:pPr>
      <w:r>
        <w:rPr>
          <w:sz w:val="24"/>
        </w:rPr>
        <w:fldChar w:fldCharType="begin"/>
      </w:r>
      <w:r>
        <w:rPr>
          <w:sz w:val="24"/>
        </w:rPr>
        <w:instrText xml:space="preserve"> </w:instrText>
      </w:r>
      <w:r>
        <w:rPr>
          <w:rFonts w:hint="eastAsia"/>
          <w:sz w:val="24"/>
        </w:rPr>
        <w:instrText>= 4 \* GB3</w:instrText>
      </w:r>
      <w:r>
        <w:rPr>
          <w:sz w:val="24"/>
        </w:rPr>
        <w:instrText xml:space="preserve"> </w:instrText>
      </w:r>
      <w:r>
        <w:rPr>
          <w:sz w:val="24"/>
        </w:rPr>
        <w:fldChar w:fldCharType="separate"/>
      </w:r>
      <w:r>
        <w:rPr>
          <w:rFonts w:hint="eastAsia"/>
          <w:sz w:val="24"/>
        </w:rPr>
        <w:t>④</w:t>
      </w:r>
      <w:r>
        <w:rPr>
          <w:sz w:val="24"/>
        </w:rPr>
        <w:fldChar w:fldCharType="end"/>
      </w:r>
      <w:r>
        <w:rPr>
          <w:rFonts w:hint="eastAsia"/>
          <w:sz w:val="24"/>
        </w:rPr>
        <w:t>矿山运输道路土地复垦工程</w:t>
      </w:r>
    </w:p>
    <w:p w:rsidR="009C5C1F" w:rsidRDefault="004D2E0D">
      <w:pPr>
        <w:suppressAutoHyphens/>
        <w:wordWrap w:val="0"/>
        <w:topLinePunct/>
        <w:spacing w:line="480" w:lineRule="atLeast"/>
        <w:ind w:firstLineChars="200" w:firstLine="480"/>
        <w:rPr>
          <w:sz w:val="24"/>
        </w:rPr>
      </w:pPr>
      <w:r>
        <w:rPr>
          <w:rFonts w:hint="eastAsia"/>
          <w:sz w:val="24"/>
        </w:rPr>
        <w:t>矿山开采结束后，对矿区道路及道路两侧的废石进行清理，道路进行平整、压实。</w:t>
      </w:r>
    </w:p>
    <w:p w:rsidR="009C5C1F" w:rsidRDefault="004D2E0D">
      <w:pPr>
        <w:keepNext/>
        <w:keepLines/>
        <w:suppressAutoHyphens/>
        <w:wordWrap w:val="0"/>
        <w:topLinePunct/>
        <w:spacing w:line="360" w:lineRule="auto"/>
        <w:ind w:firstLineChars="200" w:firstLine="482"/>
        <w:outlineLvl w:val="2"/>
        <w:rPr>
          <w:b/>
          <w:sz w:val="24"/>
          <w:szCs w:val="28"/>
        </w:rPr>
      </w:pPr>
      <w:bookmarkStart w:id="1008" w:name="_Toc70589894"/>
      <w:r>
        <w:rPr>
          <w:b/>
          <w:sz w:val="24"/>
          <w:szCs w:val="28"/>
        </w:rPr>
        <w:t>(</w:t>
      </w:r>
      <w:r>
        <w:rPr>
          <w:b/>
          <w:sz w:val="24"/>
          <w:szCs w:val="28"/>
        </w:rPr>
        <w:t>四</w:t>
      </w:r>
      <w:r>
        <w:rPr>
          <w:b/>
          <w:sz w:val="24"/>
          <w:szCs w:val="28"/>
        </w:rPr>
        <w:t>)</w:t>
      </w:r>
      <w:r>
        <w:rPr>
          <w:b/>
          <w:sz w:val="24"/>
          <w:szCs w:val="28"/>
        </w:rPr>
        <w:t>主要工程量</w:t>
      </w:r>
      <w:bookmarkEnd w:id="1008"/>
    </w:p>
    <w:p w:rsidR="009C5C1F" w:rsidRDefault="004D2E0D">
      <w:pPr>
        <w:suppressAutoHyphens/>
        <w:wordWrap w:val="0"/>
        <w:topLinePunct/>
        <w:spacing w:line="480" w:lineRule="atLeast"/>
        <w:ind w:firstLineChars="200" w:firstLine="480"/>
        <w:rPr>
          <w:sz w:val="24"/>
        </w:rPr>
      </w:pPr>
      <w:r>
        <w:rPr>
          <w:sz w:val="24"/>
        </w:rPr>
        <w:t>本项目需要复垦的土地为露天采场、</w:t>
      </w:r>
      <w:r>
        <w:rPr>
          <w:rFonts w:hint="eastAsia"/>
          <w:sz w:val="24"/>
        </w:rPr>
        <w:t>堆料场、生产区。</w:t>
      </w:r>
      <w:r>
        <w:rPr>
          <w:sz w:val="24"/>
        </w:rPr>
        <w:t>土地复垦工程量见表</w:t>
      </w:r>
      <w:r>
        <w:rPr>
          <w:sz w:val="24"/>
        </w:rPr>
        <w:t>5-3</w:t>
      </w:r>
      <w:r>
        <w:rPr>
          <w:sz w:val="24"/>
        </w:rPr>
        <w:t>。</w:t>
      </w:r>
    </w:p>
    <w:p w:rsidR="009C5C1F" w:rsidRDefault="004D2E0D">
      <w:pPr>
        <w:suppressAutoHyphens/>
        <w:wordWrap w:val="0"/>
        <w:topLinePunct/>
        <w:spacing w:beforeLines="50" w:before="120" w:afterLines="50" w:after="120"/>
        <w:jc w:val="center"/>
        <w:rPr>
          <w:b/>
          <w:bCs/>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5</w:t>
      </w:r>
      <w:r>
        <w:rPr>
          <w:rFonts w:hint="eastAsia"/>
          <w:b/>
          <w:bCs/>
          <w:sz w:val="24"/>
        </w:rPr>
        <w:t>—</w:t>
      </w:r>
      <w:r>
        <w:rPr>
          <w:b/>
          <w:bCs/>
          <w:sz w:val="24"/>
        </w:rPr>
        <w:t xml:space="preserve">3               </w:t>
      </w:r>
      <w:r>
        <w:rPr>
          <w:rFonts w:hint="eastAsia"/>
          <w:b/>
          <w:bCs/>
          <w:sz w:val="24"/>
        </w:rPr>
        <w:t>土地复垦</w:t>
      </w:r>
      <w:r>
        <w:rPr>
          <w:b/>
          <w:bCs/>
          <w:sz w:val="24"/>
        </w:rPr>
        <w:t>工程量汇总表</w:t>
      </w:r>
      <w:r>
        <w:rPr>
          <w:rFonts w:hint="eastAsia"/>
          <w:b/>
          <w:bCs/>
          <w:sz w:val="24"/>
        </w:rPr>
        <w:t xml:space="preserve">    </w:t>
      </w:r>
    </w:p>
    <w:tbl>
      <w:tblPr>
        <w:tblW w:w="79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1275"/>
        <w:gridCol w:w="1174"/>
        <w:gridCol w:w="1365"/>
        <w:gridCol w:w="1189"/>
        <w:gridCol w:w="1276"/>
        <w:gridCol w:w="1134"/>
      </w:tblGrid>
      <w:tr w:rsidR="009C5C1F">
        <w:trPr>
          <w:trHeight w:val="606"/>
          <w:jc w:val="center"/>
        </w:trPr>
        <w:tc>
          <w:tcPr>
            <w:tcW w:w="1774" w:type="dxa"/>
            <w:gridSpan w:val="2"/>
            <w:tcBorders>
              <w:top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复垦</w:t>
            </w:r>
            <w:r>
              <w:rPr>
                <w:rFonts w:hAnsi="宋体" w:hint="eastAsia"/>
                <w:szCs w:val="21"/>
              </w:rPr>
              <w:t>区域</w:t>
            </w:r>
          </w:p>
        </w:tc>
        <w:tc>
          <w:tcPr>
            <w:tcW w:w="1174"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复垦面积</w:t>
            </w:r>
          </w:p>
          <w:p w:rsidR="009C5C1F" w:rsidRDefault="004D2E0D">
            <w:pPr>
              <w:suppressAutoHyphens/>
              <w:wordWrap w:val="0"/>
              <w:topLinePunct/>
              <w:spacing w:line="240" w:lineRule="exact"/>
              <w:jc w:val="center"/>
              <w:rPr>
                <w:szCs w:val="21"/>
              </w:rPr>
            </w:pPr>
            <w:r>
              <w:rPr>
                <w:rFonts w:hAnsi="宋体"/>
                <w:szCs w:val="21"/>
              </w:rPr>
              <w:t>（</w:t>
            </w:r>
            <w:r>
              <w:rPr>
                <w:szCs w:val="21"/>
              </w:rPr>
              <w:t>hm</w:t>
            </w:r>
            <w:r>
              <w:rPr>
                <w:szCs w:val="21"/>
                <w:vertAlign w:val="superscript"/>
              </w:rPr>
              <w:t>2</w:t>
            </w:r>
            <w:r>
              <w:rPr>
                <w:rFonts w:hAnsi="宋体"/>
                <w:szCs w:val="21"/>
              </w:rPr>
              <w:t>）</w:t>
            </w:r>
          </w:p>
        </w:tc>
        <w:tc>
          <w:tcPr>
            <w:tcW w:w="1365"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hint="eastAsia"/>
                <w:szCs w:val="21"/>
              </w:rPr>
              <w:t>拆除工程量</w:t>
            </w:r>
          </w:p>
          <w:p w:rsidR="009C5C1F" w:rsidRDefault="004D2E0D">
            <w:pPr>
              <w:suppressAutoHyphens/>
              <w:wordWrap w:val="0"/>
              <w:topLinePunct/>
              <w:spacing w:line="240" w:lineRule="exact"/>
              <w:jc w:val="center"/>
              <w:rPr>
                <w:szCs w:val="21"/>
              </w:rPr>
            </w:pPr>
            <w:r>
              <w:rPr>
                <w:rFonts w:hAnsi="宋体"/>
                <w:szCs w:val="21"/>
              </w:rPr>
              <w:t>（</w:t>
            </w:r>
            <w:r>
              <w:rPr>
                <w:szCs w:val="21"/>
              </w:rPr>
              <w:t>m</w:t>
            </w:r>
            <w:r>
              <w:rPr>
                <w:szCs w:val="21"/>
                <w:vertAlign w:val="superscript"/>
              </w:rPr>
              <w:t>3</w:t>
            </w:r>
            <w:r>
              <w:rPr>
                <w:rFonts w:hAnsi="宋体"/>
                <w:szCs w:val="21"/>
              </w:rPr>
              <w:t>）</w:t>
            </w:r>
          </w:p>
        </w:tc>
        <w:tc>
          <w:tcPr>
            <w:tcW w:w="1189"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hint="eastAsia"/>
                <w:szCs w:val="21"/>
              </w:rPr>
              <w:t>回填工程量</w:t>
            </w:r>
            <w:r>
              <w:rPr>
                <w:rFonts w:hAnsi="宋体"/>
                <w:szCs w:val="21"/>
              </w:rPr>
              <w:t>（</w:t>
            </w:r>
            <w:r>
              <w:rPr>
                <w:rFonts w:hAnsi="宋体"/>
                <w:szCs w:val="21"/>
              </w:rPr>
              <w:t>hm</w:t>
            </w:r>
            <w:r>
              <w:rPr>
                <w:rFonts w:hAnsi="宋体"/>
                <w:szCs w:val="21"/>
                <w:vertAlign w:val="superscript"/>
              </w:rPr>
              <w:t>2</w:t>
            </w:r>
            <w:r>
              <w:rPr>
                <w:rFonts w:hAnsi="宋体"/>
                <w:szCs w:val="21"/>
              </w:rPr>
              <w:t>）</w:t>
            </w:r>
          </w:p>
        </w:tc>
        <w:tc>
          <w:tcPr>
            <w:tcW w:w="1276"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rPr>
                <w:szCs w:val="21"/>
              </w:rPr>
            </w:pPr>
            <w:r>
              <w:rPr>
                <w:rFonts w:hAnsi="宋体" w:hint="eastAsia"/>
                <w:szCs w:val="21"/>
              </w:rPr>
              <w:t>土地平整工程量</w:t>
            </w:r>
            <w:r>
              <w:rPr>
                <w:rFonts w:hAnsi="宋体"/>
                <w:szCs w:val="21"/>
              </w:rPr>
              <w:t>（</w:t>
            </w:r>
            <w:r>
              <w:rPr>
                <w:szCs w:val="21"/>
              </w:rPr>
              <w:t>m</w:t>
            </w:r>
            <w:r>
              <w:rPr>
                <w:szCs w:val="21"/>
                <w:vertAlign w:val="superscript"/>
              </w:rPr>
              <w:t>3</w:t>
            </w:r>
            <w:r>
              <w:rPr>
                <w:rFonts w:hAnsi="宋体"/>
                <w:szCs w:val="21"/>
              </w:rPr>
              <w:t>）</w:t>
            </w:r>
          </w:p>
        </w:tc>
        <w:tc>
          <w:tcPr>
            <w:tcW w:w="1134"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int="eastAsia"/>
                <w:szCs w:val="21"/>
              </w:rPr>
              <w:t>压实工程量</w:t>
            </w:r>
            <w:r>
              <w:rPr>
                <w:rFonts w:hAnsi="宋体"/>
                <w:szCs w:val="21"/>
              </w:rPr>
              <w:t>（</w:t>
            </w:r>
            <w:r>
              <w:rPr>
                <w:szCs w:val="21"/>
              </w:rPr>
              <w:t>m</w:t>
            </w:r>
            <w:r>
              <w:rPr>
                <w:szCs w:val="21"/>
                <w:vertAlign w:val="superscript"/>
              </w:rPr>
              <w:t>3</w:t>
            </w:r>
            <w:r>
              <w:rPr>
                <w:rFonts w:hAnsi="宋体"/>
                <w:szCs w:val="21"/>
              </w:rPr>
              <w:t>）</w:t>
            </w:r>
          </w:p>
        </w:tc>
      </w:tr>
      <w:tr w:rsidR="009C5C1F">
        <w:trPr>
          <w:trHeight w:val="409"/>
          <w:jc w:val="center"/>
        </w:trPr>
        <w:tc>
          <w:tcPr>
            <w:tcW w:w="499" w:type="dxa"/>
            <w:tcBorders>
              <w:top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int="eastAsia"/>
                <w:szCs w:val="21"/>
              </w:rPr>
              <w:t>1</w:t>
            </w:r>
          </w:p>
        </w:tc>
        <w:tc>
          <w:tcPr>
            <w:tcW w:w="1275" w:type="dxa"/>
            <w:tcBorders>
              <w:top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int="eastAsia"/>
                <w:szCs w:val="21"/>
              </w:rPr>
              <w:t>露天采场</w:t>
            </w:r>
          </w:p>
        </w:tc>
        <w:tc>
          <w:tcPr>
            <w:tcW w:w="1174"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1.75</w:t>
            </w:r>
          </w:p>
        </w:tc>
        <w:tc>
          <w:tcPr>
            <w:tcW w:w="1365" w:type="dxa"/>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1.15</w:t>
            </w:r>
          </w:p>
        </w:tc>
        <w:tc>
          <w:tcPr>
            <w:tcW w:w="1276"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topLinePunct/>
              <w:spacing w:line="240" w:lineRule="exact"/>
              <w:jc w:val="center"/>
              <w:rPr>
                <w:szCs w:val="21"/>
              </w:rPr>
            </w:pPr>
            <w:r>
              <w:rPr>
                <w:szCs w:val="21"/>
              </w:rPr>
              <w:t>23000</w:t>
            </w:r>
          </w:p>
        </w:tc>
        <w:tc>
          <w:tcPr>
            <w:tcW w:w="1134" w:type="dxa"/>
            <w:tcBorders>
              <w:top w:val="single" w:sz="4" w:space="0" w:color="auto"/>
              <w:left w:val="single" w:sz="4" w:space="0" w:color="auto"/>
              <w:bottom w:val="single" w:sz="4" w:space="0" w:color="auto"/>
              <w:right w:val="single" w:sz="4" w:space="0" w:color="auto"/>
            </w:tcBorders>
            <w:vAlign w:val="center"/>
          </w:tcPr>
          <w:p w:rsidR="009C5C1F" w:rsidRDefault="004D2E0D">
            <w:pPr>
              <w:jc w:val="center"/>
            </w:pPr>
            <w:r>
              <w:rPr>
                <w:rFonts w:hint="eastAsia"/>
              </w:rPr>
              <w:t>1</w:t>
            </w:r>
            <w:r>
              <w:t>7160</w:t>
            </w:r>
          </w:p>
        </w:tc>
      </w:tr>
      <w:tr w:rsidR="009C5C1F">
        <w:trPr>
          <w:trHeight w:val="410"/>
          <w:jc w:val="center"/>
        </w:trPr>
        <w:tc>
          <w:tcPr>
            <w:tcW w:w="499" w:type="dxa"/>
            <w:tcBorders>
              <w:top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int="eastAsia"/>
                <w:szCs w:val="21"/>
              </w:rPr>
              <w:t>2</w:t>
            </w:r>
          </w:p>
        </w:tc>
        <w:tc>
          <w:tcPr>
            <w:tcW w:w="1275" w:type="dxa"/>
            <w:tcBorders>
              <w:top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int="eastAsia"/>
                <w:szCs w:val="21"/>
              </w:rPr>
              <w:t>生活加工区</w:t>
            </w:r>
          </w:p>
        </w:tc>
        <w:tc>
          <w:tcPr>
            <w:tcW w:w="1174"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0.936</w:t>
            </w:r>
          </w:p>
        </w:tc>
        <w:tc>
          <w:tcPr>
            <w:tcW w:w="1365" w:type="dxa"/>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19720</w:t>
            </w:r>
          </w:p>
        </w:tc>
        <w:tc>
          <w:tcPr>
            <w:tcW w:w="1134" w:type="dxa"/>
            <w:tcBorders>
              <w:top w:val="single" w:sz="4" w:space="0" w:color="auto"/>
              <w:left w:val="single" w:sz="4" w:space="0" w:color="auto"/>
              <w:bottom w:val="single" w:sz="4" w:space="0" w:color="auto"/>
              <w:right w:val="single" w:sz="4" w:space="0" w:color="auto"/>
            </w:tcBorders>
            <w:vAlign w:val="center"/>
          </w:tcPr>
          <w:p w:rsidR="009C5C1F" w:rsidRDefault="004D2E0D">
            <w:pPr>
              <w:jc w:val="center"/>
            </w:pPr>
            <w:r>
              <w:t>0</w:t>
            </w:r>
          </w:p>
        </w:tc>
      </w:tr>
      <w:tr w:rsidR="009C5C1F">
        <w:trPr>
          <w:trHeight w:val="416"/>
          <w:jc w:val="center"/>
        </w:trPr>
        <w:tc>
          <w:tcPr>
            <w:tcW w:w="499" w:type="dxa"/>
            <w:tcBorders>
              <w:top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int="eastAsia"/>
                <w:szCs w:val="21"/>
              </w:rPr>
              <w:t>3</w:t>
            </w:r>
          </w:p>
        </w:tc>
        <w:tc>
          <w:tcPr>
            <w:tcW w:w="1275" w:type="dxa"/>
            <w:tcBorders>
              <w:top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int="eastAsia"/>
                <w:szCs w:val="21"/>
              </w:rPr>
              <w:t>堆料场</w:t>
            </w:r>
          </w:p>
        </w:tc>
        <w:tc>
          <w:tcPr>
            <w:tcW w:w="1174"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0.4125</w:t>
            </w:r>
          </w:p>
        </w:tc>
        <w:tc>
          <w:tcPr>
            <w:tcW w:w="1365" w:type="dxa"/>
            <w:tcBorders>
              <w:top w:val="single" w:sz="4" w:space="0" w:color="auto"/>
              <w:left w:val="single" w:sz="4" w:space="0" w:color="auto"/>
              <w:bottom w:val="single" w:sz="4" w:space="0" w:color="auto"/>
              <w:right w:val="single" w:sz="4" w:space="0" w:color="auto"/>
            </w:tcBorders>
            <w:vAlign w:val="center"/>
          </w:tcPr>
          <w:p w:rsidR="009C5C1F" w:rsidRDefault="009C5C1F">
            <w:pPr>
              <w:suppressAutoHyphens/>
              <w:wordWrap w:val="0"/>
              <w:topLinePunct/>
              <w:spacing w:line="240" w:lineRule="exact"/>
              <w:jc w:val="center"/>
              <w:rPr>
                <w:szCs w:val="21"/>
              </w:rPr>
            </w:pPr>
          </w:p>
        </w:tc>
        <w:tc>
          <w:tcPr>
            <w:tcW w:w="1189"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int="eastAsia"/>
                <w:szCs w:val="21"/>
              </w:rPr>
              <w:t>0</w:t>
            </w:r>
            <w:r>
              <w:rPr>
                <w:szCs w:val="21"/>
              </w:rPr>
              <w:t>.4</w:t>
            </w:r>
          </w:p>
        </w:tc>
        <w:tc>
          <w:tcPr>
            <w:tcW w:w="1276" w:type="dxa"/>
            <w:tcBorders>
              <w:top w:val="single" w:sz="4" w:space="0" w:color="auto"/>
              <w:left w:val="single" w:sz="4" w:space="0" w:color="auto"/>
              <w:bottom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8250</w:t>
            </w:r>
          </w:p>
        </w:tc>
        <w:tc>
          <w:tcPr>
            <w:tcW w:w="1134" w:type="dxa"/>
            <w:tcBorders>
              <w:top w:val="single" w:sz="4" w:space="0" w:color="auto"/>
              <w:left w:val="single" w:sz="4" w:space="0" w:color="auto"/>
              <w:bottom w:val="single" w:sz="4" w:space="0" w:color="auto"/>
              <w:right w:val="single" w:sz="4" w:space="0" w:color="auto"/>
            </w:tcBorders>
            <w:vAlign w:val="center"/>
          </w:tcPr>
          <w:p w:rsidR="009C5C1F" w:rsidRDefault="004D2E0D">
            <w:pPr>
              <w:jc w:val="center"/>
            </w:pPr>
            <w:r>
              <w:t>5100</w:t>
            </w:r>
          </w:p>
        </w:tc>
      </w:tr>
      <w:tr w:rsidR="009C5C1F">
        <w:trPr>
          <w:trHeight w:val="535"/>
          <w:jc w:val="center"/>
        </w:trPr>
        <w:tc>
          <w:tcPr>
            <w:tcW w:w="1774" w:type="dxa"/>
            <w:gridSpan w:val="2"/>
            <w:tcBorders>
              <w:top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合计</w:t>
            </w:r>
          </w:p>
        </w:tc>
        <w:tc>
          <w:tcPr>
            <w:tcW w:w="1174" w:type="dxa"/>
            <w:tcBorders>
              <w:top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Ansi="宋体"/>
                <w:szCs w:val="21"/>
              </w:rPr>
              <w:t>3.098</w:t>
            </w:r>
          </w:p>
        </w:tc>
        <w:tc>
          <w:tcPr>
            <w:tcW w:w="1365" w:type="dxa"/>
            <w:tcBorders>
              <w:top w:val="single" w:sz="4" w:space="0" w:color="auto"/>
              <w:left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int="eastAsia"/>
                <w:szCs w:val="21"/>
              </w:rPr>
              <w:t>1</w:t>
            </w:r>
            <w:r>
              <w:rPr>
                <w:szCs w:val="21"/>
              </w:rPr>
              <w:t>500</w:t>
            </w:r>
          </w:p>
        </w:tc>
        <w:tc>
          <w:tcPr>
            <w:tcW w:w="1189" w:type="dxa"/>
            <w:tcBorders>
              <w:top w:val="single" w:sz="4" w:space="0" w:color="auto"/>
              <w:left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szCs w:val="21"/>
              </w:rPr>
              <w:t>1.55</w:t>
            </w:r>
          </w:p>
        </w:tc>
        <w:tc>
          <w:tcPr>
            <w:tcW w:w="1276" w:type="dxa"/>
            <w:tcBorders>
              <w:top w:val="single" w:sz="4" w:space="0" w:color="auto"/>
              <w:left w:val="single" w:sz="4" w:space="0" w:color="auto"/>
              <w:right w:val="single" w:sz="4" w:space="0" w:color="auto"/>
            </w:tcBorders>
            <w:vAlign w:val="center"/>
          </w:tcPr>
          <w:p w:rsidR="009C5C1F" w:rsidRDefault="004D2E0D">
            <w:pPr>
              <w:suppressAutoHyphens/>
              <w:wordWrap w:val="0"/>
              <w:topLinePunct/>
              <w:spacing w:line="240" w:lineRule="exact"/>
              <w:jc w:val="center"/>
              <w:rPr>
                <w:szCs w:val="21"/>
              </w:rPr>
            </w:pPr>
            <w:r>
              <w:rPr>
                <w:rFonts w:hint="eastAsia"/>
                <w:szCs w:val="21"/>
              </w:rPr>
              <w:t>5</w:t>
            </w:r>
            <w:r>
              <w:rPr>
                <w:szCs w:val="21"/>
              </w:rPr>
              <w:t>0970</w:t>
            </w:r>
          </w:p>
        </w:tc>
        <w:tc>
          <w:tcPr>
            <w:tcW w:w="1134" w:type="dxa"/>
            <w:tcBorders>
              <w:top w:val="single" w:sz="4" w:space="0" w:color="auto"/>
              <w:left w:val="single" w:sz="4" w:space="0" w:color="auto"/>
              <w:right w:val="single" w:sz="4" w:space="0" w:color="auto"/>
            </w:tcBorders>
            <w:vAlign w:val="center"/>
          </w:tcPr>
          <w:p w:rsidR="009C5C1F" w:rsidRDefault="004D2E0D">
            <w:pPr>
              <w:suppressAutoHyphens/>
              <w:topLinePunct/>
              <w:spacing w:line="240" w:lineRule="exact"/>
              <w:jc w:val="center"/>
              <w:rPr>
                <w:szCs w:val="21"/>
              </w:rPr>
            </w:pPr>
            <w:r>
              <w:rPr>
                <w:rFonts w:hint="eastAsia"/>
                <w:szCs w:val="21"/>
              </w:rPr>
              <w:t>2</w:t>
            </w:r>
            <w:r>
              <w:rPr>
                <w:szCs w:val="21"/>
              </w:rPr>
              <w:t>2260</w:t>
            </w:r>
          </w:p>
        </w:tc>
      </w:tr>
    </w:tbl>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1009" w:name="_Toc70589895"/>
      <w:bookmarkStart w:id="1010" w:name="_Toc153130792"/>
      <w:r>
        <w:rPr>
          <w:rFonts w:eastAsia="黑体" w:hint="eastAsia"/>
          <w:b/>
          <w:bCs/>
          <w:sz w:val="28"/>
          <w:szCs w:val="30"/>
        </w:rPr>
        <w:lastRenderedPageBreak/>
        <w:t>四</w:t>
      </w:r>
      <w:r>
        <w:rPr>
          <w:rFonts w:eastAsia="黑体"/>
          <w:b/>
          <w:bCs/>
          <w:sz w:val="28"/>
          <w:szCs w:val="30"/>
        </w:rPr>
        <w:t>、含水层破坏修复</w:t>
      </w:r>
      <w:bookmarkEnd w:id="1009"/>
      <w:bookmarkEnd w:id="1010"/>
    </w:p>
    <w:p w:rsidR="009C5C1F" w:rsidRDefault="004D2E0D">
      <w:pPr>
        <w:suppressAutoHyphens/>
        <w:wordWrap w:val="0"/>
        <w:topLinePunct/>
        <w:spacing w:line="480" w:lineRule="atLeast"/>
        <w:ind w:firstLineChars="200" w:firstLine="480"/>
        <w:rPr>
          <w:sz w:val="24"/>
        </w:rPr>
      </w:pPr>
      <w:r>
        <w:rPr>
          <w:sz w:val="24"/>
        </w:rPr>
        <w:t>矿山开采方式为露天开采，最低开采标高</w:t>
      </w:r>
      <w:r>
        <w:rPr>
          <w:rFonts w:hint="eastAsia"/>
          <w:sz w:val="24"/>
        </w:rPr>
        <w:t>1</w:t>
      </w:r>
      <w:r>
        <w:rPr>
          <w:sz w:val="24"/>
        </w:rPr>
        <w:t>353m</w:t>
      </w:r>
      <w:r>
        <w:rPr>
          <w:sz w:val="24"/>
        </w:rPr>
        <w:t>，矿体的开采是在矿区最低侵蚀基准面以上进行，矿山未来开采过程中对含水层结构、水质、水量影响较轻。矿山未来开采应做好预防措施，本次工作不设计含水层破坏修复工程量</w:t>
      </w:r>
      <w:r>
        <w:rPr>
          <w:rFonts w:hint="eastAsia"/>
          <w:sz w:val="24"/>
        </w:rPr>
        <w:t>，与矿山地质灾害治理工程和土地复垦工程的工程相适应和协调即可。</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1011" w:name="_Toc153130793"/>
      <w:bookmarkStart w:id="1012" w:name="_Toc70589896"/>
      <w:r>
        <w:rPr>
          <w:rFonts w:eastAsia="黑体" w:hint="eastAsia"/>
          <w:b/>
          <w:bCs/>
          <w:sz w:val="28"/>
          <w:szCs w:val="30"/>
        </w:rPr>
        <w:t>五、水土环境污染修复</w:t>
      </w:r>
      <w:bookmarkEnd w:id="1011"/>
      <w:bookmarkEnd w:id="1012"/>
    </w:p>
    <w:p w:rsidR="009C5C1F" w:rsidRDefault="004D2E0D">
      <w:pPr>
        <w:suppressAutoHyphens/>
        <w:wordWrap w:val="0"/>
        <w:topLinePunct/>
        <w:spacing w:line="480" w:lineRule="atLeast"/>
        <w:ind w:firstLineChars="200" w:firstLine="480"/>
        <w:rPr>
          <w:sz w:val="24"/>
        </w:rPr>
      </w:pPr>
      <w:r>
        <w:rPr>
          <w:rFonts w:hint="eastAsia"/>
          <w:sz w:val="24"/>
        </w:rPr>
        <w:t>本矿区地表无径流，矿区地下水为基岩裂隙水，补给来源为大气降水，补给来源十分贫乏。地下水径流受地形控制，一般</w:t>
      </w:r>
      <w:proofErr w:type="gramStart"/>
      <w:r>
        <w:rPr>
          <w:rFonts w:hint="eastAsia"/>
          <w:sz w:val="24"/>
        </w:rPr>
        <w:t>由高往低处</w:t>
      </w:r>
      <w:proofErr w:type="gramEnd"/>
      <w:r>
        <w:rPr>
          <w:rFonts w:hint="eastAsia"/>
          <w:sz w:val="24"/>
        </w:rPr>
        <w:t>流，蒸发消耗是区内主要的排泄方式。矿山开采产生的生产、生活废水污染水体的可能性小。矿山开采过程中露天采场、堆料场对土地资源的影响较严重，建筑物及矿山道路对土地资源的影响较轻，总体矿山开采对矿区土地资源的影响程度较严重。由此认为，本矿山水土环境修复的主要对象是土地资源。其目标是对破坏的土地资源进行修复，最大程度的恢复矿区自然环境，减轻矿山开采对区内自然环境的影响。主要任务是在矿山土地资源、地形地貌修复，地质灾害防治治理的基础上，土地复垦采用自然恢复的方法。不做单独的水土污染修复工程设计，与矿山地质灾害治理工程和土地复垦工程的工程量相适应和协调即可。</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1013" w:name="_Toc153130794"/>
      <w:bookmarkStart w:id="1014" w:name="_Toc70589897"/>
      <w:bookmarkStart w:id="1015" w:name="_Toc511226483"/>
      <w:r>
        <w:rPr>
          <w:rFonts w:eastAsia="黑体" w:hint="eastAsia"/>
          <w:b/>
          <w:bCs/>
          <w:sz w:val="28"/>
          <w:szCs w:val="30"/>
        </w:rPr>
        <w:t>六、矿山地质环境监测</w:t>
      </w:r>
      <w:bookmarkEnd w:id="1013"/>
      <w:bookmarkEnd w:id="1014"/>
      <w:bookmarkEnd w:id="1015"/>
    </w:p>
    <w:p w:rsidR="009C5C1F" w:rsidRDefault="004D2E0D">
      <w:pPr>
        <w:keepNext/>
        <w:keepLines/>
        <w:suppressAutoHyphens/>
        <w:wordWrap w:val="0"/>
        <w:topLinePunct/>
        <w:spacing w:line="360" w:lineRule="auto"/>
        <w:ind w:firstLineChars="200" w:firstLine="482"/>
        <w:outlineLvl w:val="2"/>
        <w:rPr>
          <w:b/>
          <w:sz w:val="24"/>
          <w:szCs w:val="28"/>
        </w:rPr>
      </w:pPr>
      <w:bookmarkStart w:id="1016" w:name="_Toc70589898"/>
      <w:r>
        <w:rPr>
          <w:rFonts w:hint="eastAsia"/>
          <w:b/>
          <w:sz w:val="24"/>
          <w:szCs w:val="28"/>
        </w:rPr>
        <w:t>（一）目标任务</w:t>
      </w:r>
      <w:bookmarkEnd w:id="1016"/>
    </w:p>
    <w:p w:rsidR="009C5C1F" w:rsidRDefault="004D2E0D">
      <w:pPr>
        <w:suppressAutoHyphens/>
        <w:wordWrap w:val="0"/>
        <w:topLinePunct/>
        <w:spacing w:line="480" w:lineRule="atLeast"/>
        <w:ind w:firstLineChars="200" w:firstLine="480"/>
        <w:rPr>
          <w:sz w:val="24"/>
        </w:rPr>
      </w:pPr>
      <w:r>
        <w:rPr>
          <w:rFonts w:hint="eastAsia"/>
          <w:sz w:val="24"/>
        </w:rPr>
        <w:t>矿山建设及采矿活动可能引发滑坡、崩塌及地形地貌景观破坏、水土环境污染等矿山地质环境问题。矿山地质环境监测为矿山地质环境保护与恢复治理的重要组成部分，主要对矿山地质环境问题进行时空动态变化的观测。本着准确，及时、指导矿山开发的原则，针对矿山各个地质环境问题进行监测。在矿山生产阶段，对矿区范围内及工程治理区变形敏感部位进行地质宏观监测，并根据现场实际情况布置必要的监测设施。</w:t>
      </w:r>
    </w:p>
    <w:p w:rsidR="009C5C1F" w:rsidRDefault="004D2E0D">
      <w:pPr>
        <w:suppressAutoHyphens/>
        <w:wordWrap w:val="0"/>
        <w:topLinePunct/>
        <w:spacing w:line="480" w:lineRule="atLeast"/>
        <w:ind w:firstLineChars="200" w:firstLine="480"/>
        <w:rPr>
          <w:sz w:val="24"/>
        </w:rPr>
      </w:pPr>
      <w:r>
        <w:rPr>
          <w:rFonts w:hint="eastAsia"/>
          <w:sz w:val="24"/>
        </w:rPr>
        <w:t>在矿山开采过程中，为切实加强矿山地质环境保护，应建立健全矿山地质环境监测机制和地质灾害预警机制，建立专职矿山地质环境监测机构，设专职管理人员和技术人员，负责矿山企业地质环境监测工作，对地质环境监测统一管理，矿山地质环境</w:t>
      </w:r>
      <w:r>
        <w:rPr>
          <w:rFonts w:hint="eastAsia"/>
          <w:sz w:val="24"/>
        </w:rPr>
        <w:lastRenderedPageBreak/>
        <w:t>监测工作要贯穿在矿山建设、生产、闭坑治理期间及后续期间。</w:t>
      </w:r>
    </w:p>
    <w:p w:rsidR="009C5C1F" w:rsidRDefault="004D2E0D">
      <w:pPr>
        <w:suppressAutoHyphens/>
        <w:wordWrap w:val="0"/>
        <w:topLinePunct/>
        <w:spacing w:line="480" w:lineRule="atLeast"/>
        <w:ind w:firstLineChars="200" w:firstLine="480"/>
        <w:rPr>
          <w:sz w:val="24"/>
        </w:rPr>
      </w:pPr>
      <w:r>
        <w:rPr>
          <w:rFonts w:hint="eastAsia"/>
          <w:sz w:val="24"/>
        </w:rPr>
        <w:t>监测的最终目的是预报灾情，达到防灾减灾的目的。若发现险情应立即上报主管部门，将险区内人员、机械设备撤离，把灾害损失降低到最低限度。</w:t>
      </w:r>
    </w:p>
    <w:p w:rsidR="009C5C1F" w:rsidRDefault="004D2E0D">
      <w:pPr>
        <w:keepNext/>
        <w:keepLines/>
        <w:suppressAutoHyphens/>
        <w:wordWrap w:val="0"/>
        <w:topLinePunct/>
        <w:spacing w:line="360" w:lineRule="auto"/>
        <w:ind w:firstLineChars="200" w:firstLine="482"/>
        <w:outlineLvl w:val="2"/>
        <w:rPr>
          <w:b/>
          <w:sz w:val="24"/>
          <w:szCs w:val="28"/>
        </w:rPr>
      </w:pPr>
      <w:bookmarkStart w:id="1017" w:name="_Toc70589899"/>
      <w:r>
        <w:rPr>
          <w:b/>
          <w:sz w:val="24"/>
          <w:szCs w:val="28"/>
        </w:rPr>
        <w:t>(</w:t>
      </w:r>
      <w:r>
        <w:rPr>
          <w:b/>
          <w:sz w:val="24"/>
          <w:szCs w:val="28"/>
        </w:rPr>
        <w:t>二</w:t>
      </w:r>
      <w:r>
        <w:rPr>
          <w:b/>
          <w:sz w:val="24"/>
          <w:szCs w:val="28"/>
        </w:rPr>
        <w:t>)</w:t>
      </w:r>
      <w:r>
        <w:rPr>
          <w:b/>
          <w:sz w:val="24"/>
          <w:szCs w:val="28"/>
        </w:rPr>
        <w:t>监测设计</w:t>
      </w:r>
      <w:bookmarkEnd w:id="1017"/>
    </w:p>
    <w:p w:rsidR="009C5C1F" w:rsidRDefault="004D2E0D">
      <w:pPr>
        <w:suppressAutoHyphens/>
        <w:wordWrap w:val="0"/>
        <w:topLinePunct/>
        <w:spacing w:line="480" w:lineRule="atLeast"/>
        <w:ind w:firstLineChars="200" w:firstLine="480"/>
        <w:rPr>
          <w:sz w:val="24"/>
        </w:rPr>
      </w:pPr>
      <w:r>
        <w:rPr>
          <w:rFonts w:hint="eastAsia"/>
          <w:sz w:val="24"/>
        </w:rPr>
        <w:t>监测内容包括能够反应矿山地质环境质量的各类地质灾害隐患，同时还包括对已治理工程稳定性的监测等。</w:t>
      </w:r>
    </w:p>
    <w:p w:rsidR="009C5C1F" w:rsidRDefault="004D2E0D">
      <w:pPr>
        <w:suppressAutoHyphens/>
        <w:wordWrap w:val="0"/>
        <w:topLinePunct/>
        <w:spacing w:line="480" w:lineRule="atLeast"/>
        <w:ind w:firstLineChars="200" w:firstLine="480"/>
        <w:rPr>
          <w:sz w:val="24"/>
        </w:rPr>
      </w:pPr>
      <w:r>
        <w:rPr>
          <w:rFonts w:hint="eastAsia"/>
          <w:sz w:val="24"/>
        </w:rPr>
        <w:t>目前，国内外崩塌监测方法已发展到一个较高水平，监测内容丰富，监测方法较多，监测仪器各种各样。宏观地质调查法是采用常规的崩塌变形形迹追踪地质调查方法，进行人工巡视，并发动矿山人员报告崩塌区内出现的各种细微变化。该调查法选点宜在变化明显地段设固定点，包括调查路线应穿越、控制整个崩塌区。</w:t>
      </w:r>
    </w:p>
    <w:p w:rsidR="009C5C1F" w:rsidRDefault="004D2E0D">
      <w:pPr>
        <w:suppressAutoHyphens/>
        <w:wordWrap w:val="0"/>
        <w:topLinePunct/>
        <w:spacing w:line="480" w:lineRule="atLeast"/>
        <w:ind w:firstLineChars="200" w:firstLine="480"/>
        <w:rPr>
          <w:sz w:val="24"/>
        </w:rPr>
      </w:pPr>
      <w:r>
        <w:rPr>
          <w:rFonts w:hint="eastAsia"/>
          <w:sz w:val="24"/>
        </w:rPr>
        <w:t>本次评估区内开采边坡崩塌地质灾害监测采用宏观地质调查法。</w:t>
      </w:r>
    </w:p>
    <w:p w:rsidR="009C5C1F" w:rsidRDefault="004D2E0D">
      <w:pPr>
        <w:keepNext/>
        <w:keepLines/>
        <w:suppressAutoHyphens/>
        <w:wordWrap w:val="0"/>
        <w:topLinePunct/>
        <w:spacing w:line="360" w:lineRule="auto"/>
        <w:ind w:firstLineChars="200" w:firstLine="482"/>
        <w:outlineLvl w:val="2"/>
        <w:rPr>
          <w:b/>
          <w:sz w:val="24"/>
          <w:szCs w:val="28"/>
        </w:rPr>
      </w:pPr>
      <w:bookmarkStart w:id="1018" w:name="_Toc70589900"/>
      <w:r>
        <w:rPr>
          <w:b/>
          <w:sz w:val="24"/>
          <w:szCs w:val="28"/>
        </w:rPr>
        <w:t>(</w:t>
      </w:r>
      <w:r>
        <w:rPr>
          <w:b/>
          <w:sz w:val="24"/>
          <w:szCs w:val="28"/>
        </w:rPr>
        <w:t>三</w:t>
      </w:r>
      <w:r>
        <w:rPr>
          <w:b/>
          <w:sz w:val="24"/>
          <w:szCs w:val="28"/>
        </w:rPr>
        <w:t>)</w:t>
      </w:r>
      <w:r>
        <w:rPr>
          <w:b/>
          <w:sz w:val="24"/>
          <w:szCs w:val="28"/>
        </w:rPr>
        <w:t>技术措施</w:t>
      </w:r>
      <w:bookmarkEnd w:id="1018"/>
    </w:p>
    <w:p w:rsidR="009C5C1F" w:rsidRDefault="004D2E0D">
      <w:pPr>
        <w:suppressAutoHyphens/>
        <w:wordWrap w:val="0"/>
        <w:topLinePunct/>
        <w:spacing w:line="480" w:lineRule="atLeast"/>
        <w:ind w:firstLineChars="200" w:firstLine="480"/>
        <w:rPr>
          <w:sz w:val="24"/>
        </w:rPr>
      </w:pPr>
      <w:r>
        <w:rPr>
          <w:rFonts w:hint="eastAsia"/>
          <w:sz w:val="24"/>
        </w:rPr>
        <w:t>监测方法及监测点选定后，需确定测量工具和观测次数和时间间隔。测量工具原则上精度越高越好，但考虑到经济、实用和便于操作，本次宏观地质调查选用一般的地质罗盘钢卷尺等即可。测量次数和时间间隔应随崩塌所处阶段以及崩塌主要动力破坏因素的不同而有所差异，崩塌变形缓慢阶段宜每月一次，崩塌变形加快则监测次数相应加密。以降雨为主要动力破坏因素的崩塌，雨季应加密观测次数。监测观测工作应连续进行，直到经防治工程治理后不再变形为止。</w:t>
      </w:r>
    </w:p>
    <w:p w:rsidR="009C5C1F" w:rsidRDefault="004D2E0D">
      <w:pPr>
        <w:suppressAutoHyphens/>
        <w:wordWrap w:val="0"/>
        <w:topLinePunct/>
        <w:spacing w:line="480" w:lineRule="atLeast"/>
        <w:ind w:firstLineChars="200" w:firstLine="480"/>
        <w:rPr>
          <w:sz w:val="24"/>
        </w:rPr>
      </w:pPr>
      <w:r>
        <w:rPr>
          <w:rFonts w:hint="eastAsia"/>
          <w:sz w:val="24"/>
        </w:rPr>
        <w:t>每次监测需认真作好记录，室内将其制成表格，绘制监测时间</w:t>
      </w:r>
      <w:proofErr w:type="gramStart"/>
      <w:r>
        <w:rPr>
          <w:rFonts w:hint="eastAsia"/>
          <w:sz w:val="24"/>
        </w:rPr>
        <w:t>一</w:t>
      </w:r>
      <w:proofErr w:type="gramEnd"/>
      <w:r>
        <w:rPr>
          <w:rFonts w:hint="eastAsia"/>
          <w:sz w:val="24"/>
        </w:rPr>
        <w:t>位移曲线图，及时进行监测工作总结，为预测崩塌发展趋势和防治工程设计提供基础资料。</w:t>
      </w:r>
    </w:p>
    <w:p w:rsidR="009C5C1F" w:rsidRDefault="004D2E0D">
      <w:pPr>
        <w:keepNext/>
        <w:keepLines/>
        <w:suppressAutoHyphens/>
        <w:wordWrap w:val="0"/>
        <w:topLinePunct/>
        <w:spacing w:line="360" w:lineRule="auto"/>
        <w:ind w:firstLineChars="200" w:firstLine="482"/>
        <w:outlineLvl w:val="2"/>
        <w:rPr>
          <w:b/>
          <w:sz w:val="24"/>
          <w:szCs w:val="28"/>
        </w:rPr>
      </w:pPr>
      <w:bookmarkStart w:id="1019" w:name="_Toc70589901"/>
      <w:r>
        <w:rPr>
          <w:b/>
          <w:sz w:val="24"/>
          <w:szCs w:val="28"/>
        </w:rPr>
        <w:t>(</w:t>
      </w:r>
      <w:r>
        <w:rPr>
          <w:b/>
          <w:sz w:val="24"/>
          <w:szCs w:val="28"/>
        </w:rPr>
        <w:t>四</w:t>
      </w:r>
      <w:r>
        <w:rPr>
          <w:b/>
          <w:sz w:val="24"/>
          <w:szCs w:val="28"/>
        </w:rPr>
        <w:t>)</w:t>
      </w:r>
      <w:r>
        <w:rPr>
          <w:b/>
          <w:sz w:val="24"/>
          <w:szCs w:val="28"/>
        </w:rPr>
        <w:t>主要工程量</w:t>
      </w:r>
      <w:bookmarkEnd w:id="1019"/>
    </w:p>
    <w:p w:rsidR="009C5C1F" w:rsidRDefault="004D2E0D">
      <w:pPr>
        <w:suppressAutoHyphens/>
        <w:wordWrap w:val="0"/>
        <w:topLinePunct/>
        <w:spacing w:line="480" w:lineRule="atLeast"/>
        <w:ind w:firstLineChars="200" w:firstLine="480"/>
        <w:rPr>
          <w:sz w:val="24"/>
        </w:rPr>
      </w:pPr>
      <w:r>
        <w:rPr>
          <w:rFonts w:hint="eastAsia"/>
          <w:sz w:val="24"/>
        </w:rPr>
        <w:t>根据露天</w:t>
      </w:r>
      <w:proofErr w:type="gramStart"/>
      <w:r>
        <w:rPr>
          <w:rFonts w:hint="eastAsia"/>
          <w:sz w:val="24"/>
        </w:rPr>
        <w:t>采坑位置</w:t>
      </w:r>
      <w:proofErr w:type="gramEnd"/>
      <w:r>
        <w:rPr>
          <w:rFonts w:hint="eastAsia"/>
          <w:sz w:val="24"/>
        </w:rPr>
        <w:t>布置，在露天采矿坑边坡地面、堆料场、生产区共布设</w:t>
      </w:r>
      <w:r>
        <w:rPr>
          <w:sz w:val="24"/>
        </w:rPr>
        <w:t>12</w:t>
      </w:r>
      <w:r>
        <w:rPr>
          <w:rFonts w:hint="eastAsia"/>
          <w:sz w:val="24"/>
        </w:rPr>
        <w:t>个监测点。</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1020" w:name="_Toc70589902"/>
      <w:bookmarkStart w:id="1021" w:name="_Toc153130795"/>
      <w:r>
        <w:rPr>
          <w:rFonts w:eastAsia="黑体"/>
          <w:b/>
          <w:bCs/>
          <w:sz w:val="28"/>
          <w:szCs w:val="30"/>
        </w:rPr>
        <w:t>七、矿区土地复垦监测和管护</w:t>
      </w:r>
      <w:bookmarkEnd w:id="1020"/>
      <w:bookmarkEnd w:id="1021"/>
    </w:p>
    <w:p w:rsidR="009C5C1F" w:rsidRDefault="004D2E0D">
      <w:pPr>
        <w:suppressAutoHyphens/>
        <w:wordWrap w:val="0"/>
        <w:topLinePunct/>
        <w:spacing w:line="480" w:lineRule="atLeast"/>
        <w:ind w:firstLineChars="200" w:firstLine="480"/>
        <w:rPr>
          <w:sz w:val="24"/>
        </w:rPr>
      </w:pPr>
      <w:r>
        <w:rPr>
          <w:rFonts w:hint="eastAsia"/>
          <w:sz w:val="24"/>
        </w:rPr>
        <w:t>土地复垦监测是督促落实土地复垦责任的重要途径，是保障复垦能够按时、保质、保量完成的重要措施，是调整土地复垦方案中复垦目标、标准、措施及计划安排的重要依据，同时也是预防发生重大事故和减少土地造成损毁的重要手段之一，是实现我国土地复垦科学化、规范化、标准化的重要途径之一。</w:t>
      </w:r>
    </w:p>
    <w:p w:rsidR="009C5C1F" w:rsidRDefault="004D2E0D">
      <w:pPr>
        <w:keepNext/>
        <w:keepLines/>
        <w:suppressAutoHyphens/>
        <w:wordWrap w:val="0"/>
        <w:topLinePunct/>
        <w:spacing w:line="360" w:lineRule="auto"/>
        <w:ind w:firstLineChars="200" w:firstLine="482"/>
        <w:outlineLvl w:val="2"/>
        <w:rPr>
          <w:b/>
          <w:sz w:val="24"/>
          <w:szCs w:val="28"/>
        </w:rPr>
      </w:pPr>
      <w:bookmarkStart w:id="1022" w:name="_Toc70589903"/>
      <w:r>
        <w:rPr>
          <w:b/>
          <w:sz w:val="24"/>
          <w:szCs w:val="28"/>
        </w:rPr>
        <w:lastRenderedPageBreak/>
        <w:t>(</w:t>
      </w:r>
      <w:proofErr w:type="gramStart"/>
      <w:r>
        <w:rPr>
          <w:b/>
          <w:sz w:val="24"/>
          <w:szCs w:val="28"/>
        </w:rPr>
        <w:t>一</w:t>
      </w:r>
      <w:proofErr w:type="gramEnd"/>
      <w:r>
        <w:rPr>
          <w:b/>
          <w:sz w:val="24"/>
          <w:szCs w:val="28"/>
        </w:rPr>
        <w:t>)</w:t>
      </w:r>
      <w:r>
        <w:rPr>
          <w:b/>
          <w:sz w:val="24"/>
          <w:szCs w:val="28"/>
        </w:rPr>
        <w:t>目标任务</w:t>
      </w:r>
      <w:bookmarkEnd w:id="1022"/>
    </w:p>
    <w:p w:rsidR="009C5C1F" w:rsidRDefault="004D2E0D">
      <w:pPr>
        <w:suppressAutoHyphens/>
        <w:wordWrap w:val="0"/>
        <w:topLinePunct/>
        <w:spacing w:line="480" w:lineRule="atLeast"/>
        <w:ind w:firstLineChars="200" w:firstLine="480"/>
        <w:rPr>
          <w:sz w:val="24"/>
        </w:rPr>
      </w:pPr>
      <w:r>
        <w:rPr>
          <w:rFonts w:hint="eastAsia"/>
          <w:sz w:val="24"/>
        </w:rPr>
        <w:t>矿山建设及采矿活动可能引发滑坡、崩塌及含水层破坏、地形地貌景观破坏、水土环境污染等矿山地质环境问题。在矿山开采过程中，为切实加强矿山地质环境保护，应建立健全矿山地质环境监测机制和地质灾害预警机制，建立专职矿山地质环境监测机构，设专职管理人员和技术人员，负责矿山企业地质环境监测工作，对地质环境监测统一管理，矿山地质环境监测工作要贯穿在矿山建设、生产、闭坑治理期间及后续期间。矿山地质环境监测主要包括地质灾害监测、含水层监测、地形地貌景观监测、水土环境污染监测四个部分。</w:t>
      </w:r>
    </w:p>
    <w:p w:rsidR="009C5C1F" w:rsidRDefault="004D2E0D">
      <w:pPr>
        <w:suppressAutoHyphens/>
        <w:wordWrap w:val="0"/>
        <w:topLinePunct/>
        <w:spacing w:line="480" w:lineRule="atLeast"/>
        <w:ind w:firstLineChars="200" w:firstLine="480"/>
        <w:rPr>
          <w:sz w:val="24"/>
        </w:rPr>
      </w:pPr>
      <w:r>
        <w:rPr>
          <w:rFonts w:hint="eastAsia"/>
          <w:sz w:val="24"/>
        </w:rPr>
        <w:t>《土地复垦条例》第七条规定：</w:t>
      </w:r>
      <w:r>
        <w:rPr>
          <w:sz w:val="24"/>
        </w:rPr>
        <w:t>“</w:t>
      </w:r>
      <w:r>
        <w:rPr>
          <w:rFonts w:hint="eastAsia"/>
          <w:sz w:val="24"/>
        </w:rPr>
        <w:t>县级以上地方人民政府自然资源管理部门应当建立土地复垦监测制度，及时掌握本行政区域土地资源损毁和土地复垦效果等情况。</w:t>
      </w:r>
      <w:r>
        <w:rPr>
          <w:sz w:val="24"/>
        </w:rPr>
        <w:t>”</w:t>
      </w:r>
      <w:r>
        <w:rPr>
          <w:rFonts w:hint="eastAsia"/>
          <w:sz w:val="24"/>
        </w:rPr>
        <w:t>土地复垦监测应满足以下具体要求：</w:t>
      </w:r>
    </w:p>
    <w:p w:rsidR="009C5C1F" w:rsidRDefault="004D2E0D">
      <w:pPr>
        <w:suppressAutoHyphens/>
        <w:wordWrap w:val="0"/>
        <w:topLinePunct/>
        <w:spacing w:line="480" w:lineRule="atLeast"/>
        <w:ind w:firstLineChars="200" w:firstLine="480"/>
        <w:rPr>
          <w:sz w:val="24"/>
        </w:rPr>
      </w:pPr>
      <w:r>
        <w:rPr>
          <w:rFonts w:hint="eastAsia"/>
          <w:sz w:val="24"/>
        </w:rPr>
        <w:t>监测工作应系统全面。土地复垦涉及的学科多面广。因此，对</w:t>
      </w:r>
      <w:proofErr w:type="gramStart"/>
      <w:r>
        <w:rPr>
          <w:rFonts w:hint="eastAsia"/>
          <w:sz w:val="24"/>
        </w:rPr>
        <w:t>复垦区</w:t>
      </w:r>
      <w:proofErr w:type="gramEnd"/>
      <w:r>
        <w:rPr>
          <w:rFonts w:hint="eastAsia"/>
          <w:sz w:val="24"/>
        </w:rPr>
        <w:t>的监测内容不仅包括各项复垦工程实施范围质量进度等，还应包括土地损毁和生态环境恢复等方面的监测，确保</w:t>
      </w:r>
      <w:proofErr w:type="gramStart"/>
      <w:r>
        <w:rPr>
          <w:rFonts w:hint="eastAsia"/>
          <w:sz w:val="24"/>
        </w:rPr>
        <w:t>复垦区</w:t>
      </w:r>
      <w:proofErr w:type="gramEnd"/>
      <w:r>
        <w:rPr>
          <w:rFonts w:hint="eastAsia"/>
          <w:sz w:val="24"/>
        </w:rPr>
        <w:t>土地能够达到可利用状态。</w:t>
      </w:r>
    </w:p>
    <w:p w:rsidR="009C5C1F" w:rsidRDefault="004D2E0D">
      <w:pPr>
        <w:suppressAutoHyphens/>
        <w:wordWrap w:val="0"/>
        <w:topLinePunct/>
        <w:spacing w:line="480" w:lineRule="atLeast"/>
        <w:ind w:firstLineChars="200" w:firstLine="480"/>
        <w:rPr>
          <w:sz w:val="24"/>
        </w:rPr>
      </w:pPr>
      <w:r>
        <w:rPr>
          <w:rFonts w:hint="eastAsia"/>
          <w:sz w:val="24"/>
        </w:rPr>
        <w:t>监测方案应分类，切实可行。我国区域自然环境呈现地带性特征，土地复垦工程措施具有类比性，因此应根据自然环境和生产建设项目自身特点，分类制定土地复垦监测方案。</w:t>
      </w:r>
    </w:p>
    <w:p w:rsidR="009C5C1F" w:rsidRDefault="004D2E0D">
      <w:pPr>
        <w:suppressAutoHyphens/>
        <w:wordWrap w:val="0"/>
        <w:topLinePunct/>
        <w:spacing w:line="480" w:lineRule="atLeast"/>
        <w:ind w:firstLineChars="200" w:firstLine="480"/>
        <w:rPr>
          <w:sz w:val="24"/>
        </w:rPr>
      </w:pPr>
      <w:r>
        <w:rPr>
          <w:rFonts w:hint="eastAsia"/>
          <w:sz w:val="24"/>
        </w:rPr>
        <w:t>监测设臵应优化。复垦监测点、监测内容以及监测频率等布臵或是设臵，采取科学的技术方法，合理优化，减少生产建设单位不必要的开支。</w:t>
      </w:r>
    </w:p>
    <w:p w:rsidR="009C5C1F" w:rsidRDefault="004D2E0D">
      <w:pPr>
        <w:suppressAutoHyphens/>
        <w:wordWrap w:val="0"/>
        <w:topLinePunct/>
        <w:spacing w:line="480" w:lineRule="atLeast"/>
        <w:ind w:firstLineChars="200" w:firstLine="480"/>
        <w:rPr>
          <w:sz w:val="24"/>
        </w:rPr>
      </w:pPr>
      <w:r>
        <w:rPr>
          <w:rFonts w:hint="eastAsia"/>
          <w:sz w:val="24"/>
        </w:rPr>
        <w:t>监测标准应依据所设计的国家各类技术标准。主要技术标准为《土地复垦技术标准》</w:t>
      </w:r>
      <w:r>
        <w:rPr>
          <w:sz w:val="24"/>
        </w:rPr>
        <w:t>(</w:t>
      </w:r>
      <w:r>
        <w:rPr>
          <w:rFonts w:hint="eastAsia"/>
          <w:sz w:val="24"/>
        </w:rPr>
        <w:t>试行</w:t>
      </w:r>
      <w:r>
        <w:rPr>
          <w:sz w:val="24"/>
        </w:rPr>
        <w:t>)</w:t>
      </w:r>
      <w:r>
        <w:rPr>
          <w:rFonts w:hint="eastAsia"/>
          <w:sz w:val="24"/>
        </w:rPr>
        <w:t>、《土壤环境监测技术标准》</w:t>
      </w:r>
      <w:r>
        <w:rPr>
          <w:sz w:val="24"/>
        </w:rPr>
        <w:t>(HJ/T166-2004)</w:t>
      </w:r>
      <w:r>
        <w:rPr>
          <w:rFonts w:hint="eastAsia"/>
          <w:sz w:val="24"/>
        </w:rPr>
        <w:t>、《地表水和污水检测技术标准》</w:t>
      </w:r>
      <w:r>
        <w:rPr>
          <w:sz w:val="24"/>
        </w:rPr>
        <w:t>(HJ/T91-2002)</w:t>
      </w:r>
      <w:r>
        <w:rPr>
          <w:rFonts w:hint="eastAsia"/>
          <w:sz w:val="24"/>
        </w:rPr>
        <w:t>等。</w:t>
      </w:r>
    </w:p>
    <w:p w:rsidR="009C5C1F" w:rsidRDefault="004D2E0D">
      <w:pPr>
        <w:keepNext/>
        <w:keepLines/>
        <w:suppressAutoHyphens/>
        <w:wordWrap w:val="0"/>
        <w:topLinePunct/>
        <w:spacing w:beforeLines="50" w:before="120" w:line="360" w:lineRule="auto"/>
        <w:ind w:firstLineChars="200" w:firstLine="482"/>
        <w:outlineLvl w:val="2"/>
        <w:rPr>
          <w:b/>
          <w:sz w:val="24"/>
          <w:szCs w:val="28"/>
        </w:rPr>
      </w:pPr>
      <w:bookmarkStart w:id="1023" w:name="_Toc70589904"/>
      <w:r>
        <w:rPr>
          <w:b/>
          <w:sz w:val="24"/>
          <w:szCs w:val="28"/>
        </w:rPr>
        <w:t>(</w:t>
      </w:r>
      <w:r>
        <w:rPr>
          <w:b/>
          <w:sz w:val="24"/>
          <w:szCs w:val="28"/>
        </w:rPr>
        <w:t>二</w:t>
      </w:r>
      <w:r>
        <w:rPr>
          <w:b/>
          <w:sz w:val="24"/>
          <w:szCs w:val="28"/>
        </w:rPr>
        <w:t>)</w:t>
      </w:r>
      <w:r>
        <w:rPr>
          <w:b/>
          <w:sz w:val="24"/>
          <w:szCs w:val="28"/>
        </w:rPr>
        <w:t>措施和内容</w:t>
      </w:r>
      <w:bookmarkEnd w:id="1023"/>
    </w:p>
    <w:p w:rsidR="009C5C1F" w:rsidRDefault="004D2E0D">
      <w:pPr>
        <w:suppressAutoHyphens/>
        <w:wordWrap w:val="0"/>
        <w:topLinePunct/>
        <w:spacing w:line="480" w:lineRule="atLeast"/>
        <w:ind w:firstLineChars="200" w:firstLine="480"/>
        <w:rPr>
          <w:sz w:val="24"/>
        </w:rPr>
      </w:pPr>
      <w:r>
        <w:rPr>
          <w:rFonts w:hint="eastAsia"/>
          <w:sz w:val="24"/>
        </w:rPr>
        <w:t>土地复垦的目的，是恢复或改善生产建设项目土地</w:t>
      </w:r>
      <w:proofErr w:type="gramStart"/>
      <w:r>
        <w:rPr>
          <w:rFonts w:hint="eastAsia"/>
          <w:sz w:val="24"/>
        </w:rPr>
        <w:t>损毁区</w:t>
      </w:r>
      <w:proofErr w:type="gramEnd"/>
      <w:r>
        <w:rPr>
          <w:rFonts w:hint="eastAsia"/>
          <w:sz w:val="24"/>
        </w:rPr>
        <w:t>的生态环境和合理利用土地资源，因地制宜地将损毁土地复垦为农、林、牧、副、渔业用地。损毁土地的复垦具体目标，是复垦后的土地稳定且不再释放污染，实现其再生利用，以及区内生态系统得到恢复。基于这一目的，结合目前我国土地复垦开展现状，复垦监测区包括以下几个方面的内容。</w:t>
      </w:r>
    </w:p>
    <w:p w:rsidR="009C5C1F" w:rsidRDefault="004D2E0D">
      <w:pPr>
        <w:suppressAutoHyphens/>
        <w:wordWrap w:val="0"/>
        <w:topLinePunct/>
        <w:spacing w:line="480" w:lineRule="atLeast"/>
        <w:ind w:firstLineChars="200" w:firstLine="480"/>
        <w:rPr>
          <w:sz w:val="24"/>
        </w:rPr>
      </w:pPr>
      <w:r>
        <w:rPr>
          <w:rFonts w:hint="eastAsia"/>
          <w:sz w:val="24"/>
        </w:rPr>
        <w:lastRenderedPageBreak/>
        <w:t>为及时获得土地损毁情况及土地复垦效果，矿区所在地土地管理部门要定期监督检查，发现问题及时处理。复垦工程实施中出现技术问题由土地管理部门会同企业、设计和施工单位一同研究处理。</w:t>
      </w:r>
    </w:p>
    <w:p w:rsidR="009C5C1F" w:rsidRDefault="004D2E0D">
      <w:pPr>
        <w:suppressAutoHyphens/>
        <w:wordWrap w:val="0"/>
        <w:topLinePunct/>
        <w:spacing w:line="480" w:lineRule="atLeast"/>
        <w:ind w:firstLineChars="200" w:firstLine="480"/>
        <w:rPr>
          <w:sz w:val="24"/>
        </w:rPr>
      </w:pPr>
      <w:r>
        <w:rPr>
          <w:sz w:val="24"/>
        </w:rPr>
        <w:t>1.</w:t>
      </w:r>
      <w:proofErr w:type="gramStart"/>
      <w:r>
        <w:rPr>
          <w:rFonts w:hint="eastAsia"/>
          <w:sz w:val="24"/>
        </w:rPr>
        <w:t>复垦区</w:t>
      </w:r>
      <w:proofErr w:type="gramEnd"/>
      <w:r>
        <w:rPr>
          <w:rFonts w:hint="eastAsia"/>
          <w:sz w:val="24"/>
        </w:rPr>
        <w:t>原地貌地表状况监测</w:t>
      </w:r>
    </w:p>
    <w:p w:rsidR="009C5C1F" w:rsidRDefault="004D2E0D">
      <w:pPr>
        <w:suppressAutoHyphens/>
        <w:wordWrap w:val="0"/>
        <w:topLinePunct/>
        <w:spacing w:line="480" w:lineRule="atLeast"/>
        <w:ind w:firstLineChars="200" w:firstLine="480"/>
        <w:rPr>
          <w:sz w:val="24"/>
        </w:rPr>
      </w:pPr>
      <w:r>
        <w:rPr>
          <w:rFonts w:hint="eastAsia"/>
          <w:sz w:val="24"/>
        </w:rPr>
        <w:t>①原始地形信息。矿山开采都会导致地形地貌发生变化，露天开采的损毁主要是形成大</w:t>
      </w:r>
      <w:proofErr w:type="gramStart"/>
      <w:r>
        <w:rPr>
          <w:rFonts w:hint="eastAsia"/>
          <w:sz w:val="24"/>
        </w:rPr>
        <w:t>的采坑和</w:t>
      </w:r>
      <w:proofErr w:type="gramEnd"/>
      <w:r>
        <w:rPr>
          <w:rFonts w:hint="eastAsia"/>
          <w:sz w:val="24"/>
        </w:rPr>
        <w:t>堆料场。露天开采引起了地形变化，而且采矿的进行是不断变化的，为了更好地与原始地形进行对比，需要在开采前对原始地形进行检测。</w:t>
      </w:r>
    </w:p>
    <w:p w:rsidR="009C5C1F" w:rsidRDefault="004D2E0D">
      <w:pPr>
        <w:suppressAutoHyphens/>
        <w:wordWrap w:val="0"/>
        <w:topLinePunct/>
        <w:spacing w:line="480" w:lineRule="atLeast"/>
        <w:ind w:firstLineChars="200" w:firstLine="480"/>
        <w:rPr>
          <w:sz w:val="24"/>
        </w:rPr>
      </w:pPr>
      <w:r>
        <w:rPr>
          <w:rFonts w:hint="eastAsia"/>
          <w:sz w:val="24"/>
        </w:rPr>
        <w:t>②土地利用状况。要保留原始的土地利用状况信息，以便对后期的变化进行追踪对比研究。主要是土地利用数据。</w:t>
      </w:r>
    </w:p>
    <w:p w:rsidR="009C5C1F" w:rsidRDefault="004D2E0D">
      <w:pPr>
        <w:suppressAutoHyphens/>
        <w:wordWrap w:val="0"/>
        <w:topLinePunct/>
        <w:spacing w:line="480" w:lineRule="atLeast"/>
        <w:ind w:firstLineChars="200" w:firstLine="480"/>
        <w:rPr>
          <w:sz w:val="24"/>
        </w:rPr>
      </w:pPr>
      <w:r>
        <w:rPr>
          <w:rFonts w:hint="eastAsia"/>
          <w:sz w:val="24"/>
        </w:rPr>
        <w:t>③土壤信息。包括土壤类型，以及土壤的各种理化性质等信息。</w:t>
      </w:r>
    </w:p>
    <w:p w:rsidR="009C5C1F" w:rsidRDefault="004D2E0D">
      <w:pPr>
        <w:suppressAutoHyphens/>
        <w:wordWrap w:val="0"/>
        <w:topLinePunct/>
        <w:spacing w:line="480" w:lineRule="atLeast"/>
        <w:ind w:firstLineChars="200" w:firstLine="480"/>
        <w:rPr>
          <w:sz w:val="24"/>
        </w:rPr>
      </w:pPr>
      <w:r>
        <w:rPr>
          <w:sz w:val="24"/>
        </w:rPr>
        <w:t>2.</w:t>
      </w:r>
      <w:r>
        <w:rPr>
          <w:rFonts w:hint="eastAsia"/>
          <w:sz w:val="24"/>
        </w:rPr>
        <w:t>土地损毁检测</w:t>
      </w:r>
    </w:p>
    <w:p w:rsidR="009C5C1F" w:rsidRDefault="004D2E0D">
      <w:pPr>
        <w:suppressAutoHyphens/>
        <w:wordWrap w:val="0"/>
        <w:topLinePunct/>
        <w:spacing w:line="480" w:lineRule="atLeast"/>
        <w:ind w:firstLineChars="200" w:firstLine="480"/>
        <w:rPr>
          <w:sz w:val="24"/>
        </w:rPr>
      </w:pPr>
      <w:r>
        <w:rPr>
          <w:rFonts w:hint="eastAsia"/>
          <w:sz w:val="24"/>
        </w:rPr>
        <w:t>对挖损、压占、占用等土地损毁的情况进行监测。</w:t>
      </w:r>
    </w:p>
    <w:p w:rsidR="009C5C1F" w:rsidRDefault="004D2E0D">
      <w:pPr>
        <w:suppressAutoHyphens/>
        <w:wordWrap w:val="0"/>
        <w:topLinePunct/>
        <w:spacing w:line="480" w:lineRule="atLeast"/>
        <w:ind w:firstLineChars="200" w:firstLine="480"/>
        <w:rPr>
          <w:sz w:val="24"/>
        </w:rPr>
      </w:pPr>
      <w:r>
        <w:rPr>
          <w:rFonts w:hint="eastAsia"/>
          <w:sz w:val="24"/>
        </w:rPr>
        <w:t>监测人员及频率。委托有资质的单位专业人员及时监测。水准基准点监测频率为两个月一次，地表变形监测频率为两个月一次；地表变形监测点监测频率为每月一次。观测记录要准确可靠，并及时整理观测资料，并与预测结果进行对比分析。</w:t>
      </w:r>
    </w:p>
    <w:p w:rsidR="009C5C1F" w:rsidRDefault="004D2E0D">
      <w:pPr>
        <w:suppressAutoHyphens/>
        <w:wordWrap w:val="0"/>
        <w:topLinePunct/>
        <w:spacing w:line="480" w:lineRule="atLeast"/>
        <w:ind w:firstLineChars="200" w:firstLine="480"/>
        <w:rPr>
          <w:sz w:val="24"/>
        </w:rPr>
      </w:pPr>
      <w:r>
        <w:rPr>
          <w:rFonts w:hint="eastAsia"/>
          <w:sz w:val="24"/>
        </w:rPr>
        <w:t>3</w:t>
      </w:r>
      <w:r>
        <w:rPr>
          <w:sz w:val="24"/>
        </w:rPr>
        <w:t>.</w:t>
      </w:r>
      <w:r>
        <w:rPr>
          <w:rFonts w:hint="eastAsia"/>
          <w:sz w:val="24"/>
        </w:rPr>
        <w:t>复垦效果监测</w:t>
      </w:r>
    </w:p>
    <w:p w:rsidR="009C5C1F" w:rsidRDefault="004D2E0D">
      <w:pPr>
        <w:suppressAutoHyphens/>
        <w:wordWrap w:val="0"/>
        <w:topLinePunct/>
        <w:spacing w:line="480" w:lineRule="atLeast"/>
        <w:ind w:firstLineChars="200" w:firstLine="480"/>
        <w:rPr>
          <w:sz w:val="24"/>
        </w:rPr>
      </w:pPr>
      <w:r>
        <w:rPr>
          <w:rFonts w:hint="eastAsia"/>
          <w:sz w:val="24"/>
        </w:rPr>
        <w:t>复垦效果监测的目的在于结合项目区自然环境实际情况，加强对于复垦后的监测，真实反映复垦工作的效果，及时发现复垦工作的遗漏或疏忽问题，便于找到行之有效的复垦方法和经验，同时也是对复垦工作的监督，终究目的是更好地保障土地复垦工作顺利实施和保护土地复垦工作成果。</w:t>
      </w:r>
    </w:p>
    <w:p w:rsidR="009C5C1F" w:rsidRDefault="004D2E0D">
      <w:pPr>
        <w:suppressAutoHyphens/>
        <w:wordWrap w:val="0"/>
        <w:topLinePunct/>
        <w:spacing w:line="480" w:lineRule="atLeast"/>
        <w:ind w:firstLineChars="200" w:firstLine="480"/>
        <w:rPr>
          <w:sz w:val="24"/>
        </w:rPr>
      </w:pPr>
      <w:r>
        <w:rPr>
          <w:sz w:val="24"/>
        </w:rPr>
        <w:fldChar w:fldCharType="begin"/>
      </w:r>
      <w:r>
        <w:rPr>
          <w:sz w:val="24"/>
        </w:rPr>
        <w:instrText xml:space="preserve"> </w:instrText>
      </w:r>
      <w:r>
        <w:rPr>
          <w:rFonts w:hint="eastAsia"/>
          <w:sz w:val="24"/>
        </w:rPr>
        <w:instrText>= 1 \* GB2</w:instrText>
      </w:r>
      <w:r>
        <w:rPr>
          <w:sz w:val="24"/>
        </w:rPr>
        <w:instrText xml:space="preserve"> </w:instrText>
      </w:r>
      <w:r>
        <w:rPr>
          <w:sz w:val="24"/>
        </w:rPr>
        <w:fldChar w:fldCharType="separate"/>
      </w:r>
      <w:r>
        <w:rPr>
          <w:rFonts w:hint="eastAsia"/>
          <w:sz w:val="24"/>
        </w:rPr>
        <w:t>⑴</w:t>
      </w:r>
      <w:r>
        <w:rPr>
          <w:sz w:val="24"/>
        </w:rPr>
        <w:fldChar w:fldCharType="end"/>
      </w:r>
      <w:r>
        <w:rPr>
          <w:rFonts w:hint="eastAsia"/>
          <w:sz w:val="24"/>
        </w:rPr>
        <w:t>土壤质量监测</w:t>
      </w:r>
    </w:p>
    <w:p w:rsidR="009C5C1F" w:rsidRDefault="004D2E0D">
      <w:pPr>
        <w:suppressAutoHyphens/>
        <w:wordWrap w:val="0"/>
        <w:topLinePunct/>
        <w:spacing w:line="480" w:lineRule="atLeast"/>
        <w:ind w:firstLineChars="200" w:firstLine="480"/>
        <w:rPr>
          <w:sz w:val="24"/>
        </w:rPr>
      </w:pPr>
      <w:r>
        <w:rPr>
          <w:rFonts w:hint="eastAsia"/>
          <w:sz w:val="24"/>
        </w:rPr>
        <w:t>表土资源在合理存放的基础上，还应当加强对土壤质量的监测，保证后期复垦土源质量能够达到预期复垦效果。监测工作应当在表土剥离、表土堆存过程中、表土使用时和复垦成耕地后的土壤质量分别分时段进行监测，监测内容包括土壤</w:t>
      </w:r>
      <w:r>
        <w:rPr>
          <w:rFonts w:hint="eastAsia"/>
          <w:sz w:val="24"/>
        </w:rPr>
        <w:t>P</w:t>
      </w:r>
      <w:r>
        <w:rPr>
          <w:sz w:val="24"/>
        </w:rPr>
        <w:t>H</w:t>
      </w:r>
      <w:r>
        <w:rPr>
          <w:rFonts w:hint="eastAsia"/>
          <w:sz w:val="24"/>
        </w:rPr>
        <w:t>、有机质、</w:t>
      </w:r>
      <w:r>
        <w:rPr>
          <w:rFonts w:hint="eastAsia"/>
          <w:sz w:val="24"/>
        </w:rPr>
        <w:t>N</w:t>
      </w:r>
      <w:r>
        <w:rPr>
          <w:rFonts w:hint="eastAsia"/>
          <w:sz w:val="24"/>
        </w:rPr>
        <w:t>、有效</w:t>
      </w:r>
      <w:r>
        <w:rPr>
          <w:rFonts w:hint="eastAsia"/>
          <w:sz w:val="24"/>
        </w:rPr>
        <w:t>P</w:t>
      </w:r>
      <w:r>
        <w:rPr>
          <w:rFonts w:hint="eastAsia"/>
          <w:sz w:val="24"/>
        </w:rPr>
        <w:t>、</w:t>
      </w:r>
      <w:r>
        <w:rPr>
          <w:rFonts w:hint="eastAsia"/>
          <w:sz w:val="24"/>
        </w:rPr>
        <w:t>K</w:t>
      </w:r>
      <w:r>
        <w:rPr>
          <w:rFonts w:hint="eastAsia"/>
          <w:sz w:val="24"/>
        </w:rPr>
        <w:t>等。如果发现土壤质量下降的情况，应立即采取培肥措施，补栽绿肥植物等有效措施，保证复垦成耕地后土壤质量满足复垦要求。并通过人工调查弄清土壤类型、土壤分布以及土壤质量状况。</w:t>
      </w:r>
    </w:p>
    <w:p w:rsidR="009C5C1F" w:rsidRDefault="004D2E0D">
      <w:pPr>
        <w:suppressAutoHyphens/>
        <w:wordWrap w:val="0"/>
        <w:topLinePunct/>
        <w:spacing w:line="480" w:lineRule="atLeast"/>
        <w:ind w:firstLineChars="200" w:firstLine="480"/>
        <w:rPr>
          <w:sz w:val="24"/>
        </w:rPr>
      </w:pPr>
      <w:r>
        <w:rPr>
          <w:sz w:val="24"/>
        </w:rPr>
        <w:fldChar w:fldCharType="begin"/>
      </w:r>
      <w:r>
        <w:rPr>
          <w:sz w:val="24"/>
        </w:rPr>
        <w:instrText xml:space="preserve"> </w:instrText>
      </w:r>
      <w:r>
        <w:rPr>
          <w:rFonts w:hint="eastAsia"/>
          <w:sz w:val="24"/>
        </w:rPr>
        <w:instrText>= 2 \* GB2</w:instrText>
      </w:r>
      <w:r>
        <w:rPr>
          <w:sz w:val="24"/>
        </w:rPr>
        <w:instrText xml:space="preserve"> </w:instrText>
      </w:r>
      <w:r>
        <w:rPr>
          <w:sz w:val="24"/>
        </w:rPr>
        <w:fldChar w:fldCharType="separate"/>
      </w:r>
      <w:r>
        <w:rPr>
          <w:rFonts w:hint="eastAsia"/>
          <w:sz w:val="24"/>
        </w:rPr>
        <w:t>⑵</w:t>
      </w:r>
      <w:r>
        <w:rPr>
          <w:sz w:val="24"/>
        </w:rPr>
        <w:fldChar w:fldCharType="end"/>
      </w:r>
      <w:r>
        <w:rPr>
          <w:rFonts w:hint="eastAsia"/>
          <w:sz w:val="24"/>
        </w:rPr>
        <w:t>复垦植被监测：复垦为其他草地的区域须对植被恢复情况进行监测。</w:t>
      </w:r>
    </w:p>
    <w:p w:rsidR="009C5C1F" w:rsidRDefault="004D2E0D">
      <w:pPr>
        <w:suppressAutoHyphens/>
        <w:wordWrap w:val="0"/>
        <w:topLinePunct/>
        <w:spacing w:line="480" w:lineRule="atLeast"/>
        <w:ind w:firstLineChars="200" w:firstLine="480"/>
        <w:rPr>
          <w:sz w:val="24"/>
        </w:rPr>
      </w:pPr>
      <w:r>
        <w:rPr>
          <w:sz w:val="24"/>
        </w:rPr>
        <w:fldChar w:fldCharType="begin"/>
      </w:r>
      <w:r>
        <w:rPr>
          <w:sz w:val="24"/>
        </w:rPr>
        <w:instrText xml:space="preserve"> </w:instrText>
      </w:r>
      <w:r>
        <w:rPr>
          <w:rFonts w:hint="eastAsia"/>
          <w:sz w:val="24"/>
        </w:rPr>
        <w:instrText>= 3 \* GB2</w:instrText>
      </w:r>
      <w:r>
        <w:rPr>
          <w:sz w:val="24"/>
        </w:rPr>
        <w:instrText xml:space="preserve"> </w:instrText>
      </w:r>
      <w:r>
        <w:rPr>
          <w:sz w:val="24"/>
        </w:rPr>
        <w:fldChar w:fldCharType="separate"/>
      </w:r>
      <w:r>
        <w:rPr>
          <w:rFonts w:hint="eastAsia"/>
          <w:sz w:val="24"/>
        </w:rPr>
        <w:t>⑶</w:t>
      </w:r>
      <w:r>
        <w:rPr>
          <w:sz w:val="24"/>
        </w:rPr>
        <w:fldChar w:fldCharType="end"/>
      </w:r>
      <w:r>
        <w:rPr>
          <w:rFonts w:hint="eastAsia"/>
          <w:sz w:val="24"/>
        </w:rPr>
        <w:t>复垦配套设施监测：复垦过程中，对复垦的辅助设施，交通情况进行监测。</w:t>
      </w:r>
    </w:p>
    <w:p w:rsidR="009C5C1F" w:rsidRDefault="004D2E0D">
      <w:pPr>
        <w:keepNext/>
        <w:keepLines/>
        <w:suppressAutoHyphens/>
        <w:wordWrap w:val="0"/>
        <w:topLinePunct/>
        <w:spacing w:beforeLines="50" w:before="120" w:line="360" w:lineRule="auto"/>
        <w:ind w:firstLineChars="200" w:firstLine="482"/>
        <w:outlineLvl w:val="2"/>
        <w:rPr>
          <w:b/>
          <w:sz w:val="24"/>
          <w:szCs w:val="28"/>
        </w:rPr>
      </w:pPr>
      <w:bookmarkStart w:id="1024" w:name="_Toc70589905"/>
      <w:r>
        <w:rPr>
          <w:b/>
          <w:sz w:val="24"/>
          <w:szCs w:val="28"/>
        </w:rPr>
        <w:lastRenderedPageBreak/>
        <w:t>(</w:t>
      </w:r>
      <w:r>
        <w:rPr>
          <w:b/>
          <w:sz w:val="24"/>
          <w:szCs w:val="28"/>
        </w:rPr>
        <w:t>三</w:t>
      </w:r>
      <w:r>
        <w:rPr>
          <w:b/>
          <w:sz w:val="24"/>
          <w:szCs w:val="28"/>
        </w:rPr>
        <w:t>)</w:t>
      </w:r>
      <w:r>
        <w:rPr>
          <w:b/>
          <w:sz w:val="24"/>
          <w:szCs w:val="28"/>
        </w:rPr>
        <w:t>主要工程量</w:t>
      </w:r>
      <w:bookmarkEnd w:id="1024"/>
    </w:p>
    <w:p w:rsidR="009C5C1F" w:rsidRDefault="004D2E0D">
      <w:pPr>
        <w:suppressAutoHyphens/>
        <w:wordWrap w:val="0"/>
        <w:topLinePunct/>
        <w:spacing w:line="480" w:lineRule="atLeast"/>
        <w:ind w:firstLineChars="200" w:firstLine="480"/>
        <w:rPr>
          <w:sz w:val="24"/>
        </w:rPr>
      </w:pPr>
      <w:r>
        <w:rPr>
          <w:rFonts w:hint="eastAsia"/>
          <w:sz w:val="24"/>
        </w:rPr>
        <w:t>为及时获得土地损毁情况及土地复垦效果，矿区所在地土地管理部门要定期监督检查，发现问题及时处理。复垦工程实施中出现技术问题由土地管理部门会同企业、设计和施工单位一同研究处理。</w:t>
      </w:r>
    </w:p>
    <w:p w:rsidR="009C5C1F" w:rsidRDefault="004D2E0D">
      <w:pPr>
        <w:suppressAutoHyphens/>
        <w:wordWrap w:val="0"/>
        <w:topLinePunct/>
        <w:spacing w:line="480" w:lineRule="atLeast"/>
        <w:ind w:firstLineChars="200" w:firstLine="480"/>
        <w:rPr>
          <w:sz w:val="24"/>
        </w:rPr>
      </w:pPr>
      <w:r>
        <w:rPr>
          <w:rFonts w:hint="eastAsia"/>
          <w:sz w:val="24"/>
        </w:rPr>
        <w:t>复垦工程结束后，采取自然恢复的方式，不进行浇水灌溉，因此不进行管护，不涉及工程量。</w:t>
      </w:r>
    </w:p>
    <w:p w:rsidR="009C5C1F" w:rsidRDefault="009C5C1F">
      <w:pPr>
        <w:suppressAutoHyphens/>
        <w:wordWrap w:val="0"/>
        <w:topLinePunct/>
        <w:spacing w:line="360" w:lineRule="auto"/>
        <w:ind w:firstLineChars="200" w:firstLine="480"/>
        <w:rPr>
          <w:sz w:val="24"/>
        </w:rPr>
      </w:pPr>
    </w:p>
    <w:p w:rsidR="009C5C1F" w:rsidRDefault="009C5C1F">
      <w:pPr>
        <w:keepNext/>
        <w:keepLines/>
        <w:suppressAutoHyphens/>
        <w:wordWrap w:val="0"/>
        <w:topLinePunct/>
        <w:spacing w:beforeLines="50" w:before="120" w:afterLines="50" w:after="120" w:line="580" w:lineRule="exact"/>
        <w:ind w:firstLine="720"/>
        <w:jc w:val="center"/>
        <w:outlineLvl w:val="0"/>
        <w:rPr>
          <w:b/>
          <w:bCs/>
          <w:kern w:val="44"/>
          <w:sz w:val="36"/>
          <w:szCs w:val="36"/>
        </w:rPr>
        <w:sectPr w:rsidR="009C5C1F">
          <w:pgSz w:w="11907" w:h="16840"/>
          <w:pgMar w:top="1418" w:right="1418" w:bottom="1418" w:left="1588" w:header="851" w:footer="737" w:gutter="0"/>
          <w:cols w:space="425"/>
          <w:docGrid w:linePitch="598" w:charSpace="-518"/>
        </w:sectPr>
      </w:pPr>
    </w:p>
    <w:p w:rsidR="009C5C1F" w:rsidRDefault="004D2E0D">
      <w:pPr>
        <w:keepNext/>
        <w:keepLines/>
        <w:suppressAutoHyphens/>
        <w:wordWrap w:val="0"/>
        <w:topLinePunct/>
        <w:spacing w:beforeLines="50" w:before="120" w:afterLines="50" w:after="120" w:line="580" w:lineRule="exact"/>
        <w:ind w:firstLine="720"/>
        <w:jc w:val="center"/>
        <w:outlineLvl w:val="0"/>
        <w:rPr>
          <w:b/>
          <w:bCs/>
          <w:kern w:val="44"/>
          <w:sz w:val="36"/>
          <w:szCs w:val="36"/>
        </w:rPr>
      </w:pPr>
      <w:bookmarkStart w:id="1025" w:name="_Toc511226485"/>
      <w:bookmarkStart w:id="1026" w:name="_Toc70589906"/>
      <w:bookmarkStart w:id="1027" w:name="_Toc153130796"/>
      <w:r>
        <w:rPr>
          <w:rFonts w:hint="eastAsia"/>
          <w:b/>
          <w:bCs/>
          <w:kern w:val="44"/>
          <w:sz w:val="36"/>
          <w:szCs w:val="36"/>
        </w:rPr>
        <w:lastRenderedPageBreak/>
        <w:t>第六章</w:t>
      </w:r>
      <w:r>
        <w:rPr>
          <w:rFonts w:hint="eastAsia"/>
          <w:b/>
          <w:bCs/>
          <w:kern w:val="44"/>
          <w:sz w:val="36"/>
          <w:szCs w:val="36"/>
        </w:rPr>
        <w:t xml:space="preserve">   </w:t>
      </w:r>
      <w:r>
        <w:rPr>
          <w:rFonts w:hint="eastAsia"/>
          <w:b/>
          <w:bCs/>
          <w:kern w:val="44"/>
          <w:sz w:val="36"/>
          <w:szCs w:val="36"/>
        </w:rPr>
        <w:t>矿山地质环境治理与土地复垦工作部署</w:t>
      </w:r>
      <w:bookmarkEnd w:id="1025"/>
      <w:bookmarkEnd w:id="1026"/>
      <w:bookmarkEnd w:id="1027"/>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1028" w:name="_Toc511226486"/>
      <w:bookmarkStart w:id="1029" w:name="_Toc70589907"/>
      <w:bookmarkStart w:id="1030" w:name="_Toc153130797"/>
      <w:r>
        <w:rPr>
          <w:rFonts w:eastAsia="黑体" w:hint="eastAsia"/>
          <w:b/>
          <w:bCs/>
          <w:sz w:val="28"/>
          <w:szCs w:val="30"/>
        </w:rPr>
        <w:t>一、总体工作部署</w:t>
      </w:r>
      <w:bookmarkEnd w:id="1028"/>
      <w:bookmarkEnd w:id="1029"/>
      <w:bookmarkEnd w:id="1030"/>
    </w:p>
    <w:p w:rsidR="009C5C1F" w:rsidRDefault="004D2E0D">
      <w:pPr>
        <w:suppressAutoHyphens/>
        <w:wordWrap w:val="0"/>
        <w:topLinePunct/>
        <w:spacing w:line="360" w:lineRule="auto"/>
        <w:ind w:firstLineChars="200" w:firstLine="480"/>
        <w:rPr>
          <w:sz w:val="24"/>
        </w:rPr>
      </w:pPr>
      <w:r>
        <w:rPr>
          <w:sz w:val="24"/>
        </w:rPr>
        <w:t>总体部署即是矿山闭坑后要达到的目标。根据矿山地质环境现状、存在的主要矿山地质环境问题和评估结果，该矿山地质环境保护与土地复垦总体部署任务是通过该方案的实施，最大限度地避免或减轻因矿山工程建设和采矿活动对矿山地质环境的影响和破坏，闭坑后实现矿山地质环境的有效恢复，即矿山关闭后地表应基本恢复到采矿前的状态，对存在的地质灾害隐患应采取永久性防治措施，使矿山地质环境问题得到有效治理，保证矿区经济社会发展和周围居民生命财产安全。</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1031" w:name="_Toc70589908"/>
      <w:bookmarkStart w:id="1032" w:name="_Toc153130798"/>
      <w:r>
        <w:rPr>
          <w:rFonts w:eastAsia="黑体"/>
          <w:b/>
          <w:bCs/>
          <w:sz w:val="28"/>
          <w:szCs w:val="30"/>
        </w:rPr>
        <w:t>二、阶段实施计划</w:t>
      </w:r>
      <w:bookmarkEnd w:id="1031"/>
      <w:bookmarkEnd w:id="1032"/>
    </w:p>
    <w:p w:rsidR="009C5C1F" w:rsidRDefault="004D2E0D">
      <w:pPr>
        <w:suppressAutoHyphens/>
        <w:wordWrap w:val="0"/>
        <w:topLinePunct/>
        <w:spacing w:line="360" w:lineRule="auto"/>
        <w:ind w:firstLineChars="200" w:firstLine="480"/>
        <w:rPr>
          <w:sz w:val="24"/>
        </w:rPr>
      </w:pPr>
      <w:r>
        <w:rPr>
          <w:sz w:val="24"/>
        </w:rPr>
        <w:t>矿山服务年限为</w:t>
      </w:r>
      <w:r>
        <w:rPr>
          <w:sz w:val="24"/>
        </w:rPr>
        <w:t>11</w:t>
      </w:r>
      <w:r>
        <w:rPr>
          <w:sz w:val="24"/>
        </w:rPr>
        <w:t>年，方案编制年限为</w:t>
      </w:r>
      <w:r>
        <w:rPr>
          <w:rFonts w:hint="eastAsia"/>
          <w:sz w:val="24"/>
        </w:rPr>
        <w:t>8</w:t>
      </w:r>
      <w:r>
        <w:rPr>
          <w:rFonts w:hint="eastAsia"/>
          <w:sz w:val="24"/>
        </w:rPr>
        <w:t>年，</w:t>
      </w:r>
      <w:r>
        <w:rPr>
          <w:sz w:val="24"/>
        </w:rPr>
        <w:t>为了圆满完成矿山地质环境恢复治理工作，使之达到与周围环境相互协调，需对其综合治理工作进行合理部署。因此该矿山地质环境的综合治理工作总体部署为：</w:t>
      </w:r>
    </w:p>
    <w:p w:rsidR="009C5C1F" w:rsidRDefault="004D2E0D">
      <w:pPr>
        <w:suppressAutoHyphens/>
        <w:wordWrap w:val="0"/>
        <w:topLinePunct/>
        <w:spacing w:line="360" w:lineRule="auto"/>
        <w:ind w:firstLineChars="200" w:firstLine="480"/>
        <w:rPr>
          <w:sz w:val="24"/>
        </w:rPr>
      </w:pPr>
      <w:r>
        <w:rPr>
          <w:sz w:val="24"/>
        </w:rPr>
        <w:t>基建治理期</w:t>
      </w:r>
      <w:r>
        <w:rPr>
          <w:rFonts w:hint="eastAsia"/>
          <w:sz w:val="24"/>
        </w:rPr>
        <w:t>：</w:t>
      </w:r>
      <w:r>
        <w:rPr>
          <w:sz w:val="24"/>
        </w:rPr>
        <w:t>该矿山为</w:t>
      </w:r>
      <w:r>
        <w:rPr>
          <w:rFonts w:hint="eastAsia"/>
          <w:sz w:val="24"/>
        </w:rPr>
        <w:t>新建</w:t>
      </w:r>
      <w:r>
        <w:rPr>
          <w:sz w:val="24"/>
        </w:rPr>
        <w:t>矿山，基建设施</w:t>
      </w:r>
      <w:r>
        <w:rPr>
          <w:rFonts w:hint="eastAsia"/>
          <w:sz w:val="24"/>
        </w:rPr>
        <w:t>尚未进行修建</w:t>
      </w:r>
      <w:r>
        <w:rPr>
          <w:sz w:val="24"/>
        </w:rPr>
        <w:t>，未来在该阶段主要是严格按照设计进行基础设施建设</w:t>
      </w:r>
      <w:r>
        <w:rPr>
          <w:rFonts w:hint="eastAsia"/>
          <w:sz w:val="24"/>
        </w:rPr>
        <w:t>，</w:t>
      </w:r>
      <w:r>
        <w:rPr>
          <w:sz w:val="24"/>
        </w:rPr>
        <w:t>尽量减少和降低土地扰动</w:t>
      </w:r>
      <w:r>
        <w:rPr>
          <w:rFonts w:hint="eastAsia"/>
          <w:sz w:val="24"/>
        </w:rPr>
        <w:t>。</w:t>
      </w:r>
    </w:p>
    <w:p w:rsidR="009C5C1F" w:rsidRDefault="004D2E0D">
      <w:pPr>
        <w:suppressAutoHyphens/>
        <w:wordWrap w:val="0"/>
        <w:topLinePunct/>
        <w:spacing w:line="360" w:lineRule="auto"/>
        <w:ind w:firstLineChars="200" w:firstLine="480"/>
        <w:rPr>
          <w:sz w:val="24"/>
        </w:rPr>
      </w:pPr>
      <w:r>
        <w:rPr>
          <w:sz w:val="24"/>
        </w:rPr>
        <w:t>边生产边治理期</w:t>
      </w:r>
      <w:r>
        <w:rPr>
          <w:rFonts w:hint="eastAsia"/>
          <w:sz w:val="24"/>
        </w:rPr>
        <w:t>：</w:t>
      </w:r>
      <w:r>
        <w:rPr>
          <w:sz w:val="24"/>
        </w:rPr>
        <w:t>2023</w:t>
      </w:r>
      <w:r>
        <w:rPr>
          <w:sz w:val="24"/>
        </w:rPr>
        <w:t>年</w:t>
      </w:r>
      <w:r>
        <w:rPr>
          <w:sz w:val="24"/>
        </w:rPr>
        <w:t>8</w:t>
      </w:r>
      <w:r>
        <w:rPr>
          <w:sz w:val="24"/>
        </w:rPr>
        <w:t>月～</w:t>
      </w:r>
      <w:r>
        <w:rPr>
          <w:sz w:val="24"/>
        </w:rPr>
        <w:t>2031</w:t>
      </w:r>
      <w:r>
        <w:rPr>
          <w:sz w:val="24"/>
        </w:rPr>
        <w:t>年</w:t>
      </w:r>
      <w:r>
        <w:rPr>
          <w:sz w:val="24"/>
        </w:rPr>
        <w:t>8</w:t>
      </w:r>
      <w:r>
        <w:rPr>
          <w:sz w:val="24"/>
        </w:rPr>
        <w:t>月，主要是清除崩塌体的危岩、浮石；对采场边坡等地采取环境保护监测，对矿区范围内土地资源压占、破坏进行监测，避免扩大对土地资源的破坏，并对采场边坡的稳定状况及区内降雨状况进行监测。</w:t>
      </w:r>
    </w:p>
    <w:p w:rsidR="009C5C1F" w:rsidRDefault="004D2E0D">
      <w:pPr>
        <w:suppressAutoHyphens/>
        <w:wordWrap w:val="0"/>
        <w:topLinePunct/>
        <w:spacing w:line="360" w:lineRule="auto"/>
        <w:ind w:firstLineChars="200" w:firstLine="480"/>
        <w:rPr>
          <w:sz w:val="24"/>
        </w:rPr>
      </w:pPr>
      <w:r>
        <w:rPr>
          <w:sz w:val="24"/>
        </w:rPr>
        <w:t>闭坑后治理期，</w:t>
      </w:r>
      <w:r>
        <w:rPr>
          <w:sz w:val="24"/>
        </w:rPr>
        <w:t>2031</w:t>
      </w:r>
      <w:r>
        <w:rPr>
          <w:sz w:val="24"/>
        </w:rPr>
        <w:t>年</w:t>
      </w:r>
      <w:r>
        <w:rPr>
          <w:sz w:val="24"/>
        </w:rPr>
        <w:t>8</w:t>
      </w:r>
      <w:r>
        <w:rPr>
          <w:sz w:val="24"/>
        </w:rPr>
        <w:t>月～</w:t>
      </w:r>
      <w:r>
        <w:rPr>
          <w:sz w:val="24"/>
        </w:rPr>
        <w:t>2034</w:t>
      </w:r>
      <w:r>
        <w:rPr>
          <w:sz w:val="24"/>
        </w:rPr>
        <w:t>年</w:t>
      </w:r>
      <w:r>
        <w:rPr>
          <w:sz w:val="24"/>
        </w:rPr>
        <w:t>8</w:t>
      </w:r>
      <w:r>
        <w:rPr>
          <w:sz w:val="24"/>
        </w:rPr>
        <w:t>月，主要是对矿山生态环境全面恢复治理重建，将</w:t>
      </w:r>
      <w:proofErr w:type="gramStart"/>
      <w:r>
        <w:rPr>
          <w:sz w:val="24"/>
        </w:rPr>
        <w:t>采场采坑进行</w:t>
      </w:r>
      <w:proofErr w:type="gramEnd"/>
      <w:r>
        <w:rPr>
          <w:sz w:val="24"/>
        </w:rPr>
        <w:t>整平；将矿区内所有建（构）</w:t>
      </w:r>
      <w:proofErr w:type="gramStart"/>
      <w:r>
        <w:rPr>
          <w:sz w:val="24"/>
        </w:rPr>
        <w:t>筑进行</w:t>
      </w:r>
      <w:proofErr w:type="gramEnd"/>
      <w:r>
        <w:rPr>
          <w:sz w:val="24"/>
        </w:rPr>
        <w:t>拆除，平整场地，覆土，</w:t>
      </w:r>
      <w:r>
        <w:rPr>
          <w:rFonts w:hint="eastAsia"/>
          <w:sz w:val="24"/>
        </w:rPr>
        <w:t>养护三年，</w:t>
      </w:r>
      <w:r>
        <w:rPr>
          <w:sz w:val="24"/>
        </w:rPr>
        <w:t>从而保证复垦工程达到预期效果，与周围地形地貌与自然景观相互协调，达到新的环境平衡。</w:t>
      </w:r>
    </w:p>
    <w:p w:rsidR="009C5C1F" w:rsidRDefault="004D2E0D">
      <w:pPr>
        <w:keepNext/>
        <w:keepLines/>
        <w:suppressAutoHyphens/>
        <w:wordWrap w:val="0"/>
        <w:topLinePunct/>
        <w:spacing w:beforeLines="50" w:before="120" w:afterLines="50" w:after="120" w:line="560" w:lineRule="exact"/>
        <w:ind w:firstLineChars="200" w:firstLine="562"/>
        <w:jc w:val="left"/>
        <w:outlineLvl w:val="1"/>
        <w:rPr>
          <w:rFonts w:eastAsia="黑体"/>
          <w:b/>
          <w:bCs/>
          <w:sz w:val="28"/>
          <w:szCs w:val="30"/>
        </w:rPr>
      </w:pPr>
      <w:bookmarkStart w:id="1033" w:name="_Toc70589909"/>
      <w:bookmarkStart w:id="1034" w:name="_Toc153130799"/>
      <w:r>
        <w:rPr>
          <w:rFonts w:eastAsia="黑体"/>
          <w:b/>
          <w:bCs/>
          <w:sz w:val="28"/>
          <w:szCs w:val="30"/>
        </w:rPr>
        <w:t>三、近期年度工作安排</w:t>
      </w:r>
      <w:bookmarkEnd w:id="1033"/>
      <w:bookmarkEnd w:id="1034"/>
    </w:p>
    <w:p w:rsidR="009C5C1F" w:rsidRDefault="004D2E0D">
      <w:pPr>
        <w:suppressAutoHyphens/>
        <w:wordWrap w:val="0"/>
        <w:topLinePunct/>
        <w:spacing w:line="360" w:lineRule="auto"/>
        <w:ind w:firstLineChars="200" w:firstLine="480"/>
        <w:rPr>
          <w:sz w:val="24"/>
        </w:rPr>
      </w:pPr>
      <w:r>
        <w:rPr>
          <w:sz w:val="24"/>
        </w:rPr>
        <w:t>根据矿山地质环境问题类型和矿山地质环境保护与土地复垦分区结果，按照轻重缓急、分阶段实施的原则，年度实施主要针对近期（方案适用年限内）的矿山地质环境问题进行恢复治理，即本方案适用年限</w:t>
      </w:r>
      <w:r>
        <w:rPr>
          <w:rFonts w:hint="eastAsia"/>
          <w:sz w:val="24"/>
        </w:rPr>
        <w:t>5</w:t>
      </w:r>
      <w:r>
        <w:rPr>
          <w:sz w:val="24"/>
        </w:rPr>
        <w:t>a</w:t>
      </w:r>
      <w:r>
        <w:rPr>
          <w:sz w:val="24"/>
        </w:rPr>
        <w:t>（</w:t>
      </w:r>
      <w:r>
        <w:rPr>
          <w:sz w:val="24"/>
        </w:rPr>
        <w:t>2023</w:t>
      </w:r>
      <w:r>
        <w:rPr>
          <w:sz w:val="24"/>
        </w:rPr>
        <w:t>年</w:t>
      </w:r>
      <w:r>
        <w:rPr>
          <w:sz w:val="24"/>
        </w:rPr>
        <w:t>8</w:t>
      </w:r>
      <w:r>
        <w:rPr>
          <w:sz w:val="24"/>
        </w:rPr>
        <w:t>月～</w:t>
      </w:r>
      <w:r>
        <w:rPr>
          <w:sz w:val="24"/>
        </w:rPr>
        <w:t>2028</w:t>
      </w:r>
      <w:r>
        <w:rPr>
          <w:sz w:val="24"/>
        </w:rPr>
        <w:t>年</w:t>
      </w:r>
      <w:r>
        <w:rPr>
          <w:sz w:val="24"/>
        </w:rPr>
        <w:t>8</w:t>
      </w:r>
      <w:r>
        <w:rPr>
          <w:sz w:val="24"/>
        </w:rPr>
        <w:t>月）内进行计划，工程按</w:t>
      </w:r>
      <w:r>
        <w:rPr>
          <w:sz w:val="24"/>
        </w:rPr>
        <w:t>“</w:t>
      </w:r>
      <w:r>
        <w:rPr>
          <w:sz w:val="24"/>
        </w:rPr>
        <w:t>生产期</w:t>
      </w:r>
      <w:r>
        <w:rPr>
          <w:sz w:val="24"/>
        </w:rPr>
        <w:t>”</w:t>
      </w:r>
      <w:r>
        <w:rPr>
          <w:sz w:val="24"/>
        </w:rPr>
        <w:t>一个阶段进行综合治理，边生产边治理期为</w:t>
      </w:r>
      <w:r>
        <w:rPr>
          <w:sz w:val="24"/>
        </w:rPr>
        <w:t>2023</w:t>
      </w:r>
      <w:r>
        <w:rPr>
          <w:sz w:val="24"/>
        </w:rPr>
        <w:t>年</w:t>
      </w:r>
      <w:r>
        <w:rPr>
          <w:sz w:val="24"/>
        </w:rPr>
        <w:t>8</w:t>
      </w:r>
      <w:r>
        <w:rPr>
          <w:sz w:val="24"/>
        </w:rPr>
        <w:t>月～</w:t>
      </w:r>
      <w:r>
        <w:rPr>
          <w:sz w:val="24"/>
        </w:rPr>
        <w:t>2028</w:t>
      </w:r>
      <w:r>
        <w:rPr>
          <w:sz w:val="24"/>
        </w:rPr>
        <w:t>年</w:t>
      </w:r>
      <w:r>
        <w:rPr>
          <w:sz w:val="24"/>
        </w:rPr>
        <w:t>8</w:t>
      </w:r>
      <w:r>
        <w:rPr>
          <w:sz w:val="24"/>
        </w:rPr>
        <w:t>月。</w:t>
      </w:r>
    </w:p>
    <w:p w:rsidR="009C5C1F" w:rsidRDefault="004D2E0D">
      <w:pPr>
        <w:suppressAutoHyphens/>
        <w:wordWrap w:val="0"/>
        <w:topLinePunct/>
        <w:spacing w:line="360" w:lineRule="auto"/>
        <w:ind w:firstLineChars="200" w:firstLine="480"/>
        <w:rPr>
          <w:sz w:val="24"/>
        </w:rPr>
      </w:pPr>
      <w:r>
        <w:rPr>
          <w:sz w:val="24"/>
        </w:rPr>
        <w:lastRenderedPageBreak/>
        <w:t>边生产边治理期（</w:t>
      </w:r>
      <w:r>
        <w:rPr>
          <w:sz w:val="24"/>
        </w:rPr>
        <w:t>2023</w:t>
      </w:r>
      <w:r>
        <w:rPr>
          <w:sz w:val="24"/>
        </w:rPr>
        <w:t>年</w:t>
      </w:r>
      <w:r>
        <w:rPr>
          <w:sz w:val="24"/>
        </w:rPr>
        <w:t>8</w:t>
      </w:r>
      <w:r>
        <w:rPr>
          <w:sz w:val="24"/>
        </w:rPr>
        <w:t>月～</w:t>
      </w:r>
      <w:r>
        <w:rPr>
          <w:sz w:val="24"/>
        </w:rPr>
        <w:t>2028</w:t>
      </w:r>
      <w:r>
        <w:rPr>
          <w:sz w:val="24"/>
        </w:rPr>
        <w:t>年</w:t>
      </w:r>
      <w:r>
        <w:rPr>
          <w:sz w:val="24"/>
        </w:rPr>
        <w:t>8</w:t>
      </w:r>
      <w:r>
        <w:rPr>
          <w:sz w:val="24"/>
        </w:rPr>
        <w:t>月）</w:t>
      </w:r>
    </w:p>
    <w:p w:rsidR="009C5C1F" w:rsidRDefault="004D2E0D">
      <w:pPr>
        <w:suppressAutoHyphens/>
        <w:wordWrap w:val="0"/>
        <w:topLinePunct/>
        <w:spacing w:line="360" w:lineRule="auto"/>
        <w:ind w:firstLineChars="200" w:firstLine="480"/>
        <w:rPr>
          <w:sz w:val="24"/>
        </w:rPr>
      </w:pPr>
      <w:r>
        <w:rPr>
          <w:rFonts w:hint="eastAsia"/>
          <w:sz w:val="24"/>
        </w:rPr>
        <w:t>（</w:t>
      </w:r>
      <w:r>
        <w:rPr>
          <w:rFonts w:hint="eastAsia"/>
          <w:sz w:val="24"/>
        </w:rPr>
        <w:t>1</w:t>
      </w:r>
      <w:r>
        <w:rPr>
          <w:rFonts w:hint="eastAsia"/>
          <w:sz w:val="24"/>
        </w:rPr>
        <w:t>）</w:t>
      </w:r>
      <w:r>
        <w:rPr>
          <w:sz w:val="24"/>
        </w:rPr>
        <w:t>清除崩塌体的危岩、浮石；</w:t>
      </w:r>
    </w:p>
    <w:p w:rsidR="009C5C1F" w:rsidRDefault="004D2E0D">
      <w:pPr>
        <w:suppressAutoHyphens/>
        <w:wordWrap w:val="0"/>
        <w:topLinePunct/>
        <w:spacing w:line="360" w:lineRule="auto"/>
        <w:ind w:firstLineChars="200" w:firstLine="480"/>
        <w:rPr>
          <w:sz w:val="24"/>
        </w:rPr>
      </w:pPr>
      <w:r>
        <w:rPr>
          <w:rFonts w:hint="eastAsia"/>
          <w:sz w:val="24"/>
        </w:rPr>
        <w:t>（</w:t>
      </w:r>
      <w:r>
        <w:rPr>
          <w:rFonts w:hint="eastAsia"/>
          <w:sz w:val="24"/>
        </w:rPr>
        <w:t>2</w:t>
      </w:r>
      <w:r>
        <w:rPr>
          <w:rFonts w:hint="eastAsia"/>
          <w:sz w:val="24"/>
        </w:rPr>
        <w:t>）</w:t>
      </w:r>
      <w:r>
        <w:rPr>
          <w:rFonts w:hint="eastAsia"/>
          <w:sz w:val="24"/>
        </w:rPr>
        <w:t>5</w:t>
      </w:r>
      <w:r>
        <w:rPr>
          <w:sz w:val="24"/>
        </w:rPr>
        <w:t>年内开采形成</w:t>
      </w:r>
      <w:proofErr w:type="gramStart"/>
      <w:r>
        <w:rPr>
          <w:sz w:val="24"/>
        </w:rPr>
        <w:t>的采坑周边</w:t>
      </w:r>
      <w:proofErr w:type="gramEnd"/>
      <w:r>
        <w:rPr>
          <w:sz w:val="24"/>
        </w:rPr>
        <w:t>架设防护栏；</w:t>
      </w:r>
    </w:p>
    <w:p w:rsidR="009C5C1F" w:rsidRDefault="004D2E0D">
      <w:pPr>
        <w:suppressAutoHyphens/>
        <w:wordWrap w:val="0"/>
        <w:topLinePunct/>
        <w:spacing w:line="360" w:lineRule="auto"/>
        <w:ind w:firstLineChars="200" w:firstLine="480"/>
        <w:rPr>
          <w:sz w:val="24"/>
        </w:rPr>
      </w:pPr>
      <w:r>
        <w:rPr>
          <w:rFonts w:hint="eastAsia"/>
          <w:sz w:val="24"/>
        </w:rPr>
        <w:t>（</w:t>
      </w:r>
      <w:r>
        <w:rPr>
          <w:rFonts w:hint="eastAsia"/>
          <w:sz w:val="24"/>
        </w:rPr>
        <w:t>3</w:t>
      </w:r>
      <w:r>
        <w:rPr>
          <w:rFonts w:hint="eastAsia"/>
          <w:sz w:val="24"/>
        </w:rPr>
        <w:t>）</w:t>
      </w:r>
      <w:r>
        <w:rPr>
          <w:sz w:val="24"/>
        </w:rPr>
        <w:t>将</w:t>
      </w:r>
      <w:r>
        <w:rPr>
          <w:rFonts w:hint="eastAsia"/>
          <w:sz w:val="24"/>
        </w:rPr>
        <w:t>堆料场</w:t>
      </w:r>
      <w:r>
        <w:rPr>
          <w:sz w:val="24"/>
        </w:rPr>
        <w:t>内废弃物回填至开采结束的采坑中；</w:t>
      </w:r>
    </w:p>
    <w:p w:rsidR="009C5C1F" w:rsidRDefault="004D2E0D">
      <w:pPr>
        <w:suppressAutoHyphens/>
        <w:wordWrap w:val="0"/>
        <w:topLinePunct/>
        <w:spacing w:line="360" w:lineRule="auto"/>
        <w:ind w:firstLineChars="200" w:firstLine="480"/>
        <w:rPr>
          <w:sz w:val="24"/>
        </w:rPr>
      </w:pPr>
      <w:r>
        <w:rPr>
          <w:sz w:val="24"/>
        </w:rPr>
        <w:t>（</w:t>
      </w:r>
      <w:r>
        <w:rPr>
          <w:sz w:val="24"/>
        </w:rPr>
        <w:t>4</w:t>
      </w:r>
      <w:r>
        <w:rPr>
          <w:sz w:val="24"/>
        </w:rPr>
        <w:t>）对开采过程中土地资源压占、破坏进行监测，避免扩大对土地资源的破坏，并对采场边坡的稳定状况及区内降雨状况进行监测。</w:t>
      </w:r>
    </w:p>
    <w:p w:rsidR="009C5C1F" w:rsidRDefault="009C5C1F">
      <w:pPr>
        <w:suppressAutoHyphens/>
        <w:wordWrap w:val="0"/>
        <w:topLinePunct/>
        <w:spacing w:beforeLines="50" w:before="120" w:line="360" w:lineRule="auto"/>
        <w:ind w:firstLineChars="200" w:firstLine="480"/>
        <w:rPr>
          <w:sz w:val="24"/>
        </w:rPr>
        <w:sectPr w:rsidR="009C5C1F">
          <w:pgSz w:w="11907" w:h="16840"/>
          <w:pgMar w:top="1418" w:right="1418" w:bottom="1418" w:left="1588" w:header="851" w:footer="737" w:gutter="0"/>
          <w:cols w:space="425"/>
          <w:docGrid w:linePitch="598" w:charSpace="-518"/>
        </w:sectPr>
      </w:pPr>
    </w:p>
    <w:p w:rsidR="009C5C1F" w:rsidRDefault="004D2E0D">
      <w:pPr>
        <w:keepNext/>
        <w:keepLines/>
        <w:suppressAutoHyphens/>
        <w:wordWrap w:val="0"/>
        <w:topLinePunct/>
        <w:spacing w:beforeLines="50" w:before="180" w:afterLines="50" w:after="180" w:line="580" w:lineRule="exact"/>
        <w:ind w:firstLine="720"/>
        <w:jc w:val="center"/>
        <w:outlineLvl w:val="0"/>
        <w:rPr>
          <w:b/>
          <w:bCs/>
          <w:kern w:val="44"/>
          <w:sz w:val="36"/>
          <w:szCs w:val="36"/>
        </w:rPr>
      </w:pPr>
      <w:bookmarkStart w:id="1035" w:name="_Toc511226489"/>
      <w:bookmarkStart w:id="1036" w:name="_Toc70589910"/>
      <w:bookmarkStart w:id="1037" w:name="_Toc153130800"/>
      <w:r>
        <w:rPr>
          <w:rFonts w:hint="eastAsia"/>
          <w:b/>
          <w:bCs/>
          <w:kern w:val="44"/>
          <w:sz w:val="36"/>
          <w:szCs w:val="36"/>
        </w:rPr>
        <w:lastRenderedPageBreak/>
        <w:t>第七章</w:t>
      </w:r>
      <w:r>
        <w:rPr>
          <w:rFonts w:hint="eastAsia"/>
          <w:b/>
          <w:bCs/>
          <w:kern w:val="44"/>
          <w:sz w:val="36"/>
          <w:szCs w:val="36"/>
        </w:rPr>
        <w:t xml:space="preserve">   </w:t>
      </w:r>
      <w:r>
        <w:rPr>
          <w:rFonts w:hint="eastAsia"/>
          <w:b/>
          <w:bCs/>
          <w:kern w:val="44"/>
          <w:sz w:val="36"/>
          <w:szCs w:val="36"/>
        </w:rPr>
        <w:t>经费估算与进度安排</w:t>
      </w:r>
      <w:bookmarkEnd w:id="1035"/>
      <w:bookmarkEnd w:id="1036"/>
      <w:bookmarkEnd w:id="1037"/>
    </w:p>
    <w:p w:rsidR="009C5C1F" w:rsidRDefault="004D2E0D">
      <w:pPr>
        <w:keepNext/>
        <w:keepLines/>
        <w:suppressAutoHyphens/>
        <w:wordWrap w:val="0"/>
        <w:topLinePunct/>
        <w:spacing w:beforeLines="50" w:before="180" w:afterLines="50" w:after="180" w:line="560" w:lineRule="exact"/>
        <w:ind w:firstLineChars="200" w:firstLine="562"/>
        <w:jc w:val="left"/>
        <w:outlineLvl w:val="1"/>
        <w:rPr>
          <w:rFonts w:eastAsia="黑体"/>
          <w:b/>
          <w:bCs/>
          <w:sz w:val="28"/>
          <w:szCs w:val="30"/>
        </w:rPr>
      </w:pPr>
      <w:bookmarkStart w:id="1038" w:name="_Toc511226490"/>
      <w:bookmarkStart w:id="1039" w:name="_Toc70589911"/>
      <w:bookmarkStart w:id="1040" w:name="_Toc153130801"/>
      <w:r>
        <w:rPr>
          <w:rFonts w:eastAsia="黑体" w:hint="eastAsia"/>
          <w:b/>
          <w:bCs/>
          <w:sz w:val="28"/>
          <w:szCs w:val="30"/>
        </w:rPr>
        <w:t>一、经费估算依据</w:t>
      </w:r>
      <w:bookmarkEnd w:id="1038"/>
      <w:bookmarkEnd w:id="1039"/>
      <w:bookmarkEnd w:id="1040"/>
    </w:p>
    <w:p w:rsidR="009C5C1F" w:rsidRDefault="004D2E0D">
      <w:pPr>
        <w:pStyle w:val="a0"/>
        <w:spacing w:before="120" w:after="120" w:line="360" w:lineRule="auto"/>
        <w:ind w:firstLine="241"/>
        <w:outlineLvl w:val="2"/>
        <w:rPr>
          <w:b/>
          <w:sz w:val="24"/>
        </w:rPr>
      </w:pPr>
      <w:r>
        <w:rPr>
          <w:rFonts w:hint="eastAsia"/>
          <w:b/>
          <w:sz w:val="24"/>
        </w:rPr>
        <w:t>（一）矿山地质环境恢复治理经费估算的原则和依据</w:t>
      </w:r>
    </w:p>
    <w:p w:rsidR="009C5C1F" w:rsidRDefault="004D2E0D">
      <w:pPr>
        <w:suppressAutoHyphens/>
        <w:wordWrap w:val="0"/>
        <w:topLinePunct/>
        <w:spacing w:line="360" w:lineRule="auto"/>
        <w:ind w:firstLineChars="200" w:firstLine="480"/>
        <w:rPr>
          <w:sz w:val="24"/>
        </w:rPr>
      </w:pPr>
      <w:r>
        <w:rPr>
          <w:rFonts w:hint="eastAsia"/>
          <w:sz w:val="24"/>
        </w:rPr>
        <w:t>1</w:t>
      </w:r>
      <w:r>
        <w:rPr>
          <w:sz w:val="24"/>
        </w:rPr>
        <w:t>.</w:t>
      </w:r>
      <w:r>
        <w:rPr>
          <w:rFonts w:hint="eastAsia"/>
          <w:sz w:val="24"/>
        </w:rPr>
        <w:t>文件依据</w:t>
      </w:r>
    </w:p>
    <w:p w:rsidR="009C5C1F" w:rsidRDefault="004D2E0D">
      <w:pPr>
        <w:suppressAutoHyphens/>
        <w:wordWrap w:val="0"/>
        <w:topLinePunct/>
        <w:spacing w:line="360" w:lineRule="auto"/>
        <w:ind w:firstLineChars="200" w:firstLine="480"/>
        <w:rPr>
          <w:sz w:val="24"/>
        </w:rPr>
      </w:pPr>
      <w:r>
        <w:rPr>
          <w:rFonts w:hint="eastAsia"/>
          <w:sz w:val="24"/>
        </w:rPr>
        <w:t>①《甘肃省地质环境项目工程投资编制办法》（甘国土资环发【</w:t>
      </w:r>
      <w:r>
        <w:rPr>
          <w:rFonts w:hint="eastAsia"/>
          <w:sz w:val="24"/>
        </w:rPr>
        <w:t>2018</w:t>
      </w:r>
      <w:r>
        <w:rPr>
          <w:rFonts w:hint="eastAsia"/>
          <w:sz w:val="24"/>
        </w:rPr>
        <w:t>】</w:t>
      </w:r>
      <w:r>
        <w:rPr>
          <w:rFonts w:hint="eastAsia"/>
          <w:sz w:val="24"/>
        </w:rPr>
        <w:t>105</w:t>
      </w:r>
      <w:r>
        <w:rPr>
          <w:rFonts w:hint="eastAsia"/>
          <w:sz w:val="24"/>
        </w:rPr>
        <w:t>号）；</w:t>
      </w:r>
    </w:p>
    <w:p w:rsidR="009C5C1F" w:rsidRDefault="004D2E0D">
      <w:pPr>
        <w:suppressAutoHyphens/>
        <w:wordWrap w:val="0"/>
        <w:topLinePunct/>
        <w:spacing w:line="360" w:lineRule="auto"/>
        <w:ind w:firstLineChars="200" w:firstLine="480"/>
        <w:rPr>
          <w:sz w:val="24"/>
        </w:rPr>
      </w:pPr>
      <w:r>
        <w:rPr>
          <w:rFonts w:hint="eastAsia"/>
          <w:sz w:val="24"/>
        </w:rPr>
        <w:t>②《国家发展改革委关于进一步放开建设项目专业服务价格的通知》（</w:t>
      </w:r>
      <w:proofErr w:type="gramStart"/>
      <w:r>
        <w:rPr>
          <w:rFonts w:hint="eastAsia"/>
          <w:sz w:val="24"/>
        </w:rPr>
        <w:t>发改价格</w:t>
      </w:r>
      <w:proofErr w:type="gramEnd"/>
      <w:r>
        <w:rPr>
          <w:rFonts w:hint="eastAsia"/>
          <w:sz w:val="24"/>
        </w:rPr>
        <w:t>【</w:t>
      </w:r>
      <w:r>
        <w:rPr>
          <w:rFonts w:hint="eastAsia"/>
          <w:sz w:val="24"/>
        </w:rPr>
        <w:t>201</w:t>
      </w:r>
      <w:r>
        <w:rPr>
          <w:sz w:val="24"/>
        </w:rPr>
        <w:t>7</w:t>
      </w:r>
      <w:r>
        <w:rPr>
          <w:rFonts w:hint="eastAsia"/>
          <w:sz w:val="24"/>
        </w:rPr>
        <w:t>】</w:t>
      </w:r>
      <w:r>
        <w:rPr>
          <w:sz w:val="24"/>
        </w:rPr>
        <w:t>313</w:t>
      </w:r>
      <w:r>
        <w:rPr>
          <w:rFonts w:hint="eastAsia"/>
          <w:sz w:val="24"/>
        </w:rPr>
        <w:t>号文件）；</w:t>
      </w:r>
    </w:p>
    <w:p w:rsidR="009C5C1F" w:rsidRDefault="004D2E0D">
      <w:pPr>
        <w:suppressAutoHyphens/>
        <w:wordWrap w:val="0"/>
        <w:topLinePunct/>
        <w:spacing w:line="360" w:lineRule="auto"/>
        <w:ind w:firstLineChars="200" w:firstLine="480"/>
        <w:rPr>
          <w:sz w:val="24"/>
        </w:rPr>
      </w:pPr>
      <w:r>
        <w:rPr>
          <w:rFonts w:hint="eastAsia"/>
          <w:sz w:val="24"/>
        </w:rPr>
        <w:t>③《甘肃省人民政府关于印发甘肃省征地补偿区片综合地价及甘肃省征地补偿统一年产值标准的通知》（</w:t>
      </w:r>
      <w:proofErr w:type="gramStart"/>
      <w:r>
        <w:rPr>
          <w:rFonts w:hint="eastAsia"/>
          <w:sz w:val="24"/>
        </w:rPr>
        <w:t>甘政发</w:t>
      </w:r>
      <w:proofErr w:type="gramEnd"/>
      <w:r>
        <w:rPr>
          <w:rFonts w:hint="eastAsia"/>
          <w:sz w:val="24"/>
        </w:rPr>
        <w:t>【</w:t>
      </w:r>
      <w:r>
        <w:rPr>
          <w:rFonts w:hint="eastAsia"/>
          <w:sz w:val="24"/>
        </w:rPr>
        <w:t>2017</w:t>
      </w:r>
      <w:r>
        <w:rPr>
          <w:rFonts w:hint="eastAsia"/>
          <w:sz w:val="24"/>
        </w:rPr>
        <w:t>】</w:t>
      </w:r>
      <w:r>
        <w:rPr>
          <w:rFonts w:hint="eastAsia"/>
          <w:sz w:val="24"/>
        </w:rPr>
        <w:t>17</w:t>
      </w:r>
      <w:r>
        <w:rPr>
          <w:rFonts w:hint="eastAsia"/>
          <w:sz w:val="24"/>
        </w:rPr>
        <w:t>号文件）；</w:t>
      </w:r>
    </w:p>
    <w:p w:rsidR="009C5C1F" w:rsidRDefault="004D2E0D">
      <w:pPr>
        <w:suppressAutoHyphens/>
        <w:wordWrap w:val="0"/>
        <w:topLinePunct/>
        <w:spacing w:line="360" w:lineRule="auto"/>
        <w:ind w:firstLineChars="200" w:firstLine="480"/>
        <w:rPr>
          <w:sz w:val="24"/>
        </w:rPr>
      </w:pPr>
      <w:r>
        <w:rPr>
          <w:rFonts w:hint="eastAsia"/>
          <w:sz w:val="24"/>
        </w:rPr>
        <w:t>④关于执行交通运输部《公路工程营业税改增值税计价依据调整方案》（</w:t>
      </w:r>
      <w:proofErr w:type="gramStart"/>
      <w:r>
        <w:rPr>
          <w:rFonts w:hint="eastAsia"/>
          <w:sz w:val="24"/>
        </w:rPr>
        <w:t>甘交规划</w:t>
      </w:r>
      <w:proofErr w:type="gramEnd"/>
      <w:r>
        <w:rPr>
          <w:rFonts w:hint="eastAsia"/>
          <w:sz w:val="24"/>
        </w:rPr>
        <w:t>【</w:t>
      </w:r>
      <w:r>
        <w:rPr>
          <w:rFonts w:hint="eastAsia"/>
          <w:sz w:val="24"/>
        </w:rPr>
        <w:t>2016</w:t>
      </w:r>
      <w:r>
        <w:rPr>
          <w:rFonts w:hint="eastAsia"/>
          <w:sz w:val="24"/>
        </w:rPr>
        <w:t>】</w:t>
      </w:r>
      <w:r>
        <w:rPr>
          <w:rFonts w:hint="eastAsia"/>
          <w:sz w:val="24"/>
        </w:rPr>
        <w:t>173</w:t>
      </w:r>
      <w:r>
        <w:rPr>
          <w:rFonts w:hint="eastAsia"/>
          <w:sz w:val="24"/>
        </w:rPr>
        <w:t>号）；</w:t>
      </w:r>
    </w:p>
    <w:p w:rsidR="009C5C1F" w:rsidRDefault="004D2E0D">
      <w:pPr>
        <w:suppressAutoHyphens/>
        <w:wordWrap w:val="0"/>
        <w:topLinePunct/>
        <w:spacing w:line="360" w:lineRule="auto"/>
        <w:ind w:firstLineChars="200" w:firstLine="480"/>
        <w:rPr>
          <w:sz w:val="24"/>
        </w:rPr>
      </w:pPr>
      <w:r>
        <w:rPr>
          <w:rFonts w:hint="eastAsia"/>
          <w:sz w:val="24"/>
        </w:rPr>
        <w:t>⑤《财政部、税务总局、海关总署关于深化增值税改革有关政策的公告》（财政部、税务总局、海关总署公告【</w:t>
      </w:r>
      <w:r>
        <w:rPr>
          <w:rFonts w:hint="eastAsia"/>
          <w:sz w:val="24"/>
        </w:rPr>
        <w:t>2019</w:t>
      </w:r>
      <w:r>
        <w:rPr>
          <w:rFonts w:hint="eastAsia"/>
          <w:sz w:val="24"/>
        </w:rPr>
        <w:t>】年第</w:t>
      </w:r>
      <w:r>
        <w:rPr>
          <w:rFonts w:hint="eastAsia"/>
          <w:sz w:val="24"/>
        </w:rPr>
        <w:t>39</w:t>
      </w:r>
      <w:r>
        <w:rPr>
          <w:rFonts w:hint="eastAsia"/>
          <w:sz w:val="24"/>
        </w:rPr>
        <w:t>号）；</w:t>
      </w:r>
    </w:p>
    <w:p w:rsidR="009C5C1F" w:rsidRDefault="004D2E0D">
      <w:pPr>
        <w:suppressAutoHyphens/>
        <w:wordWrap w:val="0"/>
        <w:topLinePunct/>
        <w:spacing w:line="360" w:lineRule="auto"/>
        <w:ind w:firstLineChars="200" w:firstLine="480"/>
        <w:rPr>
          <w:sz w:val="24"/>
        </w:rPr>
      </w:pPr>
      <w:r>
        <w:rPr>
          <w:rFonts w:hint="eastAsia"/>
          <w:sz w:val="24"/>
        </w:rPr>
        <w:t>⑥《关于建筑营业税改征增值税调整甘肃省建设工程计价依据的实施意见》（</w:t>
      </w:r>
      <w:proofErr w:type="gramStart"/>
      <w:r>
        <w:rPr>
          <w:rFonts w:hint="eastAsia"/>
          <w:sz w:val="24"/>
        </w:rPr>
        <w:t>甘建价【</w:t>
      </w:r>
      <w:r>
        <w:rPr>
          <w:rFonts w:hint="eastAsia"/>
          <w:sz w:val="24"/>
        </w:rPr>
        <w:t>2</w:t>
      </w:r>
      <w:r>
        <w:rPr>
          <w:sz w:val="24"/>
        </w:rPr>
        <w:t>017</w:t>
      </w:r>
      <w:r>
        <w:rPr>
          <w:rFonts w:hint="eastAsia"/>
          <w:sz w:val="24"/>
        </w:rPr>
        <w:t>】</w:t>
      </w:r>
      <w:proofErr w:type="gramEnd"/>
      <w:r>
        <w:rPr>
          <w:rFonts w:hint="eastAsia"/>
          <w:sz w:val="24"/>
        </w:rPr>
        <w:t>3</w:t>
      </w:r>
      <w:r>
        <w:rPr>
          <w:sz w:val="24"/>
        </w:rPr>
        <w:t>13</w:t>
      </w:r>
      <w:r>
        <w:rPr>
          <w:rFonts w:hint="eastAsia"/>
          <w:sz w:val="24"/>
        </w:rPr>
        <w:t>号文件）；</w:t>
      </w:r>
    </w:p>
    <w:p w:rsidR="009C5C1F" w:rsidRDefault="004D2E0D">
      <w:pPr>
        <w:suppressAutoHyphens/>
        <w:wordWrap w:val="0"/>
        <w:topLinePunct/>
        <w:spacing w:line="360" w:lineRule="auto"/>
        <w:ind w:firstLineChars="200" w:firstLine="480"/>
        <w:rPr>
          <w:sz w:val="24"/>
        </w:rPr>
      </w:pPr>
      <w:r>
        <w:rPr>
          <w:sz w:val="24"/>
        </w:rPr>
        <w:t>2.</w:t>
      </w:r>
      <w:r>
        <w:rPr>
          <w:rFonts w:hint="eastAsia"/>
          <w:sz w:val="24"/>
        </w:rPr>
        <w:t>定额依据</w:t>
      </w:r>
    </w:p>
    <w:p w:rsidR="009C5C1F" w:rsidRDefault="004D2E0D">
      <w:pPr>
        <w:suppressAutoHyphens/>
        <w:wordWrap w:val="0"/>
        <w:topLinePunct/>
        <w:spacing w:line="360" w:lineRule="auto"/>
        <w:ind w:firstLineChars="200" w:firstLine="480"/>
        <w:rPr>
          <w:sz w:val="24"/>
        </w:rPr>
      </w:pPr>
      <w:r>
        <w:rPr>
          <w:rFonts w:hint="eastAsia"/>
          <w:sz w:val="24"/>
        </w:rPr>
        <w:t>⑦《甘肃省水利水电建筑工程预算定额》（甘肃省水利厅</w:t>
      </w:r>
      <w:r>
        <w:rPr>
          <w:rFonts w:hint="eastAsia"/>
          <w:sz w:val="24"/>
        </w:rPr>
        <w:t>2013</w:t>
      </w:r>
      <w:r>
        <w:rPr>
          <w:rFonts w:hint="eastAsia"/>
          <w:sz w:val="24"/>
        </w:rPr>
        <w:t>版）；</w:t>
      </w:r>
    </w:p>
    <w:p w:rsidR="009C5C1F" w:rsidRDefault="004D2E0D">
      <w:pPr>
        <w:suppressAutoHyphens/>
        <w:wordWrap w:val="0"/>
        <w:topLinePunct/>
        <w:spacing w:line="360" w:lineRule="auto"/>
        <w:ind w:firstLineChars="200" w:firstLine="480"/>
        <w:rPr>
          <w:sz w:val="24"/>
        </w:rPr>
      </w:pPr>
      <w:r>
        <w:rPr>
          <w:rFonts w:hint="eastAsia"/>
          <w:sz w:val="24"/>
        </w:rPr>
        <w:t>⑧《甘肃省水利水电工程施工机械台时费定额》（甘肃省水利厅</w:t>
      </w:r>
      <w:r>
        <w:rPr>
          <w:rFonts w:hint="eastAsia"/>
          <w:sz w:val="24"/>
        </w:rPr>
        <w:t>2013</w:t>
      </w:r>
      <w:r>
        <w:rPr>
          <w:rFonts w:hint="eastAsia"/>
          <w:sz w:val="24"/>
        </w:rPr>
        <w:t>版）；</w:t>
      </w:r>
    </w:p>
    <w:p w:rsidR="009C5C1F" w:rsidRDefault="004D2E0D">
      <w:pPr>
        <w:suppressAutoHyphens/>
        <w:wordWrap w:val="0"/>
        <w:topLinePunct/>
        <w:spacing w:line="360" w:lineRule="auto"/>
        <w:ind w:firstLineChars="200" w:firstLine="480"/>
        <w:rPr>
          <w:sz w:val="24"/>
        </w:rPr>
      </w:pPr>
      <w:r>
        <w:rPr>
          <w:rFonts w:hint="eastAsia"/>
          <w:sz w:val="24"/>
        </w:rPr>
        <w:t>⑨《水利建筑工程预算定额》（水利部</w:t>
      </w:r>
      <w:r>
        <w:rPr>
          <w:rFonts w:hint="eastAsia"/>
          <w:sz w:val="24"/>
        </w:rPr>
        <w:t>2</w:t>
      </w:r>
      <w:r>
        <w:rPr>
          <w:sz w:val="24"/>
        </w:rPr>
        <w:t>002</w:t>
      </w:r>
      <w:r>
        <w:rPr>
          <w:rFonts w:hint="eastAsia"/>
          <w:sz w:val="24"/>
        </w:rPr>
        <w:t>版）。</w:t>
      </w:r>
    </w:p>
    <w:p w:rsidR="009C5C1F" w:rsidRDefault="004D2E0D">
      <w:pPr>
        <w:pStyle w:val="a0"/>
        <w:spacing w:before="120" w:after="120" w:line="360" w:lineRule="auto"/>
        <w:ind w:firstLine="241"/>
        <w:outlineLvl w:val="2"/>
        <w:rPr>
          <w:b/>
          <w:sz w:val="24"/>
        </w:rPr>
      </w:pPr>
      <w:r>
        <w:rPr>
          <w:rFonts w:hint="eastAsia"/>
          <w:b/>
          <w:sz w:val="24"/>
        </w:rPr>
        <w:t>（二）土地复垦经费估算的原则和依据</w:t>
      </w:r>
    </w:p>
    <w:p w:rsidR="009C5C1F" w:rsidRDefault="004D2E0D">
      <w:pPr>
        <w:suppressAutoHyphens/>
        <w:wordWrap w:val="0"/>
        <w:topLinePunct/>
        <w:spacing w:line="360" w:lineRule="auto"/>
        <w:ind w:firstLineChars="200" w:firstLine="480"/>
        <w:rPr>
          <w:sz w:val="24"/>
        </w:rPr>
      </w:pPr>
      <w:r>
        <w:rPr>
          <w:rFonts w:hint="eastAsia"/>
          <w:sz w:val="24"/>
        </w:rPr>
        <w:t>1</w:t>
      </w:r>
      <w:r>
        <w:rPr>
          <w:sz w:val="24"/>
        </w:rPr>
        <w:t>.</w:t>
      </w:r>
      <w:r>
        <w:rPr>
          <w:rFonts w:hint="eastAsia"/>
          <w:sz w:val="24"/>
        </w:rPr>
        <w:t>文件依据</w:t>
      </w:r>
    </w:p>
    <w:p w:rsidR="009C5C1F" w:rsidRDefault="004D2E0D">
      <w:pPr>
        <w:suppressAutoHyphens/>
        <w:wordWrap w:val="0"/>
        <w:topLinePunct/>
        <w:spacing w:line="360" w:lineRule="auto"/>
        <w:ind w:firstLineChars="200" w:firstLine="480"/>
        <w:rPr>
          <w:sz w:val="24"/>
        </w:rPr>
      </w:pPr>
      <w:r>
        <w:rPr>
          <w:rFonts w:hint="eastAsia"/>
          <w:sz w:val="24"/>
        </w:rPr>
        <w:t>①中华人民共和国财政部、中华人民共和国自然资源部，财综</w:t>
      </w:r>
      <w:r>
        <w:rPr>
          <w:rFonts w:hint="eastAsia"/>
          <w:sz w:val="24"/>
        </w:rPr>
        <w:t xml:space="preserve"> [2011]128 </w:t>
      </w:r>
      <w:r>
        <w:rPr>
          <w:rFonts w:hint="eastAsia"/>
          <w:sz w:val="24"/>
        </w:rPr>
        <w:t>号文件（财政部、自然资源部关于印发土地开发整理项目预算定额标准的通知）；</w:t>
      </w:r>
    </w:p>
    <w:p w:rsidR="009C5C1F" w:rsidRDefault="004D2E0D">
      <w:pPr>
        <w:suppressAutoHyphens/>
        <w:wordWrap w:val="0"/>
        <w:topLinePunct/>
        <w:spacing w:line="360" w:lineRule="auto"/>
        <w:ind w:firstLineChars="200" w:firstLine="480"/>
        <w:rPr>
          <w:sz w:val="24"/>
        </w:rPr>
      </w:pPr>
      <w:r>
        <w:rPr>
          <w:rFonts w:hint="eastAsia"/>
          <w:sz w:val="24"/>
        </w:rPr>
        <w:lastRenderedPageBreak/>
        <w:t>②财政部、自然资源部《土地开发整理项目预算编制规定》（</w:t>
      </w:r>
      <w:r>
        <w:rPr>
          <w:rFonts w:hint="eastAsia"/>
          <w:sz w:val="24"/>
        </w:rPr>
        <w:t>2012</w:t>
      </w:r>
      <w:r>
        <w:rPr>
          <w:rFonts w:hint="eastAsia"/>
          <w:sz w:val="24"/>
        </w:rPr>
        <w:t>）；</w:t>
      </w:r>
    </w:p>
    <w:p w:rsidR="009C5C1F" w:rsidRDefault="004D2E0D">
      <w:pPr>
        <w:suppressAutoHyphens/>
        <w:wordWrap w:val="0"/>
        <w:topLinePunct/>
        <w:spacing w:line="360" w:lineRule="auto"/>
        <w:ind w:firstLineChars="200" w:firstLine="480"/>
        <w:rPr>
          <w:sz w:val="24"/>
        </w:rPr>
      </w:pPr>
      <w:r>
        <w:rPr>
          <w:rFonts w:hint="eastAsia"/>
          <w:sz w:val="24"/>
        </w:rPr>
        <w:t>③甘肃省财政厅、甘肃省国土资源厅，</w:t>
      </w:r>
      <w:proofErr w:type="gramStart"/>
      <w:r>
        <w:rPr>
          <w:rFonts w:hint="eastAsia"/>
          <w:sz w:val="24"/>
        </w:rPr>
        <w:t>甘财综</w:t>
      </w:r>
      <w:proofErr w:type="gramEnd"/>
      <w:r>
        <w:rPr>
          <w:rFonts w:hint="eastAsia"/>
          <w:sz w:val="24"/>
        </w:rPr>
        <w:t xml:space="preserve"> [2013]67 </w:t>
      </w:r>
      <w:r>
        <w:rPr>
          <w:rFonts w:hint="eastAsia"/>
          <w:sz w:val="24"/>
        </w:rPr>
        <w:t>号文件（财政厅、自然资源厅关于印发土地开发整理项目预算定额标准甘肃省补充定额的通知）；</w:t>
      </w:r>
    </w:p>
    <w:p w:rsidR="009C5C1F" w:rsidRDefault="004D2E0D">
      <w:pPr>
        <w:suppressAutoHyphens/>
        <w:wordWrap w:val="0"/>
        <w:topLinePunct/>
        <w:spacing w:line="360" w:lineRule="auto"/>
        <w:ind w:firstLineChars="200" w:firstLine="480"/>
        <w:rPr>
          <w:sz w:val="24"/>
        </w:rPr>
      </w:pPr>
      <w:r>
        <w:rPr>
          <w:rFonts w:hint="eastAsia"/>
          <w:sz w:val="24"/>
        </w:rPr>
        <w:t>④《土地开发整理项目预算编制规定甘肃省补充编制规定》试行（</w:t>
      </w:r>
      <w:r>
        <w:rPr>
          <w:rFonts w:hint="eastAsia"/>
          <w:sz w:val="24"/>
        </w:rPr>
        <w:t>2013</w:t>
      </w:r>
      <w:r>
        <w:rPr>
          <w:rFonts w:hint="eastAsia"/>
          <w:sz w:val="24"/>
        </w:rPr>
        <w:t>）；</w:t>
      </w:r>
    </w:p>
    <w:p w:rsidR="009C5C1F" w:rsidRDefault="004D2E0D">
      <w:pPr>
        <w:suppressAutoHyphens/>
        <w:wordWrap w:val="0"/>
        <w:topLinePunct/>
        <w:spacing w:line="360" w:lineRule="auto"/>
        <w:ind w:firstLineChars="200" w:firstLine="480"/>
        <w:rPr>
          <w:sz w:val="24"/>
        </w:rPr>
      </w:pPr>
      <w:r>
        <w:rPr>
          <w:rFonts w:hint="eastAsia"/>
          <w:sz w:val="24"/>
        </w:rPr>
        <w:t>⑤《土地整治工程建设标准编写规程》（</w:t>
      </w:r>
      <w:r>
        <w:rPr>
          <w:rFonts w:hint="eastAsia"/>
          <w:sz w:val="24"/>
        </w:rPr>
        <w:t>TD/T1045-2016</w:t>
      </w:r>
      <w:r>
        <w:rPr>
          <w:rFonts w:hint="eastAsia"/>
          <w:sz w:val="24"/>
        </w:rPr>
        <w:t>）；</w:t>
      </w:r>
    </w:p>
    <w:p w:rsidR="009C5C1F" w:rsidRDefault="004D2E0D">
      <w:pPr>
        <w:suppressAutoHyphens/>
        <w:wordWrap w:val="0"/>
        <w:topLinePunct/>
        <w:spacing w:line="360" w:lineRule="auto"/>
        <w:ind w:firstLineChars="200" w:firstLine="480"/>
        <w:rPr>
          <w:sz w:val="24"/>
        </w:rPr>
      </w:pPr>
      <w:r>
        <w:rPr>
          <w:rFonts w:hint="eastAsia"/>
          <w:sz w:val="24"/>
        </w:rPr>
        <w:t>⑥《土地整治重大项目可行性研究报告编制规程》（</w:t>
      </w:r>
      <w:r>
        <w:rPr>
          <w:rFonts w:hint="eastAsia"/>
          <w:sz w:val="24"/>
        </w:rPr>
        <w:t>TD/T1037-2013</w:t>
      </w:r>
      <w:r>
        <w:rPr>
          <w:rFonts w:hint="eastAsia"/>
          <w:sz w:val="24"/>
        </w:rPr>
        <w:t>）；</w:t>
      </w:r>
    </w:p>
    <w:p w:rsidR="009C5C1F" w:rsidRDefault="004D2E0D">
      <w:pPr>
        <w:suppressAutoHyphens/>
        <w:wordWrap w:val="0"/>
        <w:topLinePunct/>
        <w:spacing w:line="360" w:lineRule="auto"/>
        <w:ind w:firstLineChars="200" w:firstLine="480"/>
        <w:rPr>
          <w:sz w:val="24"/>
        </w:rPr>
      </w:pPr>
      <w:r>
        <w:rPr>
          <w:rFonts w:hint="eastAsia"/>
          <w:sz w:val="24"/>
        </w:rPr>
        <w:t>⑦《土地整治项目规划设计规范》（</w:t>
      </w:r>
      <w:r>
        <w:rPr>
          <w:rFonts w:hint="eastAsia"/>
          <w:sz w:val="24"/>
        </w:rPr>
        <w:t>TD/T1012-2016</w:t>
      </w:r>
      <w:r>
        <w:rPr>
          <w:rFonts w:hint="eastAsia"/>
          <w:sz w:val="24"/>
        </w:rPr>
        <w:t>）；</w:t>
      </w:r>
    </w:p>
    <w:p w:rsidR="009C5C1F" w:rsidRDefault="004D2E0D">
      <w:pPr>
        <w:suppressAutoHyphens/>
        <w:wordWrap w:val="0"/>
        <w:topLinePunct/>
        <w:spacing w:line="360" w:lineRule="auto"/>
        <w:ind w:firstLineChars="200" w:firstLine="480"/>
        <w:rPr>
          <w:sz w:val="24"/>
        </w:rPr>
      </w:pPr>
      <w:r>
        <w:rPr>
          <w:rFonts w:hint="eastAsia"/>
          <w:sz w:val="24"/>
        </w:rPr>
        <w:t>⑧《土地整治项目工程量计算规则》（</w:t>
      </w:r>
      <w:r>
        <w:rPr>
          <w:rFonts w:hint="eastAsia"/>
          <w:sz w:val="24"/>
        </w:rPr>
        <w:t>TD/T1039-2013</w:t>
      </w:r>
      <w:r>
        <w:rPr>
          <w:rFonts w:hint="eastAsia"/>
          <w:sz w:val="24"/>
        </w:rPr>
        <w:t>）；</w:t>
      </w:r>
    </w:p>
    <w:p w:rsidR="009C5C1F" w:rsidRDefault="004D2E0D">
      <w:pPr>
        <w:suppressAutoHyphens/>
        <w:wordWrap w:val="0"/>
        <w:topLinePunct/>
        <w:spacing w:line="360" w:lineRule="auto"/>
        <w:ind w:firstLineChars="200" w:firstLine="480"/>
        <w:rPr>
          <w:sz w:val="24"/>
        </w:rPr>
      </w:pPr>
      <w:r>
        <w:rPr>
          <w:rFonts w:hint="eastAsia"/>
          <w:sz w:val="24"/>
        </w:rPr>
        <w:t>⑨《甘肃省土地开发整理工程建设标准》（</w:t>
      </w:r>
      <w:r>
        <w:rPr>
          <w:rFonts w:hint="eastAsia"/>
          <w:sz w:val="24"/>
        </w:rPr>
        <w:t>GTJ01-10</w:t>
      </w:r>
      <w:r>
        <w:rPr>
          <w:rFonts w:hint="eastAsia"/>
          <w:sz w:val="24"/>
        </w:rPr>
        <w:t>）；</w:t>
      </w:r>
    </w:p>
    <w:p w:rsidR="009C5C1F" w:rsidRDefault="004D2E0D">
      <w:pPr>
        <w:suppressAutoHyphens/>
        <w:wordWrap w:val="0"/>
        <w:topLinePunct/>
        <w:spacing w:line="360" w:lineRule="auto"/>
        <w:ind w:firstLineChars="200" w:firstLine="480"/>
        <w:rPr>
          <w:sz w:val="24"/>
        </w:rPr>
      </w:pPr>
      <w:r>
        <w:rPr>
          <w:rFonts w:hint="eastAsia"/>
          <w:sz w:val="24"/>
        </w:rPr>
        <w:t>⑩《甘肃工程造价信息》</w:t>
      </w:r>
      <w:r>
        <w:rPr>
          <w:rFonts w:hint="eastAsia"/>
          <w:sz w:val="24"/>
        </w:rPr>
        <w:t xml:space="preserve">2017 </w:t>
      </w:r>
      <w:r>
        <w:rPr>
          <w:rFonts w:hint="eastAsia"/>
          <w:sz w:val="24"/>
        </w:rPr>
        <w:t>年第三季度；</w:t>
      </w:r>
    </w:p>
    <w:p w:rsidR="009C5C1F" w:rsidRDefault="004D2E0D">
      <w:pPr>
        <w:suppressAutoHyphens/>
        <w:wordWrap w:val="0"/>
        <w:topLinePunct/>
        <w:spacing w:line="360" w:lineRule="auto"/>
        <w:ind w:firstLineChars="200" w:firstLine="480"/>
        <w:rPr>
          <w:sz w:val="24"/>
        </w:rPr>
      </w:pPr>
      <w:r>
        <w:rPr>
          <w:rFonts w:hint="eastAsia"/>
          <w:sz w:val="24"/>
        </w:rPr>
        <w:t>2</w:t>
      </w:r>
      <w:r>
        <w:rPr>
          <w:sz w:val="24"/>
        </w:rPr>
        <w:t>.</w:t>
      </w:r>
      <w:r>
        <w:rPr>
          <w:rFonts w:hint="eastAsia"/>
          <w:sz w:val="24"/>
        </w:rPr>
        <w:t>定额依据</w:t>
      </w:r>
    </w:p>
    <w:p w:rsidR="009C5C1F" w:rsidRDefault="004D2E0D">
      <w:pPr>
        <w:suppressAutoHyphens/>
        <w:wordWrap w:val="0"/>
        <w:topLinePunct/>
        <w:spacing w:line="360" w:lineRule="auto"/>
        <w:ind w:firstLineChars="200" w:firstLine="480"/>
        <w:rPr>
          <w:sz w:val="24"/>
        </w:rPr>
      </w:pPr>
      <w:r>
        <w:rPr>
          <w:rFonts w:ascii="Cambria Math" w:hAnsi="Cambria Math" w:cs="Cambria Math"/>
          <w:sz w:val="24"/>
        </w:rPr>
        <w:t>⑪</w:t>
      </w:r>
      <w:r>
        <w:rPr>
          <w:rFonts w:ascii="宋体" w:hAnsi="宋体" w:cs="宋体" w:hint="eastAsia"/>
          <w:sz w:val="24"/>
        </w:rPr>
        <w:t>财政部、自然资源部《土地开发整理项目预算定额》（</w:t>
      </w:r>
      <w:r>
        <w:rPr>
          <w:rFonts w:hint="eastAsia"/>
          <w:sz w:val="24"/>
        </w:rPr>
        <w:t>2012</w:t>
      </w:r>
      <w:r>
        <w:rPr>
          <w:rFonts w:hint="eastAsia"/>
          <w:sz w:val="24"/>
        </w:rPr>
        <w:t>）；</w:t>
      </w:r>
    </w:p>
    <w:p w:rsidR="009C5C1F" w:rsidRDefault="004D2E0D">
      <w:pPr>
        <w:suppressAutoHyphens/>
        <w:wordWrap w:val="0"/>
        <w:topLinePunct/>
        <w:spacing w:line="360" w:lineRule="auto"/>
        <w:ind w:firstLineChars="200" w:firstLine="480"/>
        <w:rPr>
          <w:sz w:val="24"/>
        </w:rPr>
      </w:pPr>
      <w:r>
        <w:rPr>
          <w:rFonts w:ascii="Cambria Math" w:hAnsi="Cambria Math" w:cs="Cambria Math"/>
          <w:sz w:val="24"/>
        </w:rPr>
        <w:t>⑫</w:t>
      </w:r>
      <w:r>
        <w:rPr>
          <w:rFonts w:ascii="宋体" w:hAnsi="宋体" w:cs="宋体" w:hint="eastAsia"/>
          <w:sz w:val="24"/>
        </w:rPr>
        <w:t>财政部、自然资源部《土地开发整理项目施工机械台班费定额》（</w:t>
      </w:r>
      <w:r>
        <w:rPr>
          <w:rFonts w:hint="eastAsia"/>
          <w:sz w:val="24"/>
        </w:rPr>
        <w:t>2012</w:t>
      </w:r>
      <w:r>
        <w:rPr>
          <w:rFonts w:hint="eastAsia"/>
          <w:sz w:val="24"/>
        </w:rPr>
        <w:t>）；</w:t>
      </w:r>
    </w:p>
    <w:p w:rsidR="009C5C1F" w:rsidRDefault="004D2E0D">
      <w:pPr>
        <w:suppressAutoHyphens/>
        <w:wordWrap w:val="0"/>
        <w:topLinePunct/>
        <w:spacing w:line="360" w:lineRule="auto"/>
        <w:ind w:firstLineChars="200" w:firstLine="480"/>
        <w:rPr>
          <w:sz w:val="24"/>
        </w:rPr>
      </w:pPr>
      <w:r>
        <w:rPr>
          <w:rFonts w:ascii="Cambria Math" w:hAnsi="Cambria Math" w:cs="Cambria Math"/>
          <w:sz w:val="24"/>
        </w:rPr>
        <w:t>⑬</w:t>
      </w:r>
      <w:r>
        <w:rPr>
          <w:rFonts w:ascii="宋体" w:hAnsi="宋体" w:cs="宋体" w:hint="eastAsia"/>
          <w:sz w:val="24"/>
        </w:rPr>
        <w:t>《土地开发整理项目预算定额甘肃省补充定额》试行（</w:t>
      </w:r>
      <w:r>
        <w:rPr>
          <w:rFonts w:hint="eastAsia"/>
          <w:sz w:val="24"/>
        </w:rPr>
        <w:t>2013</w:t>
      </w:r>
      <w:r>
        <w:rPr>
          <w:rFonts w:hint="eastAsia"/>
          <w:sz w:val="24"/>
        </w:rPr>
        <w:t>）；</w:t>
      </w:r>
    </w:p>
    <w:p w:rsidR="009C5C1F" w:rsidRDefault="004D2E0D">
      <w:pPr>
        <w:suppressAutoHyphens/>
        <w:wordWrap w:val="0"/>
        <w:topLinePunct/>
        <w:spacing w:line="360" w:lineRule="auto"/>
        <w:ind w:firstLineChars="200" w:firstLine="480"/>
        <w:rPr>
          <w:sz w:val="24"/>
        </w:rPr>
      </w:pPr>
      <w:r>
        <w:rPr>
          <w:rFonts w:ascii="Cambria Math" w:hAnsi="Cambria Math" w:cs="Cambria Math"/>
          <w:sz w:val="24"/>
        </w:rPr>
        <w:t>⑭</w:t>
      </w:r>
      <w:r>
        <w:rPr>
          <w:rFonts w:ascii="宋体" w:hAnsi="宋体" w:cs="宋体" w:hint="eastAsia"/>
          <w:sz w:val="24"/>
        </w:rPr>
        <w:t>《土地开发</w:t>
      </w:r>
      <w:r>
        <w:rPr>
          <w:rFonts w:hint="eastAsia"/>
          <w:sz w:val="24"/>
        </w:rPr>
        <w:t>整理项目施工机械台班费定额甘肃省补充定额》试行（</w:t>
      </w:r>
      <w:r>
        <w:rPr>
          <w:rFonts w:hint="eastAsia"/>
          <w:sz w:val="24"/>
        </w:rPr>
        <w:t>2013</w:t>
      </w:r>
      <w:r>
        <w:rPr>
          <w:rFonts w:hint="eastAsia"/>
          <w:sz w:val="24"/>
        </w:rPr>
        <w:t>）。</w:t>
      </w:r>
    </w:p>
    <w:p w:rsidR="009C5C1F" w:rsidRDefault="004D2E0D">
      <w:pPr>
        <w:keepNext/>
        <w:keepLines/>
        <w:suppressAutoHyphens/>
        <w:wordWrap w:val="0"/>
        <w:topLinePunct/>
        <w:spacing w:beforeLines="50" w:before="180" w:afterLines="50" w:after="180" w:line="560" w:lineRule="exact"/>
        <w:ind w:firstLineChars="200" w:firstLine="562"/>
        <w:jc w:val="left"/>
        <w:outlineLvl w:val="1"/>
        <w:rPr>
          <w:rFonts w:eastAsia="黑体"/>
          <w:b/>
          <w:bCs/>
          <w:sz w:val="28"/>
          <w:szCs w:val="30"/>
        </w:rPr>
      </w:pPr>
      <w:bookmarkStart w:id="1041" w:name="_Toc70589912"/>
      <w:bookmarkStart w:id="1042" w:name="_Toc153130802"/>
      <w:r>
        <w:rPr>
          <w:rFonts w:eastAsia="黑体"/>
          <w:b/>
          <w:bCs/>
          <w:sz w:val="28"/>
          <w:szCs w:val="30"/>
        </w:rPr>
        <w:t>二、矿山地质环境治理工程经费估算</w:t>
      </w:r>
      <w:bookmarkEnd w:id="1041"/>
      <w:bookmarkEnd w:id="1042"/>
    </w:p>
    <w:p w:rsidR="009C5C1F" w:rsidRDefault="004D2E0D">
      <w:pPr>
        <w:keepNext/>
        <w:keepLines/>
        <w:suppressAutoHyphens/>
        <w:wordWrap w:val="0"/>
        <w:topLinePunct/>
        <w:spacing w:before="120" w:after="120" w:line="360" w:lineRule="auto"/>
        <w:ind w:firstLineChars="200" w:firstLine="482"/>
        <w:outlineLvl w:val="2"/>
        <w:rPr>
          <w:b/>
          <w:sz w:val="24"/>
          <w:szCs w:val="28"/>
        </w:rPr>
      </w:pPr>
      <w:bookmarkStart w:id="1043" w:name="_Toc70589913"/>
      <w:r>
        <w:rPr>
          <w:b/>
          <w:sz w:val="24"/>
          <w:szCs w:val="28"/>
        </w:rPr>
        <w:t>(</w:t>
      </w:r>
      <w:proofErr w:type="gramStart"/>
      <w:r>
        <w:rPr>
          <w:b/>
          <w:sz w:val="24"/>
          <w:szCs w:val="28"/>
        </w:rPr>
        <w:t>一</w:t>
      </w:r>
      <w:proofErr w:type="gramEnd"/>
      <w:r>
        <w:rPr>
          <w:b/>
          <w:sz w:val="24"/>
          <w:szCs w:val="28"/>
        </w:rPr>
        <w:t>)</w:t>
      </w:r>
      <w:r>
        <w:rPr>
          <w:b/>
          <w:sz w:val="24"/>
          <w:szCs w:val="28"/>
        </w:rPr>
        <w:t>总工程量与投资估算</w:t>
      </w:r>
      <w:bookmarkEnd w:id="1043"/>
    </w:p>
    <w:p w:rsidR="009C5C1F" w:rsidRDefault="004D2E0D">
      <w:pPr>
        <w:suppressAutoHyphens/>
        <w:wordWrap w:val="0"/>
        <w:topLinePunct/>
        <w:spacing w:line="480" w:lineRule="exact"/>
        <w:ind w:firstLineChars="200" w:firstLine="480"/>
        <w:rPr>
          <w:sz w:val="24"/>
        </w:rPr>
      </w:pPr>
      <w:r>
        <w:rPr>
          <w:sz w:val="24"/>
        </w:rPr>
        <w:t>根据甘国土资环发〔</w:t>
      </w:r>
      <w:r>
        <w:rPr>
          <w:sz w:val="24"/>
        </w:rPr>
        <w:t>2018</w:t>
      </w:r>
      <w:r>
        <w:rPr>
          <w:sz w:val="24"/>
        </w:rPr>
        <w:t>〕</w:t>
      </w:r>
      <w:r>
        <w:rPr>
          <w:sz w:val="24"/>
        </w:rPr>
        <w:t>105</w:t>
      </w:r>
      <w:r>
        <w:rPr>
          <w:sz w:val="24"/>
        </w:rPr>
        <w:t>号文《甘肃省地质环境项目工程投资编制办法》计算每定额工日，</w:t>
      </w:r>
      <w:r>
        <w:rPr>
          <w:rFonts w:hint="eastAsia"/>
          <w:sz w:val="24"/>
        </w:rPr>
        <w:t>临泽</w:t>
      </w:r>
      <w:proofErr w:type="gramStart"/>
      <w:r>
        <w:rPr>
          <w:rFonts w:hint="eastAsia"/>
          <w:sz w:val="24"/>
        </w:rPr>
        <w:t>县</w:t>
      </w:r>
      <w:r>
        <w:rPr>
          <w:sz w:val="24"/>
        </w:rPr>
        <w:t>应该</w:t>
      </w:r>
      <w:proofErr w:type="gramEnd"/>
      <w:r>
        <w:rPr>
          <w:sz w:val="24"/>
        </w:rPr>
        <w:t>为四类地区，工人分为工长、高级工、中级工、初级工四类。结合本矿区实际情况，为</w:t>
      </w:r>
      <w:r>
        <w:rPr>
          <w:rFonts w:hint="eastAsia"/>
          <w:sz w:val="24"/>
        </w:rPr>
        <w:t>甘肃省临泽县板桥</w:t>
      </w:r>
      <w:proofErr w:type="gramStart"/>
      <w:r>
        <w:rPr>
          <w:rFonts w:hint="eastAsia"/>
          <w:sz w:val="24"/>
        </w:rPr>
        <w:t>镇壕洼村</w:t>
      </w:r>
      <w:proofErr w:type="gramEnd"/>
      <w:r>
        <w:rPr>
          <w:rFonts w:hint="eastAsia"/>
          <w:sz w:val="24"/>
        </w:rPr>
        <w:t>正北山西侧砖瓦用粘土</w:t>
      </w:r>
      <w:proofErr w:type="gramStart"/>
      <w:r>
        <w:rPr>
          <w:rFonts w:hint="eastAsia"/>
          <w:sz w:val="24"/>
        </w:rPr>
        <w:t>矿</w:t>
      </w:r>
      <w:proofErr w:type="gramEnd"/>
      <w:r>
        <w:rPr>
          <w:sz w:val="24"/>
        </w:rPr>
        <w:t>矿山地质环境问题的防治工程提供可行的方向，仅作为矿山未来恢复治理工程参考使用，届时矿山应委托有资质的单位进行专项的设计及施工组织安排，并以此为准。由于矿山服务年限为</w:t>
      </w:r>
      <w:r>
        <w:rPr>
          <w:sz w:val="24"/>
        </w:rPr>
        <w:t>11</w:t>
      </w:r>
      <w:r>
        <w:rPr>
          <w:rFonts w:hint="eastAsia"/>
          <w:sz w:val="24"/>
        </w:rPr>
        <w:t>a</w:t>
      </w:r>
      <w:r>
        <w:rPr>
          <w:rFonts w:hint="eastAsia"/>
          <w:sz w:val="24"/>
        </w:rPr>
        <w:t>，因此综合确定方案适用年限为</w:t>
      </w:r>
      <w:r>
        <w:rPr>
          <w:sz w:val="24"/>
        </w:rPr>
        <w:t>5</w:t>
      </w:r>
      <w:r>
        <w:rPr>
          <w:rFonts w:hint="eastAsia"/>
          <w:sz w:val="24"/>
        </w:rPr>
        <w:t>a</w:t>
      </w:r>
      <w:r>
        <w:rPr>
          <w:rFonts w:hint="eastAsia"/>
          <w:sz w:val="24"/>
        </w:rPr>
        <w:t>，矿山管护期为</w:t>
      </w:r>
      <w:r>
        <w:rPr>
          <w:sz w:val="24"/>
        </w:rPr>
        <w:t>3</w:t>
      </w:r>
      <w:r>
        <w:rPr>
          <w:rFonts w:hint="eastAsia"/>
          <w:sz w:val="24"/>
        </w:rPr>
        <w:t>a</w:t>
      </w:r>
      <w:r>
        <w:rPr>
          <w:rFonts w:hint="eastAsia"/>
          <w:sz w:val="24"/>
        </w:rPr>
        <w:t>，</w:t>
      </w:r>
      <w:bookmarkStart w:id="1044" w:name="_Hlk152745146"/>
      <w:r>
        <w:rPr>
          <w:rFonts w:hint="eastAsia"/>
          <w:sz w:val="24"/>
        </w:rPr>
        <w:t>方案需按照矿山开采情况每</w:t>
      </w:r>
      <w:r>
        <w:rPr>
          <w:rFonts w:hint="eastAsia"/>
          <w:sz w:val="24"/>
        </w:rPr>
        <w:t>5</w:t>
      </w:r>
      <w:r>
        <w:rPr>
          <w:rFonts w:hint="eastAsia"/>
          <w:sz w:val="24"/>
        </w:rPr>
        <w:t>年修订一次</w:t>
      </w:r>
      <w:bookmarkEnd w:id="1044"/>
      <w:r>
        <w:rPr>
          <w:rFonts w:hint="eastAsia"/>
          <w:sz w:val="24"/>
        </w:rPr>
        <w:t>，方案编制年限为</w:t>
      </w:r>
      <w:r>
        <w:rPr>
          <w:sz w:val="24"/>
        </w:rPr>
        <w:t>12</w:t>
      </w:r>
      <w:r>
        <w:rPr>
          <w:rFonts w:hint="eastAsia"/>
          <w:sz w:val="24"/>
        </w:rPr>
        <w:t>a</w:t>
      </w:r>
      <w:r>
        <w:rPr>
          <w:rFonts w:hint="eastAsia"/>
          <w:sz w:val="24"/>
        </w:rPr>
        <w:t>。</w:t>
      </w:r>
    </w:p>
    <w:p w:rsidR="009C5C1F" w:rsidRDefault="004D2E0D">
      <w:pPr>
        <w:suppressAutoHyphens/>
        <w:wordWrap w:val="0"/>
        <w:topLinePunct/>
        <w:spacing w:line="480" w:lineRule="exact"/>
        <w:ind w:firstLineChars="200" w:firstLine="480"/>
        <w:rPr>
          <w:sz w:val="24"/>
        </w:rPr>
      </w:pPr>
      <w:r>
        <w:rPr>
          <w:sz w:val="24"/>
        </w:rPr>
        <w:lastRenderedPageBreak/>
        <w:t>1.</w:t>
      </w:r>
      <w:r>
        <w:rPr>
          <w:sz w:val="24"/>
        </w:rPr>
        <w:t>方案适用年限期保护与治理工程量</w:t>
      </w:r>
    </w:p>
    <w:p w:rsidR="009C5C1F" w:rsidRDefault="004D2E0D">
      <w:pPr>
        <w:suppressAutoHyphens/>
        <w:wordWrap w:val="0"/>
        <w:topLinePunct/>
        <w:spacing w:line="480" w:lineRule="exact"/>
        <w:ind w:firstLineChars="200" w:firstLine="480"/>
        <w:rPr>
          <w:sz w:val="24"/>
        </w:rPr>
      </w:pPr>
      <w:r>
        <w:rPr>
          <w:sz w:val="24"/>
        </w:rPr>
        <w:t>甘肃省</w:t>
      </w:r>
      <w:r>
        <w:rPr>
          <w:rFonts w:hint="eastAsia"/>
          <w:sz w:val="24"/>
        </w:rPr>
        <w:t>临泽</w:t>
      </w:r>
      <w:r>
        <w:rPr>
          <w:sz w:val="24"/>
        </w:rPr>
        <w:t>县</w:t>
      </w:r>
      <w:r>
        <w:rPr>
          <w:rFonts w:hint="eastAsia"/>
          <w:sz w:val="24"/>
        </w:rPr>
        <w:t>板桥</w:t>
      </w:r>
      <w:proofErr w:type="gramStart"/>
      <w:r>
        <w:rPr>
          <w:sz w:val="24"/>
        </w:rPr>
        <w:t>镇</w:t>
      </w:r>
      <w:r>
        <w:rPr>
          <w:rFonts w:hint="eastAsia"/>
          <w:sz w:val="24"/>
        </w:rPr>
        <w:t>壕洼村</w:t>
      </w:r>
      <w:proofErr w:type="gramEnd"/>
      <w:r>
        <w:rPr>
          <w:rFonts w:hint="eastAsia"/>
          <w:sz w:val="24"/>
        </w:rPr>
        <w:t>正北山西侧砖瓦用粘土</w:t>
      </w:r>
      <w:proofErr w:type="gramStart"/>
      <w:r>
        <w:rPr>
          <w:rFonts w:hint="eastAsia"/>
          <w:sz w:val="24"/>
        </w:rPr>
        <w:t>矿</w:t>
      </w:r>
      <w:proofErr w:type="gramEnd"/>
      <w:r>
        <w:rPr>
          <w:sz w:val="24"/>
        </w:rPr>
        <w:t>矿山地质环境保护与恢复治理在方案适用年限期</w:t>
      </w:r>
      <w:r>
        <w:rPr>
          <w:sz w:val="24"/>
        </w:rPr>
        <w:t>(5</w:t>
      </w:r>
      <w:r>
        <w:rPr>
          <w:sz w:val="24"/>
        </w:rPr>
        <w:t>年</w:t>
      </w:r>
      <w:r>
        <w:rPr>
          <w:sz w:val="24"/>
        </w:rPr>
        <w:t>)</w:t>
      </w:r>
      <w:r>
        <w:rPr>
          <w:sz w:val="24"/>
        </w:rPr>
        <w:t>主要工程数量汇总表</w:t>
      </w:r>
      <w:r>
        <w:rPr>
          <w:sz w:val="24"/>
        </w:rPr>
        <w:t>(</w:t>
      </w:r>
      <w:r>
        <w:rPr>
          <w:sz w:val="24"/>
        </w:rPr>
        <w:t>表</w:t>
      </w:r>
      <w:r>
        <w:rPr>
          <w:sz w:val="24"/>
        </w:rPr>
        <w:t>7-1)</w:t>
      </w:r>
      <w:r>
        <w:rPr>
          <w:sz w:val="24"/>
        </w:rPr>
        <w:t>。</w:t>
      </w:r>
    </w:p>
    <w:p w:rsidR="009C5C1F" w:rsidRDefault="004D2E0D">
      <w:pPr>
        <w:suppressAutoHyphens/>
        <w:wordWrap w:val="0"/>
        <w:topLinePunct/>
        <w:spacing w:beforeLines="50" w:before="180" w:afterLines="50" w:after="180"/>
        <w:jc w:val="center"/>
        <w:rPr>
          <w:b/>
          <w:bCs/>
          <w:sz w:val="24"/>
        </w:rPr>
      </w:pPr>
      <w:r>
        <w:rPr>
          <w:rFonts w:hint="eastAsia"/>
          <w:b/>
          <w:bCs/>
          <w:sz w:val="24"/>
        </w:rPr>
        <w:t xml:space="preserve"> </w:t>
      </w:r>
      <w:r>
        <w:rPr>
          <w:b/>
          <w:bCs/>
          <w:sz w:val="24"/>
        </w:rPr>
        <w:t xml:space="preserve">  </w:t>
      </w:r>
      <w:r>
        <w:rPr>
          <w:rFonts w:hint="eastAsia"/>
          <w:b/>
          <w:bCs/>
          <w:sz w:val="24"/>
        </w:rPr>
        <w:t>表</w:t>
      </w:r>
      <w:r>
        <w:rPr>
          <w:b/>
          <w:bCs/>
          <w:sz w:val="24"/>
        </w:rPr>
        <w:t>7</w:t>
      </w:r>
      <w:r>
        <w:rPr>
          <w:rFonts w:hint="eastAsia"/>
          <w:b/>
          <w:bCs/>
          <w:sz w:val="24"/>
        </w:rPr>
        <w:t>—</w:t>
      </w:r>
      <w:r>
        <w:rPr>
          <w:rFonts w:hint="eastAsia"/>
          <w:b/>
          <w:bCs/>
          <w:sz w:val="24"/>
        </w:rPr>
        <w:t>1</w:t>
      </w:r>
      <w:r>
        <w:rPr>
          <w:b/>
          <w:bCs/>
          <w:sz w:val="24"/>
        </w:rPr>
        <w:t xml:space="preserve">          </w:t>
      </w:r>
      <w:r>
        <w:rPr>
          <w:b/>
          <w:bCs/>
          <w:sz w:val="24"/>
        </w:rPr>
        <w:t>方案适用年限期工程数量汇总表</w:t>
      </w:r>
    </w:p>
    <w:tbl>
      <w:tblPr>
        <w:tblW w:w="8970" w:type="dxa"/>
        <w:tblLook w:val="04A0" w:firstRow="1" w:lastRow="0" w:firstColumn="1" w:lastColumn="0" w:noHBand="0" w:noVBand="1"/>
      </w:tblPr>
      <w:tblGrid>
        <w:gridCol w:w="817"/>
        <w:gridCol w:w="1843"/>
        <w:gridCol w:w="2835"/>
        <w:gridCol w:w="1264"/>
        <w:gridCol w:w="1193"/>
        <w:gridCol w:w="1018"/>
      </w:tblGrid>
      <w:tr w:rsidR="009C5C1F">
        <w:trPr>
          <w:trHeight w:val="433"/>
        </w:trPr>
        <w:tc>
          <w:tcPr>
            <w:tcW w:w="817" w:type="dxa"/>
            <w:tcBorders>
              <w:top w:val="single" w:sz="12"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序号</w:t>
            </w:r>
          </w:p>
        </w:tc>
        <w:tc>
          <w:tcPr>
            <w:tcW w:w="1843"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分项工程</w:t>
            </w:r>
          </w:p>
        </w:tc>
        <w:tc>
          <w:tcPr>
            <w:tcW w:w="2835"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项目</w:t>
            </w:r>
          </w:p>
        </w:tc>
        <w:tc>
          <w:tcPr>
            <w:tcW w:w="1264"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单位</w:t>
            </w:r>
          </w:p>
        </w:tc>
        <w:tc>
          <w:tcPr>
            <w:tcW w:w="1193"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工程量</w:t>
            </w:r>
          </w:p>
        </w:tc>
        <w:tc>
          <w:tcPr>
            <w:tcW w:w="1018" w:type="dxa"/>
            <w:tcBorders>
              <w:top w:val="single" w:sz="12"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备注</w:t>
            </w:r>
          </w:p>
        </w:tc>
      </w:tr>
      <w:tr w:rsidR="009C5C1F">
        <w:trPr>
          <w:trHeight w:val="433"/>
        </w:trPr>
        <w:tc>
          <w:tcPr>
            <w:tcW w:w="817"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黑体"/>
                <w:kern w:val="0"/>
                <w:szCs w:val="21"/>
              </w:rPr>
            </w:pPr>
            <w:r>
              <w:rPr>
                <w:rFonts w:asciiTheme="minorEastAsia" w:eastAsiaTheme="minorEastAsia" w:hAnsiTheme="minorEastAsia" w:cs="黑体" w:hint="eastAsia"/>
                <w:kern w:val="0"/>
                <w:szCs w:val="21"/>
              </w:rPr>
              <w:t>1</w:t>
            </w:r>
          </w:p>
        </w:tc>
        <w:tc>
          <w:tcPr>
            <w:tcW w:w="184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安全警示标志</w:t>
            </w:r>
          </w:p>
        </w:tc>
        <w:tc>
          <w:tcPr>
            <w:tcW w:w="283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露天采场外悬挂工程标识牌</w:t>
            </w:r>
          </w:p>
        </w:tc>
        <w:tc>
          <w:tcPr>
            <w:tcW w:w="1264"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proofErr w:type="gramStart"/>
            <w:r>
              <w:rPr>
                <w:rFonts w:asciiTheme="minorEastAsia" w:eastAsiaTheme="minorEastAsia" w:hAnsiTheme="minorEastAsia" w:cs="宋体" w:hint="eastAsia"/>
                <w:kern w:val="0"/>
                <w:szCs w:val="21"/>
              </w:rPr>
              <w:t>个</w:t>
            </w:r>
            <w:proofErr w:type="gramEnd"/>
          </w:p>
        </w:tc>
        <w:tc>
          <w:tcPr>
            <w:tcW w:w="119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黑体"/>
                <w:kern w:val="0"/>
                <w:szCs w:val="21"/>
              </w:rPr>
            </w:pPr>
            <w:r>
              <w:rPr>
                <w:rFonts w:asciiTheme="minorEastAsia" w:eastAsiaTheme="minorEastAsia" w:hAnsiTheme="minorEastAsia" w:cs="黑体" w:hint="eastAsia"/>
                <w:kern w:val="0"/>
                <w:szCs w:val="21"/>
              </w:rPr>
              <w:t>6</w:t>
            </w:r>
          </w:p>
        </w:tc>
        <w:tc>
          <w:tcPr>
            <w:tcW w:w="1018" w:type="dxa"/>
            <w:tcBorders>
              <w:top w:val="single" w:sz="6"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5 </w:t>
            </w:r>
            <w:r>
              <w:rPr>
                <w:rFonts w:asciiTheme="minorEastAsia" w:eastAsiaTheme="minorEastAsia" w:hAnsiTheme="minorEastAsia" w:cs="宋体" w:hint="eastAsia"/>
                <w:kern w:val="0"/>
                <w:szCs w:val="21"/>
              </w:rPr>
              <w:t>年</w:t>
            </w:r>
          </w:p>
        </w:tc>
      </w:tr>
      <w:tr w:rsidR="009C5C1F">
        <w:trPr>
          <w:trHeight w:val="413"/>
        </w:trPr>
        <w:tc>
          <w:tcPr>
            <w:tcW w:w="817" w:type="dxa"/>
            <w:tcBorders>
              <w:top w:val="single" w:sz="6" w:space="0" w:color="000000"/>
              <w:left w:val="single" w:sz="12" w:space="0" w:color="000000"/>
              <w:bottom w:val="single" w:sz="12"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黑体"/>
                <w:kern w:val="0"/>
                <w:szCs w:val="21"/>
              </w:rPr>
            </w:pPr>
            <w:r>
              <w:rPr>
                <w:rFonts w:asciiTheme="minorEastAsia" w:eastAsiaTheme="minorEastAsia" w:hAnsiTheme="minorEastAsia" w:cs="黑体" w:hint="eastAsia"/>
                <w:kern w:val="0"/>
                <w:szCs w:val="21"/>
              </w:rPr>
              <w:t>2</w:t>
            </w:r>
          </w:p>
        </w:tc>
        <w:tc>
          <w:tcPr>
            <w:tcW w:w="1843" w:type="dxa"/>
            <w:tcBorders>
              <w:top w:val="single" w:sz="6" w:space="0" w:color="000000"/>
              <w:left w:val="single" w:sz="6" w:space="0" w:color="000000"/>
              <w:bottom w:val="single" w:sz="12"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监测</w:t>
            </w:r>
          </w:p>
        </w:tc>
        <w:tc>
          <w:tcPr>
            <w:tcW w:w="2835" w:type="dxa"/>
            <w:tcBorders>
              <w:top w:val="single" w:sz="6" w:space="0" w:color="000000"/>
              <w:left w:val="single" w:sz="6" w:space="0" w:color="000000"/>
              <w:bottom w:val="single" w:sz="12"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采场、堆料场、生产加工区设监测点一个，每年一个</w:t>
            </w:r>
          </w:p>
        </w:tc>
        <w:tc>
          <w:tcPr>
            <w:tcW w:w="1264" w:type="dxa"/>
            <w:tcBorders>
              <w:top w:val="single" w:sz="6" w:space="0" w:color="000000"/>
              <w:left w:val="single" w:sz="6" w:space="0" w:color="000000"/>
              <w:bottom w:val="single" w:sz="12"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proofErr w:type="gramStart"/>
            <w:r>
              <w:rPr>
                <w:rFonts w:asciiTheme="minorEastAsia" w:eastAsiaTheme="minorEastAsia" w:hAnsiTheme="minorEastAsia" w:cs="宋体" w:hint="eastAsia"/>
                <w:kern w:val="0"/>
                <w:szCs w:val="21"/>
              </w:rPr>
              <w:t>个</w:t>
            </w:r>
            <w:proofErr w:type="gramEnd"/>
          </w:p>
        </w:tc>
        <w:tc>
          <w:tcPr>
            <w:tcW w:w="1193" w:type="dxa"/>
            <w:tcBorders>
              <w:top w:val="single" w:sz="6" w:space="0" w:color="000000"/>
              <w:left w:val="single" w:sz="6" w:space="0" w:color="000000"/>
              <w:bottom w:val="single" w:sz="12" w:space="0" w:color="000000"/>
              <w:right w:val="single" w:sz="6" w:space="0" w:color="000000"/>
            </w:tcBorders>
            <w:vAlign w:val="center"/>
          </w:tcPr>
          <w:p w:rsidR="009C5C1F" w:rsidRDefault="004D2E0D">
            <w:pPr>
              <w:autoSpaceDE w:val="0"/>
              <w:autoSpaceDN w:val="0"/>
              <w:adjustRightInd w:val="0"/>
              <w:jc w:val="center"/>
              <w:rPr>
                <w:rFonts w:asciiTheme="minorEastAsia" w:eastAsiaTheme="minorEastAsia" w:hAnsiTheme="minorEastAsia" w:cs="黑体"/>
                <w:kern w:val="0"/>
                <w:szCs w:val="21"/>
              </w:rPr>
            </w:pPr>
            <w:r>
              <w:rPr>
                <w:rFonts w:asciiTheme="minorEastAsia" w:eastAsiaTheme="minorEastAsia" w:hAnsiTheme="minorEastAsia" w:cs="黑体"/>
                <w:kern w:val="0"/>
                <w:szCs w:val="21"/>
              </w:rPr>
              <w:t>12</w:t>
            </w:r>
          </w:p>
        </w:tc>
        <w:tc>
          <w:tcPr>
            <w:tcW w:w="1018" w:type="dxa"/>
            <w:tcBorders>
              <w:top w:val="single" w:sz="6" w:space="0" w:color="000000"/>
              <w:left w:val="single" w:sz="6" w:space="0" w:color="000000"/>
              <w:bottom w:val="single" w:sz="12" w:space="0" w:color="000000"/>
              <w:right w:val="single" w:sz="12"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5年</w:t>
            </w:r>
          </w:p>
        </w:tc>
      </w:tr>
    </w:tbl>
    <w:p w:rsidR="009C5C1F" w:rsidRDefault="004D2E0D">
      <w:pPr>
        <w:suppressAutoHyphens/>
        <w:wordWrap w:val="0"/>
        <w:topLinePunct/>
        <w:spacing w:line="480" w:lineRule="exact"/>
        <w:ind w:firstLineChars="200" w:firstLine="480"/>
        <w:rPr>
          <w:sz w:val="24"/>
        </w:rPr>
      </w:pPr>
      <w:r>
        <w:rPr>
          <w:sz w:val="24"/>
        </w:rPr>
        <w:t>2.</w:t>
      </w:r>
      <w:r>
        <w:rPr>
          <w:sz w:val="24"/>
        </w:rPr>
        <w:t>方案编制年限期保护与治理工程量</w:t>
      </w:r>
    </w:p>
    <w:p w:rsidR="009C5C1F" w:rsidRDefault="004D2E0D">
      <w:pPr>
        <w:suppressAutoHyphens/>
        <w:wordWrap w:val="0"/>
        <w:topLinePunct/>
        <w:spacing w:line="480" w:lineRule="exact"/>
        <w:ind w:firstLineChars="200" w:firstLine="480"/>
        <w:rPr>
          <w:sz w:val="24"/>
        </w:rPr>
      </w:pPr>
      <w:r>
        <w:rPr>
          <w:sz w:val="24"/>
        </w:rPr>
        <w:t>甘肃省</w:t>
      </w:r>
      <w:r>
        <w:rPr>
          <w:rFonts w:hint="eastAsia"/>
          <w:sz w:val="24"/>
        </w:rPr>
        <w:t>临泽</w:t>
      </w:r>
      <w:r>
        <w:rPr>
          <w:sz w:val="24"/>
        </w:rPr>
        <w:t>县</w:t>
      </w:r>
      <w:r>
        <w:rPr>
          <w:rFonts w:hint="eastAsia"/>
          <w:sz w:val="24"/>
        </w:rPr>
        <w:t>板桥</w:t>
      </w:r>
      <w:proofErr w:type="gramStart"/>
      <w:r>
        <w:rPr>
          <w:sz w:val="24"/>
        </w:rPr>
        <w:t>镇</w:t>
      </w:r>
      <w:r>
        <w:rPr>
          <w:rFonts w:hint="eastAsia"/>
          <w:sz w:val="24"/>
        </w:rPr>
        <w:t>壕洼村</w:t>
      </w:r>
      <w:proofErr w:type="gramEnd"/>
      <w:r>
        <w:rPr>
          <w:rFonts w:hint="eastAsia"/>
          <w:sz w:val="24"/>
        </w:rPr>
        <w:t>正北山西侧砖瓦用粘土</w:t>
      </w:r>
      <w:proofErr w:type="gramStart"/>
      <w:r>
        <w:rPr>
          <w:rFonts w:hint="eastAsia"/>
          <w:sz w:val="24"/>
        </w:rPr>
        <w:t>矿</w:t>
      </w:r>
      <w:proofErr w:type="gramEnd"/>
      <w:r>
        <w:rPr>
          <w:sz w:val="24"/>
        </w:rPr>
        <w:t>矿山地质环境保护与恢复治理方案编制年限期</w:t>
      </w:r>
      <w:r>
        <w:rPr>
          <w:rFonts w:hint="eastAsia"/>
          <w:sz w:val="24"/>
        </w:rPr>
        <w:t>（</w:t>
      </w:r>
      <w:r>
        <w:rPr>
          <w:sz w:val="24"/>
        </w:rPr>
        <w:t>12</w:t>
      </w:r>
      <w:r>
        <w:rPr>
          <w:rFonts w:hint="eastAsia"/>
          <w:sz w:val="24"/>
        </w:rPr>
        <w:t>年）</w:t>
      </w:r>
      <w:r>
        <w:rPr>
          <w:sz w:val="24"/>
        </w:rPr>
        <w:t>主要工程数量汇总表</w:t>
      </w:r>
      <w:r>
        <w:rPr>
          <w:sz w:val="24"/>
        </w:rPr>
        <w:t>(</w:t>
      </w:r>
      <w:r>
        <w:rPr>
          <w:sz w:val="24"/>
        </w:rPr>
        <w:t>表</w:t>
      </w:r>
      <w:r>
        <w:rPr>
          <w:sz w:val="24"/>
        </w:rPr>
        <w:t>7-2)</w:t>
      </w:r>
      <w:r>
        <w:rPr>
          <w:sz w:val="24"/>
        </w:rPr>
        <w:t>。</w:t>
      </w:r>
    </w:p>
    <w:p w:rsidR="009C5C1F" w:rsidRDefault="004D2E0D">
      <w:pPr>
        <w:suppressAutoHyphens/>
        <w:wordWrap w:val="0"/>
        <w:topLinePunct/>
        <w:spacing w:beforeLines="50" w:before="180" w:afterLines="50" w:after="180"/>
        <w:ind w:firstLineChars="800" w:firstLine="1928"/>
        <w:rPr>
          <w:b/>
          <w:bCs/>
          <w:sz w:val="24"/>
        </w:rPr>
      </w:pPr>
      <w:r>
        <w:rPr>
          <w:rFonts w:hint="eastAsia"/>
          <w:b/>
          <w:bCs/>
          <w:sz w:val="24"/>
        </w:rPr>
        <w:t>表</w:t>
      </w:r>
      <w:r>
        <w:rPr>
          <w:rFonts w:hint="eastAsia"/>
          <w:b/>
          <w:bCs/>
          <w:sz w:val="24"/>
        </w:rPr>
        <w:t>7</w:t>
      </w:r>
      <w:r>
        <w:rPr>
          <w:rFonts w:hint="eastAsia"/>
          <w:b/>
          <w:bCs/>
          <w:sz w:val="24"/>
        </w:rPr>
        <w:t>—</w:t>
      </w:r>
      <w:r>
        <w:rPr>
          <w:b/>
          <w:bCs/>
          <w:sz w:val="24"/>
        </w:rPr>
        <w:t xml:space="preserve">2       </w:t>
      </w:r>
      <w:r>
        <w:rPr>
          <w:rFonts w:hint="eastAsia"/>
          <w:b/>
          <w:bCs/>
          <w:sz w:val="24"/>
        </w:rPr>
        <w:t>方案编制</w:t>
      </w:r>
      <w:r>
        <w:rPr>
          <w:b/>
          <w:bCs/>
          <w:sz w:val="24"/>
        </w:rPr>
        <w:t>年限期工程数量汇总表</w:t>
      </w:r>
      <w:r>
        <w:rPr>
          <w:rFonts w:hint="eastAsia"/>
          <w:b/>
          <w:bCs/>
          <w:sz w:val="24"/>
        </w:rPr>
        <w:t xml:space="preserve"> </w:t>
      </w:r>
    </w:p>
    <w:tbl>
      <w:tblPr>
        <w:tblW w:w="8363" w:type="dxa"/>
        <w:tblInd w:w="392" w:type="dxa"/>
        <w:tblLook w:val="04A0" w:firstRow="1" w:lastRow="0" w:firstColumn="1" w:lastColumn="0" w:noHBand="0" w:noVBand="1"/>
      </w:tblPr>
      <w:tblGrid>
        <w:gridCol w:w="712"/>
        <w:gridCol w:w="1835"/>
        <w:gridCol w:w="2958"/>
        <w:gridCol w:w="865"/>
        <w:gridCol w:w="1001"/>
        <w:gridCol w:w="992"/>
      </w:tblGrid>
      <w:tr w:rsidR="009C5C1F">
        <w:trPr>
          <w:trHeight w:val="430"/>
        </w:trPr>
        <w:tc>
          <w:tcPr>
            <w:tcW w:w="712" w:type="dxa"/>
            <w:tcBorders>
              <w:top w:val="single" w:sz="12" w:space="0" w:color="000000"/>
              <w:left w:val="single" w:sz="12"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序号</w:t>
            </w:r>
          </w:p>
        </w:tc>
        <w:tc>
          <w:tcPr>
            <w:tcW w:w="1835" w:type="dxa"/>
            <w:tcBorders>
              <w:top w:val="single" w:sz="12"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分项工程</w:t>
            </w:r>
          </w:p>
        </w:tc>
        <w:tc>
          <w:tcPr>
            <w:tcW w:w="2958" w:type="dxa"/>
            <w:tcBorders>
              <w:top w:val="single" w:sz="12"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项目</w:t>
            </w:r>
          </w:p>
        </w:tc>
        <w:tc>
          <w:tcPr>
            <w:tcW w:w="865" w:type="dxa"/>
            <w:tcBorders>
              <w:top w:val="single" w:sz="12"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单位</w:t>
            </w:r>
          </w:p>
        </w:tc>
        <w:tc>
          <w:tcPr>
            <w:tcW w:w="1001" w:type="dxa"/>
            <w:tcBorders>
              <w:top w:val="single" w:sz="12"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工程量</w:t>
            </w:r>
          </w:p>
        </w:tc>
        <w:tc>
          <w:tcPr>
            <w:tcW w:w="992" w:type="dxa"/>
            <w:tcBorders>
              <w:top w:val="single" w:sz="12" w:space="0" w:color="000000"/>
              <w:left w:val="single" w:sz="6" w:space="0" w:color="000000"/>
              <w:bottom w:val="single" w:sz="6" w:space="0" w:color="000000"/>
              <w:right w:val="single" w:sz="12"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备注</w:t>
            </w:r>
          </w:p>
        </w:tc>
      </w:tr>
      <w:tr w:rsidR="009C5C1F">
        <w:trPr>
          <w:trHeight w:val="433"/>
        </w:trPr>
        <w:tc>
          <w:tcPr>
            <w:tcW w:w="712" w:type="dxa"/>
            <w:tcBorders>
              <w:top w:val="single" w:sz="6" w:space="0" w:color="000000"/>
              <w:left w:val="single" w:sz="12"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 </w:t>
            </w:r>
          </w:p>
        </w:tc>
        <w:tc>
          <w:tcPr>
            <w:tcW w:w="1835" w:type="dxa"/>
            <w:tcBorders>
              <w:top w:val="single" w:sz="6"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安全警示标志</w:t>
            </w:r>
          </w:p>
        </w:tc>
        <w:tc>
          <w:tcPr>
            <w:tcW w:w="2958" w:type="dxa"/>
            <w:tcBorders>
              <w:top w:val="single" w:sz="6"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露天采场外悬挂工程标识牌</w:t>
            </w:r>
          </w:p>
        </w:tc>
        <w:tc>
          <w:tcPr>
            <w:tcW w:w="865" w:type="dxa"/>
            <w:tcBorders>
              <w:top w:val="single" w:sz="6"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proofErr w:type="gramStart"/>
            <w:r>
              <w:rPr>
                <w:rFonts w:asciiTheme="minorEastAsia" w:eastAsiaTheme="minorEastAsia" w:hAnsiTheme="minorEastAsia" w:cs="宋体" w:hint="eastAsia"/>
                <w:kern w:val="0"/>
                <w:szCs w:val="21"/>
              </w:rPr>
              <w:t>个</w:t>
            </w:r>
            <w:proofErr w:type="gramEnd"/>
          </w:p>
        </w:tc>
        <w:tc>
          <w:tcPr>
            <w:tcW w:w="1001" w:type="dxa"/>
            <w:tcBorders>
              <w:top w:val="single" w:sz="6"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6 </w:t>
            </w:r>
          </w:p>
        </w:tc>
        <w:tc>
          <w:tcPr>
            <w:tcW w:w="992" w:type="dxa"/>
            <w:tcBorders>
              <w:top w:val="single" w:sz="6"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年</w:t>
            </w:r>
          </w:p>
        </w:tc>
      </w:tr>
      <w:tr w:rsidR="009C5C1F">
        <w:trPr>
          <w:trHeight w:val="430"/>
        </w:trPr>
        <w:tc>
          <w:tcPr>
            <w:tcW w:w="712" w:type="dxa"/>
            <w:tcBorders>
              <w:top w:val="single" w:sz="6" w:space="0" w:color="000000"/>
              <w:left w:val="single" w:sz="12"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2 </w:t>
            </w:r>
          </w:p>
        </w:tc>
        <w:tc>
          <w:tcPr>
            <w:tcW w:w="1835" w:type="dxa"/>
            <w:tcBorders>
              <w:top w:val="single" w:sz="6"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回填</w:t>
            </w:r>
          </w:p>
        </w:tc>
        <w:tc>
          <w:tcPr>
            <w:tcW w:w="2958" w:type="dxa"/>
            <w:tcBorders>
              <w:top w:val="single" w:sz="6"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堆料场内的废弃物回填</w:t>
            </w:r>
            <w:proofErr w:type="gramStart"/>
            <w:r>
              <w:rPr>
                <w:rFonts w:asciiTheme="minorEastAsia" w:eastAsiaTheme="minorEastAsia" w:hAnsiTheme="minorEastAsia" w:cs="宋体" w:hint="eastAsia"/>
                <w:kern w:val="0"/>
                <w:szCs w:val="21"/>
              </w:rPr>
              <w:t>至采坑</w:t>
            </w:r>
            <w:proofErr w:type="gramEnd"/>
          </w:p>
        </w:tc>
        <w:tc>
          <w:tcPr>
            <w:tcW w:w="865" w:type="dxa"/>
            <w:tcBorders>
              <w:top w:val="single" w:sz="6"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万</w:t>
            </w:r>
            <w:r>
              <w:rPr>
                <w:rFonts w:asciiTheme="minorEastAsia" w:eastAsiaTheme="minorEastAsia" w:hAnsiTheme="minorEastAsia" w:cs="宋体"/>
                <w:kern w:val="0"/>
                <w:szCs w:val="21"/>
              </w:rPr>
              <w:t>m</w:t>
            </w:r>
            <w:r>
              <w:rPr>
                <w:rFonts w:asciiTheme="minorEastAsia" w:eastAsiaTheme="minorEastAsia" w:hAnsiTheme="minorEastAsia" w:cs="宋体"/>
                <w:kern w:val="0"/>
                <w:szCs w:val="21"/>
                <w:vertAlign w:val="superscript"/>
              </w:rPr>
              <w:t xml:space="preserve">3 </w:t>
            </w:r>
          </w:p>
        </w:tc>
        <w:tc>
          <w:tcPr>
            <w:tcW w:w="1001" w:type="dxa"/>
            <w:tcBorders>
              <w:top w:val="single" w:sz="6"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w:t>
            </w:r>
            <w:r>
              <w:rPr>
                <w:rFonts w:asciiTheme="minorEastAsia" w:eastAsiaTheme="minorEastAsia" w:hAnsiTheme="minorEastAsia" w:cs="宋体"/>
                <w:kern w:val="0"/>
                <w:szCs w:val="21"/>
              </w:rPr>
              <w:t xml:space="preserve"> </w:t>
            </w:r>
          </w:p>
        </w:tc>
        <w:tc>
          <w:tcPr>
            <w:tcW w:w="992" w:type="dxa"/>
            <w:tcBorders>
              <w:top w:val="single" w:sz="6"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年</w:t>
            </w:r>
          </w:p>
        </w:tc>
      </w:tr>
      <w:tr w:rsidR="009C5C1F">
        <w:trPr>
          <w:trHeight w:val="413"/>
        </w:trPr>
        <w:tc>
          <w:tcPr>
            <w:tcW w:w="712" w:type="dxa"/>
            <w:tcBorders>
              <w:top w:val="single" w:sz="6" w:space="0" w:color="000000"/>
              <w:left w:val="single" w:sz="12" w:space="0" w:color="000000"/>
              <w:bottom w:val="single" w:sz="12"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3 </w:t>
            </w:r>
          </w:p>
        </w:tc>
        <w:tc>
          <w:tcPr>
            <w:tcW w:w="1835" w:type="dxa"/>
            <w:tcBorders>
              <w:top w:val="single" w:sz="6" w:space="0" w:color="000000"/>
              <w:left w:val="single" w:sz="6" w:space="0" w:color="000000"/>
              <w:bottom w:val="single" w:sz="12"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监测</w:t>
            </w:r>
          </w:p>
        </w:tc>
        <w:tc>
          <w:tcPr>
            <w:tcW w:w="2958" w:type="dxa"/>
            <w:tcBorders>
              <w:top w:val="single" w:sz="6" w:space="0" w:color="000000"/>
              <w:left w:val="single" w:sz="6" w:space="0" w:color="000000"/>
              <w:bottom w:val="single" w:sz="12"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采场边坡堆场边坡</w:t>
            </w:r>
          </w:p>
        </w:tc>
        <w:tc>
          <w:tcPr>
            <w:tcW w:w="865" w:type="dxa"/>
            <w:tcBorders>
              <w:top w:val="single" w:sz="6" w:space="0" w:color="000000"/>
              <w:left w:val="single" w:sz="6" w:space="0" w:color="000000"/>
              <w:bottom w:val="single" w:sz="12"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proofErr w:type="gramStart"/>
            <w:r>
              <w:rPr>
                <w:rFonts w:asciiTheme="minorEastAsia" w:eastAsiaTheme="minorEastAsia" w:hAnsiTheme="minorEastAsia" w:cs="宋体" w:hint="eastAsia"/>
                <w:kern w:val="0"/>
                <w:szCs w:val="21"/>
              </w:rPr>
              <w:t>个</w:t>
            </w:r>
            <w:proofErr w:type="gramEnd"/>
          </w:p>
        </w:tc>
        <w:tc>
          <w:tcPr>
            <w:tcW w:w="1001" w:type="dxa"/>
            <w:tcBorders>
              <w:top w:val="single" w:sz="6" w:space="0" w:color="000000"/>
              <w:left w:val="single" w:sz="6" w:space="0" w:color="000000"/>
              <w:bottom w:val="single" w:sz="12" w:space="0" w:color="000000"/>
              <w:right w:val="single" w:sz="6" w:space="0" w:color="000000"/>
            </w:tcBorders>
            <w:vAlign w:val="bottom"/>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kern w:val="0"/>
                <w:szCs w:val="21"/>
              </w:rPr>
              <w:t xml:space="preserve">12 </w:t>
            </w:r>
          </w:p>
        </w:tc>
        <w:tc>
          <w:tcPr>
            <w:tcW w:w="992" w:type="dxa"/>
            <w:tcBorders>
              <w:top w:val="single" w:sz="6" w:space="0" w:color="000000"/>
              <w:left w:val="single" w:sz="6" w:space="0" w:color="000000"/>
              <w:bottom w:val="single" w:sz="12" w:space="0" w:color="000000"/>
              <w:right w:val="single" w:sz="12" w:space="0" w:color="000000"/>
            </w:tcBorders>
            <w:vAlign w:val="center"/>
          </w:tcPr>
          <w:p w:rsidR="009C5C1F" w:rsidRDefault="004D2E0D">
            <w:pPr>
              <w:autoSpaceDE w:val="0"/>
              <w:autoSpaceDN w:val="0"/>
              <w:adjustRightInd w:val="0"/>
              <w:jc w:val="center"/>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w:t>
            </w:r>
            <w:r>
              <w:rPr>
                <w:rFonts w:asciiTheme="minorEastAsia" w:eastAsiaTheme="minorEastAsia" w:hAnsiTheme="minorEastAsia" w:cs="宋体"/>
                <w:kern w:val="0"/>
                <w:szCs w:val="21"/>
              </w:rPr>
              <w:t>2</w:t>
            </w:r>
            <w:r>
              <w:rPr>
                <w:rFonts w:asciiTheme="minorEastAsia" w:eastAsiaTheme="minorEastAsia" w:hAnsiTheme="minorEastAsia" w:cs="宋体" w:hint="eastAsia"/>
                <w:kern w:val="0"/>
                <w:szCs w:val="21"/>
              </w:rPr>
              <w:t>年</w:t>
            </w:r>
          </w:p>
        </w:tc>
      </w:tr>
    </w:tbl>
    <w:p w:rsidR="009C5C1F" w:rsidRDefault="004D2E0D">
      <w:pPr>
        <w:keepNext/>
        <w:keepLines/>
        <w:suppressAutoHyphens/>
        <w:wordWrap w:val="0"/>
        <w:topLinePunct/>
        <w:spacing w:before="120" w:after="120" w:line="360" w:lineRule="auto"/>
        <w:ind w:firstLineChars="200" w:firstLine="482"/>
        <w:outlineLvl w:val="2"/>
        <w:rPr>
          <w:b/>
          <w:sz w:val="24"/>
          <w:szCs w:val="28"/>
        </w:rPr>
      </w:pPr>
      <w:bookmarkStart w:id="1045" w:name="_Toc70589914"/>
      <w:r>
        <w:rPr>
          <w:b/>
          <w:sz w:val="24"/>
          <w:szCs w:val="28"/>
        </w:rPr>
        <w:t>(</w:t>
      </w:r>
      <w:r>
        <w:rPr>
          <w:b/>
          <w:sz w:val="24"/>
          <w:szCs w:val="28"/>
        </w:rPr>
        <w:t>二</w:t>
      </w:r>
      <w:r>
        <w:rPr>
          <w:b/>
          <w:sz w:val="24"/>
          <w:szCs w:val="28"/>
        </w:rPr>
        <w:t>)</w:t>
      </w:r>
      <w:r>
        <w:rPr>
          <w:b/>
          <w:sz w:val="24"/>
          <w:szCs w:val="28"/>
        </w:rPr>
        <w:t>单项工程量与投资估算</w:t>
      </w:r>
      <w:bookmarkEnd w:id="1045"/>
    </w:p>
    <w:p w:rsidR="009C5C1F" w:rsidRDefault="004D2E0D">
      <w:pPr>
        <w:suppressAutoHyphens/>
        <w:wordWrap w:val="0"/>
        <w:topLinePunct/>
        <w:spacing w:line="480" w:lineRule="exact"/>
        <w:ind w:firstLineChars="200" w:firstLine="480"/>
        <w:rPr>
          <w:sz w:val="24"/>
        </w:rPr>
      </w:pPr>
      <w:r>
        <w:rPr>
          <w:sz w:val="24"/>
        </w:rPr>
        <w:t>1</w:t>
      </w:r>
      <w:r>
        <w:rPr>
          <w:sz w:val="24"/>
        </w:rPr>
        <w:t>、费用标准和计算方法</w:t>
      </w:r>
    </w:p>
    <w:p w:rsidR="009C5C1F" w:rsidRDefault="004D2E0D">
      <w:pPr>
        <w:suppressAutoHyphens/>
        <w:wordWrap w:val="0"/>
        <w:topLinePunct/>
        <w:spacing w:line="480" w:lineRule="exact"/>
        <w:ind w:firstLineChars="200" w:firstLine="480"/>
        <w:rPr>
          <w:sz w:val="24"/>
        </w:rPr>
      </w:pPr>
      <w:r>
        <w:rPr>
          <w:sz w:val="24"/>
        </w:rPr>
        <w:t>①</w:t>
      </w:r>
      <w:r>
        <w:rPr>
          <w:sz w:val="24"/>
        </w:rPr>
        <w:t>人工预算单价：按工程类别计；</w:t>
      </w:r>
    </w:p>
    <w:p w:rsidR="009C5C1F" w:rsidRDefault="004D2E0D">
      <w:pPr>
        <w:suppressAutoHyphens/>
        <w:wordWrap w:val="0"/>
        <w:topLinePunct/>
        <w:spacing w:line="480" w:lineRule="exact"/>
        <w:ind w:firstLineChars="200" w:firstLine="480"/>
        <w:rPr>
          <w:sz w:val="24"/>
        </w:rPr>
      </w:pPr>
      <w:r>
        <w:rPr>
          <w:sz w:val="24"/>
        </w:rPr>
        <w:t>②</w:t>
      </w:r>
      <w:r>
        <w:rPr>
          <w:sz w:val="24"/>
        </w:rPr>
        <w:t>施工机械台时费：根据《水利工程施工机械台时费定额》</w:t>
      </w:r>
      <w:r>
        <w:rPr>
          <w:sz w:val="24"/>
        </w:rPr>
        <w:t>(2002)</w:t>
      </w:r>
      <w:r>
        <w:rPr>
          <w:sz w:val="24"/>
        </w:rPr>
        <w:t>计算。</w:t>
      </w:r>
    </w:p>
    <w:p w:rsidR="009C5C1F" w:rsidRDefault="004D2E0D">
      <w:pPr>
        <w:suppressAutoHyphens/>
        <w:wordWrap w:val="0"/>
        <w:topLinePunct/>
        <w:spacing w:line="480" w:lineRule="exact"/>
        <w:ind w:firstLineChars="200" w:firstLine="480"/>
        <w:rPr>
          <w:sz w:val="24"/>
        </w:rPr>
      </w:pPr>
      <w:r>
        <w:rPr>
          <w:sz w:val="24"/>
        </w:rPr>
        <w:t>2</w:t>
      </w:r>
      <w:r>
        <w:rPr>
          <w:sz w:val="24"/>
        </w:rPr>
        <w:t>、费率计取如下：施工临时工程费按恢复治理工程费的</w:t>
      </w:r>
      <w:r>
        <w:rPr>
          <w:sz w:val="24"/>
        </w:rPr>
        <w:t>1%</w:t>
      </w:r>
      <w:r>
        <w:rPr>
          <w:sz w:val="24"/>
        </w:rPr>
        <w:t>计取，工程建设管理费和工程建设监理费各取工程费的</w:t>
      </w:r>
      <w:r>
        <w:rPr>
          <w:sz w:val="24"/>
        </w:rPr>
        <w:t>5%</w:t>
      </w:r>
      <w:r>
        <w:rPr>
          <w:sz w:val="24"/>
        </w:rPr>
        <w:t>，工程保险费</w:t>
      </w:r>
      <w:proofErr w:type="gramStart"/>
      <w:r>
        <w:rPr>
          <w:sz w:val="24"/>
        </w:rPr>
        <w:t>取工程</w:t>
      </w:r>
      <w:proofErr w:type="gramEnd"/>
      <w:r>
        <w:rPr>
          <w:sz w:val="24"/>
        </w:rPr>
        <w:t>费的</w:t>
      </w:r>
      <w:r>
        <w:rPr>
          <w:sz w:val="24"/>
        </w:rPr>
        <w:t>0.5%</w:t>
      </w:r>
      <w:r>
        <w:rPr>
          <w:sz w:val="24"/>
        </w:rPr>
        <w:t>，基本预备</w:t>
      </w:r>
      <w:proofErr w:type="gramStart"/>
      <w:r>
        <w:rPr>
          <w:sz w:val="24"/>
        </w:rPr>
        <w:t>费取工程</w:t>
      </w:r>
      <w:proofErr w:type="gramEnd"/>
      <w:r>
        <w:rPr>
          <w:sz w:val="24"/>
        </w:rPr>
        <w:t>费的</w:t>
      </w:r>
      <w:r>
        <w:rPr>
          <w:sz w:val="24"/>
        </w:rPr>
        <w:t>10%</w:t>
      </w:r>
      <w:r>
        <w:rPr>
          <w:sz w:val="24"/>
        </w:rPr>
        <w:t>。</w:t>
      </w:r>
    </w:p>
    <w:p w:rsidR="009C5C1F" w:rsidRDefault="004D2E0D">
      <w:pPr>
        <w:suppressAutoHyphens/>
        <w:wordWrap w:val="0"/>
        <w:topLinePunct/>
        <w:spacing w:line="480" w:lineRule="exact"/>
        <w:ind w:firstLineChars="200" w:firstLine="480"/>
        <w:rPr>
          <w:sz w:val="24"/>
        </w:rPr>
      </w:pPr>
      <w:r>
        <w:rPr>
          <w:sz w:val="24"/>
        </w:rPr>
        <w:t>3</w:t>
      </w:r>
      <w:r>
        <w:rPr>
          <w:sz w:val="24"/>
        </w:rPr>
        <w:t>、工程概算概况</w:t>
      </w:r>
    </w:p>
    <w:p w:rsidR="009C5C1F" w:rsidRDefault="004D2E0D">
      <w:pPr>
        <w:suppressAutoHyphens/>
        <w:wordWrap w:val="0"/>
        <w:topLinePunct/>
        <w:spacing w:line="480" w:lineRule="exact"/>
        <w:ind w:firstLineChars="200" w:firstLine="480"/>
        <w:rPr>
          <w:sz w:val="24"/>
        </w:rPr>
      </w:pPr>
      <w:r>
        <w:rPr>
          <w:sz w:val="24"/>
        </w:rPr>
        <w:t>①</w:t>
      </w:r>
      <w:r>
        <w:rPr>
          <w:sz w:val="24"/>
        </w:rPr>
        <w:t>方案</w:t>
      </w:r>
      <w:r>
        <w:rPr>
          <w:rFonts w:hint="eastAsia"/>
          <w:sz w:val="24"/>
        </w:rPr>
        <w:t>适用</w:t>
      </w:r>
      <w:r>
        <w:rPr>
          <w:sz w:val="24"/>
        </w:rPr>
        <w:t>年限期保护与治理经费估算</w:t>
      </w:r>
    </w:p>
    <w:p w:rsidR="009C5C1F" w:rsidRDefault="004D2E0D">
      <w:pPr>
        <w:suppressAutoHyphens/>
        <w:wordWrap w:val="0"/>
        <w:topLinePunct/>
        <w:spacing w:line="480" w:lineRule="exact"/>
        <w:ind w:firstLineChars="200" w:firstLine="480"/>
        <w:rPr>
          <w:sz w:val="24"/>
        </w:rPr>
      </w:pPr>
      <w:r>
        <w:rPr>
          <w:sz w:val="24"/>
        </w:rPr>
        <w:t>甘肃省</w:t>
      </w:r>
      <w:r>
        <w:rPr>
          <w:rFonts w:hint="eastAsia"/>
          <w:sz w:val="24"/>
        </w:rPr>
        <w:t>板桥</w:t>
      </w:r>
      <w:proofErr w:type="gramStart"/>
      <w:r>
        <w:rPr>
          <w:sz w:val="24"/>
        </w:rPr>
        <w:t>镇</w:t>
      </w:r>
      <w:r>
        <w:rPr>
          <w:rFonts w:hint="eastAsia"/>
          <w:sz w:val="24"/>
        </w:rPr>
        <w:t>壕洼村</w:t>
      </w:r>
      <w:proofErr w:type="gramEnd"/>
      <w:r>
        <w:rPr>
          <w:rFonts w:hint="eastAsia"/>
          <w:sz w:val="24"/>
        </w:rPr>
        <w:t>正北山西侧砖瓦用粘土矿</w:t>
      </w:r>
      <w:r>
        <w:rPr>
          <w:sz w:val="24"/>
        </w:rPr>
        <w:t>在本次矿山地质环境保护与恢复治理方案</w:t>
      </w:r>
      <w:r>
        <w:rPr>
          <w:rFonts w:hint="eastAsia"/>
          <w:sz w:val="24"/>
        </w:rPr>
        <w:t>适用</w:t>
      </w:r>
      <w:r>
        <w:rPr>
          <w:sz w:val="24"/>
        </w:rPr>
        <w:t>年限期（</w:t>
      </w:r>
      <w:r>
        <w:rPr>
          <w:rFonts w:hint="eastAsia"/>
          <w:sz w:val="24"/>
        </w:rPr>
        <w:t>5</w:t>
      </w:r>
      <w:r>
        <w:rPr>
          <w:sz w:val="24"/>
        </w:rPr>
        <w:t>年）内投资</w:t>
      </w:r>
      <w:r>
        <w:rPr>
          <w:rFonts w:hint="eastAsia"/>
          <w:sz w:val="24"/>
        </w:rPr>
        <w:t>1</w:t>
      </w:r>
      <w:r>
        <w:rPr>
          <w:sz w:val="24"/>
        </w:rPr>
        <w:t>0</w:t>
      </w:r>
      <w:r>
        <w:rPr>
          <w:sz w:val="24"/>
        </w:rPr>
        <w:t>万元（表</w:t>
      </w:r>
      <w:r>
        <w:rPr>
          <w:sz w:val="24"/>
        </w:rPr>
        <w:t>7-3</w:t>
      </w:r>
      <w:r>
        <w:rPr>
          <w:sz w:val="24"/>
        </w:rPr>
        <w:t>）。</w:t>
      </w:r>
    </w:p>
    <w:p w:rsidR="009C5C1F" w:rsidRDefault="004D2E0D">
      <w:pPr>
        <w:suppressAutoHyphens/>
        <w:wordWrap w:val="0"/>
        <w:topLinePunct/>
        <w:spacing w:beforeLines="50" w:before="180" w:afterLines="50" w:after="180"/>
        <w:jc w:val="center"/>
        <w:rPr>
          <w:b/>
          <w:bCs/>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7</w:t>
      </w:r>
      <w:r>
        <w:rPr>
          <w:rFonts w:hint="eastAsia"/>
          <w:b/>
          <w:bCs/>
          <w:sz w:val="24"/>
        </w:rPr>
        <w:t>—</w:t>
      </w:r>
      <w:r>
        <w:rPr>
          <w:b/>
          <w:bCs/>
          <w:sz w:val="24"/>
        </w:rPr>
        <w:t xml:space="preserve">3        </w:t>
      </w:r>
      <w:r>
        <w:rPr>
          <w:b/>
          <w:bCs/>
          <w:sz w:val="24"/>
        </w:rPr>
        <w:t>方案</w:t>
      </w:r>
      <w:r>
        <w:rPr>
          <w:rFonts w:hint="eastAsia"/>
          <w:b/>
          <w:bCs/>
          <w:sz w:val="24"/>
        </w:rPr>
        <w:t>适用</w:t>
      </w:r>
      <w:r>
        <w:rPr>
          <w:b/>
          <w:bCs/>
          <w:sz w:val="24"/>
        </w:rPr>
        <w:t>年限内总估算表</w:t>
      </w:r>
    </w:p>
    <w:tbl>
      <w:tblPr>
        <w:tblW w:w="8970" w:type="dxa"/>
        <w:tblLook w:val="04A0" w:firstRow="1" w:lastRow="0" w:firstColumn="1" w:lastColumn="0" w:noHBand="0" w:noVBand="1"/>
      </w:tblPr>
      <w:tblGrid>
        <w:gridCol w:w="739"/>
        <w:gridCol w:w="1953"/>
        <w:gridCol w:w="1140"/>
        <w:gridCol w:w="1250"/>
        <w:gridCol w:w="1305"/>
        <w:gridCol w:w="1305"/>
        <w:gridCol w:w="1278"/>
      </w:tblGrid>
      <w:tr w:rsidR="009C5C1F">
        <w:trPr>
          <w:trHeight w:val="298"/>
        </w:trPr>
        <w:tc>
          <w:tcPr>
            <w:tcW w:w="739" w:type="dxa"/>
            <w:tcBorders>
              <w:top w:val="single" w:sz="12"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lastRenderedPageBreak/>
              <w:t>编号</w:t>
            </w:r>
          </w:p>
        </w:tc>
        <w:tc>
          <w:tcPr>
            <w:tcW w:w="1953"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工程或费用名称</w:t>
            </w:r>
          </w:p>
        </w:tc>
        <w:tc>
          <w:tcPr>
            <w:tcW w:w="1140"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单位</w:t>
            </w:r>
          </w:p>
        </w:tc>
        <w:tc>
          <w:tcPr>
            <w:tcW w:w="1250"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数量</w:t>
            </w:r>
          </w:p>
        </w:tc>
        <w:tc>
          <w:tcPr>
            <w:tcW w:w="1305"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单价（元）</w:t>
            </w:r>
          </w:p>
        </w:tc>
        <w:tc>
          <w:tcPr>
            <w:tcW w:w="1305"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合计（万元）</w:t>
            </w:r>
          </w:p>
        </w:tc>
        <w:tc>
          <w:tcPr>
            <w:tcW w:w="1278" w:type="dxa"/>
            <w:tcBorders>
              <w:top w:val="single" w:sz="12"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备注</w:t>
            </w:r>
          </w:p>
        </w:tc>
      </w:tr>
      <w:tr w:rsidR="009C5C1F">
        <w:trPr>
          <w:trHeight w:val="430"/>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proofErr w:type="gramStart"/>
            <w:r>
              <w:rPr>
                <w:rFonts w:ascii="宋体" w:hAnsiTheme="minorHAnsi" w:cs="宋体" w:hint="eastAsia"/>
                <w:color w:val="000000"/>
                <w:kern w:val="0"/>
                <w:sz w:val="20"/>
                <w:szCs w:val="20"/>
              </w:rPr>
              <w:t>一</w:t>
            </w:r>
            <w:proofErr w:type="gramEnd"/>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万元</w:t>
            </w:r>
          </w:p>
        </w:tc>
        <w:tc>
          <w:tcPr>
            <w:tcW w:w="1250" w:type="dxa"/>
            <w:tcBorders>
              <w:top w:val="single" w:sz="6" w:space="0" w:color="000000"/>
              <w:left w:val="single" w:sz="6" w:space="0" w:color="000000"/>
              <w:bottom w:val="single" w:sz="6"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b/>
                <w:bCs/>
                <w:szCs w:val="21"/>
              </w:rPr>
              <w:t>1.2</w:t>
            </w:r>
            <w:r>
              <w:rPr>
                <w:rFonts w:hint="eastAsia"/>
                <w:b/>
                <w:bCs/>
                <w:szCs w:val="21"/>
              </w:rPr>
              <w:t xml:space="preserve"> </w:t>
            </w:r>
          </w:p>
        </w:tc>
        <w:tc>
          <w:tcPr>
            <w:tcW w:w="1278" w:type="dxa"/>
            <w:tcBorders>
              <w:top w:val="single" w:sz="6" w:space="0" w:color="000000"/>
              <w:left w:val="single" w:sz="6" w:space="0" w:color="000000"/>
              <w:bottom w:val="single" w:sz="6" w:space="0" w:color="000000"/>
              <w:right w:val="single" w:sz="12"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430"/>
        </w:trPr>
        <w:tc>
          <w:tcPr>
            <w:tcW w:w="739" w:type="dxa"/>
            <w:tcBorders>
              <w:top w:val="single" w:sz="6" w:space="0" w:color="000000"/>
              <w:left w:val="single" w:sz="12"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1 </w:t>
            </w:r>
          </w:p>
        </w:tc>
        <w:tc>
          <w:tcPr>
            <w:tcW w:w="1953" w:type="dxa"/>
            <w:tcBorders>
              <w:top w:val="single" w:sz="6" w:space="0" w:color="000000"/>
              <w:left w:val="single" w:sz="6" w:space="0" w:color="000000"/>
              <w:bottom w:val="single" w:sz="6" w:space="0" w:color="000000"/>
              <w:right w:val="single" w:sz="6" w:space="0" w:color="000000"/>
            </w:tcBorders>
            <w:vAlign w:val="bottom"/>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安全警示标志</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年</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kern w:val="0"/>
                <w:sz w:val="24"/>
              </w:rPr>
            </w:pPr>
            <w:r>
              <w:rPr>
                <w:rFonts w:ascii="黑体" w:eastAsia="黑体" w:hAnsiTheme="minorHAnsi" w:cs="黑体" w:hint="eastAsia"/>
              </w:rPr>
              <w:t>1</w:t>
            </w:r>
            <w:r>
              <w:rPr>
                <w:rFonts w:ascii="黑体" w:eastAsia="黑体" w:hAnsiTheme="minorHAnsi" w:cs="黑体"/>
              </w:rPr>
              <w:t>0</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sz w:val="20"/>
                <w:szCs w:val="20"/>
              </w:rPr>
              <w:t>1</w:t>
            </w:r>
            <w:r>
              <w:rPr>
                <w:rFonts w:hint="eastAsia"/>
                <w:sz w:val="20"/>
                <w:szCs w:val="20"/>
              </w:rPr>
              <w:t>000</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ascii="宋体" w:hAnsiTheme="minorHAnsi" w:cs="宋体" w:hint="eastAsia"/>
                <w:szCs w:val="21"/>
              </w:rPr>
              <w:t>1</w:t>
            </w:r>
            <w:r>
              <w:rPr>
                <w:rFonts w:ascii="宋体" w:hAnsiTheme="minorHAnsi" w:cs="宋体"/>
                <w:szCs w:val="21"/>
              </w:rPr>
              <w:t>.2</w:t>
            </w:r>
          </w:p>
        </w:tc>
        <w:tc>
          <w:tcPr>
            <w:tcW w:w="1278" w:type="dxa"/>
            <w:tcBorders>
              <w:top w:val="single" w:sz="6" w:space="0" w:color="000000"/>
              <w:left w:val="single" w:sz="6" w:space="0" w:color="000000"/>
              <w:bottom w:val="single" w:sz="6" w:space="0" w:color="000000"/>
              <w:right w:val="single" w:sz="12" w:space="0" w:color="000000"/>
            </w:tcBorders>
          </w:tcPr>
          <w:p w:rsidR="009C5C1F" w:rsidRDefault="004D2E0D">
            <w:pPr>
              <w:autoSpaceDE w:val="0"/>
              <w:autoSpaceDN w:val="0"/>
              <w:adjustRightInd w:val="0"/>
              <w:jc w:val="center"/>
              <w:rPr>
                <w:rFonts w:ascii="黑体" w:eastAsia="黑体" w:hAnsiTheme="minorHAnsi" w:cstheme="minorBidi"/>
                <w:kern w:val="0"/>
                <w:sz w:val="24"/>
              </w:rPr>
            </w:pPr>
            <w:r>
              <w:rPr>
                <w:rFonts w:ascii="黑体" w:eastAsia="黑体" w:hAnsiTheme="minorHAnsi" w:cstheme="minorBidi" w:hint="eastAsia"/>
                <w:kern w:val="0"/>
                <w:sz w:val="24"/>
              </w:rPr>
              <w:t>6个/</w:t>
            </w:r>
            <w:r>
              <w:rPr>
                <w:rFonts w:ascii="黑体" w:eastAsia="黑体" w:hAnsiTheme="minorHAnsi" w:cstheme="minorBidi"/>
                <w:kern w:val="0"/>
                <w:sz w:val="24"/>
              </w:rPr>
              <w:t>5</w:t>
            </w:r>
            <w:r>
              <w:rPr>
                <w:rFonts w:ascii="黑体" w:eastAsia="黑体" w:hAnsiTheme="minorHAnsi" w:cstheme="minorBidi" w:hint="eastAsia"/>
                <w:kern w:val="0"/>
                <w:sz w:val="24"/>
              </w:rPr>
              <w:t>年</w:t>
            </w:r>
          </w:p>
        </w:tc>
      </w:tr>
      <w:tr w:rsidR="009C5C1F">
        <w:trPr>
          <w:trHeight w:val="430"/>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二</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施工临时工程</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万元</w:t>
            </w:r>
          </w:p>
        </w:tc>
        <w:tc>
          <w:tcPr>
            <w:tcW w:w="1250" w:type="dxa"/>
            <w:tcBorders>
              <w:top w:val="single" w:sz="6" w:space="0" w:color="000000"/>
              <w:left w:val="single" w:sz="6" w:space="0" w:color="000000"/>
              <w:bottom w:val="single" w:sz="6"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hint="eastAsia"/>
                <w:b/>
                <w:bCs/>
                <w:szCs w:val="21"/>
              </w:rPr>
              <w:t>0.</w:t>
            </w:r>
            <w:r>
              <w:rPr>
                <w:b/>
                <w:bCs/>
                <w:szCs w:val="21"/>
              </w:rPr>
              <w:t>1</w:t>
            </w:r>
            <w:r>
              <w:rPr>
                <w:rFonts w:hint="eastAsia"/>
                <w:b/>
                <w:bCs/>
                <w:szCs w:val="21"/>
              </w:rPr>
              <w:t xml:space="preserve"> </w:t>
            </w:r>
          </w:p>
        </w:tc>
        <w:tc>
          <w:tcPr>
            <w:tcW w:w="1278" w:type="dxa"/>
            <w:tcBorders>
              <w:top w:val="single" w:sz="6" w:space="0" w:color="000000"/>
              <w:left w:val="single" w:sz="6" w:space="0" w:color="000000"/>
              <w:bottom w:val="single" w:sz="6" w:space="0" w:color="000000"/>
              <w:right w:val="single" w:sz="12"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433"/>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1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施工临时工程</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 </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kern w:val="0"/>
                <w:sz w:val="24"/>
              </w:rPr>
            </w:pPr>
            <w:r>
              <w:rPr>
                <w:rFonts w:ascii="黑体" w:eastAsia="黑体" w:hAnsi="黑体" w:hint="eastAsia"/>
              </w:rPr>
              <w:t>1</w:t>
            </w:r>
          </w:p>
        </w:tc>
        <w:tc>
          <w:tcPr>
            <w:tcW w:w="1305" w:type="dxa"/>
            <w:tcBorders>
              <w:top w:val="single" w:sz="6" w:space="0" w:color="000000"/>
              <w:left w:val="single" w:sz="6" w:space="0" w:color="000000"/>
              <w:bottom w:val="single" w:sz="6"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hint="eastAsia"/>
                <w:szCs w:val="21"/>
              </w:rPr>
              <w:t>0.</w:t>
            </w:r>
            <w:r>
              <w:rPr>
                <w:szCs w:val="21"/>
              </w:rPr>
              <w:t>1</w:t>
            </w:r>
          </w:p>
        </w:tc>
        <w:tc>
          <w:tcPr>
            <w:tcW w:w="1278" w:type="dxa"/>
            <w:tcBorders>
              <w:top w:val="single" w:sz="6" w:space="0" w:color="000000"/>
              <w:left w:val="single" w:sz="6" w:space="0" w:color="000000"/>
              <w:bottom w:val="single" w:sz="6" w:space="0" w:color="000000"/>
              <w:right w:val="single" w:sz="12"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430"/>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三</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独立费用</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万元</w:t>
            </w:r>
          </w:p>
        </w:tc>
        <w:tc>
          <w:tcPr>
            <w:tcW w:w="1250" w:type="dxa"/>
            <w:tcBorders>
              <w:top w:val="single" w:sz="6" w:space="0" w:color="000000"/>
              <w:left w:val="single" w:sz="6" w:space="0" w:color="000000"/>
              <w:bottom w:val="single" w:sz="6"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ascii="宋体" w:hAnsiTheme="minorHAnsi" w:cs="宋体"/>
                <w:szCs w:val="21"/>
              </w:rPr>
              <w:t>7.05</w:t>
            </w:r>
          </w:p>
        </w:tc>
        <w:tc>
          <w:tcPr>
            <w:tcW w:w="1278" w:type="dxa"/>
            <w:tcBorders>
              <w:top w:val="single" w:sz="6" w:space="0" w:color="000000"/>
              <w:left w:val="single" w:sz="6" w:space="0" w:color="000000"/>
              <w:bottom w:val="single" w:sz="6" w:space="0" w:color="000000"/>
              <w:right w:val="single" w:sz="12"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430"/>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1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项目建设管理费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 </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kern w:val="0"/>
                <w:sz w:val="24"/>
              </w:rPr>
            </w:pPr>
            <w:r>
              <w:rPr>
                <w:rFonts w:ascii="黑体" w:eastAsia="黑体" w:hAnsi="黑体" w:hint="eastAsia"/>
              </w:rPr>
              <w:t>5</w:t>
            </w:r>
          </w:p>
        </w:tc>
        <w:tc>
          <w:tcPr>
            <w:tcW w:w="1305" w:type="dxa"/>
            <w:tcBorders>
              <w:top w:val="single" w:sz="6" w:space="0" w:color="000000"/>
              <w:left w:val="single" w:sz="6" w:space="0" w:color="000000"/>
              <w:bottom w:val="single" w:sz="6"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hint="eastAsia"/>
                <w:szCs w:val="21"/>
              </w:rPr>
              <w:t>0.</w:t>
            </w:r>
            <w:r>
              <w:rPr>
                <w:szCs w:val="21"/>
              </w:rPr>
              <w:t>5</w:t>
            </w:r>
            <w:r>
              <w:rPr>
                <w:rFonts w:hint="eastAsia"/>
                <w:szCs w:val="21"/>
              </w:rPr>
              <w:t xml:space="preserve"> </w:t>
            </w:r>
          </w:p>
        </w:tc>
        <w:tc>
          <w:tcPr>
            <w:tcW w:w="1278" w:type="dxa"/>
            <w:tcBorders>
              <w:top w:val="single" w:sz="6" w:space="0" w:color="000000"/>
              <w:left w:val="single" w:sz="6" w:space="0" w:color="000000"/>
              <w:bottom w:val="single" w:sz="6" w:space="0" w:color="000000"/>
              <w:right w:val="single" w:sz="12"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433"/>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2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工程建设监理费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 </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kern w:val="0"/>
                <w:sz w:val="24"/>
              </w:rPr>
            </w:pPr>
            <w:r>
              <w:rPr>
                <w:rFonts w:ascii="黑体" w:eastAsia="黑体" w:hAnsi="黑体" w:hint="eastAsia"/>
              </w:rPr>
              <w:t>5</w:t>
            </w:r>
          </w:p>
        </w:tc>
        <w:tc>
          <w:tcPr>
            <w:tcW w:w="1305" w:type="dxa"/>
            <w:tcBorders>
              <w:top w:val="single" w:sz="6" w:space="0" w:color="000000"/>
              <w:left w:val="single" w:sz="6" w:space="0" w:color="000000"/>
              <w:bottom w:val="single" w:sz="6"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hint="eastAsia"/>
                <w:szCs w:val="21"/>
              </w:rPr>
              <w:t xml:space="preserve">0.5 </w:t>
            </w:r>
          </w:p>
        </w:tc>
        <w:tc>
          <w:tcPr>
            <w:tcW w:w="1278" w:type="dxa"/>
            <w:tcBorders>
              <w:top w:val="single" w:sz="6" w:space="0" w:color="000000"/>
              <w:left w:val="single" w:sz="6" w:space="0" w:color="000000"/>
              <w:bottom w:val="single" w:sz="6" w:space="0" w:color="000000"/>
              <w:right w:val="single" w:sz="12"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430"/>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3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工程保险费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 </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hint="eastAsia"/>
                <w:szCs w:val="21"/>
              </w:rPr>
              <w:t>0.5</w:t>
            </w:r>
          </w:p>
        </w:tc>
        <w:tc>
          <w:tcPr>
            <w:tcW w:w="1305" w:type="dxa"/>
            <w:tcBorders>
              <w:top w:val="single" w:sz="6" w:space="0" w:color="000000"/>
              <w:left w:val="single" w:sz="6" w:space="0" w:color="000000"/>
              <w:bottom w:val="single" w:sz="6"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hint="eastAsia"/>
                <w:szCs w:val="21"/>
              </w:rPr>
              <w:t>0.0</w:t>
            </w:r>
            <w:r>
              <w:rPr>
                <w:szCs w:val="21"/>
              </w:rPr>
              <w:t>5</w:t>
            </w:r>
            <w:r>
              <w:rPr>
                <w:rFonts w:hint="eastAsia"/>
                <w:szCs w:val="21"/>
              </w:rPr>
              <w:t xml:space="preserve"> </w:t>
            </w:r>
          </w:p>
        </w:tc>
        <w:tc>
          <w:tcPr>
            <w:tcW w:w="1278" w:type="dxa"/>
            <w:tcBorders>
              <w:top w:val="single" w:sz="6" w:space="0" w:color="000000"/>
              <w:left w:val="single" w:sz="6" w:space="0" w:color="000000"/>
              <w:bottom w:val="single" w:sz="6" w:space="0" w:color="000000"/>
              <w:right w:val="single" w:sz="12"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430"/>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4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监测费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年</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kern w:val="0"/>
                <w:sz w:val="24"/>
              </w:rPr>
            </w:pPr>
            <w:r>
              <w:rPr>
                <w:rFonts w:ascii="黑体" w:eastAsia="黑体" w:hAnsiTheme="minorHAnsi" w:cs="黑体" w:hint="eastAsia"/>
              </w:rPr>
              <w:t>1</w:t>
            </w:r>
            <w:r>
              <w:rPr>
                <w:rFonts w:ascii="黑体" w:eastAsia="黑体" w:hAnsiTheme="minorHAnsi" w:cs="黑体"/>
              </w:rPr>
              <w:t>0</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szCs w:val="21"/>
              </w:rPr>
              <w:t>5</w:t>
            </w:r>
            <w:r>
              <w:rPr>
                <w:rFonts w:hint="eastAsia"/>
                <w:szCs w:val="21"/>
              </w:rPr>
              <w:t>000</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ascii="宋体" w:hAnsiTheme="minorHAnsi" w:cs="宋体" w:hint="eastAsia"/>
                <w:szCs w:val="21"/>
              </w:rPr>
              <w:t>6</w:t>
            </w:r>
            <w:r>
              <w:rPr>
                <w:rFonts w:ascii="宋体" w:hAnsiTheme="minorHAnsi" w:cs="宋体"/>
                <w:szCs w:val="21"/>
              </w:rPr>
              <w:t>.0</w:t>
            </w:r>
          </w:p>
        </w:tc>
        <w:tc>
          <w:tcPr>
            <w:tcW w:w="1278" w:type="dxa"/>
            <w:tcBorders>
              <w:top w:val="single" w:sz="6" w:space="0" w:color="000000"/>
              <w:left w:val="single" w:sz="6" w:space="0" w:color="000000"/>
              <w:bottom w:val="single" w:sz="6" w:space="0" w:color="000000"/>
              <w:right w:val="single" w:sz="12" w:space="0" w:color="000000"/>
            </w:tcBorders>
            <w:vAlign w:val="bottom"/>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1</w:t>
            </w:r>
            <w:r>
              <w:rPr>
                <w:rFonts w:ascii="宋体" w:hAnsiTheme="minorHAnsi" w:cs="宋体"/>
                <w:color w:val="000000"/>
                <w:kern w:val="0"/>
                <w:sz w:val="20"/>
                <w:szCs w:val="20"/>
              </w:rPr>
              <w:t>2</w:t>
            </w:r>
            <w:r>
              <w:rPr>
                <w:rFonts w:ascii="宋体" w:hAnsiTheme="minorHAnsi" w:cs="宋体" w:hint="eastAsia"/>
                <w:color w:val="000000"/>
                <w:kern w:val="0"/>
                <w:sz w:val="20"/>
                <w:szCs w:val="20"/>
              </w:rPr>
              <w:t>个</w:t>
            </w:r>
          </w:p>
        </w:tc>
      </w:tr>
      <w:tr w:rsidR="009C5C1F">
        <w:trPr>
          <w:trHeight w:val="430"/>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四</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基本预备费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 </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hint="eastAsia"/>
                <w:szCs w:val="21"/>
              </w:rPr>
              <w:t>10</w:t>
            </w:r>
          </w:p>
        </w:tc>
        <w:tc>
          <w:tcPr>
            <w:tcW w:w="1305" w:type="dxa"/>
            <w:tcBorders>
              <w:top w:val="single" w:sz="6" w:space="0" w:color="000000"/>
              <w:left w:val="single" w:sz="6" w:space="0" w:color="000000"/>
              <w:bottom w:val="single" w:sz="6"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ascii="宋体" w:hAnsiTheme="minorHAnsi" w:cs="宋体" w:hint="eastAsia"/>
                <w:szCs w:val="21"/>
              </w:rPr>
              <w:t>1</w:t>
            </w:r>
            <w:r>
              <w:rPr>
                <w:rFonts w:ascii="宋体" w:hAnsiTheme="minorHAnsi" w:cs="宋体"/>
                <w:szCs w:val="21"/>
              </w:rPr>
              <w:t>.0</w:t>
            </w:r>
          </w:p>
        </w:tc>
        <w:tc>
          <w:tcPr>
            <w:tcW w:w="1278" w:type="dxa"/>
            <w:tcBorders>
              <w:top w:val="single" w:sz="6" w:space="0" w:color="000000"/>
              <w:left w:val="single" w:sz="6" w:space="0" w:color="000000"/>
              <w:bottom w:val="single" w:sz="6" w:space="0" w:color="000000"/>
              <w:right w:val="single" w:sz="12"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415"/>
        </w:trPr>
        <w:tc>
          <w:tcPr>
            <w:tcW w:w="739" w:type="dxa"/>
            <w:tcBorders>
              <w:top w:val="single" w:sz="6" w:space="0" w:color="000000"/>
              <w:left w:val="single" w:sz="12" w:space="0" w:color="000000"/>
              <w:bottom w:val="single" w:sz="12"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五</w:t>
            </w:r>
          </w:p>
        </w:tc>
        <w:tc>
          <w:tcPr>
            <w:tcW w:w="1953" w:type="dxa"/>
            <w:tcBorders>
              <w:top w:val="single" w:sz="6" w:space="0" w:color="000000"/>
              <w:left w:val="single" w:sz="6" w:space="0" w:color="000000"/>
              <w:bottom w:val="single" w:sz="12"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总投资</w:t>
            </w:r>
          </w:p>
        </w:tc>
        <w:tc>
          <w:tcPr>
            <w:tcW w:w="1140" w:type="dxa"/>
            <w:tcBorders>
              <w:top w:val="single" w:sz="6" w:space="0" w:color="000000"/>
              <w:left w:val="single" w:sz="6" w:space="0" w:color="000000"/>
              <w:bottom w:val="single" w:sz="12"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250" w:type="dxa"/>
            <w:tcBorders>
              <w:top w:val="single" w:sz="6" w:space="0" w:color="000000"/>
              <w:left w:val="single" w:sz="6" w:space="0" w:color="000000"/>
              <w:bottom w:val="single" w:sz="12"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12"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12"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Cs w:val="21"/>
              </w:rPr>
            </w:pPr>
            <w:r>
              <w:rPr>
                <w:rFonts w:ascii="宋体" w:hAnsiTheme="minorHAnsi" w:cs="宋体" w:hint="eastAsia"/>
                <w:kern w:val="0"/>
                <w:szCs w:val="21"/>
              </w:rPr>
              <w:t>9</w:t>
            </w:r>
            <w:r>
              <w:rPr>
                <w:rFonts w:ascii="宋体" w:hAnsiTheme="minorHAnsi" w:cs="宋体"/>
                <w:kern w:val="0"/>
                <w:szCs w:val="21"/>
              </w:rPr>
              <w:t>.35</w:t>
            </w:r>
          </w:p>
        </w:tc>
        <w:tc>
          <w:tcPr>
            <w:tcW w:w="1278" w:type="dxa"/>
            <w:tcBorders>
              <w:top w:val="single" w:sz="6" w:space="0" w:color="000000"/>
              <w:left w:val="single" w:sz="6" w:space="0" w:color="000000"/>
              <w:bottom w:val="single" w:sz="12" w:space="0" w:color="000000"/>
              <w:right w:val="single" w:sz="12"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r>
    </w:tbl>
    <w:p w:rsidR="009C5C1F" w:rsidRDefault="004D2E0D">
      <w:pPr>
        <w:suppressAutoHyphens/>
        <w:wordWrap w:val="0"/>
        <w:topLinePunct/>
        <w:spacing w:line="480" w:lineRule="exact"/>
        <w:ind w:firstLineChars="200" w:firstLine="480"/>
        <w:rPr>
          <w:sz w:val="24"/>
        </w:rPr>
      </w:pPr>
      <w:r>
        <w:rPr>
          <w:sz w:val="24"/>
        </w:rPr>
        <w:t>②</w:t>
      </w:r>
      <w:r>
        <w:rPr>
          <w:rFonts w:hint="eastAsia"/>
          <w:sz w:val="24"/>
        </w:rPr>
        <w:t>方案编制</w:t>
      </w:r>
      <w:r>
        <w:rPr>
          <w:sz w:val="24"/>
        </w:rPr>
        <w:t>年限期保护与治理经费估算</w:t>
      </w:r>
    </w:p>
    <w:p w:rsidR="009C5C1F" w:rsidRDefault="004D2E0D">
      <w:pPr>
        <w:suppressAutoHyphens/>
        <w:wordWrap w:val="0"/>
        <w:topLinePunct/>
        <w:spacing w:line="480" w:lineRule="exact"/>
        <w:ind w:firstLineChars="200" w:firstLine="480"/>
        <w:rPr>
          <w:sz w:val="24"/>
        </w:rPr>
      </w:pPr>
      <w:r>
        <w:rPr>
          <w:sz w:val="24"/>
        </w:rPr>
        <w:t>甘肃省</w:t>
      </w:r>
      <w:r>
        <w:rPr>
          <w:rFonts w:hint="eastAsia"/>
          <w:sz w:val="24"/>
        </w:rPr>
        <w:t>临泽</w:t>
      </w:r>
      <w:r>
        <w:rPr>
          <w:sz w:val="24"/>
        </w:rPr>
        <w:t>县</w:t>
      </w:r>
      <w:r>
        <w:rPr>
          <w:rFonts w:hint="eastAsia"/>
          <w:sz w:val="24"/>
        </w:rPr>
        <w:t>板桥</w:t>
      </w:r>
      <w:r>
        <w:rPr>
          <w:sz w:val="24"/>
        </w:rPr>
        <w:t>镇</w:t>
      </w:r>
      <w:r>
        <w:rPr>
          <w:rFonts w:hint="eastAsia"/>
          <w:sz w:val="24"/>
        </w:rPr>
        <w:t>正北山西侧砖瓦用粘土</w:t>
      </w:r>
      <w:proofErr w:type="gramStart"/>
      <w:r>
        <w:rPr>
          <w:rFonts w:hint="eastAsia"/>
          <w:sz w:val="24"/>
        </w:rPr>
        <w:t>矿</w:t>
      </w:r>
      <w:proofErr w:type="gramEnd"/>
      <w:r>
        <w:rPr>
          <w:sz w:val="24"/>
        </w:rPr>
        <w:t>矿山地质环境保护与恢复治理方案</w:t>
      </w:r>
      <w:r>
        <w:rPr>
          <w:rFonts w:hint="eastAsia"/>
          <w:sz w:val="24"/>
        </w:rPr>
        <w:t>编制</w:t>
      </w:r>
      <w:r>
        <w:rPr>
          <w:sz w:val="24"/>
        </w:rPr>
        <w:t>年限期</w:t>
      </w:r>
      <w:r>
        <w:rPr>
          <w:sz w:val="24"/>
        </w:rPr>
        <w:t>(12</w:t>
      </w:r>
      <w:r>
        <w:rPr>
          <w:sz w:val="24"/>
        </w:rPr>
        <w:t>年</w:t>
      </w:r>
      <w:r>
        <w:rPr>
          <w:sz w:val="24"/>
        </w:rPr>
        <w:t>)</w:t>
      </w:r>
      <w:r>
        <w:rPr>
          <w:sz w:val="24"/>
        </w:rPr>
        <w:t>总投资为</w:t>
      </w:r>
      <w:r>
        <w:rPr>
          <w:sz w:val="24"/>
        </w:rPr>
        <w:t>19.83</w:t>
      </w:r>
      <w:r>
        <w:rPr>
          <w:sz w:val="24"/>
        </w:rPr>
        <w:t>万元</w:t>
      </w:r>
      <w:r>
        <w:rPr>
          <w:sz w:val="24"/>
        </w:rPr>
        <w:t>(</w:t>
      </w:r>
      <w:r>
        <w:rPr>
          <w:sz w:val="24"/>
        </w:rPr>
        <w:t>表</w:t>
      </w:r>
      <w:r>
        <w:rPr>
          <w:sz w:val="24"/>
        </w:rPr>
        <w:t>7-4)</w:t>
      </w:r>
      <w:r>
        <w:rPr>
          <w:sz w:val="24"/>
        </w:rPr>
        <w:t>。</w:t>
      </w:r>
    </w:p>
    <w:p w:rsidR="009C5C1F" w:rsidRDefault="004D2E0D">
      <w:pPr>
        <w:suppressAutoHyphens/>
        <w:wordWrap w:val="0"/>
        <w:topLinePunct/>
        <w:spacing w:beforeLines="50" w:before="180" w:afterLines="50" w:after="180"/>
        <w:jc w:val="center"/>
        <w:rPr>
          <w:b/>
          <w:bCs/>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7</w:t>
      </w:r>
      <w:r>
        <w:rPr>
          <w:rFonts w:hint="eastAsia"/>
          <w:b/>
          <w:bCs/>
          <w:sz w:val="24"/>
        </w:rPr>
        <w:t>—</w:t>
      </w:r>
      <w:r>
        <w:rPr>
          <w:b/>
          <w:bCs/>
          <w:sz w:val="24"/>
        </w:rPr>
        <w:t xml:space="preserve">4          </w:t>
      </w:r>
      <w:r>
        <w:rPr>
          <w:rFonts w:hint="eastAsia"/>
          <w:b/>
          <w:bCs/>
          <w:sz w:val="24"/>
        </w:rPr>
        <w:t xml:space="preserve"> </w:t>
      </w:r>
      <w:r>
        <w:rPr>
          <w:b/>
          <w:bCs/>
          <w:sz w:val="24"/>
        </w:rPr>
        <w:t>矿山</w:t>
      </w:r>
      <w:r>
        <w:rPr>
          <w:rFonts w:hint="eastAsia"/>
          <w:b/>
          <w:bCs/>
          <w:sz w:val="24"/>
        </w:rPr>
        <w:t>服务</w:t>
      </w:r>
      <w:r>
        <w:rPr>
          <w:b/>
          <w:bCs/>
          <w:sz w:val="24"/>
        </w:rPr>
        <w:t>年限内总估算表</w:t>
      </w:r>
    </w:p>
    <w:tbl>
      <w:tblPr>
        <w:tblW w:w="8970" w:type="dxa"/>
        <w:jc w:val="center"/>
        <w:tblLook w:val="04A0" w:firstRow="1" w:lastRow="0" w:firstColumn="1" w:lastColumn="0" w:noHBand="0" w:noVBand="1"/>
      </w:tblPr>
      <w:tblGrid>
        <w:gridCol w:w="739"/>
        <w:gridCol w:w="1953"/>
        <w:gridCol w:w="1140"/>
        <w:gridCol w:w="1250"/>
        <w:gridCol w:w="1305"/>
        <w:gridCol w:w="1305"/>
        <w:gridCol w:w="1278"/>
      </w:tblGrid>
      <w:tr w:rsidR="009C5C1F">
        <w:trPr>
          <w:trHeight w:val="300"/>
          <w:jc w:val="center"/>
        </w:trPr>
        <w:tc>
          <w:tcPr>
            <w:tcW w:w="739" w:type="dxa"/>
            <w:tcBorders>
              <w:top w:val="single" w:sz="12"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编号</w:t>
            </w:r>
          </w:p>
        </w:tc>
        <w:tc>
          <w:tcPr>
            <w:tcW w:w="1953"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工程或费用名称</w:t>
            </w:r>
          </w:p>
        </w:tc>
        <w:tc>
          <w:tcPr>
            <w:tcW w:w="1140"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单位</w:t>
            </w:r>
          </w:p>
        </w:tc>
        <w:tc>
          <w:tcPr>
            <w:tcW w:w="1250"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数量</w:t>
            </w:r>
          </w:p>
        </w:tc>
        <w:tc>
          <w:tcPr>
            <w:tcW w:w="1305"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单价（元）</w:t>
            </w:r>
          </w:p>
        </w:tc>
        <w:tc>
          <w:tcPr>
            <w:tcW w:w="1305"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合计（万元）</w:t>
            </w:r>
          </w:p>
        </w:tc>
        <w:tc>
          <w:tcPr>
            <w:tcW w:w="1278" w:type="dxa"/>
            <w:tcBorders>
              <w:top w:val="single" w:sz="12"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备注</w:t>
            </w:r>
          </w:p>
        </w:tc>
      </w:tr>
      <w:tr w:rsidR="009C5C1F">
        <w:trPr>
          <w:trHeight w:val="328"/>
          <w:jc w:val="center"/>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proofErr w:type="gramStart"/>
            <w:r>
              <w:rPr>
                <w:rFonts w:ascii="宋体" w:hAnsiTheme="minorHAnsi" w:cs="宋体" w:hint="eastAsia"/>
                <w:color w:val="000000"/>
                <w:kern w:val="0"/>
                <w:sz w:val="20"/>
                <w:szCs w:val="20"/>
              </w:rPr>
              <w:t>一</w:t>
            </w:r>
            <w:proofErr w:type="gramEnd"/>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万元</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b/>
                <w:bCs/>
                <w:sz w:val="20"/>
                <w:szCs w:val="20"/>
              </w:rPr>
              <w:t>7.58</w:t>
            </w:r>
            <w:r>
              <w:rPr>
                <w:rFonts w:hint="eastAsia"/>
                <w:b/>
                <w:bCs/>
                <w:sz w:val="20"/>
                <w:szCs w:val="20"/>
              </w:rPr>
              <w:t xml:space="preserve"> </w:t>
            </w:r>
          </w:p>
        </w:tc>
        <w:tc>
          <w:tcPr>
            <w:tcW w:w="1278" w:type="dxa"/>
            <w:tcBorders>
              <w:top w:val="single" w:sz="6" w:space="0" w:color="000000"/>
              <w:left w:val="single" w:sz="6" w:space="0" w:color="000000"/>
              <w:bottom w:val="single" w:sz="6" w:space="0" w:color="000000"/>
              <w:right w:val="single" w:sz="12"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298"/>
          <w:jc w:val="center"/>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1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回填</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万</w:t>
            </w:r>
            <w:r>
              <w:rPr>
                <w:rFonts w:ascii="宋体" w:hAnsiTheme="minorHAnsi" w:cs="宋体"/>
                <w:color w:val="000000"/>
                <w:kern w:val="0"/>
                <w:sz w:val="20"/>
                <w:szCs w:val="20"/>
              </w:rPr>
              <w:t xml:space="preserve">m3 </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rFonts w:hint="eastAsia"/>
                <w:sz w:val="20"/>
                <w:szCs w:val="20"/>
              </w:rPr>
              <w:t>2</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rFonts w:ascii="宋体" w:hAnsiTheme="minorHAnsi" w:cs="宋体" w:hint="eastAsia"/>
                <w:sz w:val="20"/>
                <w:szCs w:val="20"/>
              </w:rPr>
              <w:t>2</w:t>
            </w:r>
            <w:r>
              <w:rPr>
                <w:rFonts w:ascii="宋体" w:hAnsiTheme="minorHAnsi" w:cs="宋体"/>
                <w:sz w:val="20"/>
                <w:szCs w:val="20"/>
              </w:rPr>
              <w:t>.89</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sz w:val="20"/>
                <w:szCs w:val="20"/>
              </w:rPr>
              <w:t>5.78</w:t>
            </w:r>
            <w:r>
              <w:rPr>
                <w:rFonts w:hint="eastAsia"/>
                <w:sz w:val="20"/>
                <w:szCs w:val="20"/>
              </w:rPr>
              <w:t xml:space="preserve"> </w:t>
            </w:r>
          </w:p>
        </w:tc>
        <w:tc>
          <w:tcPr>
            <w:tcW w:w="1278" w:type="dxa"/>
            <w:tcBorders>
              <w:top w:val="single" w:sz="6" w:space="0" w:color="000000"/>
              <w:left w:val="single" w:sz="6" w:space="0" w:color="000000"/>
              <w:bottom w:val="single" w:sz="6" w:space="0" w:color="000000"/>
              <w:right w:val="single" w:sz="12"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298"/>
          <w:jc w:val="center"/>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2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安全警示标志</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年</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kern w:val="0"/>
                <w:sz w:val="24"/>
              </w:rPr>
            </w:pPr>
            <w:r>
              <w:rPr>
                <w:rFonts w:ascii="黑体" w:eastAsia="黑体" w:hAnsi="黑体" w:hint="eastAsia"/>
              </w:rPr>
              <w:t>1</w:t>
            </w:r>
            <w:r>
              <w:rPr>
                <w:rFonts w:ascii="黑体" w:eastAsia="黑体" w:hAnsi="黑体"/>
              </w:rPr>
              <w:t>2</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sz w:val="20"/>
                <w:szCs w:val="20"/>
              </w:rPr>
              <w:t>1</w:t>
            </w:r>
            <w:r>
              <w:rPr>
                <w:rFonts w:hint="eastAsia"/>
                <w:sz w:val="20"/>
                <w:szCs w:val="20"/>
              </w:rPr>
              <w:t>000</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sz w:val="20"/>
                <w:szCs w:val="20"/>
              </w:rPr>
              <w:t>1.80</w:t>
            </w:r>
            <w:r>
              <w:rPr>
                <w:rFonts w:hint="eastAsia"/>
                <w:sz w:val="20"/>
                <w:szCs w:val="20"/>
              </w:rPr>
              <w:t xml:space="preserve"> </w:t>
            </w:r>
          </w:p>
        </w:tc>
        <w:tc>
          <w:tcPr>
            <w:tcW w:w="1278" w:type="dxa"/>
            <w:tcBorders>
              <w:top w:val="single" w:sz="6"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jc w:val="center"/>
              <w:rPr>
                <w:rFonts w:ascii="黑体" w:eastAsia="黑体" w:hAnsiTheme="minorHAnsi" w:cstheme="minorBidi"/>
                <w:kern w:val="0"/>
                <w:sz w:val="24"/>
              </w:rPr>
            </w:pPr>
            <w:r>
              <w:rPr>
                <w:rFonts w:ascii="黑体" w:eastAsia="黑体" w:hAnsiTheme="minorHAnsi" w:cstheme="minorBidi" w:hint="eastAsia"/>
                <w:kern w:val="0"/>
                <w:sz w:val="24"/>
              </w:rPr>
              <w:t>6个/</w:t>
            </w:r>
            <w:r>
              <w:rPr>
                <w:rFonts w:ascii="黑体" w:eastAsia="黑体" w:hAnsiTheme="minorHAnsi" w:cstheme="minorBidi"/>
                <w:kern w:val="0"/>
                <w:sz w:val="24"/>
              </w:rPr>
              <w:t>5</w:t>
            </w:r>
            <w:r>
              <w:rPr>
                <w:rFonts w:ascii="黑体" w:eastAsia="黑体" w:hAnsiTheme="minorHAnsi" w:cstheme="minorBidi" w:hint="eastAsia"/>
                <w:kern w:val="0"/>
                <w:sz w:val="24"/>
              </w:rPr>
              <w:t>年</w:t>
            </w:r>
          </w:p>
        </w:tc>
      </w:tr>
      <w:tr w:rsidR="009C5C1F">
        <w:trPr>
          <w:trHeight w:val="330"/>
          <w:jc w:val="center"/>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二</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施工临时工程</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万元</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rFonts w:hint="eastAsia"/>
                <w:b/>
                <w:bCs/>
                <w:sz w:val="20"/>
                <w:szCs w:val="20"/>
              </w:rPr>
              <w:t>0.</w:t>
            </w:r>
            <w:r>
              <w:rPr>
                <w:b/>
                <w:bCs/>
                <w:sz w:val="20"/>
                <w:szCs w:val="20"/>
              </w:rPr>
              <w:t>10</w:t>
            </w:r>
            <w:r>
              <w:rPr>
                <w:rFonts w:hint="eastAsia"/>
                <w:b/>
                <w:bCs/>
                <w:sz w:val="20"/>
                <w:szCs w:val="20"/>
              </w:rPr>
              <w:t xml:space="preserve"> </w:t>
            </w:r>
          </w:p>
        </w:tc>
        <w:tc>
          <w:tcPr>
            <w:tcW w:w="1278" w:type="dxa"/>
            <w:tcBorders>
              <w:top w:val="single" w:sz="6" w:space="0" w:color="000000"/>
              <w:left w:val="single" w:sz="6" w:space="0" w:color="000000"/>
              <w:bottom w:val="single" w:sz="6" w:space="0" w:color="000000"/>
              <w:right w:val="single" w:sz="12"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298"/>
          <w:jc w:val="center"/>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1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施工临时工程</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 </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kern w:val="0"/>
                <w:sz w:val="24"/>
              </w:rPr>
            </w:pPr>
            <w:r>
              <w:rPr>
                <w:rFonts w:ascii="黑体" w:eastAsia="黑体" w:hAnsi="黑体" w:hint="eastAsia"/>
              </w:rPr>
              <w:t>1</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rFonts w:hint="eastAsia"/>
                <w:sz w:val="20"/>
                <w:szCs w:val="20"/>
              </w:rPr>
              <w:t>0.</w:t>
            </w:r>
            <w:r>
              <w:rPr>
                <w:sz w:val="20"/>
                <w:szCs w:val="20"/>
              </w:rPr>
              <w:t>10</w:t>
            </w:r>
          </w:p>
        </w:tc>
        <w:tc>
          <w:tcPr>
            <w:tcW w:w="1278" w:type="dxa"/>
            <w:tcBorders>
              <w:top w:val="single" w:sz="6" w:space="0" w:color="000000"/>
              <w:left w:val="single" w:sz="6" w:space="0" w:color="000000"/>
              <w:bottom w:val="single" w:sz="6" w:space="0" w:color="000000"/>
              <w:right w:val="single" w:sz="12"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328"/>
          <w:jc w:val="center"/>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三</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独立费用</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万元</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b/>
                <w:bCs/>
                <w:kern w:val="0"/>
                <w:sz w:val="20"/>
                <w:szCs w:val="20"/>
              </w:rPr>
            </w:pPr>
            <w:r>
              <w:rPr>
                <w:rFonts w:ascii="宋体" w:hAnsiTheme="minorHAnsi" w:cs="宋体"/>
                <w:b/>
                <w:bCs/>
                <w:sz w:val="20"/>
                <w:szCs w:val="20"/>
              </w:rPr>
              <w:t>9.15</w:t>
            </w:r>
          </w:p>
        </w:tc>
        <w:tc>
          <w:tcPr>
            <w:tcW w:w="1278" w:type="dxa"/>
            <w:tcBorders>
              <w:top w:val="single" w:sz="6" w:space="0" w:color="000000"/>
              <w:left w:val="single" w:sz="6" w:space="0" w:color="000000"/>
              <w:bottom w:val="single" w:sz="6" w:space="0" w:color="000000"/>
              <w:right w:val="single" w:sz="12"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298"/>
          <w:jc w:val="center"/>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1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项目建设管理费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 </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kern w:val="0"/>
                <w:sz w:val="24"/>
              </w:rPr>
            </w:pPr>
            <w:r>
              <w:rPr>
                <w:rFonts w:ascii="黑体" w:eastAsia="黑体" w:hAnsi="黑体" w:hint="eastAsia"/>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sz w:val="20"/>
                <w:szCs w:val="20"/>
              </w:rPr>
              <w:t>1.50</w:t>
            </w:r>
            <w:r>
              <w:rPr>
                <w:rFonts w:hint="eastAsia"/>
                <w:sz w:val="20"/>
                <w:szCs w:val="20"/>
              </w:rPr>
              <w:t xml:space="preserve"> </w:t>
            </w:r>
          </w:p>
        </w:tc>
        <w:tc>
          <w:tcPr>
            <w:tcW w:w="1278" w:type="dxa"/>
            <w:tcBorders>
              <w:top w:val="single" w:sz="6" w:space="0" w:color="000000"/>
              <w:left w:val="single" w:sz="6" w:space="0" w:color="000000"/>
              <w:bottom w:val="single" w:sz="6" w:space="0" w:color="000000"/>
              <w:right w:val="single" w:sz="12"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298"/>
          <w:jc w:val="center"/>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2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工程建设监理费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 </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kern w:val="0"/>
                <w:sz w:val="24"/>
              </w:rPr>
            </w:pPr>
            <w:r>
              <w:rPr>
                <w:rFonts w:ascii="黑体" w:eastAsia="黑体" w:hAnsi="黑体" w:hint="eastAsia"/>
              </w:rPr>
              <w:t>5</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sz w:val="20"/>
                <w:szCs w:val="20"/>
              </w:rPr>
              <w:t>1.50</w:t>
            </w:r>
            <w:r>
              <w:rPr>
                <w:rFonts w:hint="eastAsia"/>
                <w:sz w:val="20"/>
                <w:szCs w:val="20"/>
              </w:rPr>
              <w:t xml:space="preserve"> </w:t>
            </w:r>
          </w:p>
        </w:tc>
        <w:tc>
          <w:tcPr>
            <w:tcW w:w="1278" w:type="dxa"/>
            <w:tcBorders>
              <w:top w:val="single" w:sz="6" w:space="0" w:color="000000"/>
              <w:left w:val="single" w:sz="6" w:space="0" w:color="000000"/>
              <w:bottom w:val="single" w:sz="6" w:space="0" w:color="000000"/>
              <w:right w:val="single" w:sz="12"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300"/>
          <w:jc w:val="center"/>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3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工程保险费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 </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rFonts w:hint="eastAsia"/>
                <w:sz w:val="20"/>
                <w:szCs w:val="20"/>
              </w:rPr>
              <w:t>0.5</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rFonts w:hint="eastAsia"/>
                <w:sz w:val="20"/>
                <w:szCs w:val="20"/>
              </w:rPr>
              <w:t>0.</w:t>
            </w:r>
            <w:r>
              <w:rPr>
                <w:sz w:val="20"/>
                <w:szCs w:val="20"/>
              </w:rPr>
              <w:t>1</w:t>
            </w:r>
            <w:r>
              <w:rPr>
                <w:rFonts w:hint="eastAsia"/>
                <w:sz w:val="20"/>
                <w:szCs w:val="20"/>
              </w:rPr>
              <w:t xml:space="preserve">5 </w:t>
            </w:r>
          </w:p>
        </w:tc>
        <w:tc>
          <w:tcPr>
            <w:tcW w:w="1278" w:type="dxa"/>
            <w:tcBorders>
              <w:top w:val="single" w:sz="6" w:space="0" w:color="000000"/>
              <w:left w:val="single" w:sz="6" w:space="0" w:color="000000"/>
              <w:bottom w:val="single" w:sz="6" w:space="0" w:color="000000"/>
              <w:right w:val="single" w:sz="12"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298"/>
          <w:jc w:val="center"/>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4 </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监测费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年</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rFonts w:ascii="宋体" w:hAnsiTheme="minorHAnsi" w:cs="宋体" w:hint="eastAsia"/>
                <w:sz w:val="20"/>
                <w:szCs w:val="20"/>
              </w:rPr>
              <w:t>1</w:t>
            </w:r>
            <w:r>
              <w:rPr>
                <w:rFonts w:ascii="宋体" w:hAnsiTheme="minorHAnsi" w:cs="宋体"/>
                <w:sz w:val="20"/>
                <w:szCs w:val="20"/>
              </w:rPr>
              <w:t>2</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sz w:val="20"/>
                <w:szCs w:val="20"/>
              </w:rPr>
              <w:t>5</w:t>
            </w:r>
            <w:r>
              <w:rPr>
                <w:rFonts w:hint="eastAsia"/>
                <w:sz w:val="20"/>
                <w:szCs w:val="20"/>
              </w:rPr>
              <w:t>000</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rFonts w:ascii="宋体" w:hAnsiTheme="minorHAnsi" w:cs="宋体"/>
                <w:sz w:val="20"/>
                <w:szCs w:val="20"/>
              </w:rPr>
              <w:t>6.00</w:t>
            </w:r>
          </w:p>
        </w:tc>
        <w:tc>
          <w:tcPr>
            <w:tcW w:w="1278" w:type="dxa"/>
            <w:tcBorders>
              <w:top w:val="single" w:sz="6"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rFonts w:ascii="宋体" w:hAnsiTheme="minorHAnsi" w:cs="宋体" w:hint="eastAsia"/>
                <w:kern w:val="0"/>
                <w:sz w:val="20"/>
                <w:szCs w:val="20"/>
              </w:rPr>
              <w:t>1</w:t>
            </w:r>
            <w:r>
              <w:rPr>
                <w:rFonts w:ascii="宋体" w:hAnsiTheme="minorHAnsi" w:cs="宋体"/>
                <w:kern w:val="0"/>
                <w:sz w:val="20"/>
                <w:szCs w:val="20"/>
              </w:rPr>
              <w:t>2</w:t>
            </w:r>
            <w:r>
              <w:rPr>
                <w:rFonts w:ascii="宋体" w:hAnsiTheme="minorHAnsi" w:cs="宋体" w:hint="eastAsia"/>
                <w:kern w:val="0"/>
                <w:sz w:val="20"/>
                <w:szCs w:val="20"/>
              </w:rPr>
              <w:t>个点</w:t>
            </w:r>
          </w:p>
        </w:tc>
      </w:tr>
      <w:tr w:rsidR="009C5C1F">
        <w:trPr>
          <w:trHeight w:val="298"/>
          <w:jc w:val="center"/>
        </w:trPr>
        <w:tc>
          <w:tcPr>
            <w:tcW w:w="739"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四</w:t>
            </w:r>
          </w:p>
        </w:tc>
        <w:tc>
          <w:tcPr>
            <w:tcW w:w="1953"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基本预备费</w:t>
            </w:r>
          </w:p>
        </w:tc>
        <w:tc>
          <w:tcPr>
            <w:tcW w:w="114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 </w:t>
            </w:r>
          </w:p>
        </w:tc>
        <w:tc>
          <w:tcPr>
            <w:tcW w:w="125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rFonts w:hint="eastAsia"/>
                <w:sz w:val="20"/>
                <w:szCs w:val="20"/>
              </w:rPr>
              <w:t>10</w:t>
            </w: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kern w:val="0"/>
                <w:sz w:val="20"/>
                <w:szCs w:val="20"/>
              </w:rPr>
            </w:pPr>
            <w:r>
              <w:rPr>
                <w:b/>
                <w:bCs/>
                <w:sz w:val="20"/>
                <w:szCs w:val="20"/>
              </w:rPr>
              <w:t>3.00</w:t>
            </w:r>
            <w:r>
              <w:rPr>
                <w:rFonts w:hint="eastAsia"/>
                <w:b/>
                <w:bCs/>
                <w:sz w:val="20"/>
                <w:szCs w:val="20"/>
              </w:rPr>
              <w:t xml:space="preserve"> </w:t>
            </w:r>
          </w:p>
        </w:tc>
        <w:tc>
          <w:tcPr>
            <w:tcW w:w="1278" w:type="dxa"/>
            <w:tcBorders>
              <w:top w:val="single" w:sz="6" w:space="0" w:color="000000"/>
              <w:left w:val="single" w:sz="6" w:space="0" w:color="000000"/>
              <w:bottom w:val="single" w:sz="6" w:space="0" w:color="000000"/>
              <w:right w:val="single" w:sz="12"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310"/>
          <w:jc w:val="center"/>
        </w:trPr>
        <w:tc>
          <w:tcPr>
            <w:tcW w:w="739" w:type="dxa"/>
            <w:tcBorders>
              <w:top w:val="single" w:sz="6" w:space="0" w:color="000000"/>
              <w:left w:val="single" w:sz="12" w:space="0" w:color="000000"/>
              <w:bottom w:val="single" w:sz="12"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五</w:t>
            </w:r>
          </w:p>
        </w:tc>
        <w:tc>
          <w:tcPr>
            <w:tcW w:w="1953" w:type="dxa"/>
            <w:tcBorders>
              <w:top w:val="single" w:sz="6" w:space="0" w:color="000000"/>
              <w:left w:val="single" w:sz="6" w:space="0" w:color="000000"/>
              <w:bottom w:val="single" w:sz="12"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总投资</w:t>
            </w:r>
          </w:p>
        </w:tc>
        <w:tc>
          <w:tcPr>
            <w:tcW w:w="1140" w:type="dxa"/>
            <w:tcBorders>
              <w:top w:val="single" w:sz="6" w:space="0" w:color="000000"/>
              <w:left w:val="single" w:sz="6" w:space="0" w:color="000000"/>
              <w:bottom w:val="single" w:sz="12" w:space="0" w:color="000000"/>
              <w:right w:val="single" w:sz="6"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250" w:type="dxa"/>
            <w:tcBorders>
              <w:top w:val="single" w:sz="6" w:space="0" w:color="000000"/>
              <w:left w:val="single" w:sz="6" w:space="0" w:color="000000"/>
              <w:bottom w:val="single" w:sz="12"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12" w:space="0" w:color="000000"/>
              <w:right w:val="single" w:sz="6"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1305" w:type="dxa"/>
            <w:tcBorders>
              <w:top w:val="single" w:sz="6" w:space="0" w:color="000000"/>
              <w:left w:val="single" w:sz="6" w:space="0" w:color="000000"/>
              <w:bottom w:val="single" w:sz="12" w:space="0" w:color="000000"/>
              <w:right w:val="single" w:sz="6" w:space="0" w:color="000000"/>
            </w:tcBorders>
            <w:vAlign w:val="center"/>
          </w:tcPr>
          <w:p w:rsidR="009C5C1F" w:rsidRDefault="004D2E0D">
            <w:pPr>
              <w:autoSpaceDE w:val="0"/>
              <w:autoSpaceDN w:val="0"/>
              <w:adjustRightInd w:val="0"/>
              <w:jc w:val="center"/>
              <w:rPr>
                <w:rFonts w:ascii="宋体" w:hAnsiTheme="minorHAnsi" w:cs="宋体"/>
                <w:b/>
                <w:kern w:val="0"/>
                <w:sz w:val="20"/>
                <w:szCs w:val="20"/>
              </w:rPr>
            </w:pPr>
            <w:r>
              <w:rPr>
                <w:rFonts w:ascii="宋体" w:hAnsiTheme="minorHAnsi" w:cs="宋体"/>
                <w:b/>
                <w:kern w:val="0"/>
                <w:sz w:val="20"/>
                <w:szCs w:val="20"/>
              </w:rPr>
              <w:t>19.83</w:t>
            </w:r>
          </w:p>
        </w:tc>
        <w:tc>
          <w:tcPr>
            <w:tcW w:w="1278" w:type="dxa"/>
            <w:tcBorders>
              <w:top w:val="single" w:sz="6" w:space="0" w:color="000000"/>
              <w:left w:val="single" w:sz="6" w:space="0" w:color="000000"/>
              <w:bottom w:val="single" w:sz="12" w:space="0" w:color="000000"/>
              <w:right w:val="single" w:sz="12"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r>
    </w:tbl>
    <w:p w:rsidR="009C5C1F" w:rsidRDefault="004D2E0D">
      <w:pPr>
        <w:keepNext/>
        <w:keepLines/>
        <w:suppressAutoHyphens/>
        <w:wordWrap w:val="0"/>
        <w:topLinePunct/>
        <w:spacing w:beforeLines="50" w:before="180" w:afterLines="50" w:after="180" w:line="560" w:lineRule="exact"/>
        <w:ind w:firstLineChars="200" w:firstLine="562"/>
        <w:jc w:val="left"/>
        <w:outlineLvl w:val="1"/>
        <w:rPr>
          <w:rFonts w:eastAsia="黑体"/>
          <w:b/>
          <w:bCs/>
          <w:sz w:val="28"/>
          <w:szCs w:val="28"/>
        </w:rPr>
      </w:pPr>
      <w:bookmarkStart w:id="1046" w:name="_Toc70589915"/>
      <w:bookmarkStart w:id="1047" w:name="_Toc511226492"/>
      <w:bookmarkStart w:id="1048" w:name="_Toc153130803"/>
      <w:r>
        <w:rPr>
          <w:rFonts w:eastAsia="黑体" w:hint="eastAsia"/>
          <w:b/>
          <w:bCs/>
          <w:sz w:val="28"/>
          <w:szCs w:val="30"/>
        </w:rPr>
        <w:lastRenderedPageBreak/>
        <w:t>三、土地复垦工程经费估算</w:t>
      </w:r>
      <w:bookmarkEnd w:id="1046"/>
      <w:bookmarkEnd w:id="1047"/>
      <w:bookmarkEnd w:id="1048"/>
    </w:p>
    <w:p w:rsidR="009C5C1F" w:rsidRDefault="004D2E0D">
      <w:pPr>
        <w:keepNext/>
        <w:keepLines/>
        <w:suppressAutoHyphens/>
        <w:wordWrap w:val="0"/>
        <w:topLinePunct/>
        <w:spacing w:before="120" w:after="120" w:line="360" w:lineRule="auto"/>
        <w:ind w:firstLineChars="200" w:firstLine="482"/>
        <w:outlineLvl w:val="2"/>
        <w:rPr>
          <w:b/>
          <w:sz w:val="24"/>
          <w:szCs w:val="28"/>
        </w:rPr>
      </w:pPr>
      <w:bookmarkStart w:id="1049" w:name="_Toc70589916"/>
      <w:r>
        <w:rPr>
          <w:b/>
          <w:sz w:val="24"/>
          <w:szCs w:val="28"/>
        </w:rPr>
        <w:t>(</w:t>
      </w:r>
      <w:proofErr w:type="gramStart"/>
      <w:r>
        <w:rPr>
          <w:b/>
          <w:sz w:val="24"/>
          <w:szCs w:val="28"/>
        </w:rPr>
        <w:t>一</w:t>
      </w:r>
      <w:proofErr w:type="gramEnd"/>
      <w:r>
        <w:rPr>
          <w:b/>
          <w:sz w:val="24"/>
          <w:szCs w:val="28"/>
        </w:rPr>
        <w:t>)</w:t>
      </w:r>
      <w:r>
        <w:rPr>
          <w:b/>
          <w:sz w:val="24"/>
          <w:szCs w:val="28"/>
        </w:rPr>
        <w:t>总工程量与投资估算</w:t>
      </w:r>
      <w:bookmarkEnd w:id="1049"/>
    </w:p>
    <w:p w:rsidR="009C5C1F" w:rsidRDefault="004D2E0D">
      <w:pPr>
        <w:suppressAutoHyphens/>
        <w:wordWrap w:val="0"/>
        <w:topLinePunct/>
        <w:spacing w:line="480" w:lineRule="exact"/>
        <w:ind w:firstLineChars="200" w:firstLine="480"/>
        <w:rPr>
          <w:sz w:val="24"/>
        </w:rPr>
      </w:pPr>
      <w:r>
        <w:rPr>
          <w:sz w:val="24"/>
        </w:rPr>
        <w:t>本项目需要复垦的土地为露天采场、</w:t>
      </w:r>
      <w:r>
        <w:rPr>
          <w:rFonts w:hint="eastAsia"/>
          <w:sz w:val="24"/>
        </w:rPr>
        <w:t>堆料场</w:t>
      </w:r>
      <w:r>
        <w:rPr>
          <w:sz w:val="24"/>
        </w:rPr>
        <w:t>、办公生活区。土地复垦工程量见表</w:t>
      </w:r>
      <w:r>
        <w:rPr>
          <w:sz w:val="24"/>
        </w:rPr>
        <w:t>7-5</w:t>
      </w:r>
      <w:r>
        <w:rPr>
          <w:sz w:val="24"/>
        </w:rPr>
        <w:t>。</w:t>
      </w:r>
    </w:p>
    <w:p w:rsidR="009C5C1F" w:rsidRDefault="004D2E0D">
      <w:pPr>
        <w:suppressAutoHyphens/>
        <w:wordWrap w:val="0"/>
        <w:topLinePunct/>
        <w:spacing w:beforeLines="50" w:before="180" w:afterLines="50" w:after="180"/>
        <w:jc w:val="center"/>
        <w:rPr>
          <w:b/>
          <w:bCs/>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7</w:t>
      </w:r>
      <w:r>
        <w:rPr>
          <w:rFonts w:hint="eastAsia"/>
          <w:b/>
          <w:bCs/>
          <w:sz w:val="24"/>
        </w:rPr>
        <w:t>—</w:t>
      </w:r>
      <w:r>
        <w:rPr>
          <w:b/>
          <w:bCs/>
          <w:sz w:val="24"/>
        </w:rPr>
        <w:t xml:space="preserve">5                    </w:t>
      </w:r>
      <w:r>
        <w:rPr>
          <w:b/>
          <w:bCs/>
          <w:sz w:val="24"/>
        </w:rPr>
        <w:t>复垦工程量表</w:t>
      </w:r>
    </w:p>
    <w:tbl>
      <w:tblPr>
        <w:tblW w:w="79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9"/>
        <w:gridCol w:w="1275"/>
        <w:gridCol w:w="1174"/>
        <w:gridCol w:w="1365"/>
        <w:gridCol w:w="1352"/>
        <w:gridCol w:w="1113"/>
        <w:gridCol w:w="1134"/>
      </w:tblGrid>
      <w:tr w:rsidR="009C5C1F">
        <w:trPr>
          <w:trHeight w:val="606"/>
          <w:jc w:val="center"/>
        </w:trPr>
        <w:tc>
          <w:tcPr>
            <w:tcW w:w="1774" w:type="dxa"/>
            <w:gridSpan w:val="2"/>
            <w:tcBorders>
              <w:top w:val="single" w:sz="4" w:space="0" w:color="auto"/>
              <w:bottom w:val="single" w:sz="4" w:space="0" w:color="auto"/>
              <w:right w:val="single" w:sz="4" w:space="0" w:color="auto"/>
            </w:tcBorders>
            <w:vAlign w:val="center"/>
          </w:tcPr>
          <w:p w:rsidR="009C5C1F" w:rsidRDefault="004D2E0D">
            <w:pPr>
              <w:pStyle w:val="a0"/>
              <w:ind w:firstLineChars="0" w:firstLine="0"/>
              <w:jc w:val="center"/>
            </w:pPr>
            <w:r>
              <w:t>复垦</w:t>
            </w:r>
            <w:r>
              <w:rPr>
                <w:rFonts w:hint="eastAsia"/>
              </w:rPr>
              <w:t>区域</w:t>
            </w:r>
          </w:p>
        </w:tc>
        <w:tc>
          <w:tcPr>
            <w:tcW w:w="1174"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spacing w:line="240" w:lineRule="atLeast"/>
              <w:ind w:firstLineChars="0" w:firstLine="0"/>
              <w:jc w:val="center"/>
            </w:pPr>
            <w:r>
              <w:t>复垦面积</w:t>
            </w:r>
          </w:p>
          <w:p w:rsidR="009C5C1F" w:rsidRDefault="004D2E0D">
            <w:pPr>
              <w:pStyle w:val="a0"/>
              <w:spacing w:line="240" w:lineRule="atLeast"/>
              <w:ind w:firstLineChars="0" w:firstLine="0"/>
              <w:jc w:val="center"/>
            </w:pPr>
            <w:r>
              <w:t>（</w:t>
            </w:r>
            <w:r>
              <w:t>hm</w:t>
            </w:r>
            <w:r>
              <w:rPr>
                <w:vertAlign w:val="superscript"/>
              </w:rPr>
              <w:t>2</w:t>
            </w:r>
            <w:r>
              <w:t>）</w:t>
            </w:r>
          </w:p>
        </w:tc>
        <w:tc>
          <w:tcPr>
            <w:tcW w:w="1365"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spacing w:line="240" w:lineRule="atLeast"/>
              <w:ind w:firstLineChars="0" w:firstLine="0"/>
              <w:jc w:val="center"/>
            </w:pPr>
            <w:r>
              <w:rPr>
                <w:rFonts w:hint="eastAsia"/>
              </w:rPr>
              <w:t>砌体拆除</w:t>
            </w:r>
          </w:p>
          <w:p w:rsidR="009C5C1F" w:rsidRDefault="004D2E0D">
            <w:pPr>
              <w:pStyle w:val="a0"/>
              <w:spacing w:line="240" w:lineRule="atLeast"/>
              <w:ind w:firstLineChars="0" w:firstLine="0"/>
              <w:jc w:val="center"/>
            </w:pPr>
            <w:r>
              <w:t>（</w:t>
            </w:r>
            <w:r>
              <w:t>m</w:t>
            </w:r>
            <w:r>
              <w:rPr>
                <w:vertAlign w:val="superscript"/>
              </w:rPr>
              <w:t>3</w:t>
            </w:r>
            <w:r>
              <w:t>）</w:t>
            </w:r>
          </w:p>
        </w:tc>
        <w:tc>
          <w:tcPr>
            <w:tcW w:w="1352"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spacing w:line="240" w:lineRule="atLeast"/>
              <w:ind w:firstLineChars="0" w:firstLine="0"/>
              <w:jc w:val="center"/>
            </w:pPr>
            <w:r>
              <w:rPr>
                <w:rFonts w:hint="eastAsia"/>
              </w:rPr>
              <w:t>土地翻耕</w:t>
            </w:r>
          </w:p>
          <w:p w:rsidR="009C5C1F" w:rsidRDefault="004D2E0D">
            <w:pPr>
              <w:pStyle w:val="a0"/>
              <w:spacing w:line="240" w:lineRule="atLeast"/>
              <w:ind w:firstLineChars="0" w:firstLine="0"/>
              <w:jc w:val="center"/>
            </w:pPr>
            <w:r>
              <w:t>（</w:t>
            </w:r>
            <w:r>
              <w:t>hm</w:t>
            </w:r>
            <w:r>
              <w:rPr>
                <w:vertAlign w:val="superscript"/>
              </w:rPr>
              <w:t>2</w:t>
            </w:r>
            <w:r>
              <w:t>）</w:t>
            </w:r>
          </w:p>
        </w:tc>
        <w:tc>
          <w:tcPr>
            <w:tcW w:w="1113"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spacing w:line="240" w:lineRule="atLeast"/>
              <w:ind w:firstLineChars="0" w:firstLine="0"/>
              <w:jc w:val="center"/>
            </w:pPr>
            <w:r>
              <w:rPr>
                <w:rFonts w:hint="eastAsia"/>
              </w:rPr>
              <w:t>土地平整</w:t>
            </w:r>
          </w:p>
          <w:p w:rsidR="009C5C1F" w:rsidRDefault="004D2E0D">
            <w:pPr>
              <w:pStyle w:val="a0"/>
              <w:spacing w:line="240" w:lineRule="atLeast"/>
              <w:ind w:firstLineChars="0" w:firstLine="0"/>
              <w:jc w:val="center"/>
            </w:pPr>
            <w:r>
              <w:t>（</w:t>
            </w:r>
            <w:r>
              <w:t>m</w:t>
            </w:r>
            <w:r>
              <w:rPr>
                <w:vertAlign w:val="superscript"/>
              </w:rPr>
              <w:t>3</w:t>
            </w:r>
            <w:r>
              <w:t>）</w:t>
            </w:r>
          </w:p>
        </w:tc>
        <w:tc>
          <w:tcPr>
            <w:tcW w:w="1134"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spacing w:line="240" w:lineRule="atLeast"/>
              <w:ind w:firstLineChars="0" w:firstLine="0"/>
              <w:jc w:val="center"/>
            </w:pPr>
            <w:r>
              <w:rPr>
                <w:rFonts w:hint="eastAsia"/>
              </w:rPr>
              <w:t>覆土工程</w:t>
            </w:r>
          </w:p>
          <w:p w:rsidR="009C5C1F" w:rsidRDefault="004D2E0D">
            <w:pPr>
              <w:pStyle w:val="a0"/>
              <w:spacing w:line="240" w:lineRule="atLeast"/>
              <w:ind w:firstLineChars="0" w:firstLine="0"/>
              <w:jc w:val="center"/>
            </w:pPr>
            <w:r>
              <w:t>（</w:t>
            </w:r>
            <w:r>
              <w:t>m</w:t>
            </w:r>
            <w:r>
              <w:rPr>
                <w:vertAlign w:val="superscript"/>
              </w:rPr>
              <w:t>3</w:t>
            </w:r>
            <w:r>
              <w:t>）</w:t>
            </w:r>
          </w:p>
        </w:tc>
      </w:tr>
      <w:tr w:rsidR="009C5C1F">
        <w:trPr>
          <w:trHeight w:val="409"/>
          <w:jc w:val="center"/>
        </w:trPr>
        <w:tc>
          <w:tcPr>
            <w:tcW w:w="499" w:type="dxa"/>
            <w:tcBorders>
              <w:top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rFonts w:hint="eastAsia"/>
              </w:rPr>
              <w:t>1</w:t>
            </w:r>
          </w:p>
        </w:tc>
        <w:tc>
          <w:tcPr>
            <w:tcW w:w="1275" w:type="dxa"/>
            <w:tcBorders>
              <w:top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rFonts w:hint="eastAsia"/>
              </w:rPr>
              <w:t>露天采场</w:t>
            </w:r>
          </w:p>
        </w:tc>
        <w:tc>
          <w:tcPr>
            <w:tcW w:w="1174"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color w:val="000000"/>
                <w:szCs w:val="21"/>
              </w:rPr>
              <w:t>1.75</w:t>
            </w:r>
          </w:p>
        </w:tc>
        <w:tc>
          <w:tcPr>
            <w:tcW w:w="1365"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color w:val="000000"/>
                <w:szCs w:val="21"/>
              </w:rPr>
              <w:t xml:space="preserve">　</w:t>
            </w:r>
          </w:p>
        </w:tc>
        <w:tc>
          <w:tcPr>
            <w:tcW w:w="1352"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rPr>
                <w:color w:val="000000"/>
                <w:szCs w:val="21"/>
              </w:rPr>
            </w:pPr>
            <w:r>
              <w:rPr>
                <w:color w:val="000000"/>
                <w:szCs w:val="21"/>
              </w:rPr>
              <w:t>0</w:t>
            </w:r>
          </w:p>
        </w:tc>
        <w:tc>
          <w:tcPr>
            <w:tcW w:w="1113"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rFonts w:hint="eastAsia"/>
              </w:rPr>
              <w:t>2</w:t>
            </w:r>
            <w:r>
              <w:t>3000</w:t>
            </w:r>
          </w:p>
        </w:tc>
        <w:tc>
          <w:tcPr>
            <w:tcW w:w="1134"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color w:val="000000"/>
                <w:szCs w:val="21"/>
              </w:rPr>
              <w:t>11500</w:t>
            </w:r>
          </w:p>
        </w:tc>
      </w:tr>
      <w:tr w:rsidR="009C5C1F">
        <w:trPr>
          <w:trHeight w:val="410"/>
          <w:jc w:val="center"/>
        </w:trPr>
        <w:tc>
          <w:tcPr>
            <w:tcW w:w="499" w:type="dxa"/>
            <w:tcBorders>
              <w:top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rFonts w:hint="eastAsia"/>
              </w:rPr>
              <w:t>2</w:t>
            </w:r>
          </w:p>
        </w:tc>
        <w:tc>
          <w:tcPr>
            <w:tcW w:w="1275" w:type="dxa"/>
            <w:tcBorders>
              <w:top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rFonts w:hint="eastAsia"/>
              </w:rPr>
              <w:t>堆料场</w:t>
            </w:r>
          </w:p>
        </w:tc>
        <w:tc>
          <w:tcPr>
            <w:tcW w:w="1174"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rFonts w:hint="eastAsia"/>
              </w:rPr>
              <w:t>0</w:t>
            </w:r>
            <w:r>
              <w:t>.936</w:t>
            </w:r>
          </w:p>
        </w:tc>
        <w:tc>
          <w:tcPr>
            <w:tcW w:w="1365"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color w:val="000000"/>
                <w:szCs w:val="21"/>
              </w:rPr>
              <w:t xml:space="preserve">　</w:t>
            </w:r>
          </w:p>
        </w:tc>
        <w:tc>
          <w:tcPr>
            <w:tcW w:w="1352"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color w:val="000000"/>
                <w:szCs w:val="21"/>
              </w:rPr>
              <w:t>0</w:t>
            </w:r>
          </w:p>
        </w:tc>
        <w:tc>
          <w:tcPr>
            <w:tcW w:w="1113"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rFonts w:hint="eastAsia"/>
              </w:rPr>
              <w:t>1</w:t>
            </w:r>
            <w:r>
              <w:t>8720</w:t>
            </w:r>
          </w:p>
        </w:tc>
        <w:tc>
          <w:tcPr>
            <w:tcW w:w="1134"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rFonts w:hint="eastAsia"/>
              </w:rPr>
              <w:t>9</w:t>
            </w:r>
            <w:r>
              <w:t>360</w:t>
            </w:r>
          </w:p>
        </w:tc>
      </w:tr>
      <w:tr w:rsidR="009C5C1F">
        <w:trPr>
          <w:trHeight w:val="416"/>
          <w:jc w:val="center"/>
        </w:trPr>
        <w:tc>
          <w:tcPr>
            <w:tcW w:w="499" w:type="dxa"/>
            <w:tcBorders>
              <w:top w:val="single" w:sz="4" w:space="0" w:color="auto"/>
              <w:right w:val="single" w:sz="4" w:space="0" w:color="auto"/>
            </w:tcBorders>
            <w:vAlign w:val="center"/>
          </w:tcPr>
          <w:p w:rsidR="009C5C1F" w:rsidRDefault="004D2E0D">
            <w:pPr>
              <w:pStyle w:val="a0"/>
              <w:ind w:firstLineChars="0" w:firstLine="0"/>
              <w:jc w:val="center"/>
            </w:pPr>
            <w:r>
              <w:rPr>
                <w:rFonts w:hint="eastAsia"/>
              </w:rPr>
              <w:t>3</w:t>
            </w:r>
          </w:p>
        </w:tc>
        <w:tc>
          <w:tcPr>
            <w:tcW w:w="1275" w:type="dxa"/>
            <w:tcBorders>
              <w:top w:val="single" w:sz="4" w:space="0" w:color="auto"/>
              <w:right w:val="single" w:sz="4" w:space="0" w:color="auto"/>
            </w:tcBorders>
            <w:vAlign w:val="center"/>
          </w:tcPr>
          <w:p w:rsidR="009C5C1F" w:rsidRDefault="004D2E0D">
            <w:pPr>
              <w:pStyle w:val="a0"/>
              <w:ind w:firstLineChars="0" w:firstLine="0"/>
              <w:jc w:val="center"/>
            </w:pPr>
            <w:r>
              <w:rPr>
                <w:rFonts w:hint="eastAsia"/>
              </w:rPr>
              <w:t>生产加工区</w:t>
            </w:r>
          </w:p>
        </w:tc>
        <w:tc>
          <w:tcPr>
            <w:tcW w:w="1174"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color w:val="000000"/>
                <w:szCs w:val="21"/>
              </w:rPr>
              <w:t>0.4125</w:t>
            </w:r>
          </w:p>
        </w:tc>
        <w:tc>
          <w:tcPr>
            <w:tcW w:w="1365"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color w:val="000000"/>
                <w:szCs w:val="21"/>
              </w:rPr>
              <w:t xml:space="preserve">　</w:t>
            </w:r>
          </w:p>
        </w:tc>
        <w:tc>
          <w:tcPr>
            <w:tcW w:w="1352"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color w:val="000000"/>
                <w:szCs w:val="21"/>
              </w:rPr>
              <w:t>0</w:t>
            </w:r>
          </w:p>
        </w:tc>
        <w:tc>
          <w:tcPr>
            <w:tcW w:w="1113"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rPr>
                <w:rFonts w:hint="eastAsia"/>
              </w:rPr>
              <w:t>8</w:t>
            </w:r>
            <w:r>
              <w:t>250</w:t>
            </w:r>
          </w:p>
        </w:tc>
        <w:tc>
          <w:tcPr>
            <w:tcW w:w="1134" w:type="dxa"/>
            <w:tcBorders>
              <w:top w:val="single" w:sz="4" w:space="0" w:color="auto"/>
              <w:left w:val="single" w:sz="4" w:space="0" w:color="auto"/>
              <w:bottom w:val="single" w:sz="4" w:space="0" w:color="auto"/>
              <w:right w:val="single" w:sz="4" w:space="0" w:color="auto"/>
            </w:tcBorders>
            <w:vAlign w:val="center"/>
          </w:tcPr>
          <w:p w:rsidR="009C5C1F" w:rsidRDefault="004D2E0D">
            <w:pPr>
              <w:pStyle w:val="a0"/>
              <w:ind w:firstLineChars="0" w:firstLine="0"/>
              <w:jc w:val="center"/>
            </w:pPr>
            <w:r>
              <w:t>4125</w:t>
            </w:r>
          </w:p>
        </w:tc>
      </w:tr>
      <w:tr w:rsidR="009C5C1F">
        <w:trPr>
          <w:trHeight w:val="535"/>
          <w:jc w:val="center"/>
        </w:trPr>
        <w:tc>
          <w:tcPr>
            <w:tcW w:w="1774" w:type="dxa"/>
            <w:gridSpan w:val="2"/>
            <w:tcBorders>
              <w:top w:val="single" w:sz="4" w:space="0" w:color="auto"/>
              <w:right w:val="single" w:sz="4" w:space="0" w:color="auto"/>
            </w:tcBorders>
            <w:vAlign w:val="center"/>
          </w:tcPr>
          <w:p w:rsidR="009C5C1F" w:rsidRDefault="004D2E0D">
            <w:pPr>
              <w:pStyle w:val="a0"/>
              <w:ind w:firstLineChars="0" w:firstLine="0"/>
              <w:jc w:val="center"/>
            </w:pPr>
            <w:r>
              <w:t>合计</w:t>
            </w:r>
          </w:p>
        </w:tc>
        <w:tc>
          <w:tcPr>
            <w:tcW w:w="1174" w:type="dxa"/>
            <w:tcBorders>
              <w:top w:val="single" w:sz="4" w:space="0" w:color="auto"/>
              <w:right w:val="single" w:sz="4" w:space="0" w:color="auto"/>
            </w:tcBorders>
            <w:vAlign w:val="center"/>
          </w:tcPr>
          <w:p w:rsidR="009C5C1F" w:rsidRDefault="004D2E0D">
            <w:pPr>
              <w:pStyle w:val="a0"/>
              <w:ind w:firstLineChars="0" w:firstLine="0"/>
              <w:jc w:val="center"/>
            </w:pPr>
            <w:r>
              <w:rPr>
                <w:rFonts w:hAnsi="宋体"/>
                <w:szCs w:val="21"/>
              </w:rPr>
              <w:t>3.098</w:t>
            </w:r>
          </w:p>
        </w:tc>
        <w:tc>
          <w:tcPr>
            <w:tcW w:w="1365" w:type="dxa"/>
            <w:tcBorders>
              <w:top w:val="single" w:sz="4" w:space="0" w:color="auto"/>
              <w:left w:val="single" w:sz="4" w:space="0" w:color="auto"/>
              <w:right w:val="single" w:sz="4" w:space="0" w:color="auto"/>
            </w:tcBorders>
            <w:vAlign w:val="center"/>
          </w:tcPr>
          <w:p w:rsidR="009C5C1F" w:rsidRDefault="009C5C1F">
            <w:pPr>
              <w:pStyle w:val="a0"/>
              <w:ind w:firstLineChars="0" w:firstLine="0"/>
              <w:jc w:val="center"/>
            </w:pPr>
          </w:p>
        </w:tc>
        <w:tc>
          <w:tcPr>
            <w:tcW w:w="1352" w:type="dxa"/>
            <w:tcBorders>
              <w:top w:val="single" w:sz="4" w:space="0" w:color="auto"/>
              <w:left w:val="single" w:sz="4" w:space="0" w:color="auto"/>
              <w:right w:val="single" w:sz="4" w:space="0" w:color="auto"/>
            </w:tcBorders>
            <w:vAlign w:val="center"/>
          </w:tcPr>
          <w:p w:rsidR="009C5C1F" w:rsidRDefault="004D2E0D">
            <w:pPr>
              <w:pStyle w:val="a0"/>
              <w:ind w:firstLineChars="0" w:firstLine="0"/>
              <w:jc w:val="center"/>
            </w:pPr>
            <w:r>
              <w:rPr>
                <w:rFonts w:hAnsi="宋体"/>
                <w:szCs w:val="21"/>
              </w:rPr>
              <w:t>0</w:t>
            </w:r>
          </w:p>
        </w:tc>
        <w:tc>
          <w:tcPr>
            <w:tcW w:w="1113" w:type="dxa"/>
            <w:tcBorders>
              <w:top w:val="single" w:sz="4" w:space="0" w:color="auto"/>
              <w:left w:val="single" w:sz="4" w:space="0" w:color="auto"/>
              <w:right w:val="single" w:sz="4" w:space="0" w:color="auto"/>
            </w:tcBorders>
            <w:vAlign w:val="center"/>
          </w:tcPr>
          <w:p w:rsidR="009C5C1F" w:rsidRDefault="004D2E0D">
            <w:pPr>
              <w:pStyle w:val="a0"/>
              <w:ind w:firstLineChars="0" w:firstLine="0"/>
              <w:jc w:val="center"/>
            </w:pPr>
            <w:r>
              <w:rPr>
                <w:rFonts w:hAnsi="宋体"/>
                <w:szCs w:val="21"/>
              </w:rPr>
              <w:t>50970</w:t>
            </w:r>
          </w:p>
        </w:tc>
        <w:tc>
          <w:tcPr>
            <w:tcW w:w="1134" w:type="dxa"/>
            <w:tcBorders>
              <w:top w:val="single" w:sz="4" w:space="0" w:color="auto"/>
              <w:left w:val="single" w:sz="4" w:space="0" w:color="auto"/>
              <w:right w:val="single" w:sz="4" w:space="0" w:color="auto"/>
            </w:tcBorders>
            <w:vAlign w:val="center"/>
          </w:tcPr>
          <w:p w:rsidR="009C5C1F" w:rsidRDefault="004D2E0D">
            <w:pPr>
              <w:pStyle w:val="a0"/>
              <w:ind w:firstLineChars="0" w:firstLine="0"/>
              <w:jc w:val="center"/>
            </w:pPr>
            <w:r>
              <w:rPr>
                <w:color w:val="000000"/>
                <w:szCs w:val="21"/>
              </w:rPr>
              <w:t>25485</w:t>
            </w:r>
          </w:p>
        </w:tc>
      </w:tr>
    </w:tbl>
    <w:p w:rsidR="009C5C1F" w:rsidRDefault="004D2E0D">
      <w:pPr>
        <w:keepNext/>
        <w:keepLines/>
        <w:suppressAutoHyphens/>
        <w:wordWrap w:val="0"/>
        <w:topLinePunct/>
        <w:spacing w:before="120" w:after="120" w:line="360" w:lineRule="auto"/>
        <w:ind w:firstLineChars="200" w:firstLine="482"/>
        <w:outlineLvl w:val="2"/>
        <w:rPr>
          <w:b/>
          <w:sz w:val="24"/>
          <w:szCs w:val="28"/>
        </w:rPr>
      </w:pPr>
      <w:bookmarkStart w:id="1050" w:name="_Toc70589917"/>
      <w:r>
        <w:rPr>
          <w:b/>
          <w:sz w:val="24"/>
          <w:szCs w:val="28"/>
        </w:rPr>
        <w:t>(</w:t>
      </w:r>
      <w:r>
        <w:rPr>
          <w:b/>
          <w:sz w:val="24"/>
          <w:szCs w:val="28"/>
        </w:rPr>
        <w:t>二</w:t>
      </w:r>
      <w:r>
        <w:rPr>
          <w:b/>
          <w:sz w:val="24"/>
          <w:szCs w:val="28"/>
        </w:rPr>
        <w:t>)</w:t>
      </w:r>
      <w:r>
        <w:rPr>
          <w:b/>
          <w:sz w:val="24"/>
          <w:szCs w:val="28"/>
        </w:rPr>
        <w:t>单项工程量与投资估算</w:t>
      </w:r>
      <w:bookmarkEnd w:id="1050"/>
    </w:p>
    <w:p w:rsidR="009C5C1F" w:rsidRDefault="004D2E0D">
      <w:pPr>
        <w:suppressAutoHyphens/>
        <w:wordWrap w:val="0"/>
        <w:topLinePunct/>
        <w:spacing w:line="480" w:lineRule="exact"/>
        <w:ind w:firstLineChars="200" w:firstLine="480"/>
        <w:rPr>
          <w:sz w:val="24"/>
        </w:rPr>
      </w:pPr>
      <w:r>
        <w:rPr>
          <w:sz w:val="24"/>
        </w:rPr>
        <w:t>1.</w:t>
      </w:r>
      <w:r>
        <w:rPr>
          <w:sz w:val="24"/>
        </w:rPr>
        <w:t>编制依据</w:t>
      </w:r>
    </w:p>
    <w:p w:rsidR="009C5C1F" w:rsidRDefault="004D2E0D">
      <w:pPr>
        <w:suppressAutoHyphens/>
        <w:wordWrap w:val="0"/>
        <w:topLinePunct/>
        <w:spacing w:line="480" w:lineRule="exact"/>
        <w:ind w:firstLineChars="200" w:firstLine="480"/>
        <w:rPr>
          <w:sz w:val="24"/>
        </w:rPr>
      </w:pPr>
      <w:r>
        <w:rPr>
          <w:rFonts w:hint="eastAsia"/>
          <w:sz w:val="24"/>
        </w:rPr>
        <w:t>①</w:t>
      </w:r>
      <w:r>
        <w:rPr>
          <w:sz w:val="24"/>
        </w:rPr>
        <w:t>《土地开发整理项目预算定额甘肃省补充定额》，</w:t>
      </w:r>
      <w:proofErr w:type="gramStart"/>
      <w:r>
        <w:rPr>
          <w:sz w:val="24"/>
        </w:rPr>
        <w:t>甘财综</w:t>
      </w:r>
      <w:proofErr w:type="gramEnd"/>
      <w:r>
        <w:rPr>
          <w:sz w:val="24"/>
        </w:rPr>
        <w:t>[2013]67</w:t>
      </w:r>
      <w:r>
        <w:rPr>
          <w:sz w:val="24"/>
        </w:rPr>
        <w:t>号；</w:t>
      </w:r>
    </w:p>
    <w:p w:rsidR="009C5C1F" w:rsidRDefault="004D2E0D">
      <w:pPr>
        <w:suppressAutoHyphens/>
        <w:wordWrap w:val="0"/>
        <w:topLinePunct/>
        <w:spacing w:line="480" w:lineRule="exact"/>
        <w:ind w:firstLineChars="200" w:firstLine="480"/>
        <w:rPr>
          <w:sz w:val="24"/>
        </w:rPr>
      </w:pPr>
      <w:r>
        <w:rPr>
          <w:rFonts w:hint="eastAsia"/>
          <w:sz w:val="24"/>
        </w:rPr>
        <w:t>②</w:t>
      </w:r>
      <w:r>
        <w:rPr>
          <w:sz w:val="24"/>
        </w:rPr>
        <w:t>《土地开发整理项目预算编制规定甘肃省补充规定》，</w:t>
      </w:r>
      <w:proofErr w:type="gramStart"/>
      <w:r>
        <w:rPr>
          <w:sz w:val="24"/>
        </w:rPr>
        <w:t>甘财综</w:t>
      </w:r>
      <w:proofErr w:type="gramEnd"/>
      <w:r>
        <w:rPr>
          <w:sz w:val="24"/>
        </w:rPr>
        <w:t>[2013]67</w:t>
      </w:r>
      <w:r>
        <w:rPr>
          <w:sz w:val="24"/>
        </w:rPr>
        <w:t>号；</w:t>
      </w:r>
    </w:p>
    <w:p w:rsidR="009C5C1F" w:rsidRDefault="004D2E0D">
      <w:pPr>
        <w:suppressAutoHyphens/>
        <w:wordWrap w:val="0"/>
        <w:topLinePunct/>
        <w:spacing w:line="480" w:lineRule="exact"/>
        <w:ind w:firstLineChars="200" w:firstLine="480"/>
        <w:rPr>
          <w:sz w:val="24"/>
        </w:rPr>
      </w:pPr>
      <w:r>
        <w:rPr>
          <w:rFonts w:hint="eastAsia"/>
          <w:sz w:val="24"/>
        </w:rPr>
        <w:t>③</w:t>
      </w:r>
      <w:r>
        <w:rPr>
          <w:sz w:val="24"/>
        </w:rPr>
        <w:t>《土地开发整理项目施工机械台班费定额甘肃省补充定额》，</w:t>
      </w:r>
      <w:proofErr w:type="gramStart"/>
      <w:r>
        <w:rPr>
          <w:sz w:val="24"/>
        </w:rPr>
        <w:t>甘财综</w:t>
      </w:r>
      <w:proofErr w:type="gramEnd"/>
      <w:r>
        <w:rPr>
          <w:sz w:val="24"/>
        </w:rPr>
        <w:t>[2013]67</w:t>
      </w:r>
      <w:r>
        <w:rPr>
          <w:sz w:val="24"/>
        </w:rPr>
        <w:t>号；</w:t>
      </w:r>
    </w:p>
    <w:p w:rsidR="009C5C1F" w:rsidRDefault="004D2E0D">
      <w:pPr>
        <w:suppressAutoHyphens/>
        <w:wordWrap w:val="0"/>
        <w:topLinePunct/>
        <w:spacing w:line="480" w:lineRule="exact"/>
        <w:ind w:firstLineChars="200" w:firstLine="480"/>
        <w:rPr>
          <w:sz w:val="24"/>
        </w:rPr>
      </w:pPr>
      <w:r>
        <w:rPr>
          <w:rFonts w:hint="eastAsia"/>
          <w:sz w:val="24"/>
        </w:rPr>
        <w:t>④</w:t>
      </w:r>
      <w:r>
        <w:rPr>
          <w:sz w:val="24"/>
        </w:rPr>
        <w:t>《土地复垦方案编制实务》。</w:t>
      </w:r>
    </w:p>
    <w:p w:rsidR="009C5C1F" w:rsidRDefault="004D2E0D">
      <w:pPr>
        <w:suppressAutoHyphens/>
        <w:wordWrap w:val="0"/>
        <w:topLinePunct/>
        <w:spacing w:line="480" w:lineRule="exact"/>
        <w:ind w:firstLineChars="200" w:firstLine="480"/>
        <w:rPr>
          <w:sz w:val="24"/>
        </w:rPr>
      </w:pPr>
      <w:r>
        <w:rPr>
          <w:sz w:val="24"/>
        </w:rPr>
        <w:t>2.</w:t>
      </w:r>
      <w:r>
        <w:rPr>
          <w:sz w:val="24"/>
        </w:rPr>
        <w:t>编制说明</w:t>
      </w:r>
    </w:p>
    <w:p w:rsidR="009C5C1F" w:rsidRDefault="004D2E0D">
      <w:pPr>
        <w:suppressAutoHyphens/>
        <w:wordWrap w:val="0"/>
        <w:topLinePunct/>
        <w:spacing w:line="480" w:lineRule="exact"/>
        <w:ind w:firstLineChars="200" w:firstLine="480"/>
        <w:rPr>
          <w:sz w:val="24"/>
        </w:rPr>
      </w:pPr>
      <w:r>
        <w:rPr>
          <w:sz w:val="24"/>
        </w:rPr>
        <w:t>本</w:t>
      </w:r>
      <w:r>
        <w:rPr>
          <w:rFonts w:hint="eastAsia"/>
          <w:sz w:val="24"/>
        </w:rPr>
        <w:t>方案</w:t>
      </w:r>
      <w:r>
        <w:rPr>
          <w:sz w:val="24"/>
        </w:rPr>
        <w:t>土地复垦</w:t>
      </w:r>
      <w:r>
        <w:rPr>
          <w:rFonts w:hint="eastAsia"/>
          <w:sz w:val="24"/>
        </w:rPr>
        <w:t>静态</w:t>
      </w:r>
      <w:r>
        <w:rPr>
          <w:sz w:val="24"/>
        </w:rPr>
        <w:t>投资估算的费用由工程施工费（含工程措施）、设备购置费</w:t>
      </w:r>
      <w:r>
        <w:rPr>
          <w:rFonts w:hint="eastAsia"/>
          <w:sz w:val="24"/>
        </w:rPr>
        <w:t>、</w:t>
      </w:r>
      <w:r>
        <w:rPr>
          <w:sz w:val="24"/>
        </w:rPr>
        <w:t>其他费用</w:t>
      </w:r>
      <w:r>
        <w:rPr>
          <w:rFonts w:hint="eastAsia"/>
          <w:sz w:val="24"/>
        </w:rPr>
        <w:t>、</w:t>
      </w:r>
      <w:r>
        <w:rPr>
          <w:sz w:val="24"/>
        </w:rPr>
        <w:t>监测与管护费和预备费组成，各部分均依据有关编制方法规定及费用计算标准进行计算编制。</w:t>
      </w:r>
    </w:p>
    <w:p w:rsidR="009C5C1F" w:rsidRDefault="004D2E0D">
      <w:pPr>
        <w:suppressAutoHyphens/>
        <w:wordWrap w:val="0"/>
        <w:topLinePunct/>
        <w:spacing w:line="480" w:lineRule="exact"/>
        <w:ind w:firstLineChars="200" w:firstLine="480"/>
        <w:rPr>
          <w:sz w:val="24"/>
        </w:rPr>
      </w:pPr>
      <w:r>
        <w:rPr>
          <w:sz w:val="24"/>
        </w:rPr>
        <w:t>1</w:t>
      </w:r>
      <w:r>
        <w:rPr>
          <w:sz w:val="24"/>
        </w:rPr>
        <w:t>）工程施工费</w:t>
      </w:r>
      <w:r>
        <w:rPr>
          <w:rFonts w:hint="eastAsia"/>
          <w:sz w:val="24"/>
        </w:rPr>
        <w:t>：</w:t>
      </w:r>
      <w:r>
        <w:rPr>
          <w:sz w:val="24"/>
        </w:rPr>
        <w:t>由直接费、间接费、利润和税金组成。</w:t>
      </w:r>
    </w:p>
    <w:p w:rsidR="009C5C1F" w:rsidRDefault="004D2E0D">
      <w:pPr>
        <w:suppressAutoHyphens/>
        <w:wordWrap w:val="0"/>
        <w:topLinePunct/>
        <w:spacing w:line="480" w:lineRule="exact"/>
        <w:ind w:firstLineChars="200" w:firstLine="480"/>
        <w:rPr>
          <w:sz w:val="24"/>
        </w:rPr>
      </w:pPr>
      <w:r>
        <w:rPr>
          <w:sz w:val="24"/>
        </w:rPr>
        <w:t>（</w:t>
      </w:r>
      <w:r>
        <w:rPr>
          <w:sz w:val="24"/>
        </w:rPr>
        <w:t>1</w:t>
      </w:r>
      <w:r>
        <w:rPr>
          <w:sz w:val="24"/>
        </w:rPr>
        <w:t>）直接费：由直接工程费和措施费组成。</w:t>
      </w:r>
    </w:p>
    <w:p w:rsidR="009C5C1F" w:rsidRDefault="004D2E0D">
      <w:pPr>
        <w:suppressAutoHyphens/>
        <w:wordWrap w:val="0"/>
        <w:topLinePunct/>
        <w:spacing w:line="480" w:lineRule="exact"/>
        <w:ind w:firstLineChars="200" w:firstLine="480"/>
        <w:rPr>
          <w:sz w:val="24"/>
        </w:rPr>
      </w:pPr>
      <w:r>
        <w:rPr>
          <w:sz w:val="24"/>
        </w:rPr>
        <w:fldChar w:fldCharType="begin"/>
      </w:r>
      <w:r>
        <w:rPr>
          <w:sz w:val="24"/>
        </w:rPr>
        <w:instrText xml:space="preserve"> = 1 \* GB3 </w:instrText>
      </w:r>
      <w:r>
        <w:rPr>
          <w:sz w:val="24"/>
        </w:rPr>
        <w:fldChar w:fldCharType="separate"/>
      </w:r>
      <w:r>
        <w:rPr>
          <w:rFonts w:hint="eastAsia"/>
          <w:sz w:val="24"/>
        </w:rPr>
        <w:t>①</w:t>
      </w:r>
      <w:r>
        <w:rPr>
          <w:sz w:val="24"/>
        </w:rPr>
        <w:fldChar w:fldCharType="end"/>
      </w:r>
      <w:r>
        <w:rPr>
          <w:sz w:val="24"/>
        </w:rPr>
        <w:t>直接工程费</w:t>
      </w:r>
      <w:r>
        <w:rPr>
          <w:rFonts w:hint="eastAsia"/>
          <w:sz w:val="24"/>
        </w:rPr>
        <w:t>：</w:t>
      </w:r>
      <w:r>
        <w:rPr>
          <w:sz w:val="24"/>
        </w:rPr>
        <w:t>由人工费、材料费、施工机械使用费组成。</w:t>
      </w:r>
    </w:p>
    <w:p w:rsidR="009C5C1F" w:rsidRDefault="004D2E0D">
      <w:pPr>
        <w:suppressAutoHyphens/>
        <w:wordWrap w:val="0"/>
        <w:topLinePunct/>
        <w:spacing w:line="480" w:lineRule="exact"/>
        <w:ind w:firstLineChars="200" w:firstLine="480"/>
        <w:rPr>
          <w:sz w:val="24"/>
        </w:rPr>
      </w:pPr>
      <w:r>
        <w:rPr>
          <w:sz w:val="24"/>
        </w:rPr>
        <w:t>人工费</w:t>
      </w:r>
      <w:r>
        <w:rPr>
          <w:sz w:val="24"/>
        </w:rPr>
        <w:t>=</w:t>
      </w:r>
      <w:r>
        <w:rPr>
          <w:sz w:val="24"/>
        </w:rPr>
        <w:t>定额劳动量（工日）</w:t>
      </w:r>
      <w:r>
        <w:rPr>
          <w:sz w:val="24"/>
        </w:rPr>
        <w:t>×</w:t>
      </w:r>
      <w:r>
        <w:rPr>
          <w:sz w:val="24"/>
        </w:rPr>
        <w:t>人工预算单价（元</w:t>
      </w:r>
      <w:r>
        <w:rPr>
          <w:sz w:val="24"/>
        </w:rPr>
        <w:t>/</w:t>
      </w:r>
      <w:r>
        <w:rPr>
          <w:sz w:val="24"/>
        </w:rPr>
        <w:t>工日）；</w:t>
      </w:r>
      <w:r>
        <w:rPr>
          <w:rFonts w:hint="eastAsia"/>
          <w:sz w:val="24"/>
        </w:rPr>
        <w:t>临泽</w:t>
      </w:r>
      <w:r>
        <w:rPr>
          <w:sz w:val="24"/>
        </w:rPr>
        <w:t>县为十一类工资区，经计算甲类工</w:t>
      </w:r>
      <w:r>
        <w:rPr>
          <w:sz w:val="24"/>
        </w:rPr>
        <w:t>43.30</w:t>
      </w:r>
      <w:r>
        <w:rPr>
          <w:sz w:val="24"/>
        </w:rPr>
        <w:t>元</w:t>
      </w:r>
      <w:r>
        <w:rPr>
          <w:sz w:val="24"/>
        </w:rPr>
        <w:t>/</w:t>
      </w:r>
      <w:r>
        <w:rPr>
          <w:sz w:val="24"/>
        </w:rPr>
        <w:t>工日，乙类工</w:t>
      </w:r>
      <w:r>
        <w:rPr>
          <w:sz w:val="24"/>
        </w:rPr>
        <w:t>33.50</w:t>
      </w:r>
      <w:r>
        <w:rPr>
          <w:sz w:val="24"/>
        </w:rPr>
        <w:t>元</w:t>
      </w:r>
      <w:r>
        <w:rPr>
          <w:sz w:val="24"/>
        </w:rPr>
        <w:t>/</w:t>
      </w:r>
      <w:r>
        <w:rPr>
          <w:sz w:val="24"/>
        </w:rPr>
        <w:t>工日</w:t>
      </w:r>
      <w:r>
        <w:rPr>
          <w:rFonts w:hint="eastAsia"/>
          <w:sz w:val="24"/>
        </w:rPr>
        <w:t>。</w:t>
      </w:r>
    </w:p>
    <w:p w:rsidR="009C5C1F" w:rsidRDefault="004D2E0D">
      <w:pPr>
        <w:suppressAutoHyphens/>
        <w:wordWrap w:val="0"/>
        <w:topLinePunct/>
        <w:spacing w:line="480" w:lineRule="exact"/>
        <w:ind w:firstLineChars="200" w:firstLine="480"/>
        <w:rPr>
          <w:sz w:val="24"/>
        </w:rPr>
      </w:pPr>
      <w:r>
        <w:rPr>
          <w:sz w:val="24"/>
        </w:rPr>
        <w:lastRenderedPageBreak/>
        <w:t>材料费</w:t>
      </w:r>
      <w:r>
        <w:rPr>
          <w:sz w:val="24"/>
        </w:rPr>
        <w:t>=</w:t>
      </w:r>
      <w:r>
        <w:rPr>
          <w:sz w:val="24"/>
        </w:rPr>
        <w:t>定额材料用量</w:t>
      </w:r>
      <w:r>
        <w:rPr>
          <w:sz w:val="24"/>
        </w:rPr>
        <w:t>×</w:t>
      </w:r>
      <w:r>
        <w:rPr>
          <w:sz w:val="24"/>
        </w:rPr>
        <w:t>材料预算单价</w:t>
      </w:r>
      <w:r>
        <w:rPr>
          <w:rFonts w:hint="eastAsia"/>
          <w:sz w:val="24"/>
        </w:rPr>
        <w:t>，</w:t>
      </w:r>
      <w:r>
        <w:rPr>
          <w:sz w:val="24"/>
        </w:rPr>
        <w:t>材料价格以当地最新造价信息价格为依据。</w:t>
      </w:r>
    </w:p>
    <w:p w:rsidR="009C5C1F" w:rsidRDefault="004D2E0D">
      <w:pPr>
        <w:suppressAutoHyphens/>
        <w:wordWrap w:val="0"/>
        <w:topLinePunct/>
        <w:spacing w:line="480" w:lineRule="exact"/>
        <w:ind w:firstLineChars="200" w:firstLine="480"/>
        <w:rPr>
          <w:sz w:val="24"/>
        </w:rPr>
      </w:pPr>
      <w:r>
        <w:rPr>
          <w:sz w:val="24"/>
        </w:rPr>
        <w:t>施工机械使用费</w:t>
      </w:r>
      <w:r>
        <w:rPr>
          <w:sz w:val="24"/>
        </w:rPr>
        <w:t>=</w:t>
      </w:r>
      <w:r>
        <w:rPr>
          <w:sz w:val="24"/>
        </w:rPr>
        <w:t>定额机械使用量（台班）</w:t>
      </w:r>
      <w:r>
        <w:rPr>
          <w:sz w:val="24"/>
        </w:rPr>
        <w:t>×</w:t>
      </w:r>
      <w:r>
        <w:rPr>
          <w:sz w:val="24"/>
        </w:rPr>
        <w:t>施工机械台班费（元</w:t>
      </w:r>
      <w:r>
        <w:rPr>
          <w:sz w:val="24"/>
        </w:rPr>
        <w:t>/</w:t>
      </w:r>
      <w:r>
        <w:rPr>
          <w:sz w:val="24"/>
        </w:rPr>
        <w:t>台班）；</w:t>
      </w:r>
    </w:p>
    <w:p w:rsidR="009C5C1F" w:rsidRDefault="004D2E0D">
      <w:pPr>
        <w:suppressAutoHyphens/>
        <w:wordWrap w:val="0"/>
        <w:topLinePunct/>
        <w:spacing w:beforeLines="50" w:before="180" w:afterLines="50" w:after="180"/>
        <w:jc w:val="center"/>
        <w:rPr>
          <w:b/>
          <w:bCs/>
          <w:sz w:val="24"/>
        </w:rPr>
      </w:pPr>
      <w:r>
        <w:rPr>
          <w:rFonts w:hint="eastAsia"/>
          <w:b/>
          <w:bCs/>
          <w:sz w:val="24"/>
        </w:rPr>
        <w:t xml:space="preserve"> </w:t>
      </w:r>
      <w:r>
        <w:rPr>
          <w:b/>
          <w:bCs/>
          <w:sz w:val="24"/>
        </w:rPr>
        <w:t xml:space="preserve">   </w:t>
      </w:r>
      <w:r>
        <w:rPr>
          <w:rFonts w:hint="eastAsia"/>
          <w:b/>
          <w:bCs/>
          <w:sz w:val="24"/>
        </w:rPr>
        <w:t>表</w:t>
      </w:r>
      <w:r>
        <w:rPr>
          <w:rFonts w:hint="eastAsia"/>
          <w:b/>
          <w:bCs/>
          <w:sz w:val="24"/>
        </w:rPr>
        <w:t>7</w:t>
      </w:r>
      <w:r>
        <w:rPr>
          <w:rFonts w:hint="eastAsia"/>
          <w:b/>
          <w:bCs/>
          <w:sz w:val="24"/>
        </w:rPr>
        <w:t>—</w:t>
      </w:r>
      <w:r>
        <w:rPr>
          <w:b/>
          <w:bCs/>
          <w:sz w:val="24"/>
        </w:rPr>
        <w:t xml:space="preserve">7        </w:t>
      </w:r>
      <w:r>
        <w:rPr>
          <w:rFonts w:hint="eastAsia"/>
          <w:b/>
          <w:bCs/>
          <w:sz w:val="24"/>
        </w:rPr>
        <w:t xml:space="preserve"> </w:t>
      </w:r>
      <w:r>
        <w:rPr>
          <w:b/>
          <w:bCs/>
          <w:sz w:val="24"/>
        </w:rPr>
        <w:t>人工预算单价表</w:t>
      </w:r>
      <w:r>
        <w:rPr>
          <w:b/>
          <w:bCs/>
          <w:sz w:val="24"/>
        </w:rPr>
        <w:t>(</w:t>
      </w:r>
      <w:r>
        <w:rPr>
          <w:b/>
          <w:bCs/>
          <w:sz w:val="24"/>
        </w:rPr>
        <w:t>十一类地区</w:t>
      </w:r>
      <w:r>
        <w:rPr>
          <w:b/>
          <w:bCs/>
          <w:sz w:val="24"/>
        </w:rPr>
        <w:t xml:space="preserve">) </w:t>
      </w:r>
      <w:r>
        <w:rPr>
          <w:b/>
          <w:bCs/>
          <w:sz w:val="24"/>
        </w:rPr>
        <w:t>单位：元</w:t>
      </w:r>
      <w:r>
        <w:rPr>
          <w:rFonts w:hint="eastAsia"/>
          <w:b/>
          <w:bCs/>
          <w:sz w:val="24"/>
        </w:rPr>
        <w:t xml:space="preserve"> </w:t>
      </w:r>
    </w:p>
    <w:tbl>
      <w:tblPr>
        <w:tblW w:w="8973" w:type="dxa"/>
        <w:tblLook w:val="04A0" w:firstRow="1" w:lastRow="0" w:firstColumn="1" w:lastColumn="0" w:noHBand="0" w:noVBand="1"/>
      </w:tblPr>
      <w:tblGrid>
        <w:gridCol w:w="799"/>
        <w:gridCol w:w="2008"/>
        <w:gridCol w:w="830"/>
        <w:gridCol w:w="4043"/>
        <w:gridCol w:w="1293"/>
      </w:tblGrid>
      <w:tr w:rsidR="009C5C1F">
        <w:trPr>
          <w:trHeight w:val="350"/>
        </w:trPr>
        <w:tc>
          <w:tcPr>
            <w:tcW w:w="800" w:type="dxa"/>
            <w:tcBorders>
              <w:top w:val="single" w:sz="12" w:space="0" w:color="000000"/>
              <w:left w:val="single" w:sz="12" w:space="0" w:color="000000"/>
              <w:bottom w:val="single" w:sz="4" w:space="0" w:color="000000"/>
              <w:right w:val="single" w:sz="4" w:space="0" w:color="000000"/>
            </w:tcBorders>
            <w:vAlign w:val="center"/>
          </w:tcPr>
          <w:p w:rsidR="009C5C1F" w:rsidRDefault="004D2E0D">
            <w:pPr>
              <w:suppressAutoHyphens/>
              <w:wordWrap w:val="0"/>
              <w:topLinePunct/>
              <w:spacing w:beforeLines="50" w:before="180" w:afterLines="50" w:after="180"/>
              <w:jc w:val="center"/>
              <w:rPr>
                <w:rFonts w:ascii="宋体" w:hAnsiTheme="minorHAnsi" w:cs="宋体"/>
                <w:color w:val="000000"/>
                <w:kern w:val="0"/>
                <w:sz w:val="20"/>
                <w:szCs w:val="20"/>
              </w:rPr>
            </w:pPr>
            <w:r>
              <w:rPr>
                <w:rFonts w:ascii="宋体" w:hAnsiTheme="minorHAnsi" w:cs="宋体" w:hint="eastAsia"/>
                <w:color w:val="000000"/>
                <w:kern w:val="0"/>
                <w:sz w:val="20"/>
                <w:szCs w:val="20"/>
              </w:rPr>
              <w:t>编号</w:t>
            </w:r>
          </w:p>
        </w:tc>
        <w:tc>
          <w:tcPr>
            <w:tcW w:w="2833" w:type="dxa"/>
            <w:gridSpan w:val="2"/>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项目名称</w:t>
            </w:r>
          </w:p>
        </w:tc>
        <w:tc>
          <w:tcPr>
            <w:tcW w:w="4045"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计算公式</w:t>
            </w:r>
          </w:p>
        </w:tc>
        <w:tc>
          <w:tcPr>
            <w:tcW w:w="1295" w:type="dxa"/>
            <w:tcBorders>
              <w:top w:val="single" w:sz="12"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工资类型</w:t>
            </w:r>
          </w:p>
        </w:tc>
      </w:tr>
      <w:tr w:rsidR="009C5C1F">
        <w:trPr>
          <w:trHeight w:val="350"/>
        </w:trPr>
        <w:tc>
          <w:tcPr>
            <w:tcW w:w="800" w:type="dxa"/>
            <w:vMerge w:val="restart"/>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1 </w:t>
            </w:r>
          </w:p>
        </w:tc>
        <w:tc>
          <w:tcPr>
            <w:tcW w:w="2833" w:type="dxa"/>
            <w:gridSpan w:val="2"/>
            <w:vMerge w:val="restart"/>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基本工资</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400</w:t>
            </w:r>
            <w:r>
              <w:rPr>
                <w:rFonts w:ascii="宋体" w:hAnsiTheme="minorHAnsi" w:cs="宋体" w:hint="eastAsia"/>
                <w:color w:val="000000"/>
                <w:kern w:val="0"/>
                <w:sz w:val="20"/>
                <w:szCs w:val="20"/>
              </w:rPr>
              <w:t>×</w:t>
            </w:r>
            <w:r>
              <w:rPr>
                <w:rFonts w:ascii="宋体" w:hAnsiTheme="minorHAnsi" w:cs="宋体"/>
                <w:color w:val="000000"/>
                <w:kern w:val="0"/>
                <w:sz w:val="20"/>
                <w:szCs w:val="20"/>
              </w:rPr>
              <w:t>1.1304</w:t>
            </w:r>
            <w:r>
              <w:rPr>
                <w:rFonts w:ascii="宋体" w:hAnsiTheme="minorHAnsi" w:cs="宋体" w:hint="eastAsia"/>
                <w:color w:val="000000"/>
                <w:kern w:val="0"/>
                <w:sz w:val="20"/>
                <w:szCs w:val="20"/>
              </w:rPr>
              <w:t>×</w:t>
            </w:r>
            <w:r>
              <w:rPr>
                <w:rFonts w:ascii="宋体" w:hAnsiTheme="minorHAnsi" w:cs="宋体"/>
                <w:color w:val="000000"/>
                <w:kern w:val="0"/>
                <w:sz w:val="20"/>
                <w:szCs w:val="20"/>
              </w:rPr>
              <w:t>12</w:t>
            </w:r>
            <w:r>
              <w:rPr>
                <w:rFonts w:ascii="宋体" w:hAnsiTheme="minorHAnsi" w:cs="宋体" w:hint="eastAsia"/>
                <w:color w:val="000000"/>
                <w:kern w:val="0"/>
                <w:sz w:val="20"/>
                <w:szCs w:val="20"/>
              </w:rPr>
              <w:t>×</w:t>
            </w:r>
            <w:r>
              <w:rPr>
                <w:rFonts w:ascii="宋体" w:hAnsiTheme="minorHAnsi" w:cs="宋体"/>
                <w:color w:val="000000"/>
                <w:kern w:val="0"/>
                <w:sz w:val="20"/>
                <w:szCs w:val="20"/>
              </w:rPr>
              <w:t>1</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(250-10)=22.608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50"/>
        </w:trPr>
        <w:tc>
          <w:tcPr>
            <w:tcW w:w="800" w:type="dxa"/>
            <w:vMerge/>
            <w:tcBorders>
              <w:top w:val="single" w:sz="4" w:space="0" w:color="000000"/>
              <w:left w:val="single" w:sz="12"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33" w:type="dxa"/>
            <w:gridSpan w:val="2"/>
            <w:vMerge/>
            <w:tcBorders>
              <w:top w:val="single" w:sz="4" w:space="0" w:color="000000"/>
              <w:left w:val="single" w:sz="4"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340</w:t>
            </w:r>
            <w:r>
              <w:rPr>
                <w:rFonts w:ascii="宋体" w:hAnsiTheme="minorHAnsi" w:cs="宋体" w:hint="eastAsia"/>
                <w:color w:val="000000"/>
                <w:kern w:val="0"/>
                <w:sz w:val="20"/>
                <w:szCs w:val="20"/>
              </w:rPr>
              <w:t>×</w:t>
            </w:r>
            <w:r>
              <w:rPr>
                <w:rFonts w:ascii="宋体" w:hAnsiTheme="minorHAnsi" w:cs="宋体"/>
                <w:color w:val="000000"/>
                <w:kern w:val="0"/>
                <w:sz w:val="20"/>
                <w:szCs w:val="20"/>
              </w:rPr>
              <w:t>1.1304</w:t>
            </w:r>
            <w:r>
              <w:rPr>
                <w:rFonts w:ascii="宋体" w:hAnsiTheme="minorHAnsi" w:cs="宋体" w:hint="eastAsia"/>
                <w:color w:val="000000"/>
                <w:kern w:val="0"/>
                <w:sz w:val="20"/>
                <w:szCs w:val="20"/>
              </w:rPr>
              <w:t>×</w:t>
            </w:r>
            <w:r>
              <w:rPr>
                <w:rFonts w:ascii="宋体" w:hAnsiTheme="minorHAnsi" w:cs="宋体"/>
                <w:color w:val="000000"/>
                <w:kern w:val="0"/>
                <w:sz w:val="20"/>
                <w:szCs w:val="20"/>
              </w:rPr>
              <w:t>12</w:t>
            </w:r>
            <w:r>
              <w:rPr>
                <w:rFonts w:ascii="宋体" w:hAnsiTheme="minorHAnsi" w:cs="宋体" w:hint="eastAsia"/>
                <w:color w:val="000000"/>
                <w:kern w:val="0"/>
                <w:sz w:val="20"/>
                <w:szCs w:val="20"/>
              </w:rPr>
              <w:t>×</w:t>
            </w:r>
            <w:r>
              <w:rPr>
                <w:rFonts w:ascii="宋体" w:hAnsiTheme="minorHAnsi" w:cs="宋体"/>
                <w:color w:val="000000"/>
                <w:kern w:val="0"/>
                <w:sz w:val="20"/>
                <w:szCs w:val="20"/>
              </w:rPr>
              <w:t>1</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(250-10)=19.217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50"/>
        </w:trPr>
        <w:tc>
          <w:tcPr>
            <w:tcW w:w="800" w:type="dxa"/>
            <w:vMerge w:val="restart"/>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2 </w:t>
            </w:r>
          </w:p>
        </w:tc>
        <w:tc>
          <w:tcPr>
            <w:tcW w:w="2833" w:type="dxa"/>
            <w:gridSpan w:val="2"/>
            <w:vMerge w:val="restart"/>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辅助工资</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6.553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50"/>
        </w:trPr>
        <w:tc>
          <w:tcPr>
            <w:tcW w:w="800" w:type="dxa"/>
            <w:vMerge/>
            <w:tcBorders>
              <w:top w:val="single" w:sz="4" w:space="0" w:color="000000"/>
              <w:left w:val="single" w:sz="12"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33" w:type="dxa"/>
            <w:gridSpan w:val="2"/>
            <w:vMerge/>
            <w:tcBorders>
              <w:top w:val="single" w:sz="4" w:space="0" w:color="000000"/>
              <w:left w:val="single" w:sz="4"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3.343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48"/>
        </w:trPr>
        <w:tc>
          <w:tcPr>
            <w:tcW w:w="800" w:type="dxa"/>
            <w:vMerge w:val="restart"/>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(2) </w:t>
            </w:r>
          </w:p>
        </w:tc>
        <w:tc>
          <w:tcPr>
            <w:tcW w:w="2833" w:type="dxa"/>
            <w:gridSpan w:val="2"/>
            <w:vMerge w:val="restart"/>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施工津贴</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3.5</w:t>
            </w:r>
            <w:r>
              <w:rPr>
                <w:rFonts w:ascii="宋体" w:hAnsiTheme="minorHAnsi" w:cs="宋体" w:hint="eastAsia"/>
                <w:color w:val="000000"/>
                <w:kern w:val="0"/>
                <w:sz w:val="20"/>
                <w:szCs w:val="20"/>
              </w:rPr>
              <w:t>×</w:t>
            </w:r>
            <w:r>
              <w:rPr>
                <w:rFonts w:ascii="宋体" w:hAnsiTheme="minorHAnsi" w:cs="宋体"/>
                <w:color w:val="000000"/>
                <w:kern w:val="0"/>
                <w:sz w:val="20"/>
                <w:szCs w:val="20"/>
              </w:rPr>
              <w:t>365</w:t>
            </w:r>
            <w:r>
              <w:rPr>
                <w:rFonts w:ascii="宋体" w:hAnsiTheme="minorHAnsi" w:cs="宋体" w:hint="eastAsia"/>
                <w:color w:val="000000"/>
                <w:kern w:val="0"/>
                <w:sz w:val="20"/>
                <w:szCs w:val="20"/>
              </w:rPr>
              <w:t>×</w:t>
            </w:r>
            <w:r>
              <w:rPr>
                <w:rFonts w:ascii="宋体" w:hAnsiTheme="minorHAnsi" w:cs="宋体"/>
                <w:color w:val="000000"/>
                <w:kern w:val="0"/>
                <w:sz w:val="20"/>
                <w:szCs w:val="20"/>
              </w:rPr>
              <w:t>95%</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(250-10)=5.057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50"/>
        </w:trPr>
        <w:tc>
          <w:tcPr>
            <w:tcW w:w="800" w:type="dxa"/>
            <w:vMerge/>
            <w:tcBorders>
              <w:top w:val="single" w:sz="4" w:space="0" w:color="000000"/>
              <w:left w:val="single" w:sz="12"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33" w:type="dxa"/>
            <w:gridSpan w:val="2"/>
            <w:vMerge/>
            <w:tcBorders>
              <w:top w:val="single" w:sz="4" w:space="0" w:color="000000"/>
              <w:left w:val="single" w:sz="4"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2.0</w:t>
            </w:r>
            <w:r>
              <w:rPr>
                <w:rFonts w:ascii="宋体" w:hAnsiTheme="minorHAnsi" w:cs="宋体" w:hint="eastAsia"/>
                <w:color w:val="000000"/>
                <w:kern w:val="0"/>
                <w:sz w:val="20"/>
                <w:szCs w:val="20"/>
              </w:rPr>
              <w:t>×</w:t>
            </w:r>
            <w:r>
              <w:rPr>
                <w:rFonts w:ascii="宋体" w:hAnsiTheme="minorHAnsi" w:cs="宋体"/>
                <w:color w:val="000000"/>
                <w:kern w:val="0"/>
                <w:sz w:val="20"/>
                <w:szCs w:val="20"/>
              </w:rPr>
              <w:t>365</w:t>
            </w:r>
            <w:r>
              <w:rPr>
                <w:rFonts w:ascii="宋体" w:hAnsiTheme="minorHAnsi" w:cs="宋体" w:hint="eastAsia"/>
                <w:color w:val="000000"/>
                <w:kern w:val="0"/>
                <w:sz w:val="20"/>
                <w:szCs w:val="20"/>
              </w:rPr>
              <w:t>×</w:t>
            </w:r>
            <w:r>
              <w:rPr>
                <w:rFonts w:ascii="宋体" w:hAnsiTheme="minorHAnsi" w:cs="宋体"/>
                <w:color w:val="000000"/>
                <w:kern w:val="0"/>
                <w:sz w:val="20"/>
                <w:szCs w:val="20"/>
              </w:rPr>
              <w:t>95%</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(250-10)=2.890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50"/>
        </w:trPr>
        <w:tc>
          <w:tcPr>
            <w:tcW w:w="800" w:type="dxa"/>
            <w:vMerge w:val="restart"/>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(3) </w:t>
            </w:r>
          </w:p>
        </w:tc>
        <w:tc>
          <w:tcPr>
            <w:tcW w:w="2833" w:type="dxa"/>
            <w:gridSpan w:val="2"/>
            <w:vMerge w:val="restart"/>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夜餐津贴</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(4.5+3.5)</w:t>
            </w:r>
            <w:r>
              <w:rPr>
                <w:rFonts w:ascii="宋体" w:hAnsiTheme="minorHAnsi" w:cs="宋体" w:hint="eastAsia"/>
                <w:color w:val="000000"/>
                <w:kern w:val="0"/>
                <w:sz w:val="20"/>
                <w:szCs w:val="20"/>
              </w:rPr>
              <w:t>÷</w:t>
            </w:r>
            <w:r>
              <w:rPr>
                <w:rFonts w:ascii="宋体" w:hAnsiTheme="minorHAnsi" w:cs="宋体"/>
                <w:color w:val="000000"/>
                <w:kern w:val="0"/>
                <w:sz w:val="20"/>
                <w:szCs w:val="20"/>
              </w:rPr>
              <w:t>2</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0.2=0.800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50"/>
        </w:trPr>
        <w:tc>
          <w:tcPr>
            <w:tcW w:w="800" w:type="dxa"/>
            <w:vMerge/>
            <w:tcBorders>
              <w:top w:val="single" w:sz="4" w:space="0" w:color="000000"/>
              <w:left w:val="single" w:sz="12"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33" w:type="dxa"/>
            <w:gridSpan w:val="2"/>
            <w:vMerge/>
            <w:tcBorders>
              <w:top w:val="single" w:sz="4" w:space="0" w:color="000000"/>
              <w:left w:val="single" w:sz="4"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(4.5+3.5)</w:t>
            </w:r>
            <w:r>
              <w:rPr>
                <w:rFonts w:ascii="宋体" w:hAnsiTheme="minorHAnsi" w:cs="宋体" w:hint="eastAsia"/>
                <w:color w:val="000000"/>
                <w:kern w:val="0"/>
                <w:sz w:val="20"/>
                <w:szCs w:val="20"/>
              </w:rPr>
              <w:t>÷</w:t>
            </w:r>
            <w:r>
              <w:rPr>
                <w:rFonts w:ascii="宋体" w:hAnsiTheme="minorHAnsi" w:cs="宋体"/>
                <w:color w:val="000000"/>
                <w:kern w:val="0"/>
                <w:sz w:val="20"/>
                <w:szCs w:val="20"/>
              </w:rPr>
              <w:t>2</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0.05=0.200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50"/>
        </w:trPr>
        <w:tc>
          <w:tcPr>
            <w:tcW w:w="800" w:type="dxa"/>
            <w:vMerge w:val="restart"/>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(4) </w:t>
            </w:r>
          </w:p>
        </w:tc>
        <w:tc>
          <w:tcPr>
            <w:tcW w:w="2833" w:type="dxa"/>
            <w:gridSpan w:val="2"/>
            <w:vMerge w:val="restart"/>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节日加班津贴</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22.608</w:t>
            </w:r>
            <w:r>
              <w:rPr>
                <w:rFonts w:ascii="宋体" w:hAnsiTheme="minorHAnsi" w:cs="宋体" w:hint="eastAsia"/>
                <w:color w:val="000000"/>
                <w:kern w:val="0"/>
                <w:sz w:val="20"/>
                <w:szCs w:val="20"/>
              </w:rPr>
              <w:t>×</w:t>
            </w:r>
            <w:r>
              <w:rPr>
                <w:rFonts w:ascii="宋体" w:hAnsiTheme="minorHAnsi" w:cs="宋体"/>
                <w:color w:val="000000"/>
                <w:kern w:val="0"/>
                <w:sz w:val="20"/>
                <w:szCs w:val="20"/>
              </w:rPr>
              <w:t>(3-1)</w:t>
            </w:r>
            <w:r>
              <w:rPr>
                <w:rFonts w:ascii="宋体" w:hAnsiTheme="minorHAnsi" w:cs="宋体" w:hint="eastAsia"/>
                <w:color w:val="000000"/>
                <w:kern w:val="0"/>
                <w:sz w:val="20"/>
                <w:szCs w:val="20"/>
              </w:rPr>
              <w:t>×</w:t>
            </w:r>
            <w:r>
              <w:rPr>
                <w:rFonts w:ascii="宋体" w:hAnsiTheme="minorHAnsi" w:cs="宋体"/>
                <w:color w:val="000000"/>
                <w:kern w:val="0"/>
                <w:sz w:val="20"/>
                <w:szCs w:val="20"/>
              </w:rPr>
              <w:t>11</w:t>
            </w:r>
            <w:r>
              <w:rPr>
                <w:rFonts w:ascii="宋体" w:hAnsiTheme="minorHAnsi" w:cs="宋体" w:hint="eastAsia"/>
                <w:color w:val="000000"/>
                <w:kern w:val="0"/>
                <w:sz w:val="20"/>
                <w:szCs w:val="20"/>
              </w:rPr>
              <w:t>÷</w:t>
            </w:r>
            <w:r>
              <w:rPr>
                <w:rFonts w:ascii="宋体" w:hAnsiTheme="minorHAnsi" w:cs="宋体"/>
                <w:color w:val="000000"/>
                <w:kern w:val="0"/>
                <w:sz w:val="20"/>
                <w:szCs w:val="20"/>
              </w:rPr>
              <w:t>250</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0.35=0.696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50"/>
        </w:trPr>
        <w:tc>
          <w:tcPr>
            <w:tcW w:w="800" w:type="dxa"/>
            <w:vMerge/>
            <w:tcBorders>
              <w:top w:val="single" w:sz="4" w:space="0" w:color="000000"/>
              <w:left w:val="single" w:sz="12"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33" w:type="dxa"/>
            <w:gridSpan w:val="2"/>
            <w:vMerge/>
            <w:tcBorders>
              <w:top w:val="single" w:sz="4" w:space="0" w:color="000000"/>
              <w:left w:val="single" w:sz="4"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19.217</w:t>
            </w:r>
            <w:r>
              <w:rPr>
                <w:rFonts w:ascii="宋体" w:hAnsiTheme="minorHAnsi" w:cs="宋体" w:hint="eastAsia"/>
                <w:color w:val="000000"/>
                <w:kern w:val="0"/>
                <w:sz w:val="20"/>
                <w:szCs w:val="20"/>
              </w:rPr>
              <w:t>×</w:t>
            </w:r>
            <w:r>
              <w:rPr>
                <w:rFonts w:ascii="宋体" w:hAnsiTheme="minorHAnsi" w:cs="宋体"/>
                <w:color w:val="000000"/>
                <w:kern w:val="0"/>
                <w:sz w:val="20"/>
                <w:szCs w:val="20"/>
              </w:rPr>
              <w:t>(3-1)</w:t>
            </w:r>
            <w:r>
              <w:rPr>
                <w:rFonts w:ascii="宋体" w:hAnsiTheme="minorHAnsi" w:cs="宋体" w:hint="eastAsia"/>
                <w:color w:val="000000"/>
                <w:kern w:val="0"/>
                <w:sz w:val="20"/>
                <w:szCs w:val="20"/>
              </w:rPr>
              <w:t>×</w:t>
            </w:r>
            <w:r>
              <w:rPr>
                <w:rFonts w:ascii="宋体" w:hAnsiTheme="minorHAnsi" w:cs="宋体"/>
                <w:color w:val="000000"/>
                <w:kern w:val="0"/>
                <w:sz w:val="20"/>
                <w:szCs w:val="20"/>
              </w:rPr>
              <w:t>11</w:t>
            </w:r>
            <w:r>
              <w:rPr>
                <w:rFonts w:ascii="宋体" w:hAnsiTheme="minorHAnsi" w:cs="宋体" w:hint="eastAsia"/>
                <w:color w:val="000000"/>
                <w:kern w:val="0"/>
                <w:sz w:val="20"/>
                <w:szCs w:val="20"/>
              </w:rPr>
              <w:t>÷</w:t>
            </w:r>
            <w:r>
              <w:rPr>
                <w:rFonts w:ascii="宋体" w:hAnsiTheme="minorHAnsi" w:cs="宋体"/>
                <w:color w:val="000000"/>
                <w:kern w:val="0"/>
                <w:sz w:val="20"/>
                <w:szCs w:val="20"/>
              </w:rPr>
              <w:t>250</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0.15=0.254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48"/>
        </w:trPr>
        <w:tc>
          <w:tcPr>
            <w:tcW w:w="800" w:type="dxa"/>
            <w:vMerge w:val="restart"/>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3 </w:t>
            </w:r>
          </w:p>
        </w:tc>
        <w:tc>
          <w:tcPr>
            <w:tcW w:w="2833" w:type="dxa"/>
            <w:gridSpan w:val="2"/>
            <w:vMerge w:val="restart"/>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工资附加费</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14.143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50"/>
        </w:trPr>
        <w:tc>
          <w:tcPr>
            <w:tcW w:w="800" w:type="dxa"/>
            <w:vMerge/>
            <w:tcBorders>
              <w:top w:val="single" w:sz="4" w:space="0" w:color="000000"/>
              <w:left w:val="single" w:sz="12"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33" w:type="dxa"/>
            <w:gridSpan w:val="2"/>
            <w:vMerge/>
            <w:tcBorders>
              <w:top w:val="single" w:sz="4" w:space="0" w:color="000000"/>
              <w:left w:val="single" w:sz="4"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10.942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50"/>
        </w:trPr>
        <w:tc>
          <w:tcPr>
            <w:tcW w:w="800" w:type="dxa"/>
            <w:vMerge w:val="restart"/>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(1) </w:t>
            </w:r>
          </w:p>
        </w:tc>
        <w:tc>
          <w:tcPr>
            <w:tcW w:w="2833" w:type="dxa"/>
            <w:gridSpan w:val="2"/>
            <w:vMerge w:val="restart"/>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职工福利基金</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(22.608+6.553)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14%=4.083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50"/>
        </w:trPr>
        <w:tc>
          <w:tcPr>
            <w:tcW w:w="800" w:type="dxa"/>
            <w:vMerge/>
            <w:tcBorders>
              <w:top w:val="single" w:sz="4" w:space="0" w:color="000000"/>
              <w:left w:val="single" w:sz="12"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33" w:type="dxa"/>
            <w:gridSpan w:val="2"/>
            <w:vMerge/>
            <w:tcBorders>
              <w:top w:val="single" w:sz="4" w:space="0" w:color="000000"/>
              <w:left w:val="single" w:sz="4" w:space="0" w:color="000000"/>
              <w:bottom w:val="single" w:sz="4" w:space="0" w:color="000000"/>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(19.217+3.343)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14%=3.158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50"/>
        </w:trPr>
        <w:tc>
          <w:tcPr>
            <w:tcW w:w="800" w:type="dxa"/>
            <w:vMerge w:val="restart"/>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(2) </w:t>
            </w:r>
          </w:p>
        </w:tc>
        <w:tc>
          <w:tcPr>
            <w:tcW w:w="2833" w:type="dxa"/>
            <w:gridSpan w:val="2"/>
            <w:vMerge w:val="restart"/>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工会经费</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(22.608+6.553)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2%=0.583 </w:t>
            </w:r>
          </w:p>
        </w:tc>
        <w:tc>
          <w:tcPr>
            <w:tcW w:w="1295"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48"/>
        </w:trPr>
        <w:tc>
          <w:tcPr>
            <w:tcW w:w="800" w:type="dxa"/>
            <w:vMerge/>
            <w:tcBorders>
              <w:top w:val="single" w:sz="4" w:space="0" w:color="000000"/>
              <w:left w:val="single" w:sz="12" w:space="0" w:color="000000"/>
              <w:bottom w:val="single" w:sz="4" w:space="0" w:color="auto"/>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33" w:type="dxa"/>
            <w:gridSpan w:val="2"/>
            <w:vMerge/>
            <w:tcBorders>
              <w:top w:val="single" w:sz="4" w:space="0" w:color="000000"/>
              <w:left w:val="single" w:sz="4" w:space="0" w:color="000000"/>
              <w:bottom w:val="single" w:sz="4" w:space="0" w:color="auto"/>
              <w:right w:val="single" w:sz="4"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000000"/>
              <w:left w:val="single" w:sz="4" w:space="0" w:color="000000"/>
              <w:bottom w:val="single" w:sz="4" w:space="0" w:color="auto"/>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(19.217+3.343)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2%=0.451 </w:t>
            </w:r>
          </w:p>
        </w:tc>
        <w:tc>
          <w:tcPr>
            <w:tcW w:w="1295" w:type="dxa"/>
            <w:tcBorders>
              <w:top w:val="single" w:sz="4" w:space="0" w:color="000000"/>
              <w:left w:val="single" w:sz="4" w:space="0" w:color="000000"/>
              <w:bottom w:val="single" w:sz="4" w:space="0" w:color="auto"/>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50"/>
        </w:trPr>
        <w:tc>
          <w:tcPr>
            <w:tcW w:w="791" w:type="dxa"/>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(3) </w:t>
            </w:r>
          </w:p>
        </w:tc>
        <w:tc>
          <w:tcPr>
            <w:tcW w:w="2842" w:type="dxa"/>
            <w:gridSpan w:val="2"/>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养老保险</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(22.608+6.553)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20%=5.832 </w:t>
            </w:r>
          </w:p>
        </w:tc>
        <w:tc>
          <w:tcPr>
            <w:tcW w:w="129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50"/>
        </w:trPr>
        <w:tc>
          <w:tcPr>
            <w:tcW w:w="791" w:type="dxa"/>
            <w:vMerge/>
            <w:tcBorders>
              <w:top w:val="single" w:sz="4" w:space="0" w:color="auto"/>
              <w:left w:val="single" w:sz="4" w:space="0" w:color="auto"/>
              <w:bottom w:val="single" w:sz="4" w:space="0" w:color="auto"/>
              <w:right w:val="single" w:sz="4" w:space="0" w:color="auto"/>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42" w:type="dxa"/>
            <w:gridSpan w:val="2"/>
            <w:vMerge/>
            <w:tcBorders>
              <w:top w:val="single" w:sz="4" w:space="0" w:color="auto"/>
              <w:left w:val="single" w:sz="4" w:space="0" w:color="auto"/>
              <w:bottom w:val="single" w:sz="4" w:space="0" w:color="auto"/>
              <w:right w:val="single" w:sz="4" w:space="0" w:color="auto"/>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(19.217+3.343)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20%=4.512 </w:t>
            </w:r>
          </w:p>
        </w:tc>
        <w:tc>
          <w:tcPr>
            <w:tcW w:w="129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50"/>
        </w:trPr>
        <w:tc>
          <w:tcPr>
            <w:tcW w:w="791" w:type="dxa"/>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(4) </w:t>
            </w:r>
          </w:p>
        </w:tc>
        <w:tc>
          <w:tcPr>
            <w:tcW w:w="2842" w:type="dxa"/>
            <w:gridSpan w:val="2"/>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医疗保险</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(22.608+6.553)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4%=1.166 </w:t>
            </w:r>
          </w:p>
        </w:tc>
        <w:tc>
          <w:tcPr>
            <w:tcW w:w="129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50"/>
        </w:trPr>
        <w:tc>
          <w:tcPr>
            <w:tcW w:w="791" w:type="dxa"/>
            <w:vMerge/>
            <w:tcBorders>
              <w:top w:val="single" w:sz="4" w:space="0" w:color="auto"/>
              <w:left w:val="single" w:sz="4" w:space="0" w:color="auto"/>
              <w:bottom w:val="single" w:sz="4" w:space="0" w:color="auto"/>
              <w:right w:val="single" w:sz="4" w:space="0" w:color="auto"/>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42" w:type="dxa"/>
            <w:gridSpan w:val="2"/>
            <w:vMerge/>
            <w:tcBorders>
              <w:top w:val="single" w:sz="4" w:space="0" w:color="auto"/>
              <w:left w:val="single" w:sz="4" w:space="0" w:color="auto"/>
              <w:bottom w:val="single" w:sz="4" w:space="0" w:color="auto"/>
              <w:right w:val="single" w:sz="4" w:space="0" w:color="auto"/>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(19.217+3.343)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4%=0.902 </w:t>
            </w:r>
          </w:p>
        </w:tc>
        <w:tc>
          <w:tcPr>
            <w:tcW w:w="129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50"/>
        </w:trPr>
        <w:tc>
          <w:tcPr>
            <w:tcW w:w="791" w:type="dxa"/>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(5) </w:t>
            </w:r>
          </w:p>
        </w:tc>
        <w:tc>
          <w:tcPr>
            <w:tcW w:w="2842" w:type="dxa"/>
            <w:gridSpan w:val="2"/>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工伤保险</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(22.608+6.553)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1.5%=0.437 </w:t>
            </w:r>
          </w:p>
        </w:tc>
        <w:tc>
          <w:tcPr>
            <w:tcW w:w="129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48"/>
        </w:trPr>
        <w:tc>
          <w:tcPr>
            <w:tcW w:w="791" w:type="dxa"/>
            <w:vMerge/>
            <w:tcBorders>
              <w:top w:val="single" w:sz="4" w:space="0" w:color="auto"/>
              <w:left w:val="single" w:sz="4" w:space="0" w:color="auto"/>
              <w:bottom w:val="single" w:sz="4" w:space="0" w:color="auto"/>
              <w:right w:val="single" w:sz="4" w:space="0" w:color="auto"/>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42" w:type="dxa"/>
            <w:gridSpan w:val="2"/>
            <w:vMerge/>
            <w:tcBorders>
              <w:top w:val="single" w:sz="4" w:space="0" w:color="auto"/>
              <w:left w:val="single" w:sz="4" w:space="0" w:color="auto"/>
              <w:bottom w:val="single" w:sz="4" w:space="0" w:color="auto"/>
              <w:right w:val="single" w:sz="4" w:space="0" w:color="auto"/>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(19.217+3.343)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1.5%=0.338 </w:t>
            </w:r>
          </w:p>
        </w:tc>
        <w:tc>
          <w:tcPr>
            <w:tcW w:w="129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50"/>
        </w:trPr>
        <w:tc>
          <w:tcPr>
            <w:tcW w:w="791" w:type="dxa"/>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(6) </w:t>
            </w:r>
          </w:p>
        </w:tc>
        <w:tc>
          <w:tcPr>
            <w:tcW w:w="2842" w:type="dxa"/>
            <w:gridSpan w:val="2"/>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职工失业保险基金</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(22.608+6.553)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2%=0.583 </w:t>
            </w:r>
          </w:p>
        </w:tc>
        <w:tc>
          <w:tcPr>
            <w:tcW w:w="129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50"/>
        </w:trPr>
        <w:tc>
          <w:tcPr>
            <w:tcW w:w="791" w:type="dxa"/>
            <w:vMerge/>
            <w:tcBorders>
              <w:top w:val="single" w:sz="4" w:space="0" w:color="auto"/>
              <w:left w:val="single" w:sz="4" w:space="0" w:color="auto"/>
              <w:bottom w:val="single" w:sz="4" w:space="0" w:color="auto"/>
              <w:right w:val="single" w:sz="4" w:space="0" w:color="auto"/>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42" w:type="dxa"/>
            <w:gridSpan w:val="2"/>
            <w:vMerge/>
            <w:tcBorders>
              <w:top w:val="single" w:sz="4" w:space="0" w:color="auto"/>
              <w:left w:val="single" w:sz="4" w:space="0" w:color="auto"/>
              <w:bottom w:val="single" w:sz="4" w:space="0" w:color="auto"/>
              <w:right w:val="single" w:sz="4" w:space="0" w:color="auto"/>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(19.217+3.343)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2%=0.451 </w:t>
            </w:r>
          </w:p>
        </w:tc>
        <w:tc>
          <w:tcPr>
            <w:tcW w:w="129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50"/>
        </w:trPr>
        <w:tc>
          <w:tcPr>
            <w:tcW w:w="791" w:type="dxa"/>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(7) </w:t>
            </w:r>
          </w:p>
        </w:tc>
        <w:tc>
          <w:tcPr>
            <w:tcW w:w="2842" w:type="dxa"/>
            <w:gridSpan w:val="2"/>
            <w:vMerge w:val="restart"/>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住房公积金</w:t>
            </w:r>
            <w:r>
              <w:rPr>
                <w:rFonts w:ascii="宋体" w:hAnsiTheme="minorHAnsi" w:cs="宋体"/>
                <w:color w:val="000000"/>
                <w:kern w:val="0"/>
                <w:sz w:val="20"/>
                <w:szCs w:val="20"/>
              </w:rPr>
              <w:t>(</w:t>
            </w:r>
            <w:r>
              <w:rPr>
                <w:rFonts w:ascii="宋体" w:hAnsiTheme="minorHAnsi" w:cs="宋体" w:hint="eastAsia"/>
                <w:color w:val="000000"/>
                <w:kern w:val="0"/>
                <w:sz w:val="20"/>
                <w:szCs w:val="20"/>
              </w:rPr>
              <w:t>元</w:t>
            </w:r>
            <w:r>
              <w:rPr>
                <w:rFonts w:ascii="宋体" w:hAnsiTheme="minorHAnsi" w:cs="宋体"/>
                <w:color w:val="000000"/>
                <w:kern w:val="0"/>
                <w:sz w:val="20"/>
                <w:szCs w:val="20"/>
              </w:rPr>
              <w:t>/</w:t>
            </w:r>
            <w:r>
              <w:rPr>
                <w:rFonts w:ascii="宋体" w:hAnsiTheme="minorHAnsi" w:cs="宋体" w:hint="eastAsia"/>
                <w:color w:val="000000"/>
                <w:kern w:val="0"/>
                <w:sz w:val="20"/>
                <w:szCs w:val="20"/>
              </w:rPr>
              <w:t>工日</w:t>
            </w:r>
            <w:r>
              <w:rPr>
                <w:rFonts w:ascii="宋体" w:hAnsiTheme="minorHAnsi" w:cs="宋体"/>
                <w:color w:val="000000"/>
                <w:kern w:val="0"/>
                <w:sz w:val="20"/>
                <w:szCs w:val="20"/>
              </w:rPr>
              <w:t>)</w:t>
            </w: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(22.608+6.553)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5%=1.458 </w:t>
            </w:r>
          </w:p>
        </w:tc>
        <w:tc>
          <w:tcPr>
            <w:tcW w:w="129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r>
      <w:tr w:rsidR="009C5C1F">
        <w:trPr>
          <w:trHeight w:val="350"/>
        </w:trPr>
        <w:tc>
          <w:tcPr>
            <w:tcW w:w="791" w:type="dxa"/>
            <w:vMerge/>
            <w:tcBorders>
              <w:top w:val="single" w:sz="4" w:space="0" w:color="auto"/>
              <w:left w:val="single" w:sz="4" w:space="0" w:color="auto"/>
              <w:bottom w:val="single" w:sz="4" w:space="0" w:color="auto"/>
              <w:right w:val="single" w:sz="4" w:space="0" w:color="auto"/>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2842" w:type="dxa"/>
            <w:gridSpan w:val="2"/>
            <w:vMerge/>
            <w:tcBorders>
              <w:top w:val="single" w:sz="4" w:space="0" w:color="auto"/>
              <w:left w:val="single" w:sz="4" w:space="0" w:color="auto"/>
              <w:bottom w:val="single" w:sz="4" w:space="0" w:color="auto"/>
              <w:right w:val="single" w:sz="4" w:space="0" w:color="auto"/>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(19.217+3.343)</w:t>
            </w:r>
            <w:r>
              <w:rPr>
                <w:rFonts w:ascii="宋体" w:hAnsiTheme="minorHAnsi" w:cs="宋体" w:hint="eastAsia"/>
                <w:color w:val="000000"/>
                <w:kern w:val="0"/>
                <w:sz w:val="20"/>
                <w:szCs w:val="20"/>
              </w:rPr>
              <w:t>×</w:t>
            </w:r>
            <w:r>
              <w:rPr>
                <w:rFonts w:ascii="宋体" w:hAnsiTheme="minorHAnsi" w:cs="宋体"/>
                <w:color w:val="000000"/>
                <w:kern w:val="0"/>
                <w:sz w:val="20"/>
                <w:szCs w:val="20"/>
              </w:rPr>
              <w:t xml:space="preserve">5%=1.128 </w:t>
            </w:r>
          </w:p>
        </w:tc>
        <w:tc>
          <w:tcPr>
            <w:tcW w:w="129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r>
      <w:tr w:rsidR="009C5C1F">
        <w:trPr>
          <w:trHeight w:val="350"/>
        </w:trPr>
        <w:tc>
          <w:tcPr>
            <w:tcW w:w="791" w:type="dxa"/>
            <w:tcBorders>
              <w:top w:val="single" w:sz="4" w:space="0" w:color="auto"/>
              <w:left w:val="single" w:sz="4" w:space="0" w:color="auto"/>
              <w:bottom w:val="single" w:sz="4" w:space="0" w:color="auto"/>
              <w:right w:val="single" w:sz="4" w:space="0" w:color="auto"/>
            </w:tcBorders>
          </w:tcPr>
          <w:p w:rsidR="009C5C1F" w:rsidRDefault="009C5C1F">
            <w:pPr>
              <w:autoSpaceDE w:val="0"/>
              <w:autoSpaceDN w:val="0"/>
              <w:adjustRightInd w:val="0"/>
              <w:jc w:val="center"/>
              <w:rPr>
                <w:rFonts w:ascii="黑体" w:eastAsia="黑体" w:hAnsiTheme="minorHAnsi" w:cstheme="minorBidi"/>
                <w:kern w:val="0"/>
                <w:sz w:val="24"/>
              </w:rPr>
            </w:pPr>
          </w:p>
        </w:tc>
        <w:tc>
          <w:tcPr>
            <w:tcW w:w="2842" w:type="dxa"/>
            <w:gridSpan w:val="2"/>
            <w:tcBorders>
              <w:top w:val="single" w:sz="4" w:space="0" w:color="auto"/>
              <w:left w:val="single" w:sz="4" w:space="0" w:color="auto"/>
              <w:bottom w:val="single" w:sz="4" w:space="0" w:color="auto"/>
              <w:right w:val="single" w:sz="4" w:space="0" w:color="auto"/>
            </w:tcBorders>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人工费单价</w:t>
            </w:r>
          </w:p>
        </w:tc>
        <w:tc>
          <w:tcPr>
            <w:tcW w:w="1295" w:type="dxa"/>
            <w:tcBorders>
              <w:top w:val="single" w:sz="4" w:space="0" w:color="auto"/>
              <w:left w:val="single" w:sz="4" w:space="0" w:color="auto"/>
              <w:bottom w:val="single" w:sz="4" w:space="0" w:color="auto"/>
              <w:right w:val="single" w:sz="4" w:space="0" w:color="auto"/>
            </w:tcBorders>
          </w:tcPr>
          <w:p w:rsidR="009C5C1F" w:rsidRDefault="009C5C1F">
            <w:pPr>
              <w:autoSpaceDE w:val="0"/>
              <w:autoSpaceDN w:val="0"/>
              <w:adjustRightInd w:val="0"/>
              <w:jc w:val="center"/>
              <w:rPr>
                <w:rFonts w:ascii="黑体" w:eastAsia="黑体" w:hAnsiTheme="minorHAnsi" w:cstheme="minorBidi"/>
                <w:kern w:val="0"/>
                <w:sz w:val="24"/>
              </w:rPr>
            </w:pPr>
          </w:p>
        </w:tc>
      </w:tr>
      <w:tr w:rsidR="009C5C1F">
        <w:trPr>
          <w:trHeight w:val="348"/>
        </w:trPr>
        <w:tc>
          <w:tcPr>
            <w:tcW w:w="791" w:type="dxa"/>
            <w:tcBorders>
              <w:top w:val="single" w:sz="4" w:space="0" w:color="auto"/>
              <w:left w:val="single" w:sz="4" w:space="0" w:color="auto"/>
              <w:bottom w:val="single" w:sz="4" w:space="0" w:color="auto"/>
              <w:right w:val="single" w:sz="4" w:space="0" w:color="auto"/>
            </w:tcBorders>
          </w:tcPr>
          <w:p w:rsidR="009C5C1F" w:rsidRDefault="009C5C1F">
            <w:pPr>
              <w:autoSpaceDE w:val="0"/>
              <w:autoSpaceDN w:val="0"/>
              <w:adjustRightInd w:val="0"/>
              <w:jc w:val="center"/>
              <w:rPr>
                <w:rFonts w:ascii="黑体" w:eastAsia="黑体" w:hAnsiTheme="minorHAnsi" w:cstheme="minorBidi"/>
                <w:kern w:val="0"/>
                <w:sz w:val="24"/>
              </w:rPr>
            </w:pPr>
          </w:p>
        </w:tc>
        <w:tc>
          <w:tcPr>
            <w:tcW w:w="2011"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甲类</w:t>
            </w:r>
          </w:p>
        </w:tc>
        <w:tc>
          <w:tcPr>
            <w:tcW w:w="831" w:type="dxa"/>
            <w:tcBorders>
              <w:top w:val="single" w:sz="4" w:space="0" w:color="auto"/>
              <w:left w:val="single" w:sz="4" w:space="0" w:color="auto"/>
              <w:bottom w:val="single" w:sz="4" w:space="0" w:color="auto"/>
              <w:right w:val="single" w:sz="4" w:space="0" w:color="auto"/>
            </w:tcBorders>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22.608+6.553+14.143=43.304 </w:t>
            </w:r>
          </w:p>
        </w:tc>
        <w:tc>
          <w:tcPr>
            <w:tcW w:w="1295" w:type="dxa"/>
            <w:tcBorders>
              <w:top w:val="single" w:sz="4" w:space="0" w:color="auto"/>
              <w:left w:val="single" w:sz="4" w:space="0" w:color="auto"/>
              <w:bottom w:val="single" w:sz="4" w:space="0" w:color="auto"/>
              <w:right w:val="single" w:sz="4" w:space="0" w:color="auto"/>
            </w:tcBorders>
          </w:tcPr>
          <w:p w:rsidR="009C5C1F" w:rsidRDefault="009C5C1F">
            <w:pPr>
              <w:autoSpaceDE w:val="0"/>
              <w:autoSpaceDN w:val="0"/>
              <w:adjustRightInd w:val="0"/>
              <w:jc w:val="left"/>
              <w:rPr>
                <w:rFonts w:ascii="黑体" w:eastAsia="黑体" w:hAnsiTheme="minorHAnsi" w:cstheme="minorBidi"/>
                <w:kern w:val="0"/>
                <w:sz w:val="24"/>
              </w:rPr>
            </w:pPr>
          </w:p>
        </w:tc>
      </w:tr>
      <w:tr w:rsidR="009C5C1F">
        <w:trPr>
          <w:trHeight w:val="338"/>
        </w:trPr>
        <w:tc>
          <w:tcPr>
            <w:tcW w:w="791" w:type="dxa"/>
            <w:tcBorders>
              <w:top w:val="single" w:sz="4" w:space="0" w:color="auto"/>
              <w:left w:val="single" w:sz="4" w:space="0" w:color="auto"/>
              <w:bottom w:val="single" w:sz="4" w:space="0" w:color="auto"/>
              <w:right w:val="single" w:sz="4" w:space="0" w:color="auto"/>
            </w:tcBorders>
          </w:tcPr>
          <w:p w:rsidR="009C5C1F" w:rsidRDefault="009C5C1F">
            <w:pPr>
              <w:autoSpaceDE w:val="0"/>
              <w:autoSpaceDN w:val="0"/>
              <w:adjustRightInd w:val="0"/>
              <w:jc w:val="center"/>
              <w:rPr>
                <w:rFonts w:ascii="黑体" w:eastAsia="黑体" w:hAnsiTheme="minorHAnsi" w:cstheme="minorBidi"/>
                <w:kern w:val="0"/>
                <w:sz w:val="24"/>
              </w:rPr>
            </w:pPr>
          </w:p>
        </w:tc>
        <w:tc>
          <w:tcPr>
            <w:tcW w:w="2011"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乙类</w:t>
            </w:r>
          </w:p>
        </w:tc>
        <w:tc>
          <w:tcPr>
            <w:tcW w:w="831" w:type="dxa"/>
            <w:tcBorders>
              <w:top w:val="single" w:sz="4" w:space="0" w:color="auto"/>
              <w:left w:val="single" w:sz="4" w:space="0" w:color="auto"/>
              <w:bottom w:val="single" w:sz="4" w:space="0" w:color="auto"/>
              <w:right w:val="single" w:sz="4" w:space="0" w:color="auto"/>
            </w:tcBorders>
          </w:tcPr>
          <w:p w:rsidR="009C5C1F" w:rsidRDefault="009C5C1F">
            <w:pPr>
              <w:autoSpaceDE w:val="0"/>
              <w:autoSpaceDN w:val="0"/>
              <w:adjustRightInd w:val="0"/>
              <w:jc w:val="center"/>
              <w:rPr>
                <w:rFonts w:ascii="黑体" w:eastAsia="黑体" w:hAnsiTheme="minorHAnsi" w:cstheme="minorBidi"/>
                <w:kern w:val="0"/>
                <w:sz w:val="24"/>
              </w:rPr>
            </w:pPr>
          </w:p>
        </w:tc>
        <w:tc>
          <w:tcPr>
            <w:tcW w:w="4045" w:type="dxa"/>
            <w:tcBorders>
              <w:top w:val="single" w:sz="4" w:space="0" w:color="auto"/>
              <w:left w:val="single" w:sz="4" w:space="0" w:color="auto"/>
              <w:bottom w:val="single" w:sz="4" w:space="0" w:color="auto"/>
              <w:right w:val="single" w:sz="4" w:space="0" w:color="auto"/>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19.217+3.343+10.942=33.502 </w:t>
            </w:r>
          </w:p>
        </w:tc>
        <w:tc>
          <w:tcPr>
            <w:tcW w:w="1295" w:type="dxa"/>
            <w:tcBorders>
              <w:top w:val="single" w:sz="4" w:space="0" w:color="auto"/>
              <w:left w:val="single" w:sz="4" w:space="0" w:color="auto"/>
              <w:bottom w:val="single" w:sz="4" w:space="0" w:color="auto"/>
              <w:right w:val="single" w:sz="4" w:space="0" w:color="auto"/>
            </w:tcBorders>
          </w:tcPr>
          <w:p w:rsidR="009C5C1F" w:rsidRDefault="009C5C1F">
            <w:pPr>
              <w:autoSpaceDE w:val="0"/>
              <w:autoSpaceDN w:val="0"/>
              <w:adjustRightInd w:val="0"/>
              <w:jc w:val="left"/>
              <w:rPr>
                <w:rFonts w:ascii="黑体" w:eastAsia="黑体" w:hAnsiTheme="minorHAnsi" w:cstheme="minorBidi"/>
                <w:kern w:val="0"/>
                <w:sz w:val="24"/>
              </w:rPr>
            </w:pPr>
          </w:p>
        </w:tc>
      </w:tr>
    </w:tbl>
    <w:p w:rsidR="009C5C1F" w:rsidRDefault="009C5C1F">
      <w:pPr>
        <w:suppressAutoHyphens/>
        <w:wordWrap w:val="0"/>
        <w:topLinePunct/>
        <w:spacing w:line="480" w:lineRule="exact"/>
        <w:ind w:firstLineChars="200" w:firstLine="480"/>
        <w:rPr>
          <w:sz w:val="24"/>
        </w:rPr>
      </w:pPr>
    </w:p>
    <w:p w:rsidR="009C5C1F" w:rsidRDefault="004D2E0D">
      <w:pPr>
        <w:suppressAutoHyphens/>
        <w:wordWrap w:val="0"/>
        <w:topLinePunct/>
        <w:spacing w:line="480" w:lineRule="exact"/>
        <w:ind w:firstLineChars="200" w:firstLine="480"/>
        <w:rPr>
          <w:sz w:val="24"/>
        </w:rPr>
      </w:pPr>
      <w:r>
        <w:rPr>
          <w:sz w:val="24"/>
        </w:rPr>
        <w:fldChar w:fldCharType="begin"/>
      </w:r>
      <w:r>
        <w:rPr>
          <w:sz w:val="24"/>
        </w:rPr>
        <w:instrText xml:space="preserve"> = 2 \* GB3 </w:instrText>
      </w:r>
      <w:r>
        <w:rPr>
          <w:sz w:val="24"/>
        </w:rPr>
        <w:fldChar w:fldCharType="separate"/>
      </w:r>
      <w:r>
        <w:rPr>
          <w:rFonts w:hint="eastAsia"/>
          <w:sz w:val="24"/>
        </w:rPr>
        <w:t>②</w:t>
      </w:r>
      <w:r>
        <w:rPr>
          <w:sz w:val="24"/>
        </w:rPr>
        <w:fldChar w:fldCharType="end"/>
      </w:r>
      <w:r>
        <w:rPr>
          <w:sz w:val="24"/>
        </w:rPr>
        <w:t>措施费</w:t>
      </w:r>
      <w:r>
        <w:rPr>
          <w:rFonts w:hint="eastAsia"/>
          <w:sz w:val="24"/>
        </w:rPr>
        <w:t>：</w:t>
      </w:r>
      <w:r>
        <w:rPr>
          <w:sz w:val="24"/>
        </w:rPr>
        <w:t>措施费</w:t>
      </w:r>
      <w:r>
        <w:rPr>
          <w:sz w:val="24"/>
        </w:rPr>
        <w:t>=</w:t>
      </w:r>
      <w:r>
        <w:rPr>
          <w:sz w:val="24"/>
        </w:rPr>
        <w:t>直接工程费</w:t>
      </w:r>
      <w:r>
        <w:rPr>
          <w:sz w:val="24"/>
        </w:rPr>
        <w:t>×</w:t>
      </w:r>
      <w:r>
        <w:rPr>
          <w:sz w:val="24"/>
        </w:rPr>
        <w:t>措施费率</w:t>
      </w:r>
      <w:r>
        <w:rPr>
          <w:rFonts w:hint="eastAsia"/>
          <w:sz w:val="24"/>
        </w:rPr>
        <w:t>；</w:t>
      </w:r>
      <w:r>
        <w:rPr>
          <w:sz w:val="24"/>
        </w:rPr>
        <w:t>包括临时设施费、冬雨季施工增加费、施工辅助费</w:t>
      </w:r>
      <w:r>
        <w:rPr>
          <w:rFonts w:hint="eastAsia"/>
          <w:sz w:val="24"/>
        </w:rPr>
        <w:t>、</w:t>
      </w:r>
      <w:r>
        <w:rPr>
          <w:sz w:val="24"/>
        </w:rPr>
        <w:t>特殊地区施工增加费、安全施工措施费。临时设施费率见表</w:t>
      </w:r>
      <w:r>
        <w:rPr>
          <w:sz w:val="24"/>
        </w:rPr>
        <w:t>7-8</w:t>
      </w:r>
      <w:r>
        <w:rPr>
          <w:sz w:val="24"/>
        </w:rPr>
        <w:t>。</w:t>
      </w:r>
    </w:p>
    <w:p w:rsidR="009C5C1F" w:rsidRDefault="004D2E0D">
      <w:pPr>
        <w:suppressAutoHyphens/>
        <w:wordWrap w:val="0"/>
        <w:topLinePunct/>
        <w:spacing w:beforeLines="50" w:before="180" w:afterLines="50" w:after="180"/>
        <w:jc w:val="center"/>
        <w:rPr>
          <w:b/>
          <w:bCs/>
          <w:sz w:val="24"/>
        </w:rPr>
      </w:pPr>
      <w:r>
        <w:rPr>
          <w:rFonts w:hint="eastAsia"/>
          <w:b/>
          <w:bCs/>
          <w:sz w:val="24"/>
        </w:rPr>
        <w:t xml:space="preserve"> </w:t>
      </w:r>
      <w:r>
        <w:rPr>
          <w:rFonts w:hint="eastAsia"/>
          <w:b/>
          <w:bCs/>
          <w:sz w:val="24"/>
        </w:rPr>
        <w:t>表</w:t>
      </w:r>
      <w:r>
        <w:rPr>
          <w:b/>
          <w:bCs/>
          <w:sz w:val="24"/>
        </w:rPr>
        <w:t>7</w:t>
      </w:r>
      <w:r>
        <w:rPr>
          <w:rFonts w:hint="eastAsia"/>
          <w:b/>
          <w:bCs/>
          <w:sz w:val="24"/>
        </w:rPr>
        <w:t>—</w:t>
      </w:r>
      <w:r>
        <w:rPr>
          <w:b/>
          <w:bCs/>
          <w:sz w:val="24"/>
        </w:rPr>
        <w:t xml:space="preserve">8             </w:t>
      </w:r>
      <w:r>
        <w:rPr>
          <w:rFonts w:hint="eastAsia"/>
          <w:b/>
          <w:bCs/>
          <w:sz w:val="24"/>
        </w:rPr>
        <w:t xml:space="preserve"> </w:t>
      </w:r>
      <w:r>
        <w:rPr>
          <w:b/>
          <w:bCs/>
          <w:sz w:val="24"/>
        </w:rPr>
        <w:t>临时设施费费率表</w:t>
      </w:r>
    </w:p>
    <w:tbl>
      <w:tblPr>
        <w:tblW w:w="8352" w:type="dxa"/>
        <w:jc w:val="center"/>
        <w:tblLook w:val="04A0" w:firstRow="1" w:lastRow="0" w:firstColumn="1" w:lastColumn="0" w:noHBand="0" w:noVBand="1"/>
      </w:tblPr>
      <w:tblGrid>
        <w:gridCol w:w="1033"/>
        <w:gridCol w:w="2253"/>
        <w:gridCol w:w="2717"/>
        <w:gridCol w:w="2349"/>
      </w:tblGrid>
      <w:tr w:rsidR="009C5C1F">
        <w:trPr>
          <w:trHeight w:val="464"/>
          <w:jc w:val="center"/>
        </w:trPr>
        <w:tc>
          <w:tcPr>
            <w:tcW w:w="1033" w:type="dxa"/>
            <w:tcBorders>
              <w:top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序号</w:t>
            </w:r>
          </w:p>
        </w:tc>
        <w:tc>
          <w:tcPr>
            <w:tcW w:w="2253"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工程类别</w:t>
            </w:r>
          </w:p>
        </w:tc>
        <w:tc>
          <w:tcPr>
            <w:tcW w:w="2717"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计算基础</w:t>
            </w:r>
          </w:p>
        </w:tc>
        <w:tc>
          <w:tcPr>
            <w:tcW w:w="2349" w:type="dxa"/>
            <w:tcBorders>
              <w:top w:val="single" w:sz="12" w:space="0" w:color="000000"/>
              <w:left w:val="single" w:sz="4" w:space="0" w:color="000000"/>
              <w:bottom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临时设施费率</w:t>
            </w:r>
            <w:r>
              <w:rPr>
                <w:rFonts w:ascii="宋体" w:hAnsiTheme="minorHAnsi" w:cs="宋体"/>
                <w:color w:val="000000"/>
                <w:kern w:val="0"/>
                <w:sz w:val="20"/>
                <w:szCs w:val="20"/>
              </w:rPr>
              <w:t>(% )</w:t>
            </w:r>
          </w:p>
        </w:tc>
      </w:tr>
      <w:tr w:rsidR="009C5C1F">
        <w:trPr>
          <w:trHeight w:val="347"/>
          <w:jc w:val="center"/>
        </w:trPr>
        <w:tc>
          <w:tcPr>
            <w:tcW w:w="1033" w:type="dxa"/>
            <w:tcBorders>
              <w:top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1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土方工程</w:t>
            </w:r>
          </w:p>
        </w:tc>
        <w:tc>
          <w:tcPr>
            <w:tcW w:w="271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直接工程费</w:t>
            </w:r>
          </w:p>
        </w:tc>
        <w:tc>
          <w:tcPr>
            <w:tcW w:w="2349" w:type="dxa"/>
            <w:tcBorders>
              <w:top w:val="single" w:sz="4" w:space="0" w:color="000000"/>
              <w:left w:val="single" w:sz="4" w:space="0" w:color="000000"/>
              <w:bottom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2 </w:t>
            </w:r>
          </w:p>
        </w:tc>
      </w:tr>
      <w:tr w:rsidR="009C5C1F">
        <w:trPr>
          <w:trHeight w:val="349"/>
          <w:jc w:val="center"/>
        </w:trPr>
        <w:tc>
          <w:tcPr>
            <w:tcW w:w="1033" w:type="dxa"/>
            <w:tcBorders>
              <w:top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2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石方工程</w:t>
            </w:r>
          </w:p>
        </w:tc>
        <w:tc>
          <w:tcPr>
            <w:tcW w:w="271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直接工程费</w:t>
            </w:r>
          </w:p>
        </w:tc>
        <w:tc>
          <w:tcPr>
            <w:tcW w:w="2349" w:type="dxa"/>
            <w:tcBorders>
              <w:top w:val="single" w:sz="4" w:space="0" w:color="000000"/>
              <w:left w:val="single" w:sz="4" w:space="0" w:color="000000"/>
              <w:bottom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2 </w:t>
            </w:r>
          </w:p>
        </w:tc>
      </w:tr>
      <w:tr w:rsidR="009C5C1F">
        <w:trPr>
          <w:trHeight w:val="349"/>
          <w:jc w:val="center"/>
        </w:trPr>
        <w:tc>
          <w:tcPr>
            <w:tcW w:w="1033" w:type="dxa"/>
            <w:tcBorders>
              <w:top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3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砌体工程</w:t>
            </w:r>
          </w:p>
        </w:tc>
        <w:tc>
          <w:tcPr>
            <w:tcW w:w="271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直接工程费</w:t>
            </w:r>
          </w:p>
        </w:tc>
        <w:tc>
          <w:tcPr>
            <w:tcW w:w="2349" w:type="dxa"/>
            <w:tcBorders>
              <w:top w:val="single" w:sz="4" w:space="0" w:color="000000"/>
              <w:left w:val="single" w:sz="4" w:space="0" w:color="000000"/>
              <w:bottom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2 </w:t>
            </w:r>
          </w:p>
        </w:tc>
      </w:tr>
      <w:tr w:rsidR="009C5C1F">
        <w:trPr>
          <w:trHeight w:val="349"/>
          <w:jc w:val="center"/>
        </w:trPr>
        <w:tc>
          <w:tcPr>
            <w:tcW w:w="1033" w:type="dxa"/>
            <w:tcBorders>
              <w:top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4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混凝土工程</w:t>
            </w:r>
          </w:p>
        </w:tc>
        <w:tc>
          <w:tcPr>
            <w:tcW w:w="271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直接工程费</w:t>
            </w:r>
          </w:p>
        </w:tc>
        <w:tc>
          <w:tcPr>
            <w:tcW w:w="2349" w:type="dxa"/>
            <w:tcBorders>
              <w:top w:val="single" w:sz="4" w:space="0" w:color="000000"/>
              <w:left w:val="single" w:sz="4" w:space="0" w:color="000000"/>
              <w:bottom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3 </w:t>
            </w:r>
          </w:p>
        </w:tc>
      </w:tr>
      <w:tr w:rsidR="009C5C1F">
        <w:trPr>
          <w:trHeight w:val="349"/>
          <w:jc w:val="center"/>
        </w:trPr>
        <w:tc>
          <w:tcPr>
            <w:tcW w:w="1033" w:type="dxa"/>
            <w:tcBorders>
              <w:top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5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农用井工程</w:t>
            </w:r>
          </w:p>
        </w:tc>
        <w:tc>
          <w:tcPr>
            <w:tcW w:w="271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直接工程费</w:t>
            </w:r>
          </w:p>
        </w:tc>
        <w:tc>
          <w:tcPr>
            <w:tcW w:w="2349" w:type="dxa"/>
            <w:tcBorders>
              <w:top w:val="single" w:sz="4" w:space="0" w:color="000000"/>
              <w:left w:val="single" w:sz="4" w:space="0" w:color="000000"/>
              <w:bottom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3 </w:t>
            </w:r>
          </w:p>
        </w:tc>
      </w:tr>
      <w:tr w:rsidR="009C5C1F">
        <w:trPr>
          <w:trHeight w:val="349"/>
          <w:jc w:val="center"/>
        </w:trPr>
        <w:tc>
          <w:tcPr>
            <w:tcW w:w="1033" w:type="dxa"/>
            <w:tcBorders>
              <w:top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6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其他工程</w:t>
            </w:r>
          </w:p>
        </w:tc>
        <w:tc>
          <w:tcPr>
            <w:tcW w:w="271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直接工程费</w:t>
            </w:r>
          </w:p>
        </w:tc>
        <w:tc>
          <w:tcPr>
            <w:tcW w:w="2349" w:type="dxa"/>
            <w:tcBorders>
              <w:top w:val="single" w:sz="4" w:space="0" w:color="000000"/>
              <w:left w:val="single" w:sz="4" w:space="0" w:color="000000"/>
              <w:bottom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2 </w:t>
            </w:r>
          </w:p>
        </w:tc>
      </w:tr>
      <w:tr w:rsidR="009C5C1F">
        <w:trPr>
          <w:trHeight w:val="347"/>
          <w:jc w:val="center"/>
        </w:trPr>
        <w:tc>
          <w:tcPr>
            <w:tcW w:w="1033" w:type="dxa"/>
            <w:tcBorders>
              <w:top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7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安装工程</w:t>
            </w:r>
          </w:p>
        </w:tc>
        <w:tc>
          <w:tcPr>
            <w:tcW w:w="271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直接工程费</w:t>
            </w:r>
          </w:p>
        </w:tc>
        <w:tc>
          <w:tcPr>
            <w:tcW w:w="2349" w:type="dxa"/>
            <w:tcBorders>
              <w:top w:val="single" w:sz="4" w:space="0" w:color="000000"/>
              <w:left w:val="single" w:sz="4" w:space="0" w:color="000000"/>
              <w:bottom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3 </w:t>
            </w:r>
          </w:p>
        </w:tc>
      </w:tr>
      <w:tr w:rsidR="009C5C1F">
        <w:trPr>
          <w:trHeight w:val="623"/>
          <w:jc w:val="center"/>
        </w:trPr>
        <w:tc>
          <w:tcPr>
            <w:tcW w:w="8352" w:type="dxa"/>
            <w:gridSpan w:val="4"/>
            <w:tcBorders>
              <w:top w:val="single" w:sz="4" w:space="0" w:color="000000"/>
              <w:bottom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注：①其他工程：指除上述工程以外的工程，如防渗、架线工程及</w:t>
            </w:r>
            <w:r>
              <w:rPr>
                <w:rFonts w:ascii="宋体" w:hAnsiTheme="minorHAnsi" w:cs="宋体"/>
                <w:color w:val="000000"/>
                <w:kern w:val="0"/>
                <w:sz w:val="20"/>
                <w:szCs w:val="20"/>
              </w:rPr>
              <w:t>PVC</w:t>
            </w:r>
            <w:r>
              <w:rPr>
                <w:rFonts w:ascii="宋体" w:hAnsiTheme="minorHAnsi" w:cs="宋体" w:hint="eastAsia"/>
                <w:color w:val="000000"/>
                <w:kern w:val="0"/>
                <w:sz w:val="20"/>
                <w:szCs w:val="20"/>
              </w:rPr>
              <w:t>管、混凝土管安装等；②安装工程：包括设备及金属结构件</w:t>
            </w:r>
            <w:r>
              <w:rPr>
                <w:rFonts w:ascii="宋体" w:hAnsiTheme="minorHAnsi" w:cs="宋体"/>
                <w:color w:val="000000"/>
                <w:kern w:val="0"/>
                <w:sz w:val="20"/>
                <w:szCs w:val="20"/>
              </w:rPr>
              <w:t>(</w:t>
            </w:r>
            <w:r>
              <w:rPr>
                <w:rFonts w:ascii="宋体" w:hAnsiTheme="minorHAnsi" w:cs="宋体" w:hint="eastAsia"/>
                <w:color w:val="000000"/>
                <w:kern w:val="0"/>
                <w:sz w:val="20"/>
                <w:szCs w:val="20"/>
              </w:rPr>
              <w:t>钢管、铸铁管等</w:t>
            </w:r>
            <w:r>
              <w:rPr>
                <w:rFonts w:ascii="宋体" w:hAnsiTheme="minorHAnsi" w:cs="宋体"/>
                <w:color w:val="000000"/>
                <w:kern w:val="0"/>
                <w:sz w:val="20"/>
                <w:szCs w:val="20"/>
              </w:rPr>
              <w:t>)</w:t>
            </w:r>
            <w:r>
              <w:rPr>
                <w:rFonts w:ascii="宋体" w:hAnsiTheme="minorHAnsi" w:cs="宋体" w:hint="eastAsia"/>
                <w:color w:val="000000"/>
                <w:kern w:val="0"/>
                <w:sz w:val="20"/>
                <w:szCs w:val="20"/>
              </w:rPr>
              <w:t>安装工程等。</w:t>
            </w:r>
          </w:p>
        </w:tc>
      </w:tr>
    </w:tbl>
    <w:p w:rsidR="009C5C1F" w:rsidRDefault="004D2E0D">
      <w:pPr>
        <w:suppressAutoHyphens/>
        <w:wordWrap w:val="0"/>
        <w:topLinePunct/>
        <w:spacing w:line="480" w:lineRule="exact"/>
        <w:ind w:firstLineChars="200" w:firstLine="480"/>
        <w:rPr>
          <w:sz w:val="24"/>
        </w:rPr>
      </w:pPr>
      <w:r>
        <w:rPr>
          <w:sz w:val="24"/>
        </w:rPr>
        <w:t>冬雨季施工增加费按</w:t>
      </w:r>
      <w:r>
        <w:rPr>
          <w:sz w:val="24"/>
        </w:rPr>
        <w:t>1.5%</w:t>
      </w:r>
      <w:r>
        <w:rPr>
          <w:sz w:val="24"/>
        </w:rPr>
        <w:t>计取。夜间施工增加费，安装工程按</w:t>
      </w:r>
      <w:r>
        <w:rPr>
          <w:sz w:val="24"/>
        </w:rPr>
        <w:t>0.5%</w:t>
      </w:r>
      <w:r>
        <w:rPr>
          <w:sz w:val="24"/>
        </w:rPr>
        <w:t>计取，建筑工程按</w:t>
      </w:r>
      <w:r>
        <w:rPr>
          <w:sz w:val="24"/>
        </w:rPr>
        <w:t>0.2%</w:t>
      </w:r>
      <w:r>
        <w:rPr>
          <w:sz w:val="24"/>
        </w:rPr>
        <w:t>计取。</w:t>
      </w:r>
      <w:r>
        <w:rPr>
          <w:rFonts w:hint="eastAsia"/>
          <w:sz w:val="24"/>
        </w:rPr>
        <w:t>施工辅助费，安装工程按</w:t>
      </w:r>
      <w:r>
        <w:rPr>
          <w:sz w:val="24"/>
        </w:rPr>
        <w:t>1.0%</w:t>
      </w:r>
      <w:r>
        <w:rPr>
          <w:rFonts w:hint="eastAsia"/>
          <w:sz w:val="24"/>
        </w:rPr>
        <w:t>计取，建筑工程按</w:t>
      </w:r>
      <w:r>
        <w:rPr>
          <w:sz w:val="24"/>
        </w:rPr>
        <w:t>0.7%</w:t>
      </w:r>
      <w:r>
        <w:rPr>
          <w:rFonts w:hint="eastAsia"/>
          <w:sz w:val="24"/>
        </w:rPr>
        <w:t>计取。特殊地区施工增加费，按规定此项费用不计取。安全施工措施费，安装工程按</w:t>
      </w:r>
      <w:r>
        <w:rPr>
          <w:sz w:val="24"/>
        </w:rPr>
        <w:t>0.3%</w:t>
      </w:r>
      <w:r>
        <w:rPr>
          <w:rFonts w:hint="eastAsia"/>
          <w:sz w:val="24"/>
        </w:rPr>
        <w:t>计取，建筑工程按</w:t>
      </w:r>
      <w:r>
        <w:rPr>
          <w:sz w:val="24"/>
        </w:rPr>
        <w:t>0.2%</w:t>
      </w:r>
      <w:r>
        <w:rPr>
          <w:rFonts w:hint="eastAsia"/>
          <w:sz w:val="24"/>
        </w:rPr>
        <w:t>计取。</w:t>
      </w:r>
    </w:p>
    <w:p w:rsidR="009C5C1F" w:rsidRDefault="004D2E0D">
      <w:pPr>
        <w:suppressAutoHyphens/>
        <w:wordWrap w:val="0"/>
        <w:topLinePunct/>
        <w:spacing w:line="480" w:lineRule="exact"/>
        <w:ind w:firstLineChars="200" w:firstLine="480"/>
        <w:rPr>
          <w:sz w:val="24"/>
        </w:rPr>
      </w:pPr>
      <w:r>
        <w:rPr>
          <w:sz w:val="24"/>
        </w:rPr>
        <w:t>b</w:t>
      </w:r>
      <w:proofErr w:type="gramStart"/>
      <w:r>
        <w:rPr>
          <w:rFonts w:hint="eastAsia"/>
          <w:sz w:val="24"/>
        </w:rPr>
        <w:t>间接费间接费</w:t>
      </w:r>
      <w:proofErr w:type="gramEnd"/>
      <w:r>
        <w:rPr>
          <w:rFonts w:hint="eastAsia"/>
          <w:sz w:val="24"/>
        </w:rPr>
        <w:t>＝直接费</w:t>
      </w:r>
      <w:r>
        <w:rPr>
          <w:sz w:val="24"/>
        </w:rPr>
        <w:t>(</w:t>
      </w:r>
      <w:r>
        <w:rPr>
          <w:rFonts w:hint="eastAsia"/>
          <w:sz w:val="24"/>
        </w:rPr>
        <w:t>或人工费</w:t>
      </w:r>
      <w:r>
        <w:rPr>
          <w:sz w:val="24"/>
        </w:rPr>
        <w:t>)</w:t>
      </w:r>
      <w:r>
        <w:rPr>
          <w:rFonts w:hint="eastAsia"/>
          <w:sz w:val="24"/>
        </w:rPr>
        <w:t>×措施费率。根据不同工程类别，间接费费率见表</w:t>
      </w:r>
      <w:r>
        <w:rPr>
          <w:sz w:val="24"/>
        </w:rPr>
        <w:t>7-9</w:t>
      </w:r>
      <w:r>
        <w:rPr>
          <w:rFonts w:hint="eastAsia"/>
          <w:sz w:val="24"/>
        </w:rPr>
        <w:t>。</w:t>
      </w:r>
    </w:p>
    <w:p w:rsidR="009C5C1F" w:rsidRDefault="004D2E0D">
      <w:pPr>
        <w:suppressAutoHyphens/>
        <w:wordWrap w:val="0"/>
        <w:topLinePunct/>
        <w:spacing w:beforeLines="50" w:before="180" w:afterLines="50" w:after="180"/>
        <w:jc w:val="center"/>
        <w:rPr>
          <w:b/>
          <w:bCs/>
          <w:sz w:val="24"/>
        </w:rPr>
      </w:pPr>
      <w:r>
        <w:rPr>
          <w:rFonts w:hint="eastAsia"/>
          <w:b/>
          <w:bCs/>
          <w:sz w:val="24"/>
        </w:rPr>
        <w:t xml:space="preserve"> </w:t>
      </w:r>
      <w:r>
        <w:rPr>
          <w:rFonts w:hint="eastAsia"/>
          <w:b/>
          <w:bCs/>
          <w:sz w:val="24"/>
        </w:rPr>
        <w:t>间接费费率表</w:t>
      </w:r>
      <w:r>
        <w:rPr>
          <w:rFonts w:hint="eastAsia"/>
          <w:b/>
          <w:bCs/>
          <w:sz w:val="24"/>
        </w:rPr>
        <w:t xml:space="preserve">       </w:t>
      </w:r>
      <w:r>
        <w:rPr>
          <w:rFonts w:hint="eastAsia"/>
          <w:b/>
          <w:bCs/>
          <w:sz w:val="24"/>
        </w:rPr>
        <w:t>表</w:t>
      </w:r>
      <w:r>
        <w:rPr>
          <w:b/>
          <w:bCs/>
          <w:sz w:val="24"/>
        </w:rPr>
        <w:t>7-9</w:t>
      </w:r>
    </w:p>
    <w:tbl>
      <w:tblPr>
        <w:tblW w:w="8973" w:type="dxa"/>
        <w:tblLook w:val="04A0" w:firstRow="1" w:lastRow="0" w:firstColumn="1" w:lastColumn="0" w:noHBand="0" w:noVBand="1"/>
      </w:tblPr>
      <w:tblGrid>
        <w:gridCol w:w="890"/>
        <w:gridCol w:w="2585"/>
        <w:gridCol w:w="2955"/>
        <w:gridCol w:w="2543"/>
      </w:tblGrid>
      <w:tr w:rsidR="009C5C1F">
        <w:trPr>
          <w:trHeight w:val="408"/>
        </w:trPr>
        <w:tc>
          <w:tcPr>
            <w:tcW w:w="890" w:type="dxa"/>
            <w:tcBorders>
              <w:top w:val="single" w:sz="12"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序号</w:t>
            </w:r>
          </w:p>
        </w:tc>
        <w:tc>
          <w:tcPr>
            <w:tcW w:w="2585"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工程类别</w:t>
            </w:r>
          </w:p>
        </w:tc>
        <w:tc>
          <w:tcPr>
            <w:tcW w:w="2955"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计算基础</w:t>
            </w:r>
          </w:p>
        </w:tc>
        <w:tc>
          <w:tcPr>
            <w:tcW w:w="2543" w:type="dxa"/>
            <w:tcBorders>
              <w:top w:val="single" w:sz="12"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间接费费率</w:t>
            </w:r>
            <w:r>
              <w:rPr>
                <w:rFonts w:ascii="宋体" w:hAnsiTheme="minorHAnsi" w:cs="宋体"/>
                <w:color w:val="000000"/>
                <w:kern w:val="0"/>
                <w:sz w:val="20"/>
                <w:szCs w:val="20"/>
              </w:rPr>
              <w:t>(%)</w:t>
            </w:r>
          </w:p>
        </w:tc>
      </w:tr>
      <w:tr w:rsidR="009C5C1F">
        <w:trPr>
          <w:trHeight w:val="405"/>
        </w:trPr>
        <w:tc>
          <w:tcPr>
            <w:tcW w:w="890"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1 </w:t>
            </w:r>
          </w:p>
        </w:tc>
        <w:tc>
          <w:tcPr>
            <w:tcW w:w="258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土方工程</w:t>
            </w:r>
          </w:p>
        </w:tc>
        <w:tc>
          <w:tcPr>
            <w:tcW w:w="295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直接费</w:t>
            </w:r>
          </w:p>
        </w:tc>
        <w:tc>
          <w:tcPr>
            <w:tcW w:w="254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5 </w:t>
            </w:r>
          </w:p>
        </w:tc>
      </w:tr>
      <w:tr w:rsidR="009C5C1F">
        <w:trPr>
          <w:trHeight w:val="408"/>
        </w:trPr>
        <w:tc>
          <w:tcPr>
            <w:tcW w:w="890"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2 </w:t>
            </w:r>
          </w:p>
        </w:tc>
        <w:tc>
          <w:tcPr>
            <w:tcW w:w="258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石方工程</w:t>
            </w:r>
          </w:p>
        </w:tc>
        <w:tc>
          <w:tcPr>
            <w:tcW w:w="295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直接费</w:t>
            </w:r>
          </w:p>
        </w:tc>
        <w:tc>
          <w:tcPr>
            <w:tcW w:w="254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6 </w:t>
            </w:r>
          </w:p>
        </w:tc>
      </w:tr>
      <w:tr w:rsidR="009C5C1F">
        <w:trPr>
          <w:trHeight w:val="405"/>
        </w:trPr>
        <w:tc>
          <w:tcPr>
            <w:tcW w:w="890"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3 </w:t>
            </w:r>
          </w:p>
        </w:tc>
        <w:tc>
          <w:tcPr>
            <w:tcW w:w="258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砌体工程</w:t>
            </w:r>
          </w:p>
        </w:tc>
        <w:tc>
          <w:tcPr>
            <w:tcW w:w="295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直接费</w:t>
            </w:r>
          </w:p>
        </w:tc>
        <w:tc>
          <w:tcPr>
            <w:tcW w:w="254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5 </w:t>
            </w:r>
          </w:p>
        </w:tc>
      </w:tr>
      <w:tr w:rsidR="009C5C1F">
        <w:trPr>
          <w:trHeight w:val="408"/>
        </w:trPr>
        <w:tc>
          <w:tcPr>
            <w:tcW w:w="890"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4 </w:t>
            </w:r>
          </w:p>
        </w:tc>
        <w:tc>
          <w:tcPr>
            <w:tcW w:w="258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混凝土工程</w:t>
            </w:r>
          </w:p>
        </w:tc>
        <w:tc>
          <w:tcPr>
            <w:tcW w:w="295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直接费</w:t>
            </w:r>
          </w:p>
        </w:tc>
        <w:tc>
          <w:tcPr>
            <w:tcW w:w="254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6 </w:t>
            </w:r>
          </w:p>
        </w:tc>
      </w:tr>
      <w:tr w:rsidR="009C5C1F">
        <w:trPr>
          <w:trHeight w:val="408"/>
        </w:trPr>
        <w:tc>
          <w:tcPr>
            <w:tcW w:w="890"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5 </w:t>
            </w:r>
          </w:p>
        </w:tc>
        <w:tc>
          <w:tcPr>
            <w:tcW w:w="258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农用井工程</w:t>
            </w:r>
          </w:p>
        </w:tc>
        <w:tc>
          <w:tcPr>
            <w:tcW w:w="295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直接费</w:t>
            </w:r>
          </w:p>
        </w:tc>
        <w:tc>
          <w:tcPr>
            <w:tcW w:w="254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8 </w:t>
            </w:r>
          </w:p>
        </w:tc>
      </w:tr>
      <w:tr w:rsidR="009C5C1F">
        <w:trPr>
          <w:trHeight w:val="405"/>
        </w:trPr>
        <w:tc>
          <w:tcPr>
            <w:tcW w:w="890"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6 </w:t>
            </w:r>
          </w:p>
        </w:tc>
        <w:tc>
          <w:tcPr>
            <w:tcW w:w="258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其他工程</w:t>
            </w:r>
          </w:p>
        </w:tc>
        <w:tc>
          <w:tcPr>
            <w:tcW w:w="295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直接费</w:t>
            </w:r>
          </w:p>
        </w:tc>
        <w:tc>
          <w:tcPr>
            <w:tcW w:w="254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5 </w:t>
            </w:r>
          </w:p>
        </w:tc>
      </w:tr>
      <w:tr w:rsidR="009C5C1F">
        <w:trPr>
          <w:trHeight w:val="408"/>
        </w:trPr>
        <w:tc>
          <w:tcPr>
            <w:tcW w:w="890"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7 </w:t>
            </w:r>
          </w:p>
        </w:tc>
        <w:tc>
          <w:tcPr>
            <w:tcW w:w="258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水保工程</w:t>
            </w:r>
          </w:p>
        </w:tc>
        <w:tc>
          <w:tcPr>
            <w:tcW w:w="295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直接费</w:t>
            </w:r>
          </w:p>
        </w:tc>
        <w:tc>
          <w:tcPr>
            <w:tcW w:w="254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5 </w:t>
            </w:r>
          </w:p>
        </w:tc>
      </w:tr>
      <w:tr w:rsidR="009C5C1F">
        <w:trPr>
          <w:trHeight w:val="393"/>
        </w:trPr>
        <w:tc>
          <w:tcPr>
            <w:tcW w:w="890" w:type="dxa"/>
            <w:tcBorders>
              <w:top w:val="single" w:sz="4" w:space="0" w:color="000000"/>
              <w:left w:val="single" w:sz="12" w:space="0" w:color="000000"/>
              <w:bottom w:val="single" w:sz="12"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8 </w:t>
            </w:r>
          </w:p>
        </w:tc>
        <w:tc>
          <w:tcPr>
            <w:tcW w:w="2585" w:type="dxa"/>
            <w:tcBorders>
              <w:top w:val="single" w:sz="4" w:space="0" w:color="000000"/>
              <w:left w:val="single" w:sz="4" w:space="0" w:color="000000"/>
              <w:bottom w:val="single" w:sz="12"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安装工程</w:t>
            </w:r>
          </w:p>
        </w:tc>
        <w:tc>
          <w:tcPr>
            <w:tcW w:w="2955" w:type="dxa"/>
            <w:tcBorders>
              <w:top w:val="single" w:sz="4" w:space="0" w:color="000000"/>
              <w:left w:val="single" w:sz="4" w:space="0" w:color="000000"/>
              <w:bottom w:val="single" w:sz="12"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人工费</w:t>
            </w:r>
          </w:p>
        </w:tc>
        <w:tc>
          <w:tcPr>
            <w:tcW w:w="2543" w:type="dxa"/>
            <w:tcBorders>
              <w:top w:val="single" w:sz="4" w:space="0" w:color="000000"/>
              <w:left w:val="single" w:sz="4" w:space="0" w:color="000000"/>
              <w:bottom w:val="single" w:sz="12"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 xml:space="preserve">65 </w:t>
            </w:r>
          </w:p>
        </w:tc>
      </w:tr>
    </w:tbl>
    <w:p w:rsidR="009C5C1F" w:rsidRDefault="004D2E0D">
      <w:pPr>
        <w:suppressAutoHyphens/>
        <w:wordWrap w:val="0"/>
        <w:topLinePunct/>
        <w:spacing w:line="480" w:lineRule="exact"/>
        <w:ind w:firstLineChars="200" w:firstLine="480"/>
        <w:rPr>
          <w:sz w:val="24"/>
        </w:rPr>
      </w:pPr>
      <w:r>
        <w:rPr>
          <w:sz w:val="24"/>
        </w:rPr>
        <w:lastRenderedPageBreak/>
        <w:t>c</w:t>
      </w:r>
      <w:r>
        <w:rPr>
          <w:sz w:val="24"/>
        </w:rPr>
        <w:t>利润按直接费和间接费之和的</w:t>
      </w:r>
      <w:r>
        <w:rPr>
          <w:sz w:val="24"/>
        </w:rPr>
        <w:t>3%</w:t>
      </w:r>
      <w:r>
        <w:rPr>
          <w:sz w:val="24"/>
        </w:rPr>
        <w:t>计取。</w:t>
      </w:r>
      <w:r>
        <w:rPr>
          <w:sz w:val="24"/>
        </w:rPr>
        <w:t>d</w:t>
      </w:r>
      <w:r>
        <w:rPr>
          <w:sz w:val="24"/>
        </w:rPr>
        <w:t>税金按直接费、间接费、利润、材料价差、未计价材料费之和的</w:t>
      </w:r>
      <w:r>
        <w:rPr>
          <w:sz w:val="24"/>
        </w:rPr>
        <w:t>3.28%</w:t>
      </w:r>
      <w:r>
        <w:rPr>
          <w:sz w:val="24"/>
        </w:rPr>
        <w:t>计取。</w:t>
      </w:r>
    </w:p>
    <w:p w:rsidR="009C5C1F" w:rsidRDefault="004D2E0D">
      <w:pPr>
        <w:suppressAutoHyphens/>
        <w:wordWrap w:val="0"/>
        <w:topLinePunct/>
        <w:spacing w:line="480" w:lineRule="exact"/>
        <w:ind w:firstLineChars="200" w:firstLine="480"/>
        <w:rPr>
          <w:sz w:val="24"/>
        </w:rPr>
      </w:pPr>
      <w:r>
        <w:rPr>
          <w:sz w:val="24"/>
        </w:rPr>
        <w:t>②</w:t>
      </w:r>
      <w:r>
        <w:rPr>
          <w:sz w:val="24"/>
        </w:rPr>
        <w:t>设备购置费本次土地复垦项目无设备购置。</w:t>
      </w:r>
    </w:p>
    <w:p w:rsidR="009C5C1F" w:rsidRDefault="004D2E0D">
      <w:pPr>
        <w:suppressAutoHyphens/>
        <w:wordWrap w:val="0"/>
        <w:topLinePunct/>
        <w:spacing w:line="480" w:lineRule="exact"/>
        <w:ind w:firstLineChars="200" w:firstLine="480"/>
        <w:rPr>
          <w:sz w:val="24"/>
        </w:rPr>
      </w:pPr>
      <w:r>
        <w:rPr>
          <w:sz w:val="24"/>
        </w:rPr>
        <w:t>③</w:t>
      </w:r>
      <w:r>
        <w:rPr>
          <w:sz w:val="24"/>
        </w:rPr>
        <w:t>其它费用由前期工作费、工程监理费、竣工验收费、业主管理费、拆迁补偿费组成。</w:t>
      </w:r>
    </w:p>
    <w:p w:rsidR="009C5C1F" w:rsidRDefault="004D2E0D">
      <w:pPr>
        <w:suppressAutoHyphens/>
        <w:wordWrap w:val="0"/>
        <w:topLinePunct/>
        <w:spacing w:line="480" w:lineRule="exact"/>
        <w:ind w:firstLineChars="200" w:firstLine="480"/>
        <w:rPr>
          <w:sz w:val="24"/>
        </w:rPr>
      </w:pPr>
      <w:r>
        <w:rPr>
          <w:sz w:val="24"/>
        </w:rPr>
        <w:t>A.</w:t>
      </w:r>
      <w:r>
        <w:rPr>
          <w:sz w:val="24"/>
        </w:rPr>
        <w:t>前期工作费</w:t>
      </w:r>
    </w:p>
    <w:p w:rsidR="009C5C1F" w:rsidRDefault="004D2E0D">
      <w:pPr>
        <w:suppressAutoHyphens/>
        <w:wordWrap w:val="0"/>
        <w:topLinePunct/>
        <w:spacing w:line="480" w:lineRule="exact"/>
        <w:ind w:firstLineChars="200" w:firstLine="480"/>
        <w:rPr>
          <w:sz w:val="24"/>
        </w:rPr>
      </w:pPr>
      <w:r>
        <w:rPr>
          <w:sz w:val="24"/>
        </w:rPr>
        <w:t>前期工作费包括：土地利用与生态现状调查费、土地复垦方案编制费、土地勘测费、阶段性实施方案编制费、科研实验费和工程招标代理费。</w:t>
      </w:r>
    </w:p>
    <w:p w:rsidR="009C5C1F" w:rsidRDefault="004D2E0D">
      <w:pPr>
        <w:suppressAutoHyphens/>
        <w:wordWrap w:val="0"/>
        <w:topLinePunct/>
        <w:spacing w:line="480" w:lineRule="exact"/>
        <w:ind w:firstLineChars="200" w:firstLine="480"/>
        <w:rPr>
          <w:sz w:val="24"/>
        </w:rPr>
      </w:pPr>
      <w:r>
        <w:rPr>
          <w:sz w:val="24"/>
        </w:rPr>
        <w:t>a.</w:t>
      </w:r>
      <w:r>
        <w:rPr>
          <w:sz w:val="24"/>
        </w:rPr>
        <w:t>土地利用与生态现状调查费按工程施工费的</w:t>
      </w:r>
      <w:r>
        <w:rPr>
          <w:sz w:val="24"/>
        </w:rPr>
        <w:t>0.5%</w:t>
      </w:r>
      <w:r>
        <w:rPr>
          <w:sz w:val="24"/>
        </w:rPr>
        <w:t>计取。</w:t>
      </w:r>
    </w:p>
    <w:p w:rsidR="009C5C1F" w:rsidRDefault="004D2E0D">
      <w:pPr>
        <w:suppressAutoHyphens/>
        <w:wordWrap w:val="0"/>
        <w:topLinePunct/>
        <w:spacing w:line="480" w:lineRule="exact"/>
        <w:ind w:firstLineChars="200" w:firstLine="480"/>
        <w:rPr>
          <w:sz w:val="24"/>
        </w:rPr>
      </w:pPr>
      <w:r>
        <w:rPr>
          <w:sz w:val="24"/>
        </w:rPr>
        <w:t>b.</w:t>
      </w:r>
      <w:r>
        <w:rPr>
          <w:sz w:val="24"/>
        </w:rPr>
        <w:t>土地复垦方案编制费按工程施工费与设备购置费之和的</w:t>
      </w:r>
      <w:r>
        <w:rPr>
          <w:sz w:val="24"/>
        </w:rPr>
        <w:t>1%</w:t>
      </w:r>
      <w:r>
        <w:rPr>
          <w:sz w:val="24"/>
        </w:rPr>
        <w:t>计取。</w:t>
      </w:r>
    </w:p>
    <w:p w:rsidR="009C5C1F" w:rsidRDefault="004D2E0D">
      <w:pPr>
        <w:suppressAutoHyphens/>
        <w:wordWrap w:val="0"/>
        <w:topLinePunct/>
        <w:spacing w:line="480" w:lineRule="exact"/>
        <w:ind w:firstLineChars="200" w:firstLine="480"/>
        <w:rPr>
          <w:sz w:val="24"/>
        </w:rPr>
      </w:pPr>
      <w:r>
        <w:rPr>
          <w:sz w:val="24"/>
        </w:rPr>
        <w:t>c.</w:t>
      </w:r>
      <w:r>
        <w:rPr>
          <w:sz w:val="24"/>
        </w:rPr>
        <w:t>土地勘测费按工程施工费的</w:t>
      </w:r>
      <w:r>
        <w:rPr>
          <w:sz w:val="24"/>
        </w:rPr>
        <w:t>1.65%</w:t>
      </w:r>
      <w:r>
        <w:rPr>
          <w:sz w:val="24"/>
        </w:rPr>
        <w:t>计取。</w:t>
      </w:r>
    </w:p>
    <w:p w:rsidR="009C5C1F" w:rsidRDefault="004D2E0D">
      <w:pPr>
        <w:suppressAutoHyphens/>
        <w:wordWrap w:val="0"/>
        <w:topLinePunct/>
        <w:spacing w:line="480" w:lineRule="exact"/>
        <w:ind w:firstLineChars="200" w:firstLine="480"/>
        <w:rPr>
          <w:sz w:val="24"/>
        </w:rPr>
      </w:pPr>
      <w:r>
        <w:rPr>
          <w:sz w:val="24"/>
        </w:rPr>
        <w:t>d.</w:t>
      </w:r>
      <w:r>
        <w:rPr>
          <w:sz w:val="24"/>
        </w:rPr>
        <w:t>阶段性实施方案编制费按工程施工费与设备购置费之和的</w:t>
      </w:r>
      <w:r>
        <w:rPr>
          <w:sz w:val="24"/>
        </w:rPr>
        <w:t>2.8%</w:t>
      </w:r>
      <w:r>
        <w:rPr>
          <w:sz w:val="24"/>
        </w:rPr>
        <w:t>计取。</w:t>
      </w:r>
    </w:p>
    <w:p w:rsidR="009C5C1F" w:rsidRDefault="004D2E0D">
      <w:pPr>
        <w:suppressAutoHyphens/>
        <w:wordWrap w:val="0"/>
        <w:topLinePunct/>
        <w:spacing w:line="480" w:lineRule="exact"/>
        <w:ind w:firstLineChars="200" w:firstLine="480"/>
        <w:rPr>
          <w:sz w:val="24"/>
        </w:rPr>
      </w:pPr>
      <w:r>
        <w:rPr>
          <w:sz w:val="24"/>
        </w:rPr>
        <w:t>e.</w:t>
      </w:r>
      <w:r>
        <w:rPr>
          <w:sz w:val="24"/>
        </w:rPr>
        <w:t>科研实验费本项目不计列。</w:t>
      </w:r>
    </w:p>
    <w:p w:rsidR="009C5C1F" w:rsidRDefault="004D2E0D">
      <w:pPr>
        <w:suppressAutoHyphens/>
        <w:wordWrap w:val="0"/>
        <w:topLinePunct/>
        <w:spacing w:line="480" w:lineRule="exact"/>
        <w:ind w:firstLineChars="200" w:firstLine="480"/>
        <w:rPr>
          <w:sz w:val="24"/>
        </w:rPr>
      </w:pPr>
      <w:r>
        <w:rPr>
          <w:sz w:val="24"/>
        </w:rPr>
        <w:t>f.</w:t>
      </w:r>
      <w:r>
        <w:rPr>
          <w:sz w:val="24"/>
        </w:rPr>
        <w:t>工程招标代理费按工程施工费与设备购置费之和的</w:t>
      </w:r>
      <w:r>
        <w:rPr>
          <w:sz w:val="24"/>
        </w:rPr>
        <w:t>0.5%</w:t>
      </w:r>
      <w:r>
        <w:rPr>
          <w:sz w:val="24"/>
        </w:rPr>
        <w:t>计取。</w:t>
      </w:r>
    </w:p>
    <w:p w:rsidR="009C5C1F" w:rsidRDefault="004D2E0D">
      <w:pPr>
        <w:suppressAutoHyphens/>
        <w:wordWrap w:val="0"/>
        <w:topLinePunct/>
        <w:spacing w:line="480" w:lineRule="exact"/>
        <w:ind w:firstLineChars="200" w:firstLine="480"/>
        <w:rPr>
          <w:sz w:val="24"/>
        </w:rPr>
      </w:pPr>
      <w:r>
        <w:rPr>
          <w:sz w:val="24"/>
        </w:rPr>
        <w:t>B.</w:t>
      </w:r>
      <w:proofErr w:type="gramStart"/>
      <w:r>
        <w:rPr>
          <w:sz w:val="24"/>
        </w:rPr>
        <w:t>工程监理费工程监理费</w:t>
      </w:r>
      <w:proofErr w:type="gramEnd"/>
      <w:r>
        <w:rPr>
          <w:sz w:val="24"/>
        </w:rPr>
        <w:t>按工程施工费与设备购置费之和的</w:t>
      </w:r>
      <w:r>
        <w:rPr>
          <w:sz w:val="24"/>
        </w:rPr>
        <w:t>1.6%</w:t>
      </w:r>
      <w:r>
        <w:rPr>
          <w:sz w:val="24"/>
        </w:rPr>
        <w:t>计取。</w:t>
      </w:r>
    </w:p>
    <w:p w:rsidR="009C5C1F" w:rsidRDefault="004D2E0D">
      <w:pPr>
        <w:suppressAutoHyphens/>
        <w:wordWrap w:val="0"/>
        <w:topLinePunct/>
        <w:spacing w:line="480" w:lineRule="exact"/>
        <w:ind w:firstLineChars="200" w:firstLine="480"/>
        <w:rPr>
          <w:sz w:val="24"/>
        </w:rPr>
      </w:pPr>
      <w:r>
        <w:rPr>
          <w:sz w:val="24"/>
        </w:rPr>
        <w:t>C.</w:t>
      </w:r>
      <w:r>
        <w:rPr>
          <w:sz w:val="24"/>
        </w:rPr>
        <w:t>拆迁补偿费</w:t>
      </w:r>
    </w:p>
    <w:p w:rsidR="009C5C1F" w:rsidRDefault="004D2E0D">
      <w:pPr>
        <w:suppressAutoHyphens/>
        <w:wordWrap w:val="0"/>
        <w:topLinePunct/>
        <w:spacing w:line="480" w:lineRule="exact"/>
        <w:ind w:firstLineChars="200" w:firstLine="480"/>
        <w:rPr>
          <w:sz w:val="24"/>
        </w:rPr>
      </w:pPr>
      <w:r>
        <w:rPr>
          <w:sz w:val="24"/>
        </w:rPr>
        <w:t>拆迁补偿费指土地复垦项目实施过程中需拆迁的零星房屋、林木及青苗等所发生的适当补偿费用。本项目区内并未涉及任何拆迁补偿。</w:t>
      </w:r>
    </w:p>
    <w:p w:rsidR="009C5C1F" w:rsidRDefault="004D2E0D">
      <w:pPr>
        <w:suppressAutoHyphens/>
        <w:wordWrap w:val="0"/>
        <w:topLinePunct/>
        <w:spacing w:line="480" w:lineRule="exact"/>
        <w:ind w:firstLineChars="200" w:firstLine="480"/>
        <w:rPr>
          <w:sz w:val="24"/>
        </w:rPr>
      </w:pPr>
      <w:r>
        <w:rPr>
          <w:sz w:val="24"/>
        </w:rPr>
        <w:t>D.</w:t>
      </w:r>
      <w:r>
        <w:rPr>
          <w:sz w:val="24"/>
        </w:rPr>
        <w:t>竣工验收费</w:t>
      </w:r>
    </w:p>
    <w:p w:rsidR="009C5C1F" w:rsidRDefault="004D2E0D">
      <w:pPr>
        <w:suppressAutoHyphens/>
        <w:wordWrap w:val="0"/>
        <w:topLinePunct/>
        <w:spacing w:line="480" w:lineRule="exact"/>
        <w:ind w:firstLineChars="200" w:firstLine="480"/>
        <w:rPr>
          <w:sz w:val="24"/>
        </w:rPr>
      </w:pPr>
      <w:r>
        <w:rPr>
          <w:sz w:val="24"/>
        </w:rPr>
        <w:t>竣工验收费主要包括：工程复核费、项目工程验收费、项目决算编制与审计费、复垦后土地的</w:t>
      </w:r>
      <w:proofErr w:type="gramStart"/>
      <w:r>
        <w:rPr>
          <w:sz w:val="24"/>
        </w:rPr>
        <w:t>重估与登记费</w:t>
      </w:r>
      <w:proofErr w:type="gramEnd"/>
      <w:r>
        <w:rPr>
          <w:sz w:val="24"/>
        </w:rPr>
        <w:t>、标识设定费。</w:t>
      </w:r>
    </w:p>
    <w:p w:rsidR="009C5C1F" w:rsidRDefault="004D2E0D">
      <w:pPr>
        <w:suppressAutoHyphens/>
        <w:wordWrap w:val="0"/>
        <w:topLinePunct/>
        <w:spacing w:line="480" w:lineRule="exact"/>
        <w:ind w:firstLineChars="200" w:firstLine="480"/>
        <w:rPr>
          <w:sz w:val="24"/>
        </w:rPr>
      </w:pPr>
      <w:r>
        <w:rPr>
          <w:sz w:val="24"/>
        </w:rPr>
        <w:t>a.</w:t>
      </w:r>
      <w:r>
        <w:rPr>
          <w:sz w:val="24"/>
        </w:rPr>
        <w:t>工程复核费按工程施工费与设备购置费之和的</w:t>
      </w:r>
      <w:r>
        <w:rPr>
          <w:sz w:val="24"/>
        </w:rPr>
        <w:t>0.6%</w:t>
      </w:r>
      <w:r>
        <w:rPr>
          <w:sz w:val="24"/>
        </w:rPr>
        <w:t>计取。</w:t>
      </w:r>
    </w:p>
    <w:p w:rsidR="009C5C1F" w:rsidRDefault="004D2E0D">
      <w:pPr>
        <w:suppressAutoHyphens/>
        <w:wordWrap w:val="0"/>
        <w:topLinePunct/>
        <w:spacing w:line="480" w:lineRule="exact"/>
        <w:ind w:firstLineChars="200" w:firstLine="480"/>
        <w:rPr>
          <w:sz w:val="24"/>
        </w:rPr>
      </w:pPr>
      <w:r>
        <w:rPr>
          <w:sz w:val="24"/>
        </w:rPr>
        <w:t>b.</w:t>
      </w:r>
      <w:r>
        <w:rPr>
          <w:sz w:val="24"/>
        </w:rPr>
        <w:t>工程验收费按工程施工费与设备购置费之和的</w:t>
      </w:r>
      <w:r>
        <w:rPr>
          <w:sz w:val="24"/>
        </w:rPr>
        <w:t>1.0%</w:t>
      </w:r>
      <w:r>
        <w:rPr>
          <w:sz w:val="24"/>
        </w:rPr>
        <w:t>计取。</w:t>
      </w:r>
    </w:p>
    <w:p w:rsidR="009C5C1F" w:rsidRDefault="004D2E0D">
      <w:pPr>
        <w:suppressAutoHyphens/>
        <w:wordWrap w:val="0"/>
        <w:topLinePunct/>
        <w:spacing w:line="480" w:lineRule="exact"/>
        <w:ind w:firstLineChars="200" w:firstLine="480"/>
        <w:rPr>
          <w:sz w:val="24"/>
        </w:rPr>
      </w:pPr>
      <w:r>
        <w:rPr>
          <w:sz w:val="24"/>
        </w:rPr>
        <w:t>c.</w:t>
      </w:r>
      <w:r>
        <w:rPr>
          <w:sz w:val="24"/>
        </w:rPr>
        <w:t>工程决算编制与审计费按工程施工费与设备购置费之和的</w:t>
      </w:r>
      <w:r>
        <w:rPr>
          <w:sz w:val="24"/>
        </w:rPr>
        <w:t>0.8%</w:t>
      </w:r>
      <w:r>
        <w:rPr>
          <w:sz w:val="24"/>
        </w:rPr>
        <w:t>计取。</w:t>
      </w:r>
    </w:p>
    <w:p w:rsidR="009C5C1F" w:rsidRDefault="004D2E0D">
      <w:pPr>
        <w:suppressAutoHyphens/>
        <w:wordWrap w:val="0"/>
        <w:topLinePunct/>
        <w:spacing w:line="480" w:lineRule="exact"/>
        <w:ind w:firstLineChars="200" w:firstLine="480"/>
        <w:rPr>
          <w:sz w:val="24"/>
        </w:rPr>
      </w:pPr>
      <w:r>
        <w:rPr>
          <w:sz w:val="24"/>
        </w:rPr>
        <w:t>d.</w:t>
      </w:r>
      <w:r>
        <w:rPr>
          <w:sz w:val="24"/>
        </w:rPr>
        <w:t>复垦后土地的</w:t>
      </w:r>
      <w:proofErr w:type="gramStart"/>
      <w:r>
        <w:rPr>
          <w:sz w:val="24"/>
        </w:rPr>
        <w:t>重估与登记费</w:t>
      </w:r>
      <w:proofErr w:type="gramEnd"/>
      <w:r>
        <w:rPr>
          <w:sz w:val="24"/>
        </w:rPr>
        <w:t>按工程施工费与设备购置费之和的</w:t>
      </w:r>
      <w:r>
        <w:rPr>
          <w:sz w:val="24"/>
        </w:rPr>
        <w:t>0.6%</w:t>
      </w:r>
      <w:r>
        <w:rPr>
          <w:sz w:val="24"/>
        </w:rPr>
        <w:t>计取。</w:t>
      </w:r>
    </w:p>
    <w:p w:rsidR="009C5C1F" w:rsidRDefault="004D2E0D">
      <w:pPr>
        <w:suppressAutoHyphens/>
        <w:wordWrap w:val="0"/>
        <w:topLinePunct/>
        <w:spacing w:line="480" w:lineRule="exact"/>
        <w:ind w:firstLineChars="200" w:firstLine="480"/>
        <w:rPr>
          <w:sz w:val="24"/>
        </w:rPr>
      </w:pPr>
      <w:r>
        <w:rPr>
          <w:sz w:val="24"/>
        </w:rPr>
        <w:t>e.</w:t>
      </w:r>
      <w:r>
        <w:rPr>
          <w:sz w:val="24"/>
        </w:rPr>
        <w:t>标识设定费按工程施工费与设备购置费之和的</w:t>
      </w:r>
      <w:r>
        <w:rPr>
          <w:sz w:val="24"/>
        </w:rPr>
        <w:t>0.11%</w:t>
      </w:r>
      <w:r>
        <w:rPr>
          <w:sz w:val="24"/>
        </w:rPr>
        <w:t>计取。</w:t>
      </w:r>
    </w:p>
    <w:p w:rsidR="009C5C1F" w:rsidRDefault="004D2E0D">
      <w:pPr>
        <w:suppressAutoHyphens/>
        <w:wordWrap w:val="0"/>
        <w:topLinePunct/>
        <w:spacing w:line="480" w:lineRule="exact"/>
        <w:ind w:firstLineChars="200" w:firstLine="480"/>
        <w:rPr>
          <w:sz w:val="24"/>
        </w:rPr>
      </w:pPr>
      <w:r>
        <w:rPr>
          <w:sz w:val="24"/>
        </w:rPr>
        <w:t>E.</w:t>
      </w:r>
      <w:r>
        <w:rPr>
          <w:sz w:val="24"/>
        </w:rPr>
        <w:t>业主管理费</w:t>
      </w:r>
    </w:p>
    <w:p w:rsidR="009C5C1F" w:rsidRDefault="004D2E0D">
      <w:pPr>
        <w:suppressAutoHyphens/>
        <w:wordWrap w:val="0"/>
        <w:topLinePunct/>
        <w:spacing w:line="480" w:lineRule="exact"/>
        <w:ind w:firstLineChars="200" w:firstLine="480"/>
        <w:rPr>
          <w:sz w:val="24"/>
        </w:rPr>
      </w:pPr>
      <w:r>
        <w:rPr>
          <w:sz w:val="24"/>
        </w:rPr>
        <w:t>业主管理费按工程施工费、设备购置费、前期工作费、工程监理费、拆迁补偿费和竣工验收费之和的</w:t>
      </w:r>
      <w:r>
        <w:rPr>
          <w:sz w:val="24"/>
        </w:rPr>
        <w:t>2.4%</w:t>
      </w:r>
      <w:r>
        <w:rPr>
          <w:sz w:val="24"/>
        </w:rPr>
        <w:t>计算。</w:t>
      </w:r>
    </w:p>
    <w:p w:rsidR="009C5C1F" w:rsidRDefault="004D2E0D">
      <w:pPr>
        <w:suppressAutoHyphens/>
        <w:wordWrap w:val="0"/>
        <w:topLinePunct/>
        <w:spacing w:line="480" w:lineRule="exact"/>
        <w:ind w:firstLineChars="200" w:firstLine="480"/>
        <w:rPr>
          <w:sz w:val="24"/>
        </w:rPr>
      </w:pPr>
      <w:r>
        <w:rPr>
          <w:sz w:val="24"/>
        </w:rPr>
        <w:lastRenderedPageBreak/>
        <w:t>F.</w:t>
      </w:r>
      <w:r>
        <w:rPr>
          <w:sz w:val="24"/>
        </w:rPr>
        <w:t>复垦监测与管护费</w:t>
      </w:r>
    </w:p>
    <w:p w:rsidR="009C5C1F" w:rsidRDefault="004D2E0D">
      <w:pPr>
        <w:suppressAutoHyphens/>
        <w:wordWrap w:val="0"/>
        <w:topLinePunct/>
        <w:spacing w:line="480" w:lineRule="exact"/>
        <w:ind w:firstLineChars="200" w:firstLine="480"/>
        <w:rPr>
          <w:sz w:val="24"/>
        </w:rPr>
      </w:pPr>
      <w:r>
        <w:rPr>
          <w:sz w:val="24"/>
        </w:rPr>
        <w:t>复垦监测与管护费按工程施工费、设备购置费和其他费用之和的</w:t>
      </w:r>
      <w:r>
        <w:rPr>
          <w:sz w:val="24"/>
        </w:rPr>
        <w:t>10%</w:t>
      </w:r>
      <w:r>
        <w:rPr>
          <w:sz w:val="24"/>
        </w:rPr>
        <w:t>计取。</w:t>
      </w:r>
    </w:p>
    <w:p w:rsidR="009C5C1F" w:rsidRDefault="004D2E0D">
      <w:pPr>
        <w:suppressAutoHyphens/>
        <w:wordWrap w:val="0"/>
        <w:topLinePunct/>
        <w:spacing w:line="480" w:lineRule="exact"/>
        <w:ind w:firstLineChars="200" w:firstLine="480"/>
        <w:rPr>
          <w:sz w:val="24"/>
        </w:rPr>
      </w:pPr>
      <w:r>
        <w:rPr>
          <w:sz w:val="24"/>
        </w:rPr>
        <w:t>G.</w:t>
      </w:r>
      <w:proofErr w:type="gramStart"/>
      <w:r>
        <w:rPr>
          <w:sz w:val="24"/>
        </w:rPr>
        <w:t>预备费预备费</w:t>
      </w:r>
      <w:proofErr w:type="gramEnd"/>
    </w:p>
    <w:p w:rsidR="009C5C1F" w:rsidRDefault="004D2E0D">
      <w:pPr>
        <w:suppressAutoHyphens/>
        <w:wordWrap w:val="0"/>
        <w:topLinePunct/>
        <w:spacing w:line="480" w:lineRule="exact"/>
        <w:ind w:firstLineChars="200" w:firstLine="480"/>
        <w:rPr>
          <w:sz w:val="24"/>
        </w:rPr>
      </w:pPr>
      <w:r>
        <w:rPr>
          <w:sz w:val="24"/>
        </w:rPr>
        <w:t>包括基本预备费、价差预备费和风险金</w:t>
      </w:r>
      <w:r>
        <w:rPr>
          <w:rFonts w:hint="eastAsia"/>
          <w:sz w:val="24"/>
        </w:rPr>
        <w:t>。</w:t>
      </w:r>
    </w:p>
    <w:p w:rsidR="009C5C1F" w:rsidRDefault="004D2E0D">
      <w:pPr>
        <w:suppressAutoHyphens/>
        <w:wordWrap w:val="0"/>
        <w:topLinePunct/>
        <w:spacing w:line="480" w:lineRule="exact"/>
        <w:ind w:firstLineChars="200" w:firstLine="480"/>
        <w:rPr>
          <w:sz w:val="24"/>
        </w:rPr>
      </w:pPr>
      <w:r>
        <w:rPr>
          <w:sz w:val="24"/>
        </w:rPr>
        <w:t>a.</w:t>
      </w:r>
      <w:r>
        <w:rPr>
          <w:sz w:val="24"/>
        </w:rPr>
        <w:t>基本预备费按工程施工费、设备购置费、其他费用和复垦监测与管护费之和的</w:t>
      </w:r>
      <w:r>
        <w:rPr>
          <w:sz w:val="24"/>
        </w:rPr>
        <w:t>2%</w:t>
      </w:r>
      <w:r>
        <w:rPr>
          <w:sz w:val="24"/>
        </w:rPr>
        <w:t>计取。</w:t>
      </w:r>
    </w:p>
    <w:p w:rsidR="009C5C1F" w:rsidRDefault="004D2E0D">
      <w:pPr>
        <w:suppressAutoHyphens/>
        <w:wordWrap w:val="0"/>
        <w:topLinePunct/>
        <w:spacing w:line="480" w:lineRule="exact"/>
        <w:ind w:firstLineChars="200" w:firstLine="480"/>
        <w:rPr>
          <w:sz w:val="24"/>
        </w:rPr>
      </w:pPr>
      <w:r>
        <w:rPr>
          <w:sz w:val="24"/>
        </w:rPr>
        <w:t>b.</w:t>
      </w:r>
      <w:r>
        <w:rPr>
          <w:sz w:val="24"/>
        </w:rPr>
        <w:t>价差预备费根据国家规定的物价上涨指数，以每年的静态投资额为基数，按下列公式计算：</w:t>
      </w:r>
    </w:p>
    <w:p w:rsidR="009C5C1F" w:rsidRDefault="004D2E0D">
      <w:pPr>
        <w:wordWrap w:val="0"/>
        <w:topLinePunct/>
        <w:spacing w:line="360" w:lineRule="auto"/>
        <w:ind w:firstLineChars="500" w:firstLine="1200"/>
        <w:rPr>
          <w:sz w:val="24"/>
        </w:rPr>
      </w:pPr>
      <w:r>
        <w:rPr>
          <w:noProof/>
          <w:sz w:val="24"/>
        </w:rPr>
        <mc:AlternateContent>
          <mc:Choice Requires="wps">
            <w:drawing>
              <wp:anchor distT="0" distB="0" distL="114300" distR="114300" simplePos="0" relativeHeight="251661312" behindDoc="0" locked="0" layoutInCell="1" allowOverlap="1">
                <wp:simplePos x="0" y="0"/>
                <wp:positionH relativeFrom="column">
                  <wp:posOffset>354330</wp:posOffset>
                </wp:positionH>
                <wp:positionV relativeFrom="paragraph">
                  <wp:posOffset>191770</wp:posOffset>
                </wp:positionV>
                <wp:extent cx="414020" cy="330200"/>
                <wp:effectExtent l="0" t="1270" r="5080" b="1905"/>
                <wp:wrapNone/>
                <wp:docPr id="101415941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30200"/>
                        </a:xfrm>
                        <a:prstGeom prst="rect">
                          <a:avLst/>
                        </a:prstGeom>
                        <a:solidFill>
                          <a:srgbClr val="FFFFFF">
                            <a:alpha val="0"/>
                          </a:srgbClr>
                        </a:solidFill>
                        <a:ln>
                          <a:noFill/>
                        </a:ln>
                      </wps:spPr>
                      <wps:txbx>
                        <w:txbxContent>
                          <w:p w:rsidR="009C5C1F" w:rsidRDefault="004D2E0D">
                            <w:pPr>
                              <w:rPr>
                                <w:sz w:val="28"/>
                              </w:rPr>
                            </w:pPr>
                            <w:r>
                              <w:rPr>
                                <w:rFonts w:hint="eastAsia"/>
                                <w:sz w:val="28"/>
                              </w:rPr>
                              <w:t>PF</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18" o:spid="_x0000_s1026" o:spt="202" type="#_x0000_t202" style="position:absolute;left:0pt;margin-left:27.9pt;margin-top:15.1pt;height:26pt;width:32.6pt;z-index:251661312;mso-width-relative:page;mso-height-relative:page;" fillcolor="#FFFFFF" filled="t" stroked="f" coordsize="21600,21600" o:gfxdata="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cActjWAAAACAEAAA8AAAAAAAAAAQAgAAAAIgAAAGRycy9kb3ducmV2LnhtbFBLAQIUABQA&#10;AAAIAIdO4kCNKaftKwIAAGQEAAAOAAAAAAAAAAEAIAAAACUBAABkcnMvZTJvRG9jLnhtbFBLBQYA&#10;AAAABgAGAFkBAADCBQAAAAA=&#10;">
                <v:fill on="t" opacity="0f" focussize="0,0"/>
                <v:stroke on="f"/>
                <v:imagedata o:title=""/>
                <o:lock v:ext="edit" aspectratio="f"/>
                <v:textbox>
                  <w:txbxContent>
                    <w:p>
                      <w:pPr>
                        <w:rPr>
                          <w:sz w:val="28"/>
                        </w:rPr>
                      </w:pPr>
                      <w:r>
                        <w:rPr>
                          <w:rFonts w:hint="eastAsia"/>
                          <w:sz w:val="28"/>
                        </w:rPr>
                        <w:t>PF</w:t>
                      </w:r>
                    </w:p>
                  </w:txbxContent>
                </v:textbox>
              </v:shape>
            </w:pict>
          </mc:Fallback>
        </mc:AlternateContent>
      </w:r>
      <w:r>
        <w:rPr>
          <w:noProof/>
          <w:position w:val="-28"/>
          <w:sz w:val="24"/>
        </w:rPr>
        <w:drawing>
          <wp:inline distT="0" distB="0" distL="0" distR="0">
            <wp:extent cx="1344930" cy="509905"/>
            <wp:effectExtent l="19050" t="0" r="7295" b="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noChangeArrowheads="1"/>
                    </pic:cNvPicPr>
                  </pic:nvPicPr>
                  <pic:blipFill>
                    <a:blip r:embed="rId38"/>
                    <a:srcRect l="15500"/>
                    <a:stretch>
                      <a:fillRect/>
                    </a:stretch>
                  </pic:blipFill>
                  <pic:spPr>
                    <a:xfrm>
                      <a:off x="0" y="0"/>
                      <a:ext cx="1345255" cy="510363"/>
                    </a:xfrm>
                    <a:prstGeom prst="rect">
                      <a:avLst/>
                    </a:prstGeom>
                    <a:noFill/>
                    <a:ln w="9525">
                      <a:noFill/>
                      <a:miter lim="800000"/>
                      <a:headEnd/>
                      <a:tailEnd/>
                    </a:ln>
                  </pic:spPr>
                </pic:pic>
              </a:graphicData>
            </a:graphic>
          </wp:inline>
        </w:drawing>
      </w:r>
    </w:p>
    <w:p w:rsidR="009C5C1F" w:rsidRDefault="004D2E0D">
      <w:pPr>
        <w:wordWrap w:val="0"/>
        <w:topLinePunct/>
        <w:spacing w:line="360" w:lineRule="auto"/>
        <w:ind w:firstLineChars="200" w:firstLine="480"/>
        <w:rPr>
          <w:sz w:val="24"/>
        </w:rPr>
      </w:pPr>
      <w:r>
        <w:rPr>
          <w:rFonts w:hAnsi="宋体"/>
          <w:sz w:val="24"/>
        </w:rPr>
        <w:t>式中：</w:t>
      </w:r>
      <w:r>
        <w:rPr>
          <w:rFonts w:hint="eastAsia"/>
          <w:sz w:val="24"/>
        </w:rPr>
        <w:t>PF</w:t>
      </w:r>
      <w:r>
        <w:rPr>
          <w:sz w:val="24"/>
        </w:rPr>
        <w:t>——</w:t>
      </w:r>
      <w:r>
        <w:rPr>
          <w:rFonts w:hAnsi="宋体" w:hint="eastAsia"/>
          <w:sz w:val="24"/>
        </w:rPr>
        <w:t>价差</w:t>
      </w:r>
      <w:r>
        <w:rPr>
          <w:rFonts w:hAnsi="宋体"/>
          <w:sz w:val="24"/>
        </w:rPr>
        <w:t>预备费；</w:t>
      </w:r>
    </w:p>
    <w:p w:rsidR="009C5C1F" w:rsidRDefault="004D2E0D">
      <w:pPr>
        <w:wordWrap w:val="0"/>
        <w:topLinePunct/>
        <w:spacing w:line="360" w:lineRule="auto"/>
        <w:ind w:firstLineChars="500" w:firstLine="1200"/>
        <w:rPr>
          <w:sz w:val="24"/>
        </w:rPr>
      </w:pPr>
      <w:r>
        <w:rPr>
          <w:noProof/>
          <w:sz w:val="24"/>
        </w:rPr>
        <w:drawing>
          <wp:inline distT="0" distB="0" distL="0" distR="0">
            <wp:extent cx="138430" cy="233680"/>
            <wp:effectExtent l="0" t="0" r="0" b="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39"/>
                    <a:srcRect/>
                    <a:stretch>
                      <a:fillRect/>
                    </a:stretch>
                  </pic:blipFill>
                  <pic:spPr>
                    <a:xfrm>
                      <a:off x="0" y="0"/>
                      <a:ext cx="138430" cy="233680"/>
                    </a:xfrm>
                    <a:prstGeom prst="rect">
                      <a:avLst/>
                    </a:prstGeom>
                    <a:noFill/>
                    <a:ln w="9525">
                      <a:noFill/>
                      <a:miter lim="800000"/>
                      <a:headEnd/>
                      <a:tailEnd/>
                    </a:ln>
                  </pic:spPr>
                </pic:pic>
              </a:graphicData>
            </a:graphic>
          </wp:inline>
        </w:drawing>
      </w:r>
      <w:r>
        <w:rPr>
          <w:sz w:val="24"/>
        </w:rPr>
        <w:t>——</w:t>
      </w:r>
      <w:r>
        <w:rPr>
          <w:rFonts w:hAnsi="宋体"/>
          <w:sz w:val="24"/>
        </w:rPr>
        <w:t>建设期中第</w:t>
      </w:r>
      <w:r>
        <w:rPr>
          <w:sz w:val="24"/>
        </w:rPr>
        <w:t>t</w:t>
      </w:r>
      <w:r>
        <w:rPr>
          <w:rFonts w:hAnsi="宋体"/>
          <w:sz w:val="24"/>
        </w:rPr>
        <w:t>年的投资计划额；</w:t>
      </w:r>
    </w:p>
    <w:p w:rsidR="009C5C1F" w:rsidRDefault="004D2E0D">
      <w:pPr>
        <w:wordWrap w:val="0"/>
        <w:topLinePunct/>
        <w:spacing w:line="360" w:lineRule="auto"/>
        <w:ind w:firstLineChars="500" w:firstLine="1200"/>
        <w:rPr>
          <w:sz w:val="24"/>
        </w:rPr>
      </w:pPr>
      <w:r>
        <w:rPr>
          <w:noProof/>
          <w:sz w:val="24"/>
        </w:rPr>
        <w:drawing>
          <wp:inline distT="0" distB="0" distL="0" distR="0">
            <wp:extent cx="148590" cy="201930"/>
            <wp:effectExtent l="19050" t="0" r="3810"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8"/>
                    <pic:cNvPicPr>
                      <a:picLocks noChangeAspect="1" noChangeArrowheads="1"/>
                    </pic:cNvPicPr>
                  </pic:nvPicPr>
                  <pic:blipFill>
                    <a:blip r:embed="rId40"/>
                    <a:srcRect/>
                    <a:stretch>
                      <a:fillRect/>
                    </a:stretch>
                  </pic:blipFill>
                  <pic:spPr>
                    <a:xfrm>
                      <a:off x="0" y="0"/>
                      <a:ext cx="148590" cy="201930"/>
                    </a:xfrm>
                    <a:prstGeom prst="rect">
                      <a:avLst/>
                    </a:prstGeom>
                    <a:noFill/>
                    <a:ln w="9525">
                      <a:noFill/>
                      <a:miter lim="800000"/>
                      <a:headEnd/>
                      <a:tailEnd/>
                    </a:ln>
                  </pic:spPr>
                </pic:pic>
              </a:graphicData>
            </a:graphic>
          </wp:inline>
        </w:drawing>
      </w:r>
      <w:r>
        <w:rPr>
          <w:sz w:val="24"/>
        </w:rPr>
        <w:t>——</w:t>
      </w:r>
      <w:r>
        <w:rPr>
          <w:rFonts w:hAnsi="宋体"/>
          <w:sz w:val="24"/>
        </w:rPr>
        <w:t>年均投资价格上涨率，取</w:t>
      </w:r>
      <w:r>
        <w:rPr>
          <w:sz w:val="24"/>
        </w:rPr>
        <w:t>5%</w:t>
      </w:r>
      <w:r>
        <w:rPr>
          <w:rFonts w:hAnsi="宋体"/>
          <w:sz w:val="24"/>
        </w:rPr>
        <w:t>；</w:t>
      </w:r>
    </w:p>
    <w:p w:rsidR="009C5C1F" w:rsidRDefault="004D2E0D">
      <w:pPr>
        <w:wordWrap w:val="0"/>
        <w:topLinePunct/>
        <w:spacing w:line="360" w:lineRule="auto"/>
        <w:ind w:firstLineChars="500" w:firstLine="1200"/>
        <w:rPr>
          <w:sz w:val="24"/>
        </w:rPr>
      </w:pPr>
      <w:r>
        <w:rPr>
          <w:noProof/>
          <w:sz w:val="24"/>
        </w:rPr>
        <w:drawing>
          <wp:inline distT="0" distB="0" distL="0" distR="0">
            <wp:extent cx="127635" cy="138430"/>
            <wp:effectExtent l="19050" t="0" r="0" b="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noChangeArrowheads="1"/>
                    </pic:cNvPicPr>
                  </pic:nvPicPr>
                  <pic:blipFill>
                    <a:blip r:embed="rId41"/>
                    <a:srcRect/>
                    <a:stretch>
                      <a:fillRect/>
                    </a:stretch>
                  </pic:blipFill>
                  <pic:spPr>
                    <a:xfrm>
                      <a:off x="0" y="0"/>
                      <a:ext cx="127635" cy="138430"/>
                    </a:xfrm>
                    <a:prstGeom prst="rect">
                      <a:avLst/>
                    </a:prstGeom>
                    <a:noFill/>
                    <a:ln w="9525">
                      <a:noFill/>
                      <a:miter lim="800000"/>
                      <a:headEnd/>
                      <a:tailEnd/>
                    </a:ln>
                  </pic:spPr>
                </pic:pic>
              </a:graphicData>
            </a:graphic>
          </wp:inline>
        </w:drawing>
      </w:r>
      <w:r>
        <w:rPr>
          <w:sz w:val="24"/>
        </w:rPr>
        <w:t>——</w:t>
      </w:r>
      <w:r>
        <w:rPr>
          <w:rFonts w:hAnsi="宋体"/>
          <w:sz w:val="24"/>
        </w:rPr>
        <w:t>建设期年份。</w:t>
      </w:r>
    </w:p>
    <w:p w:rsidR="009C5C1F" w:rsidRDefault="004D2E0D">
      <w:pPr>
        <w:suppressAutoHyphens/>
        <w:wordWrap w:val="0"/>
        <w:topLinePunct/>
        <w:spacing w:line="480" w:lineRule="exact"/>
        <w:ind w:firstLineChars="200" w:firstLine="480"/>
        <w:rPr>
          <w:sz w:val="24"/>
        </w:rPr>
      </w:pPr>
      <w:r>
        <w:rPr>
          <w:sz w:val="24"/>
        </w:rPr>
        <w:t>c.</w:t>
      </w:r>
      <w:r>
        <w:rPr>
          <w:rFonts w:hint="eastAsia"/>
          <w:sz w:val="24"/>
        </w:rPr>
        <w:t>风险金按工程施工费、设备购置费、其他费用和复垦监测与管护费之和的</w:t>
      </w:r>
      <w:r>
        <w:rPr>
          <w:sz w:val="24"/>
        </w:rPr>
        <w:t>2%</w:t>
      </w:r>
      <w:r>
        <w:rPr>
          <w:rFonts w:hint="eastAsia"/>
          <w:sz w:val="24"/>
        </w:rPr>
        <w:t>计取。</w:t>
      </w:r>
    </w:p>
    <w:p w:rsidR="009C5C1F" w:rsidRDefault="004D2E0D">
      <w:pPr>
        <w:keepNext/>
        <w:keepLines/>
        <w:suppressAutoHyphens/>
        <w:wordWrap w:val="0"/>
        <w:topLinePunct/>
        <w:spacing w:before="120" w:after="120" w:line="360" w:lineRule="auto"/>
        <w:ind w:firstLineChars="200" w:firstLine="482"/>
        <w:outlineLvl w:val="2"/>
        <w:rPr>
          <w:b/>
          <w:sz w:val="24"/>
        </w:rPr>
      </w:pPr>
      <w:bookmarkStart w:id="1051" w:name="_Toc70589918"/>
      <w:r>
        <w:rPr>
          <w:rFonts w:hint="eastAsia"/>
          <w:b/>
          <w:sz w:val="24"/>
        </w:rPr>
        <w:t>（三）估算成果</w:t>
      </w:r>
      <w:bookmarkEnd w:id="1051"/>
    </w:p>
    <w:p w:rsidR="009C5C1F" w:rsidRDefault="004D2E0D">
      <w:pPr>
        <w:suppressAutoHyphens/>
        <w:wordWrap w:val="0"/>
        <w:topLinePunct/>
        <w:spacing w:line="480" w:lineRule="exact"/>
        <w:ind w:firstLineChars="200" w:firstLine="480"/>
        <w:rPr>
          <w:sz w:val="24"/>
        </w:rPr>
      </w:pPr>
      <w:r>
        <w:rPr>
          <w:rFonts w:hint="eastAsia"/>
          <w:sz w:val="24"/>
        </w:rPr>
        <w:t>本工程土地损毁总面积</w:t>
      </w:r>
      <w:r>
        <w:rPr>
          <w:rFonts w:hint="eastAsia"/>
          <w:sz w:val="24"/>
        </w:rPr>
        <w:t>3</w:t>
      </w:r>
      <w:r>
        <w:rPr>
          <w:sz w:val="24"/>
        </w:rPr>
        <w:t>.098hm</w:t>
      </w:r>
      <w:r>
        <w:rPr>
          <w:rFonts w:hint="eastAsia"/>
          <w:sz w:val="24"/>
          <w:vertAlign w:val="superscript"/>
        </w:rPr>
        <w:t>2</w:t>
      </w:r>
      <w:r>
        <w:rPr>
          <w:rFonts w:hint="eastAsia"/>
          <w:sz w:val="24"/>
        </w:rPr>
        <w:t>，复垦面积</w:t>
      </w:r>
      <w:r>
        <w:rPr>
          <w:sz w:val="24"/>
        </w:rPr>
        <w:t>3.098hm</w:t>
      </w:r>
      <w:r>
        <w:rPr>
          <w:rFonts w:hint="eastAsia"/>
          <w:sz w:val="24"/>
          <w:vertAlign w:val="superscript"/>
        </w:rPr>
        <w:t>2</w:t>
      </w:r>
      <w:r>
        <w:rPr>
          <w:rFonts w:hint="eastAsia"/>
          <w:sz w:val="24"/>
        </w:rPr>
        <w:t>，估算总投资为</w:t>
      </w:r>
      <w:r>
        <w:rPr>
          <w:rFonts w:hint="eastAsia"/>
          <w:sz w:val="24"/>
        </w:rPr>
        <w:t>3</w:t>
      </w:r>
      <w:r>
        <w:rPr>
          <w:sz w:val="24"/>
        </w:rPr>
        <w:t>3</w:t>
      </w:r>
      <w:r>
        <w:rPr>
          <w:rFonts w:hint="eastAsia"/>
          <w:sz w:val="24"/>
        </w:rPr>
        <w:t>万元，其中静态总投资为</w:t>
      </w:r>
      <w:r>
        <w:rPr>
          <w:rFonts w:hint="eastAsia"/>
          <w:sz w:val="24"/>
        </w:rPr>
        <w:t>3</w:t>
      </w:r>
      <w:r>
        <w:rPr>
          <w:sz w:val="24"/>
        </w:rPr>
        <w:t>2.95</w:t>
      </w:r>
      <w:r>
        <w:rPr>
          <w:rFonts w:hint="eastAsia"/>
          <w:sz w:val="24"/>
        </w:rPr>
        <w:t>万元，预备费为</w:t>
      </w:r>
      <w:r>
        <w:rPr>
          <w:sz w:val="24"/>
        </w:rPr>
        <w:t>3.56</w:t>
      </w:r>
      <w:r>
        <w:rPr>
          <w:rFonts w:hint="eastAsia"/>
          <w:sz w:val="24"/>
        </w:rPr>
        <w:t>万元。投资估算表见表</w:t>
      </w:r>
      <w:r>
        <w:rPr>
          <w:sz w:val="24"/>
        </w:rPr>
        <w:t>7-10</w:t>
      </w:r>
      <w:r>
        <w:rPr>
          <w:rFonts w:hint="eastAsia"/>
          <w:sz w:val="24"/>
        </w:rPr>
        <w:t>。</w:t>
      </w:r>
    </w:p>
    <w:p w:rsidR="009C5C1F" w:rsidRDefault="004D2E0D">
      <w:pPr>
        <w:suppressAutoHyphens/>
        <w:wordWrap w:val="0"/>
        <w:topLinePunct/>
        <w:spacing w:beforeLines="50" w:before="180" w:afterLines="50" w:after="180"/>
        <w:jc w:val="center"/>
        <w:rPr>
          <w:b/>
          <w:bCs/>
          <w:sz w:val="24"/>
        </w:rPr>
      </w:pPr>
      <w:r>
        <w:rPr>
          <w:b/>
          <w:bCs/>
          <w:sz w:val="24"/>
        </w:rPr>
        <w:t xml:space="preserve">    </w:t>
      </w:r>
      <w:r>
        <w:rPr>
          <w:rFonts w:hint="eastAsia"/>
          <w:b/>
          <w:bCs/>
          <w:sz w:val="24"/>
        </w:rPr>
        <w:t xml:space="preserve"> </w:t>
      </w:r>
      <w:r>
        <w:rPr>
          <w:rFonts w:hint="eastAsia"/>
          <w:b/>
          <w:bCs/>
          <w:sz w:val="24"/>
        </w:rPr>
        <w:t>表</w:t>
      </w:r>
      <w:r>
        <w:rPr>
          <w:b/>
          <w:bCs/>
          <w:sz w:val="24"/>
        </w:rPr>
        <w:t xml:space="preserve">7-10             </w:t>
      </w:r>
      <w:r>
        <w:rPr>
          <w:rFonts w:hint="eastAsia"/>
          <w:b/>
          <w:bCs/>
          <w:sz w:val="24"/>
        </w:rPr>
        <w:t>土地复垦工程投资估算总表</w:t>
      </w:r>
      <w:r>
        <w:rPr>
          <w:rFonts w:hint="eastAsia"/>
          <w:b/>
          <w:bCs/>
          <w:sz w:val="24"/>
        </w:rPr>
        <w:t xml:space="preserve">      </w:t>
      </w:r>
    </w:p>
    <w:tbl>
      <w:tblPr>
        <w:tblW w:w="8970" w:type="dxa"/>
        <w:jc w:val="center"/>
        <w:tblLook w:val="04A0" w:firstRow="1" w:lastRow="0" w:firstColumn="1" w:lastColumn="0" w:noHBand="0" w:noVBand="1"/>
      </w:tblPr>
      <w:tblGrid>
        <w:gridCol w:w="2234"/>
        <w:gridCol w:w="2253"/>
        <w:gridCol w:w="2250"/>
        <w:gridCol w:w="2233"/>
      </w:tblGrid>
      <w:tr w:rsidR="009C5C1F">
        <w:trPr>
          <w:trHeight w:val="408"/>
          <w:jc w:val="center"/>
        </w:trPr>
        <w:tc>
          <w:tcPr>
            <w:tcW w:w="2234" w:type="dxa"/>
            <w:tcBorders>
              <w:top w:val="single" w:sz="12"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rFonts w:eastAsiaTheme="minorEastAsia" w:hAnsiTheme="minorEastAsia"/>
                <w:color w:val="000000"/>
                <w:kern w:val="0"/>
                <w:sz w:val="20"/>
                <w:szCs w:val="20"/>
              </w:rPr>
              <w:t>序号</w:t>
            </w:r>
          </w:p>
        </w:tc>
        <w:tc>
          <w:tcPr>
            <w:tcW w:w="2253"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rFonts w:eastAsiaTheme="minorEastAsia" w:hAnsiTheme="minorEastAsia"/>
                <w:color w:val="000000"/>
                <w:kern w:val="0"/>
                <w:sz w:val="20"/>
                <w:szCs w:val="20"/>
              </w:rPr>
              <w:t>工程或费用名称</w:t>
            </w:r>
          </w:p>
        </w:tc>
        <w:tc>
          <w:tcPr>
            <w:tcW w:w="2250"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rFonts w:eastAsiaTheme="minorEastAsia" w:hAnsiTheme="minorEastAsia"/>
                <w:color w:val="000000"/>
                <w:kern w:val="0"/>
                <w:sz w:val="20"/>
                <w:szCs w:val="20"/>
              </w:rPr>
              <w:t>费用</w:t>
            </w:r>
            <w:r>
              <w:rPr>
                <w:rFonts w:eastAsiaTheme="minorEastAsia"/>
                <w:color w:val="000000"/>
                <w:kern w:val="0"/>
                <w:sz w:val="20"/>
                <w:szCs w:val="20"/>
              </w:rPr>
              <w:t>/</w:t>
            </w:r>
            <w:r>
              <w:rPr>
                <w:rFonts w:eastAsiaTheme="minorEastAsia" w:hAnsiTheme="minorEastAsia"/>
                <w:color w:val="000000"/>
                <w:kern w:val="0"/>
                <w:sz w:val="20"/>
                <w:szCs w:val="20"/>
              </w:rPr>
              <w:t>万元</w:t>
            </w:r>
          </w:p>
        </w:tc>
        <w:tc>
          <w:tcPr>
            <w:tcW w:w="2233" w:type="dxa"/>
            <w:tcBorders>
              <w:top w:val="single" w:sz="12"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rFonts w:eastAsiaTheme="minorEastAsia" w:hAnsiTheme="minorEastAsia"/>
                <w:color w:val="000000"/>
                <w:kern w:val="0"/>
                <w:sz w:val="20"/>
                <w:szCs w:val="20"/>
              </w:rPr>
              <w:t>比例</w:t>
            </w:r>
            <w:r>
              <w:rPr>
                <w:rFonts w:eastAsiaTheme="minorEastAsia"/>
                <w:color w:val="000000"/>
                <w:kern w:val="0"/>
                <w:sz w:val="20"/>
                <w:szCs w:val="20"/>
              </w:rPr>
              <w:t>/%</w:t>
            </w:r>
          </w:p>
        </w:tc>
      </w:tr>
      <w:tr w:rsidR="009C5C1F">
        <w:trPr>
          <w:trHeight w:val="405"/>
          <w:jc w:val="center"/>
        </w:trPr>
        <w:tc>
          <w:tcPr>
            <w:tcW w:w="2234"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4"/>
              </w:rPr>
            </w:pPr>
            <w:r>
              <w:rPr>
                <w:rFonts w:eastAsiaTheme="minorEastAsia"/>
                <w:b/>
                <w:color w:val="000000"/>
                <w:kern w:val="0"/>
                <w:sz w:val="24"/>
              </w:rPr>
              <w:t xml:space="preserve">1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hAnsiTheme="minorEastAsia"/>
                <w:b/>
                <w:color w:val="000000"/>
                <w:kern w:val="0"/>
                <w:sz w:val="20"/>
                <w:szCs w:val="20"/>
              </w:rPr>
              <w:t>工程施工费</w:t>
            </w:r>
          </w:p>
        </w:tc>
        <w:tc>
          <w:tcPr>
            <w:tcW w:w="22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hint="eastAsia"/>
                <w:b/>
                <w:color w:val="000000"/>
                <w:sz w:val="20"/>
                <w:szCs w:val="20"/>
              </w:rPr>
              <w:t>2</w:t>
            </w:r>
            <w:r>
              <w:rPr>
                <w:rFonts w:eastAsiaTheme="minorEastAsia"/>
                <w:b/>
                <w:color w:val="000000"/>
                <w:sz w:val="20"/>
                <w:szCs w:val="20"/>
              </w:rPr>
              <w:t>2.49</w:t>
            </w:r>
          </w:p>
        </w:tc>
        <w:tc>
          <w:tcPr>
            <w:tcW w:w="223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color w:val="000000"/>
                <w:sz w:val="20"/>
                <w:szCs w:val="20"/>
              </w:rPr>
              <w:t>68.25</w:t>
            </w:r>
          </w:p>
        </w:tc>
      </w:tr>
      <w:tr w:rsidR="009C5C1F">
        <w:trPr>
          <w:trHeight w:val="408"/>
          <w:jc w:val="center"/>
        </w:trPr>
        <w:tc>
          <w:tcPr>
            <w:tcW w:w="2234"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4"/>
              </w:rPr>
            </w:pPr>
            <w:r>
              <w:rPr>
                <w:rFonts w:eastAsiaTheme="minorEastAsia"/>
                <w:b/>
                <w:color w:val="000000"/>
                <w:kern w:val="0"/>
                <w:sz w:val="24"/>
              </w:rPr>
              <w:t xml:space="preserve">2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hAnsiTheme="minorEastAsia"/>
                <w:b/>
                <w:color w:val="000000"/>
                <w:kern w:val="0"/>
                <w:sz w:val="20"/>
                <w:szCs w:val="20"/>
              </w:rPr>
              <w:t>设备费</w:t>
            </w:r>
          </w:p>
        </w:tc>
        <w:tc>
          <w:tcPr>
            <w:tcW w:w="22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hint="eastAsia"/>
                <w:color w:val="000000"/>
                <w:sz w:val="20"/>
                <w:szCs w:val="20"/>
              </w:rPr>
              <w:t xml:space="preserve">0.00 </w:t>
            </w:r>
          </w:p>
        </w:tc>
        <w:tc>
          <w:tcPr>
            <w:tcW w:w="223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hint="eastAsia"/>
                <w:color w:val="000000"/>
                <w:sz w:val="20"/>
                <w:szCs w:val="20"/>
              </w:rPr>
              <w:t xml:space="preserve">0.00 </w:t>
            </w:r>
          </w:p>
        </w:tc>
      </w:tr>
      <w:tr w:rsidR="009C5C1F">
        <w:trPr>
          <w:trHeight w:val="405"/>
          <w:jc w:val="center"/>
        </w:trPr>
        <w:tc>
          <w:tcPr>
            <w:tcW w:w="2234"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4"/>
              </w:rPr>
            </w:pPr>
            <w:r>
              <w:rPr>
                <w:rFonts w:eastAsiaTheme="minorEastAsia"/>
                <w:b/>
                <w:color w:val="000000"/>
                <w:kern w:val="0"/>
                <w:sz w:val="24"/>
              </w:rPr>
              <w:t xml:space="preserve">3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hAnsiTheme="minorEastAsia"/>
                <w:b/>
                <w:color w:val="000000"/>
                <w:kern w:val="0"/>
                <w:sz w:val="20"/>
                <w:szCs w:val="20"/>
              </w:rPr>
              <w:t>其他费用</w:t>
            </w:r>
          </w:p>
        </w:tc>
        <w:tc>
          <w:tcPr>
            <w:tcW w:w="22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b/>
                <w:color w:val="000000"/>
                <w:sz w:val="20"/>
                <w:szCs w:val="20"/>
              </w:rPr>
              <w:t>4.2</w:t>
            </w:r>
          </w:p>
        </w:tc>
        <w:tc>
          <w:tcPr>
            <w:tcW w:w="223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color w:val="000000"/>
                <w:sz w:val="20"/>
                <w:szCs w:val="20"/>
              </w:rPr>
              <w:t>12.75</w:t>
            </w:r>
          </w:p>
        </w:tc>
      </w:tr>
      <w:tr w:rsidR="009C5C1F">
        <w:trPr>
          <w:trHeight w:val="408"/>
          <w:jc w:val="center"/>
        </w:trPr>
        <w:tc>
          <w:tcPr>
            <w:tcW w:w="2234"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4"/>
              </w:rPr>
            </w:pPr>
            <w:r>
              <w:rPr>
                <w:rFonts w:eastAsiaTheme="minorEastAsia"/>
                <w:b/>
                <w:color w:val="000000"/>
                <w:kern w:val="0"/>
                <w:sz w:val="24"/>
              </w:rPr>
              <w:t xml:space="preserve">4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hAnsiTheme="minorEastAsia"/>
                <w:b/>
                <w:color w:val="000000"/>
                <w:kern w:val="0"/>
                <w:sz w:val="20"/>
                <w:szCs w:val="20"/>
              </w:rPr>
              <w:t>监测与管护费</w:t>
            </w:r>
          </w:p>
        </w:tc>
        <w:tc>
          <w:tcPr>
            <w:tcW w:w="22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color w:val="000000"/>
                <w:sz w:val="20"/>
                <w:szCs w:val="20"/>
              </w:rPr>
              <w:t>2.67</w:t>
            </w:r>
          </w:p>
        </w:tc>
        <w:tc>
          <w:tcPr>
            <w:tcW w:w="223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color w:val="000000"/>
                <w:sz w:val="20"/>
                <w:szCs w:val="20"/>
              </w:rPr>
              <w:t>8.1</w:t>
            </w:r>
          </w:p>
        </w:tc>
      </w:tr>
      <w:tr w:rsidR="009C5C1F">
        <w:trPr>
          <w:trHeight w:val="408"/>
          <w:jc w:val="center"/>
        </w:trPr>
        <w:tc>
          <w:tcPr>
            <w:tcW w:w="2234"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4"/>
              </w:rPr>
            </w:pPr>
            <w:r>
              <w:rPr>
                <w:rFonts w:eastAsiaTheme="minorEastAsia"/>
                <w:b/>
                <w:color w:val="000000"/>
                <w:kern w:val="0"/>
                <w:sz w:val="24"/>
              </w:rPr>
              <w:t xml:space="preserve">5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hAnsiTheme="minorEastAsia"/>
                <w:b/>
                <w:color w:val="000000"/>
                <w:kern w:val="0"/>
                <w:sz w:val="20"/>
                <w:szCs w:val="20"/>
              </w:rPr>
              <w:t>预备费</w:t>
            </w:r>
          </w:p>
        </w:tc>
        <w:tc>
          <w:tcPr>
            <w:tcW w:w="22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hint="eastAsia"/>
                <w:b/>
                <w:color w:val="000000"/>
                <w:kern w:val="0"/>
                <w:sz w:val="20"/>
                <w:szCs w:val="20"/>
              </w:rPr>
              <w:t>3</w:t>
            </w:r>
            <w:r>
              <w:rPr>
                <w:rFonts w:eastAsiaTheme="minorEastAsia"/>
                <w:b/>
                <w:color w:val="000000"/>
                <w:kern w:val="0"/>
                <w:sz w:val="20"/>
                <w:szCs w:val="20"/>
              </w:rPr>
              <w:t>.59</w:t>
            </w:r>
          </w:p>
        </w:tc>
        <w:tc>
          <w:tcPr>
            <w:tcW w:w="223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color w:val="000000"/>
                <w:sz w:val="20"/>
                <w:szCs w:val="20"/>
              </w:rPr>
              <w:t>10.9</w:t>
            </w:r>
          </w:p>
        </w:tc>
      </w:tr>
      <w:tr w:rsidR="009C5C1F">
        <w:trPr>
          <w:trHeight w:val="405"/>
          <w:jc w:val="center"/>
        </w:trPr>
        <w:tc>
          <w:tcPr>
            <w:tcW w:w="2234"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rFonts w:eastAsiaTheme="minorEastAsia" w:hAnsiTheme="minorEastAsia"/>
                <w:color w:val="000000"/>
                <w:kern w:val="0"/>
                <w:sz w:val="20"/>
                <w:szCs w:val="20"/>
              </w:rPr>
              <w:t>（</w:t>
            </w:r>
            <w:r>
              <w:rPr>
                <w:rFonts w:eastAsiaTheme="minorEastAsia"/>
                <w:color w:val="000000"/>
                <w:kern w:val="0"/>
                <w:sz w:val="20"/>
                <w:szCs w:val="20"/>
              </w:rPr>
              <w:t>1</w:t>
            </w:r>
            <w:r>
              <w:rPr>
                <w:rFonts w:eastAsiaTheme="minorEastAsia" w:hAnsiTheme="minorEastAsia"/>
                <w:color w:val="000000"/>
                <w:kern w:val="0"/>
                <w:sz w:val="20"/>
                <w:szCs w:val="20"/>
              </w:rPr>
              <w:t>）</w:t>
            </w:r>
            <w:r>
              <w:rPr>
                <w:rFonts w:eastAsiaTheme="minorEastAsia"/>
                <w:color w:val="000000"/>
                <w:kern w:val="0"/>
                <w:sz w:val="20"/>
                <w:szCs w:val="20"/>
              </w:rPr>
              <w:t xml:space="preserve">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rFonts w:eastAsiaTheme="minorEastAsia" w:hAnsiTheme="minorEastAsia"/>
                <w:color w:val="000000"/>
                <w:kern w:val="0"/>
                <w:sz w:val="20"/>
                <w:szCs w:val="20"/>
              </w:rPr>
              <w:t>基本预备费</w:t>
            </w:r>
          </w:p>
        </w:tc>
        <w:tc>
          <w:tcPr>
            <w:tcW w:w="22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color w:val="000000"/>
                <w:sz w:val="20"/>
                <w:szCs w:val="20"/>
              </w:rPr>
              <w:t>3.00</w:t>
            </w:r>
          </w:p>
        </w:tc>
        <w:tc>
          <w:tcPr>
            <w:tcW w:w="223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color w:val="000000"/>
                <w:sz w:val="20"/>
                <w:szCs w:val="20"/>
              </w:rPr>
              <w:t>9.1</w:t>
            </w:r>
          </w:p>
        </w:tc>
      </w:tr>
      <w:tr w:rsidR="009C5C1F">
        <w:trPr>
          <w:trHeight w:val="405"/>
          <w:jc w:val="center"/>
        </w:trPr>
        <w:tc>
          <w:tcPr>
            <w:tcW w:w="2234"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rFonts w:eastAsiaTheme="minorEastAsia" w:hAnsiTheme="minorEastAsia"/>
                <w:color w:val="000000"/>
                <w:kern w:val="0"/>
                <w:sz w:val="20"/>
                <w:szCs w:val="20"/>
              </w:rPr>
              <w:lastRenderedPageBreak/>
              <w:t>（</w:t>
            </w:r>
            <w:r>
              <w:rPr>
                <w:rFonts w:eastAsiaTheme="minorEastAsia" w:hAnsiTheme="minorEastAsia" w:hint="eastAsia"/>
                <w:color w:val="000000"/>
                <w:kern w:val="0"/>
                <w:sz w:val="20"/>
                <w:szCs w:val="20"/>
              </w:rPr>
              <w:t>2</w:t>
            </w:r>
            <w:r>
              <w:rPr>
                <w:rFonts w:eastAsiaTheme="minorEastAsia" w:hAnsiTheme="minorEastAsia"/>
                <w:color w:val="000000"/>
                <w:kern w:val="0"/>
                <w:sz w:val="20"/>
                <w:szCs w:val="20"/>
              </w:rPr>
              <w:t>）</w:t>
            </w:r>
            <w:r>
              <w:rPr>
                <w:rFonts w:eastAsiaTheme="minorEastAsia"/>
                <w:color w:val="000000"/>
                <w:kern w:val="0"/>
                <w:sz w:val="20"/>
                <w:szCs w:val="20"/>
              </w:rPr>
              <w:t xml:space="preserve">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rFonts w:eastAsiaTheme="minorEastAsia" w:hAnsiTheme="minorEastAsia"/>
                <w:color w:val="000000"/>
                <w:kern w:val="0"/>
                <w:sz w:val="20"/>
                <w:szCs w:val="20"/>
              </w:rPr>
              <w:t>风险金</w:t>
            </w:r>
          </w:p>
        </w:tc>
        <w:tc>
          <w:tcPr>
            <w:tcW w:w="22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rFonts w:eastAsiaTheme="minorEastAsia"/>
                <w:color w:val="000000"/>
                <w:kern w:val="0"/>
                <w:sz w:val="20"/>
                <w:szCs w:val="20"/>
              </w:rPr>
              <w:t>0.59</w:t>
            </w:r>
          </w:p>
        </w:tc>
        <w:tc>
          <w:tcPr>
            <w:tcW w:w="223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eastAsiaTheme="minorEastAsia"/>
                <w:color w:val="000000"/>
                <w:kern w:val="0"/>
                <w:sz w:val="20"/>
                <w:szCs w:val="20"/>
              </w:rPr>
            </w:pPr>
            <w:r>
              <w:rPr>
                <w:color w:val="000000"/>
                <w:sz w:val="20"/>
                <w:szCs w:val="20"/>
              </w:rPr>
              <w:t>1.79</w:t>
            </w:r>
          </w:p>
        </w:tc>
      </w:tr>
      <w:tr w:rsidR="009C5C1F">
        <w:trPr>
          <w:trHeight w:val="408"/>
          <w:jc w:val="center"/>
        </w:trPr>
        <w:tc>
          <w:tcPr>
            <w:tcW w:w="2234"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4"/>
              </w:rPr>
            </w:pPr>
            <w:r>
              <w:rPr>
                <w:rFonts w:eastAsiaTheme="minorEastAsia"/>
                <w:b/>
                <w:color w:val="000000"/>
                <w:kern w:val="0"/>
                <w:sz w:val="24"/>
              </w:rPr>
              <w:t xml:space="preserve">6 </w:t>
            </w:r>
          </w:p>
        </w:tc>
        <w:tc>
          <w:tcPr>
            <w:tcW w:w="225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hAnsiTheme="minorEastAsia"/>
                <w:b/>
                <w:color w:val="000000"/>
                <w:kern w:val="0"/>
                <w:sz w:val="20"/>
                <w:szCs w:val="20"/>
              </w:rPr>
              <w:t>静态总投资</w:t>
            </w:r>
          </w:p>
        </w:tc>
        <w:tc>
          <w:tcPr>
            <w:tcW w:w="22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b/>
                <w:color w:val="000000"/>
                <w:kern w:val="0"/>
                <w:sz w:val="20"/>
                <w:szCs w:val="20"/>
              </w:rPr>
              <w:t>32.95</w:t>
            </w:r>
          </w:p>
        </w:tc>
        <w:tc>
          <w:tcPr>
            <w:tcW w:w="223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color w:val="000000"/>
                <w:sz w:val="20"/>
                <w:szCs w:val="20"/>
              </w:rPr>
              <w:t>100.00</w:t>
            </w:r>
            <w:r>
              <w:rPr>
                <w:rFonts w:hint="eastAsia"/>
                <w:color w:val="000000"/>
                <w:sz w:val="20"/>
                <w:szCs w:val="20"/>
              </w:rPr>
              <w:t xml:space="preserve"> </w:t>
            </w:r>
          </w:p>
        </w:tc>
      </w:tr>
      <w:tr w:rsidR="009C5C1F">
        <w:trPr>
          <w:trHeight w:val="395"/>
          <w:jc w:val="center"/>
        </w:trPr>
        <w:tc>
          <w:tcPr>
            <w:tcW w:w="2234" w:type="dxa"/>
            <w:tcBorders>
              <w:top w:val="single" w:sz="4" w:space="0" w:color="000000"/>
              <w:left w:val="single" w:sz="12" w:space="0" w:color="000000"/>
              <w:bottom w:val="single" w:sz="12"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4"/>
              </w:rPr>
            </w:pPr>
            <w:r>
              <w:rPr>
                <w:rFonts w:eastAsiaTheme="minorEastAsia"/>
                <w:b/>
                <w:color w:val="000000"/>
                <w:kern w:val="0"/>
                <w:sz w:val="24"/>
              </w:rPr>
              <w:t xml:space="preserve">7 </w:t>
            </w:r>
          </w:p>
        </w:tc>
        <w:tc>
          <w:tcPr>
            <w:tcW w:w="2253" w:type="dxa"/>
            <w:tcBorders>
              <w:top w:val="single" w:sz="4" w:space="0" w:color="000000"/>
              <w:left w:val="single" w:sz="4" w:space="0" w:color="000000"/>
              <w:bottom w:val="single" w:sz="12"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hAnsiTheme="minorEastAsia"/>
                <w:b/>
                <w:color w:val="000000"/>
                <w:kern w:val="0"/>
                <w:sz w:val="20"/>
                <w:szCs w:val="20"/>
              </w:rPr>
              <w:t>动态总投资</w:t>
            </w:r>
          </w:p>
        </w:tc>
        <w:tc>
          <w:tcPr>
            <w:tcW w:w="2250" w:type="dxa"/>
            <w:tcBorders>
              <w:top w:val="single" w:sz="4" w:space="0" w:color="000000"/>
              <w:left w:val="single" w:sz="4" w:space="0" w:color="000000"/>
              <w:bottom w:val="single" w:sz="12" w:space="0" w:color="000000"/>
              <w:right w:val="single" w:sz="4" w:space="0" w:color="000000"/>
            </w:tcBorders>
            <w:vAlign w:val="center"/>
          </w:tcPr>
          <w:p w:rsidR="009C5C1F" w:rsidRDefault="004D2E0D">
            <w:pPr>
              <w:autoSpaceDE w:val="0"/>
              <w:autoSpaceDN w:val="0"/>
              <w:adjustRightInd w:val="0"/>
              <w:jc w:val="center"/>
              <w:rPr>
                <w:rFonts w:eastAsiaTheme="minorEastAsia"/>
                <w:b/>
                <w:color w:val="000000"/>
                <w:kern w:val="0"/>
                <w:sz w:val="20"/>
                <w:szCs w:val="20"/>
              </w:rPr>
            </w:pPr>
            <w:r>
              <w:rPr>
                <w:rFonts w:eastAsiaTheme="minorEastAsia"/>
                <w:b/>
                <w:color w:val="000000"/>
                <w:kern w:val="0"/>
                <w:sz w:val="20"/>
                <w:szCs w:val="20"/>
              </w:rPr>
              <w:t>35.02</w:t>
            </w:r>
          </w:p>
        </w:tc>
        <w:tc>
          <w:tcPr>
            <w:tcW w:w="2233" w:type="dxa"/>
            <w:tcBorders>
              <w:top w:val="single" w:sz="4" w:space="0" w:color="000000"/>
              <w:left w:val="single" w:sz="4" w:space="0" w:color="000000"/>
              <w:bottom w:val="single" w:sz="12" w:space="0" w:color="000000"/>
              <w:right w:val="single" w:sz="12" w:space="0" w:color="000000"/>
            </w:tcBorders>
            <w:vAlign w:val="center"/>
          </w:tcPr>
          <w:p w:rsidR="009C5C1F" w:rsidRDefault="009C5C1F">
            <w:pPr>
              <w:autoSpaceDE w:val="0"/>
              <w:autoSpaceDN w:val="0"/>
              <w:adjustRightInd w:val="0"/>
              <w:jc w:val="center"/>
              <w:rPr>
                <w:rFonts w:eastAsiaTheme="minorEastAsia"/>
                <w:b/>
                <w:color w:val="000000"/>
                <w:kern w:val="0"/>
                <w:sz w:val="20"/>
                <w:szCs w:val="20"/>
              </w:rPr>
            </w:pPr>
          </w:p>
        </w:tc>
      </w:tr>
    </w:tbl>
    <w:p w:rsidR="009C5C1F" w:rsidRDefault="004D2E0D">
      <w:pPr>
        <w:suppressAutoHyphens/>
        <w:wordWrap w:val="0"/>
        <w:topLinePunct/>
        <w:spacing w:beforeLines="50" w:before="180" w:afterLines="50" w:after="180"/>
        <w:jc w:val="center"/>
        <w:rPr>
          <w:b/>
          <w:bCs/>
          <w:sz w:val="24"/>
        </w:rPr>
      </w:pPr>
      <w:r>
        <w:rPr>
          <w:rFonts w:hint="eastAsia"/>
          <w:b/>
          <w:bCs/>
          <w:sz w:val="24"/>
        </w:rPr>
        <w:t xml:space="preserve"> </w:t>
      </w:r>
      <w:r>
        <w:rPr>
          <w:b/>
          <w:bCs/>
          <w:sz w:val="24"/>
        </w:rPr>
        <w:t xml:space="preserve">       </w:t>
      </w:r>
      <w:r>
        <w:rPr>
          <w:b/>
          <w:bCs/>
          <w:sz w:val="24"/>
        </w:rPr>
        <w:t>表</w:t>
      </w:r>
      <w:r>
        <w:rPr>
          <w:b/>
          <w:bCs/>
          <w:sz w:val="24"/>
        </w:rPr>
        <w:t xml:space="preserve">7-11               </w:t>
      </w:r>
      <w:r>
        <w:rPr>
          <w:b/>
          <w:bCs/>
          <w:sz w:val="24"/>
        </w:rPr>
        <w:t>工程施工费单价估算表</w:t>
      </w:r>
      <w:r>
        <w:rPr>
          <w:rFonts w:hint="eastAsia"/>
          <w:b/>
          <w:bCs/>
          <w:sz w:val="24"/>
        </w:rPr>
        <w:t xml:space="preserve">     </w:t>
      </w:r>
    </w:p>
    <w:tbl>
      <w:tblPr>
        <w:tblW w:w="9621" w:type="dxa"/>
        <w:jc w:val="center"/>
        <w:tblLook w:val="04A0" w:firstRow="1" w:lastRow="0" w:firstColumn="1" w:lastColumn="0" w:noHBand="0" w:noVBand="1"/>
      </w:tblPr>
      <w:tblGrid>
        <w:gridCol w:w="426"/>
        <w:gridCol w:w="1080"/>
        <w:gridCol w:w="828"/>
        <w:gridCol w:w="1056"/>
        <w:gridCol w:w="1155"/>
        <w:gridCol w:w="951"/>
        <w:gridCol w:w="846"/>
        <w:gridCol w:w="846"/>
        <w:gridCol w:w="741"/>
        <w:gridCol w:w="741"/>
        <w:gridCol w:w="951"/>
      </w:tblGrid>
      <w:tr w:rsidR="009C5C1F">
        <w:trPr>
          <w:trHeight w:val="757"/>
          <w:jc w:val="center"/>
        </w:trPr>
        <w:tc>
          <w:tcPr>
            <w:tcW w:w="426" w:type="dxa"/>
            <w:tcBorders>
              <w:top w:val="single" w:sz="12"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序号</w:t>
            </w:r>
          </w:p>
        </w:tc>
        <w:tc>
          <w:tcPr>
            <w:tcW w:w="1080"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工程或费用名称</w:t>
            </w:r>
          </w:p>
        </w:tc>
        <w:tc>
          <w:tcPr>
            <w:tcW w:w="828"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单位</w:t>
            </w:r>
          </w:p>
        </w:tc>
        <w:tc>
          <w:tcPr>
            <w:tcW w:w="1056"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数量</w:t>
            </w:r>
          </w:p>
        </w:tc>
        <w:tc>
          <w:tcPr>
            <w:tcW w:w="1155"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直接费单价（元）</w:t>
            </w:r>
          </w:p>
        </w:tc>
        <w:tc>
          <w:tcPr>
            <w:tcW w:w="951"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直接工程费单价（元）</w:t>
            </w:r>
          </w:p>
        </w:tc>
        <w:tc>
          <w:tcPr>
            <w:tcW w:w="846"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措施费（元）</w:t>
            </w:r>
          </w:p>
        </w:tc>
        <w:tc>
          <w:tcPr>
            <w:tcW w:w="846"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间接费</w:t>
            </w:r>
            <w:r>
              <w:rPr>
                <w:rFonts w:ascii="宋体" w:hAnsiTheme="minorHAnsi" w:cs="宋体"/>
                <w:color w:val="000000"/>
                <w:kern w:val="0"/>
                <w:szCs w:val="21"/>
              </w:rPr>
              <w:t>(</w:t>
            </w:r>
            <w:r>
              <w:rPr>
                <w:rFonts w:ascii="宋体" w:hAnsiTheme="minorHAnsi" w:cs="宋体" w:hint="eastAsia"/>
                <w:color w:val="000000"/>
                <w:kern w:val="0"/>
                <w:szCs w:val="21"/>
              </w:rPr>
              <w:t>元</w:t>
            </w:r>
            <w:r>
              <w:rPr>
                <w:rFonts w:ascii="宋体" w:hAnsiTheme="minorHAnsi" w:cs="宋体"/>
                <w:color w:val="000000"/>
                <w:kern w:val="0"/>
                <w:szCs w:val="21"/>
              </w:rPr>
              <w:t>)</w:t>
            </w:r>
          </w:p>
        </w:tc>
        <w:tc>
          <w:tcPr>
            <w:tcW w:w="741"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利润</w:t>
            </w:r>
            <w:r>
              <w:rPr>
                <w:rFonts w:ascii="宋体" w:hAnsiTheme="minorHAnsi" w:cs="宋体"/>
                <w:color w:val="000000"/>
                <w:kern w:val="0"/>
                <w:szCs w:val="21"/>
              </w:rPr>
              <w:t>(</w:t>
            </w:r>
            <w:r>
              <w:rPr>
                <w:rFonts w:ascii="宋体" w:hAnsiTheme="minorHAnsi" w:cs="宋体" w:hint="eastAsia"/>
                <w:color w:val="000000"/>
                <w:kern w:val="0"/>
                <w:szCs w:val="21"/>
              </w:rPr>
              <w:t>元</w:t>
            </w:r>
            <w:r>
              <w:rPr>
                <w:rFonts w:ascii="宋体" w:hAnsiTheme="minorHAnsi" w:cs="宋体"/>
                <w:color w:val="000000"/>
                <w:kern w:val="0"/>
                <w:szCs w:val="21"/>
              </w:rPr>
              <w:t>)</w:t>
            </w:r>
          </w:p>
        </w:tc>
        <w:tc>
          <w:tcPr>
            <w:tcW w:w="741" w:type="dxa"/>
            <w:tcBorders>
              <w:top w:val="single" w:sz="12"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税金</w:t>
            </w:r>
            <w:r>
              <w:rPr>
                <w:rFonts w:ascii="宋体" w:hAnsiTheme="minorHAnsi" w:cs="宋体"/>
                <w:color w:val="000000"/>
                <w:kern w:val="0"/>
                <w:szCs w:val="21"/>
              </w:rPr>
              <w:t>(</w:t>
            </w:r>
            <w:r>
              <w:rPr>
                <w:rFonts w:ascii="宋体" w:hAnsiTheme="minorHAnsi" w:cs="宋体" w:hint="eastAsia"/>
                <w:color w:val="000000"/>
                <w:kern w:val="0"/>
                <w:szCs w:val="21"/>
              </w:rPr>
              <w:t>元</w:t>
            </w:r>
            <w:r>
              <w:rPr>
                <w:rFonts w:ascii="宋体" w:hAnsiTheme="minorHAnsi" w:cs="宋体"/>
                <w:color w:val="000000"/>
                <w:kern w:val="0"/>
                <w:szCs w:val="21"/>
              </w:rPr>
              <w:t>)</w:t>
            </w:r>
          </w:p>
        </w:tc>
        <w:tc>
          <w:tcPr>
            <w:tcW w:w="951" w:type="dxa"/>
            <w:tcBorders>
              <w:top w:val="single" w:sz="12"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综合单价（元）</w:t>
            </w:r>
          </w:p>
        </w:tc>
      </w:tr>
      <w:tr w:rsidR="009C5C1F">
        <w:trPr>
          <w:trHeight w:val="538"/>
          <w:jc w:val="center"/>
        </w:trPr>
        <w:tc>
          <w:tcPr>
            <w:tcW w:w="426"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color w:val="000000"/>
                <w:kern w:val="0"/>
                <w:szCs w:val="21"/>
              </w:rPr>
              <w:t>1</w:t>
            </w:r>
          </w:p>
        </w:tc>
        <w:tc>
          <w:tcPr>
            <w:tcW w:w="108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土方工程</w:t>
            </w:r>
          </w:p>
        </w:tc>
        <w:tc>
          <w:tcPr>
            <w:tcW w:w="828"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1056"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1155"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951"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846"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846"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741"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741"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951" w:type="dxa"/>
            <w:tcBorders>
              <w:top w:val="single" w:sz="6" w:space="0" w:color="000000"/>
              <w:left w:val="single" w:sz="6" w:space="0" w:color="000000"/>
              <w:bottom w:val="single" w:sz="6" w:space="0" w:color="000000"/>
              <w:right w:val="single" w:sz="12"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r>
      <w:tr w:rsidR="009C5C1F">
        <w:trPr>
          <w:trHeight w:val="538"/>
          <w:jc w:val="center"/>
        </w:trPr>
        <w:tc>
          <w:tcPr>
            <w:tcW w:w="426" w:type="dxa"/>
            <w:tcBorders>
              <w:top w:val="single" w:sz="6" w:space="0" w:color="000000"/>
              <w:left w:val="single" w:sz="12"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土地平整</w:t>
            </w:r>
          </w:p>
        </w:tc>
        <w:tc>
          <w:tcPr>
            <w:tcW w:w="828"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color w:val="000000"/>
                <w:kern w:val="0"/>
                <w:szCs w:val="21"/>
              </w:rPr>
              <w:t>100m</w:t>
            </w:r>
            <w:r>
              <w:rPr>
                <w:rFonts w:ascii="宋体" w:hAnsiTheme="minorHAnsi" w:cs="宋体"/>
                <w:color w:val="000000"/>
                <w:kern w:val="0"/>
                <w:szCs w:val="21"/>
                <w:vertAlign w:val="superscript"/>
              </w:rPr>
              <w:t>3</w:t>
            </w:r>
          </w:p>
        </w:tc>
        <w:tc>
          <w:tcPr>
            <w:tcW w:w="105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color w:val="000000"/>
                <w:szCs w:val="21"/>
              </w:rPr>
              <w:t>509.70</w:t>
            </w:r>
          </w:p>
        </w:tc>
        <w:tc>
          <w:tcPr>
            <w:tcW w:w="115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109.69</w:t>
            </w:r>
          </w:p>
        </w:tc>
        <w:tc>
          <w:tcPr>
            <w:tcW w:w="95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hint="eastAsia"/>
                <w:color w:val="000000"/>
                <w:szCs w:val="21"/>
              </w:rPr>
              <w:t>1</w:t>
            </w:r>
            <w:r>
              <w:rPr>
                <w:color w:val="000000"/>
                <w:szCs w:val="21"/>
              </w:rPr>
              <w:t>05.88</w:t>
            </w:r>
            <w:r>
              <w:rPr>
                <w:rFonts w:hint="eastAsia"/>
                <w:color w:val="000000"/>
                <w:szCs w:val="21"/>
              </w:rPr>
              <w:t xml:space="preserve"> </w:t>
            </w:r>
          </w:p>
        </w:tc>
        <w:tc>
          <w:tcPr>
            <w:tcW w:w="84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3.81</w:t>
            </w:r>
            <w:r>
              <w:rPr>
                <w:rFonts w:hint="eastAsia"/>
                <w:color w:val="000000"/>
                <w:szCs w:val="21"/>
              </w:rPr>
              <w:t xml:space="preserve"> </w:t>
            </w:r>
          </w:p>
        </w:tc>
        <w:tc>
          <w:tcPr>
            <w:tcW w:w="84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5.48</w:t>
            </w:r>
            <w:r>
              <w:rPr>
                <w:rFonts w:hint="eastAsia"/>
                <w:color w:val="000000"/>
                <w:szCs w:val="21"/>
              </w:rPr>
              <w:t xml:space="preserve"> </w:t>
            </w:r>
          </w:p>
        </w:tc>
        <w:tc>
          <w:tcPr>
            <w:tcW w:w="74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3.46</w:t>
            </w:r>
            <w:r>
              <w:rPr>
                <w:rFonts w:hint="eastAsia"/>
                <w:color w:val="000000"/>
                <w:szCs w:val="21"/>
              </w:rPr>
              <w:t xml:space="preserve"> </w:t>
            </w:r>
          </w:p>
        </w:tc>
        <w:tc>
          <w:tcPr>
            <w:tcW w:w="74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3</w:t>
            </w:r>
            <w:r>
              <w:rPr>
                <w:rFonts w:hint="eastAsia"/>
                <w:color w:val="000000"/>
                <w:szCs w:val="21"/>
              </w:rPr>
              <w:t>0.2</w:t>
            </w:r>
            <w:r>
              <w:rPr>
                <w:color w:val="000000"/>
                <w:szCs w:val="21"/>
              </w:rPr>
              <w:t>3</w:t>
            </w:r>
            <w:r>
              <w:rPr>
                <w:rFonts w:hint="eastAsia"/>
                <w:color w:val="000000"/>
                <w:szCs w:val="21"/>
              </w:rPr>
              <w:t xml:space="preserve"> </w:t>
            </w:r>
          </w:p>
        </w:tc>
        <w:tc>
          <w:tcPr>
            <w:tcW w:w="951" w:type="dxa"/>
            <w:tcBorders>
              <w:top w:val="single" w:sz="6"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366.11</w:t>
            </w:r>
          </w:p>
        </w:tc>
      </w:tr>
      <w:tr w:rsidR="009C5C1F">
        <w:trPr>
          <w:trHeight w:val="538"/>
          <w:jc w:val="center"/>
        </w:trPr>
        <w:tc>
          <w:tcPr>
            <w:tcW w:w="426" w:type="dxa"/>
            <w:tcBorders>
              <w:top w:val="single" w:sz="6" w:space="0" w:color="000000"/>
              <w:left w:val="single" w:sz="12"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土地翻耕</w:t>
            </w:r>
          </w:p>
        </w:tc>
        <w:tc>
          <w:tcPr>
            <w:tcW w:w="828"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color w:val="000000"/>
                <w:kern w:val="0"/>
                <w:szCs w:val="21"/>
              </w:rPr>
              <w:t>m</w:t>
            </w:r>
            <w:r>
              <w:rPr>
                <w:rFonts w:ascii="宋体" w:hAnsiTheme="minorHAnsi" w:cs="宋体"/>
                <w:color w:val="000000"/>
                <w:kern w:val="0"/>
                <w:szCs w:val="21"/>
                <w:vertAlign w:val="superscript"/>
              </w:rPr>
              <w:t>2</w:t>
            </w:r>
          </w:p>
        </w:tc>
        <w:tc>
          <w:tcPr>
            <w:tcW w:w="105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color w:val="000000"/>
                <w:kern w:val="0"/>
                <w:szCs w:val="21"/>
              </w:rPr>
              <w:t>0</w:t>
            </w:r>
          </w:p>
        </w:tc>
        <w:tc>
          <w:tcPr>
            <w:tcW w:w="115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0</w:t>
            </w:r>
          </w:p>
        </w:tc>
        <w:tc>
          <w:tcPr>
            <w:tcW w:w="95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0</w:t>
            </w:r>
            <w:r>
              <w:rPr>
                <w:rFonts w:hint="eastAsia"/>
                <w:color w:val="000000"/>
                <w:szCs w:val="21"/>
              </w:rPr>
              <w:t xml:space="preserve"> </w:t>
            </w:r>
          </w:p>
        </w:tc>
        <w:tc>
          <w:tcPr>
            <w:tcW w:w="84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0</w:t>
            </w:r>
          </w:p>
        </w:tc>
        <w:tc>
          <w:tcPr>
            <w:tcW w:w="84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0</w:t>
            </w:r>
            <w:r>
              <w:rPr>
                <w:rFonts w:hint="eastAsia"/>
                <w:color w:val="000000"/>
                <w:szCs w:val="21"/>
              </w:rPr>
              <w:t xml:space="preserve"> </w:t>
            </w:r>
          </w:p>
        </w:tc>
        <w:tc>
          <w:tcPr>
            <w:tcW w:w="74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0</w:t>
            </w:r>
          </w:p>
        </w:tc>
        <w:tc>
          <w:tcPr>
            <w:tcW w:w="74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0</w:t>
            </w:r>
            <w:r>
              <w:rPr>
                <w:rFonts w:hint="eastAsia"/>
                <w:color w:val="000000"/>
                <w:szCs w:val="21"/>
              </w:rPr>
              <w:t xml:space="preserve"> </w:t>
            </w:r>
          </w:p>
        </w:tc>
        <w:tc>
          <w:tcPr>
            <w:tcW w:w="951" w:type="dxa"/>
            <w:tcBorders>
              <w:top w:val="single" w:sz="6"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0</w:t>
            </w:r>
            <w:r>
              <w:rPr>
                <w:rFonts w:hint="eastAsia"/>
                <w:color w:val="000000"/>
                <w:szCs w:val="21"/>
              </w:rPr>
              <w:t xml:space="preserve"> </w:t>
            </w:r>
          </w:p>
        </w:tc>
      </w:tr>
      <w:tr w:rsidR="009C5C1F">
        <w:trPr>
          <w:trHeight w:val="540"/>
          <w:jc w:val="center"/>
        </w:trPr>
        <w:tc>
          <w:tcPr>
            <w:tcW w:w="426" w:type="dxa"/>
            <w:tcBorders>
              <w:top w:val="single" w:sz="6" w:space="0" w:color="000000"/>
              <w:left w:val="single" w:sz="12"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108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覆土工程</w:t>
            </w:r>
          </w:p>
        </w:tc>
        <w:tc>
          <w:tcPr>
            <w:tcW w:w="828"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color w:val="000000"/>
                <w:kern w:val="0"/>
                <w:szCs w:val="21"/>
              </w:rPr>
              <w:t>100m</w:t>
            </w:r>
            <w:r>
              <w:rPr>
                <w:rFonts w:ascii="宋体" w:hAnsiTheme="minorHAnsi" w:cs="宋体"/>
                <w:color w:val="000000"/>
                <w:kern w:val="0"/>
                <w:szCs w:val="21"/>
                <w:vertAlign w:val="superscript"/>
              </w:rPr>
              <w:t>3</w:t>
            </w:r>
          </w:p>
        </w:tc>
        <w:tc>
          <w:tcPr>
            <w:tcW w:w="105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2</w:t>
            </w:r>
            <w:r>
              <w:rPr>
                <w:rFonts w:ascii="宋体" w:hAnsiTheme="minorHAnsi" w:cs="宋体"/>
                <w:color w:val="000000"/>
                <w:kern w:val="0"/>
                <w:szCs w:val="21"/>
              </w:rPr>
              <w:t>54.85</w:t>
            </w:r>
          </w:p>
        </w:tc>
        <w:tc>
          <w:tcPr>
            <w:tcW w:w="115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hint="eastAsia"/>
                <w:color w:val="000000"/>
                <w:szCs w:val="21"/>
              </w:rPr>
              <w:t xml:space="preserve">122.22 </w:t>
            </w:r>
          </w:p>
        </w:tc>
        <w:tc>
          <w:tcPr>
            <w:tcW w:w="95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szCs w:val="21"/>
              </w:rPr>
              <w:t>1</w:t>
            </w:r>
            <w:r>
              <w:rPr>
                <w:rFonts w:ascii="宋体" w:hAnsiTheme="minorHAnsi" w:cs="宋体"/>
                <w:color w:val="000000"/>
                <w:szCs w:val="21"/>
              </w:rPr>
              <w:t>17.07</w:t>
            </w:r>
          </w:p>
        </w:tc>
        <w:tc>
          <w:tcPr>
            <w:tcW w:w="84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5.15</w:t>
            </w:r>
            <w:r>
              <w:rPr>
                <w:rFonts w:hint="eastAsia"/>
                <w:color w:val="000000"/>
                <w:szCs w:val="21"/>
              </w:rPr>
              <w:t xml:space="preserve"> </w:t>
            </w:r>
          </w:p>
        </w:tc>
        <w:tc>
          <w:tcPr>
            <w:tcW w:w="84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6.11</w:t>
            </w:r>
            <w:r>
              <w:rPr>
                <w:rFonts w:hint="eastAsia"/>
                <w:color w:val="000000"/>
                <w:szCs w:val="21"/>
              </w:rPr>
              <w:t xml:space="preserve"> </w:t>
            </w:r>
          </w:p>
        </w:tc>
        <w:tc>
          <w:tcPr>
            <w:tcW w:w="74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3.85</w:t>
            </w:r>
            <w:r>
              <w:rPr>
                <w:rFonts w:hint="eastAsia"/>
                <w:color w:val="000000"/>
                <w:szCs w:val="21"/>
              </w:rPr>
              <w:t xml:space="preserve"> </w:t>
            </w:r>
          </w:p>
        </w:tc>
        <w:tc>
          <w:tcPr>
            <w:tcW w:w="74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color w:val="000000"/>
                <w:szCs w:val="21"/>
              </w:rPr>
              <w:t>4.53</w:t>
            </w:r>
            <w:r>
              <w:rPr>
                <w:rFonts w:hint="eastAsia"/>
                <w:color w:val="000000"/>
                <w:szCs w:val="21"/>
              </w:rPr>
              <w:t xml:space="preserve"> </w:t>
            </w:r>
          </w:p>
        </w:tc>
        <w:tc>
          <w:tcPr>
            <w:tcW w:w="951" w:type="dxa"/>
            <w:tcBorders>
              <w:top w:val="single" w:sz="6"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hint="eastAsia"/>
                <w:color w:val="000000"/>
                <w:szCs w:val="21"/>
              </w:rPr>
              <w:t xml:space="preserve">136.71 </w:t>
            </w:r>
          </w:p>
        </w:tc>
      </w:tr>
      <w:tr w:rsidR="009C5C1F">
        <w:trPr>
          <w:trHeight w:val="538"/>
          <w:jc w:val="center"/>
        </w:trPr>
        <w:tc>
          <w:tcPr>
            <w:tcW w:w="426" w:type="dxa"/>
            <w:tcBorders>
              <w:top w:val="single" w:sz="6" w:space="0" w:color="000000"/>
              <w:left w:val="single" w:sz="12"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color w:val="000000"/>
                <w:kern w:val="0"/>
                <w:szCs w:val="21"/>
              </w:rPr>
              <w:t>2</w:t>
            </w:r>
          </w:p>
        </w:tc>
        <w:tc>
          <w:tcPr>
            <w:tcW w:w="1080"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植被工程</w:t>
            </w:r>
          </w:p>
        </w:tc>
        <w:tc>
          <w:tcPr>
            <w:tcW w:w="828" w:type="dxa"/>
            <w:tcBorders>
              <w:top w:val="single" w:sz="6" w:space="0" w:color="000000"/>
              <w:left w:val="single" w:sz="6" w:space="0" w:color="000000"/>
              <w:bottom w:val="single" w:sz="6" w:space="0" w:color="000000"/>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105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0</w:t>
            </w:r>
          </w:p>
        </w:tc>
        <w:tc>
          <w:tcPr>
            <w:tcW w:w="1155"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0</w:t>
            </w:r>
          </w:p>
        </w:tc>
        <w:tc>
          <w:tcPr>
            <w:tcW w:w="95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0</w:t>
            </w:r>
          </w:p>
        </w:tc>
        <w:tc>
          <w:tcPr>
            <w:tcW w:w="84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0</w:t>
            </w:r>
          </w:p>
        </w:tc>
        <w:tc>
          <w:tcPr>
            <w:tcW w:w="846"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0</w:t>
            </w:r>
          </w:p>
        </w:tc>
        <w:tc>
          <w:tcPr>
            <w:tcW w:w="74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0</w:t>
            </w:r>
          </w:p>
        </w:tc>
        <w:tc>
          <w:tcPr>
            <w:tcW w:w="741" w:type="dxa"/>
            <w:tcBorders>
              <w:top w:val="single" w:sz="6" w:space="0" w:color="000000"/>
              <w:left w:val="single" w:sz="6" w:space="0" w:color="000000"/>
              <w:bottom w:val="single" w:sz="6" w:space="0" w:color="000000"/>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0</w:t>
            </w:r>
          </w:p>
        </w:tc>
        <w:tc>
          <w:tcPr>
            <w:tcW w:w="951" w:type="dxa"/>
            <w:tcBorders>
              <w:top w:val="single" w:sz="6" w:space="0" w:color="000000"/>
              <w:left w:val="single" w:sz="6" w:space="0" w:color="000000"/>
              <w:bottom w:val="single" w:sz="6" w:space="0" w:color="000000"/>
              <w:right w:val="single" w:sz="12"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0</w:t>
            </w:r>
          </w:p>
        </w:tc>
      </w:tr>
      <w:tr w:rsidR="009C5C1F">
        <w:trPr>
          <w:trHeight w:val="538"/>
          <w:jc w:val="center"/>
        </w:trPr>
        <w:tc>
          <w:tcPr>
            <w:tcW w:w="426" w:type="dxa"/>
            <w:tcBorders>
              <w:top w:val="single" w:sz="6" w:space="0" w:color="000000"/>
              <w:left w:val="single" w:sz="12" w:space="0" w:color="000000"/>
              <w:bottom w:val="single" w:sz="4" w:space="0" w:color="auto"/>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color w:val="000000"/>
                <w:kern w:val="0"/>
                <w:szCs w:val="21"/>
              </w:rPr>
              <w:t>3</w:t>
            </w:r>
          </w:p>
        </w:tc>
        <w:tc>
          <w:tcPr>
            <w:tcW w:w="1080" w:type="dxa"/>
            <w:tcBorders>
              <w:top w:val="single" w:sz="6" w:space="0" w:color="000000"/>
              <w:left w:val="single" w:sz="6" w:space="0" w:color="000000"/>
              <w:bottom w:val="single" w:sz="4" w:space="0" w:color="auto"/>
              <w:right w:val="single" w:sz="6" w:space="0" w:color="000000"/>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其他工程</w:t>
            </w:r>
          </w:p>
        </w:tc>
        <w:tc>
          <w:tcPr>
            <w:tcW w:w="828" w:type="dxa"/>
            <w:tcBorders>
              <w:top w:val="single" w:sz="6" w:space="0" w:color="000000"/>
              <w:left w:val="single" w:sz="6" w:space="0" w:color="000000"/>
              <w:bottom w:val="single" w:sz="4" w:space="0" w:color="auto"/>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1056" w:type="dxa"/>
            <w:tcBorders>
              <w:top w:val="single" w:sz="6" w:space="0" w:color="000000"/>
              <w:left w:val="single" w:sz="6" w:space="0" w:color="000000"/>
              <w:bottom w:val="single" w:sz="4" w:space="0" w:color="auto"/>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1155" w:type="dxa"/>
            <w:tcBorders>
              <w:top w:val="single" w:sz="6" w:space="0" w:color="000000"/>
              <w:left w:val="single" w:sz="6" w:space="0" w:color="000000"/>
              <w:bottom w:val="single" w:sz="4" w:space="0" w:color="auto"/>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951" w:type="dxa"/>
            <w:tcBorders>
              <w:top w:val="single" w:sz="6" w:space="0" w:color="000000"/>
              <w:left w:val="single" w:sz="6" w:space="0" w:color="000000"/>
              <w:bottom w:val="single" w:sz="4" w:space="0" w:color="auto"/>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846" w:type="dxa"/>
            <w:tcBorders>
              <w:top w:val="single" w:sz="6" w:space="0" w:color="000000"/>
              <w:left w:val="single" w:sz="6" w:space="0" w:color="000000"/>
              <w:bottom w:val="single" w:sz="4" w:space="0" w:color="auto"/>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846" w:type="dxa"/>
            <w:tcBorders>
              <w:top w:val="single" w:sz="6" w:space="0" w:color="000000"/>
              <w:left w:val="single" w:sz="6" w:space="0" w:color="000000"/>
              <w:bottom w:val="single" w:sz="4" w:space="0" w:color="auto"/>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741" w:type="dxa"/>
            <w:tcBorders>
              <w:top w:val="single" w:sz="6" w:space="0" w:color="000000"/>
              <w:left w:val="single" w:sz="6" w:space="0" w:color="000000"/>
              <w:bottom w:val="single" w:sz="4" w:space="0" w:color="auto"/>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741" w:type="dxa"/>
            <w:tcBorders>
              <w:top w:val="single" w:sz="6" w:space="0" w:color="000000"/>
              <w:left w:val="single" w:sz="6" w:space="0" w:color="000000"/>
              <w:bottom w:val="single" w:sz="4" w:space="0" w:color="auto"/>
              <w:right w:val="single" w:sz="6"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951" w:type="dxa"/>
            <w:tcBorders>
              <w:top w:val="single" w:sz="6" w:space="0" w:color="000000"/>
              <w:left w:val="single" w:sz="6" w:space="0" w:color="000000"/>
              <w:bottom w:val="single" w:sz="4" w:space="0" w:color="auto"/>
              <w:right w:val="single" w:sz="12" w:space="0" w:color="000000"/>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r>
      <w:tr w:rsidR="009C5C1F">
        <w:trPr>
          <w:trHeight w:val="538"/>
          <w:jc w:val="center"/>
        </w:trPr>
        <w:tc>
          <w:tcPr>
            <w:tcW w:w="426" w:type="dxa"/>
            <w:tcBorders>
              <w:top w:val="single" w:sz="4" w:space="0" w:color="auto"/>
              <w:left w:val="single" w:sz="12" w:space="0" w:color="auto"/>
              <w:bottom w:val="single" w:sz="12" w:space="0" w:color="auto"/>
              <w:right w:val="single" w:sz="4" w:space="0" w:color="auto"/>
            </w:tcBorders>
            <w:vAlign w:val="center"/>
          </w:tcPr>
          <w:p w:rsidR="009C5C1F" w:rsidRDefault="009C5C1F">
            <w:pPr>
              <w:autoSpaceDE w:val="0"/>
              <w:autoSpaceDN w:val="0"/>
              <w:adjustRightInd w:val="0"/>
              <w:spacing w:line="240" w:lineRule="exact"/>
              <w:jc w:val="center"/>
              <w:rPr>
                <w:rFonts w:ascii="宋体" w:hAnsiTheme="minorHAnsi" w:cs="宋体"/>
                <w:color w:val="000000"/>
                <w:kern w:val="0"/>
                <w:szCs w:val="21"/>
              </w:rPr>
            </w:pPr>
          </w:p>
        </w:tc>
        <w:tc>
          <w:tcPr>
            <w:tcW w:w="1080" w:type="dxa"/>
            <w:tcBorders>
              <w:top w:val="single" w:sz="4" w:space="0" w:color="auto"/>
              <w:left w:val="single" w:sz="4" w:space="0" w:color="auto"/>
              <w:bottom w:val="single" w:sz="12" w:space="0" w:color="auto"/>
              <w:right w:val="single" w:sz="4" w:space="0" w:color="auto"/>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砌体拆除</w:t>
            </w:r>
          </w:p>
        </w:tc>
        <w:tc>
          <w:tcPr>
            <w:tcW w:w="828" w:type="dxa"/>
            <w:tcBorders>
              <w:top w:val="single" w:sz="4" w:space="0" w:color="auto"/>
              <w:left w:val="single" w:sz="4" w:space="0" w:color="auto"/>
              <w:bottom w:val="single" w:sz="12" w:space="0" w:color="auto"/>
              <w:right w:val="single" w:sz="4" w:space="0" w:color="auto"/>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color w:val="000000"/>
                <w:kern w:val="0"/>
                <w:szCs w:val="21"/>
              </w:rPr>
              <w:t>100m</w:t>
            </w:r>
            <w:r>
              <w:rPr>
                <w:rFonts w:ascii="宋体" w:hAnsiTheme="minorHAnsi" w:cs="宋体"/>
                <w:color w:val="000000"/>
                <w:kern w:val="0"/>
                <w:szCs w:val="21"/>
                <w:vertAlign w:val="superscript"/>
              </w:rPr>
              <w:t>3</w:t>
            </w:r>
          </w:p>
        </w:tc>
        <w:tc>
          <w:tcPr>
            <w:tcW w:w="1056" w:type="dxa"/>
            <w:tcBorders>
              <w:top w:val="single" w:sz="4" w:space="0" w:color="auto"/>
              <w:left w:val="single" w:sz="4" w:space="0" w:color="auto"/>
              <w:bottom w:val="single" w:sz="12" w:space="0" w:color="auto"/>
              <w:right w:val="single" w:sz="4" w:space="0" w:color="auto"/>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1</w:t>
            </w:r>
            <w:r>
              <w:rPr>
                <w:rFonts w:ascii="宋体" w:hAnsiTheme="minorHAnsi" w:cs="宋体"/>
                <w:color w:val="000000"/>
                <w:kern w:val="0"/>
                <w:szCs w:val="21"/>
              </w:rPr>
              <w:t>.5</w:t>
            </w:r>
          </w:p>
        </w:tc>
        <w:tc>
          <w:tcPr>
            <w:tcW w:w="1155" w:type="dxa"/>
            <w:tcBorders>
              <w:top w:val="single" w:sz="4" w:space="0" w:color="auto"/>
              <w:left w:val="single" w:sz="4" w:space="0" w:color="auto"/>
              <w:bottom w:val="single" w:sz="12" w:space="0" w:color="auto"/>
              <w:right w:val="single" w:sz="4" w:space="0" w:color="auto"/>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2</w:t>
            </w:r>
            <w:r>
              <w:rPr>
                <w:rFonts w:ascii="宋体" w:hAnsiTheme="minorHAnsi" w:cs="宋体"/>
                <w:color w:val="000000"/>
                <w:kern w:val="0"/>
                <w:szCs w:val="21"/>
              </w:rPr>
              <w:t>027.68</w:t>
            </w:r>
          </w:p>
        </w:tc>
        <w:tc>
          <w:tcPr>
            <w:tcW w:w="951" w:type="dxa"/>
            <w:tcBorders>
              <w:top w:val="single" w:sz="4" w:space="0" w:color="auto"/>
              <w:left w:val="single" w:sz="4" w:space="0" w:color="auto"/>
              <w:bottom w:val="single" w:sz="12" w:space="0" w:color="auto"/>
              <w:right w:val="single" w:sz="4" w:space="0" w:color="auto"/>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1</w:t>
            </w:r>
            <w:r>
              <w:rPr>
                <w:rFonts w:ascii="宋体" w:hAnsiTheme="minorHAnsi" w:cs="宋体"/>
                <w:color w:val="000000"/>
                <w:kern w:val="0"/>
                <w:szCs w:val="21"/>
              </w:rPr>
              <w:t>942.22</w:t>
            </w:r>
          </w:p>
        </w:tc>
        <w:tc>
          <w:tcPr>
            <w:tcW w:w="846" w:type="dxa"/>
            <w:tcBorders>
              <w:top w:val="single" w:sz="4" w:space="0" w:color="auto"/>
              <w:left w:val="single" w:sz="4" w:space="0" w:color="auto"/>
              <w:bottom w:val="single" w:sz="12" w:space="0" w:color="auto"/>
              <w:right w:val="single" w:sz="4" w:space="0" w:color="auto"/>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8</w:t>
            </w:r>
            <w:r>
              <w:rPr>
                <w:rFonts w:ascii="宋体" w:hAnsiTheme="minorHAnsi" w:cs="宋体"/>
                <w:color w:val="000000"/>
                <w:kern w:val="0"/>
                <w:szCs w:val="21"/>
              </w:rPr>
              <w:t>5.46</w:t>
            </w:r>
          </w:p>
        </w:tc>
        <w:tc>
          <w:tcPr>
            <w:tcW w:w="846" w:type="dxa"/>
            <w:tcBorders>
              <w:top w:val="single" w:sz="4" w:space="0" w:color="auto"/>
              <w:left w:val="single" w:sz="4" w:space="0" w:color="auto"/>
              <w:bottom w:val="single" w:sz="12" w:space="0" w:color="auto"/>
              <w:right w:val="single" w:sz="4" w:space="0" w:color="auto"/>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1</w:t>
            </w:r>
            <w:r>
              <w:rPr>
                <w:rFonts w:ascii="宋体" w:hAnsiTheme="minorHAnsi" w:cs="宋体"/>
                <w:color w:val="000000"/>
                <w:kern w:val="0"/>
                <w:szCs w:val="21"/>
              </w:rPr>
              <w:t>01.38</w:t>
            </w:r>
          </w:p>
        </w:tc>
        <w:tc>
          <w:tcPr>
            <w:tcW w:w="741" w:type="dxa"/>
            <w:tcBorders>
              <w:top w:val="single" w:sz="4" w:space="0" w:color="auto"/>
              <w:left w:val="single" w:sz="4" w:space="0" w:color="auto"/>
              <w:bottom w:val="single" w:sz="12" w:space="0" w:color="auto"/>
              <w:right w:val="single" w:sz="4" w:space="0" w:color="auto"/>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6</w:t>
            </w:r>
            <w:r>
              <w:rPr>
                <w:rFonts w:ascii="宋体" w:hAnsiTheme="minorHAnsi" w:cs="宋体"/>
                <w:color w:val="000000"/>
                <w:kern w:val="0"/>
                <w:szCs w:val="21"/>
              </w:rPr>
              <w:t>3.87</w:t>
            </w:r>
          </w:p>
        </w:tc>
        <w:tc>
          <w:tcPr>
            <w:tcW w:w="741" w:type="dxa"/>
            <w:tcBorders>
              <w:top w:val="single" w:sz="4" w:space="0" w:color="auto"/>
              <w:left w:val="single" w:sz="4" w:space="0" w:color="auto"/>
              <w:bottom w:val="single" w:sz="12" w:space="0" w:color="auto"/>
              <w:right w:val="single" w:sz="4" w:space="0" w:color="auto"/>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7</w:t>
            </w:r>
            <w:r>
              <w:rPr>
                <w:rFonts w:ascii="宋体" w:hAnsiTheme="minorHAnsi" w:cs="宋体"/>
                <w:color w:val="000000"/>
                <w:kern w:val="0"/>
                <w:szCs w:val="21"/>
              </w:rPr>
              <w:t>1.93</w:t>
            </w:r>
          </w:p>
        </w:tc>
        <w:tc>
          <w:tcPr>
            <w:tcW w:w="951" w:type="dxa"/>
            <w:tcBorders>
              <w:top w:val="single" w:sz="4" w:space="0" w:color="auto"/>
              <w:left w:val="single" w:sz="4" w:space="0" w:color="auto"/>
              <w:bottom w:val="single" w:sz="12" w:space="0" w:color="auto"/>
              <w:right w:val="single" w:sz="12" w:space="0" w:color="auto"/>
            </w:tcBorders>
            <w:vAlign w:val="center"/>
          </w:tcPr>
          <w:p w:rsidR="009C5C1F" w:rsidRDefault="004D2E0D">
            <w:pPr>
              <w:autoSpaceDE w:val="0"/>
              <w:autoSpaceDN w:val="0"/>
              <w:adjustRightInd w:val="0"/>
              <w:spacing w:line="240" w:lineRule="exact"/>
              <w:jc w:val="center"/>
              <w:rPr>
                <w:rFonts w:ascii="宋体" w:hAnsiTheme="minorHAnsi" w:cs="宋体"/>
                <w:color w:val="000000"/>
                <w:kern w:val="0"/>
                <w:szCs w:val="21"/>
              </w:rPr>
            </w:pPr>
            <w:r>
              <w:rPr>
                <w:rFonts w:ascii="宋体" w:hAnsiTheme="minorHAnsi" w:cs="宋体" w:hint="eastAsia"/>
                <w:color w:val="000000"/>
                <w:kern w:val="0"/>
                <w:szCs w:val="21"/>
              </w:rPr>
              <w:t>2</w:t>
            </w:r>
            <w:r>
              <w:rPr>
                <w:rFonts w:ascii="宋体" w:hAnsiTheme="minorHAnsi" w:cs="宋体"/>
                <w:color w:val="000000"/>
                <w:kern w:val="0"/>
                <w:szCs w:val="21"/>
              </w:rPr>
              <w:t>264.86</w:t>
            </w:r>
          </w:p>
        </w:tc>
      </w:tr>
    </w:tbl>
    <w:p w:rsidR="009C5C1F" w:rsidRDefault="004D2E0D">
      <w:pPr>
        <w:suppressAutoHyphens/>
        <w:wordWrap w:val="0"/>
        <w:topLinePunct/>
        <w:spacing w:beforeLines="50" w:before="180" w:afterLines="50" w:after="180"/>
        <w:jc w:val="center"/>
        <w:rPr>
          <w:b/>
          <w:bCs/>
          <w:sz w:val="24"/>
        </w:rPr>
      </w:pPr>
      <w:r>
        <w:rPr>
          <w:b/>
          <w:bCs/>
          <w:sz w:val="24"/>
        </w:rPr>
        <w:t xml:space="preserve">   </w:t>
      </w:r>
      <w:r>
        <w:rPr>
          <w:rFonts w:hint="eastAsia"/>
          <w:b/>
          <w:bCs/>
          <w:sz w:val="24"/>
        </w:rPr>
        <w:t xml:space="preserve"> </w:t>
      </w:r>
      <w:r>
        <w:rPr>
          <w:b/>
          <w:bCs/>
          <w:sz w:val="24"/>
        </w:rPr>
        <w:t xml:space="preserve">  </w:t>
      </w:r>
      <w:r>
        <w:rPr>
          <w:b/>
          <w:bCs/>
          <w:sz w:val="24"/>
        </w:rPr>
        <w:t>表</w:t>
      </w:r>
      <w:r>
        <w:rPr>
          <w:b/>
          <w:bCs/>
          <w:sz w:val="24"/>
        </w:rPr>
        <w:t xml:space="preserve">7-12               </w:t>
      </w:r>
      <w:r>
        <w:rPr>
          <w:rFonts w:hint="eastAsia"/>
          <w:b/>
          <w:bCs/>
          <w:sz w:val="24"/>
        </w:rPr>
        <w:t xml:space="preserve"> </w:t>
      </w:r>
      <w:r>
        <w:rPr>
          <w:b/>
          <w:bCs/>
          <w:sz w:val="24"/>
        </w:rPr>
        <w:t>工程措施费估算表</w:t>
      </w:r>
      <w:r>
        <w:rPr>
          <w:rFonts w:hint="eastAsia"/>
          <w:b/>
          <w:bCs/>
          <w:sz w:val="24"/>
        </w:rPr>
        <w:t xml:space="preserve">     </w:t>
      </w:r>
    </w:p>
    <w:tbl>
      <w:tblPr>
        <w:tblW w:w="8640" w:type="dxa"/>
        <w:jc w:val="center"/>
        <w:tblLook w:val="04A0" w:firstRow="1" w:lastRow="0" w:firstColumn="1" w:lastColumn="0" w:noHBand="0" w:noVBand="1"/>
      </w:tblPr>
      <w:tblGrid>
        <w:gridCol w:w="709"/>
        <w:gridCol w:w="1275"/>
        <w:gridCol w:w="1423"/>
        <w:gridCol w:w="1870"/>
        <w:gridCol w:w="1650"/>
        <w:gridCol w:w="1713"/>
      </w:tblGrid>
      <w:tr w:rsidR="009C5C1F">
        <w:trPr>
          <w:trHeight w:val="635"/>
          <w:jc w:val="center"/>
        </w:trPr>
        <w:tc>
          <w:tcPr>
            <w:tcW w:w="709" w:type="dxa"/>
            <w:tcBorders>
              <w:top w:val="single" w:sz="12"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序号</w:t>
            </w:r>
          </w:p>
        </w:tc>
        <w:tc>
          <w:tcPr>
            <w:tcW w:w="1275"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工程或费用名称</w:t>
            </w:r>
          </w:p>
        </w:tc>
        <w:tc>
          <w:tcPr>
            <w:tcW w:w="1423"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计量单位</w:t>
            </w:r>
          </w:p>
        </w:tc>
        <w:tc>
          <w:tcPr>
            <w:tcW w:w="1870"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工程量</w:t>
            </w:r>
          </w:p>
        </w:tc>
        <w:tc>
          <w:tcPr>
            <w:tcW w:w="1650"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综合单价</w:t>
            </w:r>
            <w:r>
              <w:rPr>
                <w:rFonts w:ascii="宋体" w:hAnsiTheme="minorHAnsi" w:cs="宋体"/>
                <w:color w:val="000000"/>
                <w:kern w:val="0"/>
                <w:sz w:val="20"/>
                <w:szCs w:val="20"/>
              </w:rPr>
              <w:t xml:space="preserve">/ </w:t>
            </w:r>
            <w:r>
              <w:rPr>
                <w:rFonts w:ascii="宋体" w:hAnsiTheme="minorHAnsi" w:cs="宋体" w:hint="eastAsia"/>
                <w:color w:val="000000"/>
                <w:kern w:val="0"/>
                <w:sz w:val="20"/>
                <w:szCs w:val="20"/>
              </w:rPr>
              <w:t>元</w:t>
            </w:r>
          </w:p>
        </w:tc>
        <w:tc>
          <w:tcPr>
            <w:tcW w:w="1713" w:type="dxa"/>
            <w:tcBorders>
              <w:top w:val="single" w:sz="12"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合计</w:t>
            </w:r>
            <w:r>
              <w:rPr>
                <w:rFonts w:ascii="宋体" w:hAnsiTheme="minorHAnsi" w:cs="宋体"/>
                <w:color w:val="000000"/>
                <w:kern w:val="0"/>
                <w:sz w:val="20"/>
                <w:szCs w:val="20"/>
              </w:rPr>
              <w:t xml:space="preserve">/ </w:t>
            </w:r>
            <w:r>
              <w:rPr>
                <w:rFonts w:ascii="宋体" w:hAnsiTheme="minorHAnsi" w:cs="宋体" w:hint="eastAsia"/>
                <w:color w:val="000000"/>
                <w:kern w:val="0"/>
                <w:sz w:val="20"/>
                <w:szCs w:val="20"/>
              </w:rPr>
              <w:t>元</w:t>
            </w:r>
          </w:p>
        </w:tc>
      </w:tr>
      <w:tr w:rsidR="009C5C1F">
        <w:trPr>
          <w:trHeight w:val="380"/>
          <w:jc w:val="center"/>
        </w:trPr>
        <w:tc>
          <w:tcPr>
            <w:tcW w:w="709"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1 </w:t>
            </w:r>
          </w:p>
        </w:tc>
        <w:tc>
          <w:tcPr>
            <w:tcW w:w="127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土方工程</w:t>
            </w:r>
          </w:p>
        </w:tc>
        <w:tc>
          <w:tcPr>
            <w:tcW w:w="1423" w:type="dxa"/>
            <w:tcBorders>
              <w:top w:val="single" w:sz="4" w:space="0" w:color="000000"/>
              <w:left w:val="single" w:sz="4" w:space="0" w:color="000000"/>
              <w:bottom w:val="single" w:sz="4" w:space="0" w:color="000000"/>
              <w:right w:val="single" w:sz="4"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870" w:type="dxa"/>
            <w:tcBorders>
              <w:top w:val="single" w:sz="4" w:space="0" w:color="000000"/>
              <w:left w:val="single" w:sz="4" w:space="0" w:color="000000"/>
              <w:bottom w:val="single" w:sz="4" w:space="0" w:color="000000"/>
              <w:right w:val="single" w:sz="4" w:space="0" w:color="000000"/>
            </w:tcBorders>
          </w:tcPr>
          <w:p w:rsidR="009C5C1F" w:rsidRDefault="004D2E0D">
            <w:pPr>
              <w:autoSpaceDE w:val="0"/>
              <w:autoSpaceDN w:val="0"/>
              <w:adjustRightInd w:val="0"/>
              <w:jc w:val="center"/>
              <w:rPr>
                <w:rFonts w:ascii="黑体" w:eastAsia="黑体" w:hAnsiTheme="minorHAnsi" w:cstheme="minorBidi"/>
                <w:kern w:val="0"/>
                <w:sz w:val="24"/>
              </w:rPr>
            </w:pPr>
            <w:r>
              <w:rPr>
                <w:rFonts w:ascii="黑体" w:eastAsia="黑体" w:hAnsi="黑体" w:hint="eastAsia"/>
                <w:color w:val="000000"/>
              </w:rPr>
              <w:t xml:space="preserve">　</w:t>
            </w:r>
          </w:p>
        </w:tc>
        <w:tc>
          <w:tcPr>
            <w:tcW w:w="1650" w:type="dxa"/>
            <w:tcBorders>
              <w:top w:val="single" w:sz="4" w:space="0" w:color="000000"/>
              <w:left w:val="single" w:sz="4" w:space="0" w:color="000000"/>
              <w:bottom w:val="single" w:sz="4" w:space="0" w:color="000000"/>
              <w:right w:val="single" w:sz="4" w:space="0" w:color="000000"/>
            </w:tcBorders>
          </w:tcPr>
          <w:p w:rsidR="009C5C1F" w:rsidRDefault="004D2E0D">
            <w:pPr>
              <w:autoSpaceDE w:val="0"/>
              <w:autoSpaceDN w:val="0"/>
              <w:adjustRightInd w:val="0"/>
              <w:jc w:val="center"/>
              <w:rPr>
                <w:rFonts w:ascii="黑体" w:eastAsia="黑体" w:hAnsiTheme="minorHAnsi" w:cstheme="minorBidi"/>
                <w:kern w:val="0"/>
                <w:sz w:val="24"/>
              </w:rPr>
            </w:pPr>
            <w:r>
              <w:rPr>
                <w:rFonts w:ascii="黑体" w:eastAsia="黑体" w:hAnsi="黑体" w:hint="eastAsia"/>
                <w:color w:val="000000"/>
              </w:rPr>
              <w:t xml:space="preserve">　</w:t>
            </w:r>
          </w:p>
        </w:tc>
        <w:tc>
          <w:tcPr>
            <w:tcW w:w="171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b/>
                <w:bCs/>
                <w:color w:val="000000"/>
                <w:sz w:val="20"/>
                <w:szCs w:val="20"/>
              </w:rPr>
              <w:t>221446.8105</w:t>
            </w:r>
          </w:p>
        </w:tc>
      </w:tr>
      <w:tr w:rsidR="009C5C1F">
        <w:trPr>
          <w:trHeight w:val="380"/>
          <w:jc w:val="center"/>
        </w:trPr>
        <w:tc>
          <w:tcPr>
            <w:tcW w:w="709" w:type="dxa"/>
            <w:tcBorders>
              <w:top w:val="single" w:sz="4" w:space="0" w:color="000000"/>
              <w:left w:val="single" w:sz="12" w:space="0" w:color="000000"/>
              <w:bottom w:val="single" w:sz="4" w:space="0" w:color="000000"/>
              <w:right w:val="single" w:sz="4"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土地平整</w:t>
            </w:r>
          </w:p>
        </w:tc>
        <w:tc>
          <w:tcPr>
            <w:tcW w:w="142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100m</w:t>
            </w:r>
            <w:r>
              <w:rPr>
                <w:rFonts w:ascii="宋体" w:hAnsiTheme="minorHAnsi" w:cs="宋体"/>
                <w:color w:val="000000"/>
                <w:kern w:val="0"/>
                <w:sz w:val="20"/>
                <w:szCs w:val="20"/>
                <w:vertAlign w:val="superscript"/>
              </w:rPr>
              <w:t>3</w:t>
            </w:r>
          </w:p>
        </w:tc>
        <w:tc>
          <w:tcPr>
            <w:tcW w:w="187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509.70</w:t>
            </w:r>
          </w:p>
        </w:tc>
        <w:tc>
          <w:tcPr>
            <w:tcW w:w="16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366.11</w:t>
            </w:r>
          </w:p>
        </w:tc>
        <w:tc>
          <w:tcPr>
            <w:tcW w:w="171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186606.267</w:t>
            </w:r>
            <w:r>
              <w:rPr>
                <w:rFonts w:hint="eastAsia"/>
                <w:color w:val="000000"/>
                <w:sz w:val="20"/>
                <w:szCs w:val="20"/>
              </w:rPr>
              <w:t xml:space="preserve"> </w:t>
            </w:r>
          </w:p>
        </w:tc>
      </w:tr>
      <w:tr w:rsidR="009C5C1F">
        <w:trPr>
          <w:trHeight w:val="380"/>
          <w:jc w:val="center"/>
        </w:trPr>
        <w:tc>
          <w:tcPr>
            <w:tcW w:w="709" w:type="dxa"/>
            <w:tcBorders>
              <w:top w:val="single" w:sz="4" w:space="0" w:color="000000"/>
              <w:left w:val="single" w:sz="12" w:space="0" w:color="000000"/>
              <w:bottom w:val="single" w:sz="4" w:space="0" w:color="000000"/>
              <w:right w:val="single" w:sz="4"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覆土工程</w:t>
            </w:r>
          </w:p>
        </w:tc>
        <w:tc>
          <w:tcPr>
            <w:tcW w:w="142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100m</w:t>
            </w:r>
            <w:r>
              <w:rPr>
                <w:rFonts w:ascii="宋体" w:hAnsiTheme="minorHAnsi" w:cs="宋体"/>
                <w:color w:val="000000"/>
                <w:kern w:val="0"/>
                <w:sz w:val="20"/>
                <w:szCs w:val="20"/>
                <w:vertAlign w:val="superscript"/>
              </w:rPr>
              <w:t>3</w:t>
            </w:r>
            <w:r>
              <w:rPr>
                <w:rFonts w:ascii="宋体" w:hAnsiTheme="minorHAnsi" w:cs="宋体"/>
                <w:color w:val="000000"/>
                <w:kern w:val="0"/>
                <w:sz w:val="20"/>
                <w:szCs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Cs w:val="21"/>
              </w:rPr>
              <w:t>254.85</w:t>
            </w:r>
          </w:p>
        </w:tc>
        <w:tc>
          <w:tcPr>
            <w:tcW w:w="16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hint="eastAsia"/>
                <w:color w:val="000000"/>
                <w:sz w:val="20"/>
                <w:szCs w:val="20"/>
              </w:rPr>
              <w:t>136.71</w:t>
            </w:r>
          </w:p>
        </w:tc>
        <w:tc>
          <w:tcPr>
            <w:tcW w:w="171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34840.5435</w:t>
            </w:r>
          </w:p>
        </w:tc>
      </w:tr>
      <w:tr w:rsidR="009C5C1F">
        <w:trPr>
          <w:trHeight w:val="380"/>
          <w:jc w:val="center"/>
        </w:trPr>
        <w:tc>
          <w:tcPr>
            <w:tcW w:w="709" w:type="dxa"/>
            <w:tcBorders>
              <w:top w:val="single" w:sz="4" w:space="0" w:color="000000"/>
              <w:left w:val="single" w:sz="12" w:space="0" w:color="000000"/>
              <w:bottom w:val="single" w:sz="4" w:space="0" w:color="000000"/>
              <w:right w:val="single" w:sz="4"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土地翻耕</w:t>
            </w:r>
          </w:p>
        </w:tc>
        <w:tc>
          <w:tcPr>
            <w:tcW w:w="142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m</w:t>
            </w:r>
            <w:r>
              <w:rPr>
                <w:rFonts w:ascii="宋体" w:hAnsiTheme="minorHAnsi" w:cs="宋体"/>
                <w:color w:val="000000"/>
                <w:kern w:val="0"/>
                <w:sz w:val="20"/>
                <w:szCs w:val="20"/>
                <w:vertAlign w:val="superscript"/>
              </w:rPr>
              <w:t xml:space="preserve">3 </w:t>
            </w:r>
          </w:p>
        </w:tc>
        <w:tc>
          <w:tcPr>
            <w:tcW w:w="187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Cs w:val="21"/>
              </w:rPr>
              <w:t>0</w:t>
            </w:r>
          </w:p>
        </w:tc>
        <w:tc>
          <w:tcPr>
            <w:tcW w:w="16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0</w:t>
            </w:r>
          </w:p>
        </w:tc>
        <w:tc>
          <w:tcPr>
            <w:tcW w:w="171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0</w:t>
            </w:r>
          </w:p>
        </w:tc>
      </w:tr>
      <w:tr w:rsidR="009C5C1F">
        <w:trPr>
          <w:trHeight w:val="380"/>
          <w:jc w:val="center"/>
        </w:trPr>
        <w:tc>
          <w:tcPr>
            <w:tcW w:w="709"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2 </w:t>
            </w:r>
          </w:p>
        </w:tc>
        <w:tc>
          <w:tcPr>
            <w:tcW w:w="127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植被工程</w:t>
            </w:r>
          </w:p>
        </w:tc>
        <w:tc>
          <w:tcPr>
            <w:tcW w:w="1423" w:type="dxa"/>
            <w:tcBorders>
              <w:top w:val="single" w:sz="4" w:space="0" w:color="000000"/>
              <w:left w:val="single" w:sz="4" w:space="0" w:color="000000"/>
              <w:bottom w:val="single" w:sz="4" w:space="0" w:color="000000"/>
              <w:right w:val="single" w:sz="4"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theme="minorBidi"/>
                <w:kern w:val="0"/>
                <w:sz w:val="24"/>
              </w:rPr>
            </w:pPr>
            <w:r>
              <w:rPr>
                <w:rFonts w:hint="eastAsia"/>
                <w:color w:val="000000"/>
                <w:szCs w:val="21"/>
              </w:rPr>
              <w:t xml:space="preserve">　</w:t>
            </w:r>
          </w:p>
        </w:tc>
        <w:tc>
          <w:tcPr>
            <w:tcW w:w="1650" w:type="dxa"/>
            <w:tcBorders>
              <w:top w:val="single" w:sz="4" w:space="0" w:color="000000"/>
              <w:left w:val="single" w:sz="4" w:space="0" w:color="000000"/>
              <w:bottom w:val="single" w:sz="4" w:space="0" w:color="000000"/>
              <w:right w:val="single" w:sz="4" w:space="0" w:color="000000"/>
            </w:tcBorders>
          </w:tcPr>
          <w:p w:rsidR="009C5C1F" w:rsidRDefault="004D2E0D">
            <w:pPr>
              <w:autoSpaceDE w:val="0"/>
              <w:autoSpaceDN w:val="0"/>
              <w:adjustRightInd w:val="0"/>
              <w:jc w:val="center"/>
              <w:rPr>
                <w:rFonts w:ascii="黑体" w:eastAsia="黑体" w:hAnsiTheme="minorHAnsi" w:cstheme="minorBidi"/>
                <w:kern w:val="0"/>
                <w:sz w:val="24"/>
              </w:rPr>
            </w:pPr>
            <w:r>
              <w:rPr>
                <w:rFonts w:ascii="黑体" w:eastAsia="黑体" w:hAnsi="黑体" w:hint="eastAsia"/>
                <w:color w:val="000000"/>
              </w:rPr>
              <w:t xml:space="preserve">　</w:t>
            </w:r>
          </w:p>
        </w:tc>
        <w:tc>
          <w:tcPr>
            <w:tcW w:w="171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b/>
                <w:bCs/>
                <w:color w:val="000000"/>
                <w:sz w:val="20"/>
                <w:szCs w:val="20"/>
              </w:rPr>
              <w:t>0</w:t>
            </w:r>
          </w:p>
        </w:tc>
      </w:tr>
      <w:tr w:rsidR="009C5C1F">
        <w:trPr>
          <w:trHeight w:val="378"/>
          <w:jc w:val="center"/>
        </w:trPr>
        <w:tc>
          <w:tcPr>
            <w:tcW w:w="709" w:type="dxa"/>
            <w:tcBorders>
              <w:top w:val="single" w:sz="4" w:space="0" w:color="000000"/>
              <w:left w:val="single" w:sz="12" w:space="0" w:color="000000"/>
              <w:bottom w:val="single" w:sz="4" w:space="0" w:color="000000"/>
              <w:right w:val="single" w:sz="4"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撒播草籽</w:t>
            </w:r>
          </w:p>
        </w:tc>
        <w:tc>
          <w:tcPr>
            <w:tcW w:w="142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m</w:t>
            </w:r>
            <w:r>
              <w:rPr>
                <w:rFonts w:ascii="宋体" w:hAnsiTheme="minorHAnsi" w:cs="宋体"/>
                <w:color w:val="000000"/>
                <w:kern w:val="0"/>
                <w:sz w:val="20"/>
                <w:szCs w:val="20"/>
                <w:vertAlign w:val="superscript"/>
              </w:rPr>
              <w:t>2</w:t>
            </w:r>
            <w:r>
              <w:rPr>
                <w:rFonts w:ascii="宋体" w:hAnsiTheme="minorHAnsi" w:cs="宋体"/>
                <w:color w:val="000000"/>
                <w:kern w:val="0"/>
                <w:sz w:val="20"/>
                <w:szCs w:val="20"/>
              </w:rPr>
              <w:t xml:space="preserve"> </w:t>
            </w:r>
          </w:p>
        </w:tc>
        <w:tc>
          <w:tcPr>
            <w:tcW w:w="187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Cs w:val="21"/>
              </w:rPr>
              <w:t>0</w:t>
            </w:r>
            <w:r>
              <w:rPr>
                <w:rFonts w:hint="eastAsia"/>
                <w:color w:val="000000"/>
                <w:szCs w:val="21"/>
              </w:rPr>
              <w:t xml:space="preserve"> </w:t>
            </w:r>
          </w:p>
        </w:tc>
        <w:tc>
          <w:tcPr>
            <w:tcW w:w="16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0</w:t>
            </w:r>
          </w:p>
        </w:tc>
        <w:tc>
          <w:tcPr>
            <w:tcW w:w="171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0</w:t>
            </w:r>
          </w:p>
        </w:tc>
      </w:tr>
      <w:tr w:rsidR="009C5C1F">
        <w:trPr>
          <w:trHeight w:val="380"/>
          <w:jc w:val="center"/>
        </w:trPr>
        <w:tc>
          <w:tcPr>
            <w:tcW w:w="709"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3 </w:t>
            </w:r>
          </w:p>
        </w:tc>
        <w:tc>
          <w:tcPr>
            <w:tcW w:w="127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其他工程</w:t>
            </w:r>
          </w:p>
        </w:tc>
        <w:tc>
          <w:tcPr>
            <w:tcW w:w="1423" w:type="dxa"/>
            <w:tcBorders>
              <w:top w:val="single" w:sz="4" w:space="0" w:color="000000"/>
              <w:left w:val="single" w:sz="4" w:space="0" w:color="000000"/>
              <w:bottom w:val="single" w:sz="4" w:space="0" w:color="000000"/>
              <w:right w:val="single" w:sz="4"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87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theme="minorBidi"/>
                <w:kern w:val="0"/>
                <w:sz w:val="24"/>
              </w:rPr>
            </w:pPr>
            <w:r>
              <w:rPr>
                <w:rFonts w:hint="eastAsia"/>
                <w:color w:val="000000"/>
                <w:szCs w:val="21"/>
              </w:rPr>
              <w:t xml:space="preserve">　</w:t>
            </w:r>
          </w:p>
        </w:tc>
        <w:tc>
          <w:tcPr>
            <w:tcW w:w="1650" w:type="dxa"/>
            <w:tcBorders>
              <w:top w:val="single" w:sz="4" w:space="0" w:color="000000"/>
              <w:left w:val="single" w:sz="4" w:space="0" w:color="000000"/>
              <w:bottom w:val="single" w:sz="4" w:space="0" w:color="000000"/>
              <w:right w:val="single" w:sz="4" w:space="0" w:color="000000"/>
            </w:tcBorders>
          </w:tcPr>
          <w:p w:rsidR="009C5C1F" w:rsidRDefault="004D2E0D">
            <w:pPr>
              <w:autoSpaceDE w:val="0"/>
              <w:autoSpaceDN w:val="0"/>
              <w:adjustRightInd w:val="0"/>
              <w:jc w:val="center"/>
              <w:rPr>
                <w:rFonts w:ascii="黑体" w:eastAsia="黑体" w:hAnsiTheme="minorHAnsi" w:cstheme="minorBidi"/>
                <w:kern w:val="0"/>
                <w:sz w:val="24"/>
              </w:rPr>
            </w:pPr>
            <w:r>
              <w:rPr>
                <w:rFonts w:ascii="黑体" w:eastAsia="黑体" w:hAnsi="黑体" w:hint="eastAsia"/>
                <w:color w:val="000000"/>
              </w:rPr>
              <w:t xml:space="preserve">　</w:t>
            </w:r>
          </w:p>
        </w:tc>
        <w:tc>
          <w:tcPr>
            <w:tcW w:w="171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b/>
                <w:bCs/>
                <w:color w:val="000000"/>
                <w:sz w:val="20"/>
                <w:szCs w:val="20"/>
              </w:rPr>
              <w:t>3397.29</w:t>
            </w:r>
          </w:p>
        </w:tc>
      </w:tr>
      <w:tr w:rsidR="009C5C1F">
        <w:trPr>
          <w:trHeight w:val="380"/>
          <w:jc w:val="center"/>
        </w:trPr>
        <w:tc>
          <w:tcPr>
            <w:tcW w:w="709" w:type="dxa"/>
            <w:tcBorders>
              <w:top w:val="single" w:sz="4" w:space="0" w:color="000000"/>
              <w:left w:val="single" w:sz="12" w:space="0" w:color="000000"/>
              <w:bottom w:val="single" w:sz="4" w:space="0" w:color="000000"/>
              <w:right w:val="single" w:sz="4"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砌体拆除</w:t>
            </w:r>
          </w:p>
        </w:tc>
        <w:tc>
          <w:tcPr>
            <w:tcW w:w="1423"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100m</w:t>
            </w:r>
            <w:r>
              <w:rPr>
                <w:rFonts w:ascii="宋体" w:hAnsiTheme="minorHAnsi" w:cs="宋体"/>
                <w:color w:val="000000"/>
                <w:kern w:val="0"/>
                <w:sz w:val="20"/>
                <w:szCs w:val="20"/>
                <w:vertAlign w:val="superscript"/>
              </w:rPr>
              <w:t xml:space="preserve">3 </w:t>
            </w:r>
          </w:p>
        </w:tc>
        <w:tc>
          <w:tcPr>
            <w:tcW w:w="187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szCs w:val="20"/>
              </w:rPr>
              <w:t>1</w:t>
            </w:r>
            <w:r>
              <w:rPr>
                <w:rFonts w:ascii="宋体" w:hAnsiTheme="minorHAnsi" w:cs="宋体"/>
                <w:color w:val="000000"/>
                <w:szCs w:val="20"/>
              </w:rPr>
              <w:t>.5</w:t>
            </w:r>
          </w:p>
        </w:tc>
        <w:tc>
          <w:tcPr>
            <w:tcW w:w="16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hint="eastAsia"/>
                <w:color w:val="000000"/>
                <w:sz w:val="20"/>
                <w:szCs w:val="20"/>
              </w:rPr>
              <w:t>2264.86</w:t>
            </w:r>
          </w:p>
        </w:tc>
        <w:tc>
          <w:tcPr>
            <w:tcW w:w="1713"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3397.29</w:t>
            </w:r>
          </w:p>
        </w:tc>
      </w:tr>
      <w:tr w:rsidR="009C5C1F">
        <w:trPr>
          <w:trHeight w:val="368"/>
          <w:jc w:val="center"/>
        </w:trPr>
        <w:tc>
          <w:tcPr>
            <w:tcW w:w="709" w:type="dxa"/>
            <w:tcBorders>
              <w:top w:val="single" w:sz="4" w:space="0" w:color="000000"/>
              <w:left w:val="single" w:sz="12" w:space="0" w:color="000000"/>
              <w:bottom w:val="single" w:sz="12"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275" w:type="dxa"/>
            <w:tcBorders>
              <w:top w:val="single" w:sz="4" w:space="0" w:color="000000"/>
              <w:bottom w:val="single" w:sz="12"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合计</w:t>
            </w:r>
          </w:p>
        </w:tc>
        <w:tc>
          <w:tcPr>
            <w:tcW w:w="1423" w:type="dxa"/>
            <w:tcBorders>
              <w:top w:val="single" w:sz="4" w:space="0" w:color="000000"/>
              <w:left w:val="single" w:sz="4" w:space="0" w:color="000000"/>
              <w:bottom w:val="single" w:sz="12" w:space="0" w:color="000000"/>
              <w:right w:val="single" w:sz="4"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870" w:type="dxa"/>
            <w:tcBorders>
              <w:top w:val="single" w:sz="4" w:space="0" w:color="000000"/>
              <w:left w:val="single" w:sz="4" w:space="0" w:color="000000"/>
              <w:bottom w:val="single" w:sz="12" w:space="0" w:color="000000"/>
              <w:right w:val="single" w:sz="4" w:space="0" w:color="000000"/>
            </w:tcBorders>
          </w:tcPr>
          <w:p w:rsidR="009C5C1F" w:rsidRDefault="004D2E0D">
            <w:pPr>
              <w:autoSpaceDE w:val="0"/>
              <w:autoSpaceDN w:val="0"/>
              <w:adjustRightInd w:val="0"/>
              <w:jc w:val="center"/>
              <w:rPr>
                <w:rFonts w:ascii="黑体" w:eastAsia="黑体" w:hAnsiTheme="minorHAnsi" w:cstheme="minorBidi"/>
                <w:kern w:val="0"/>
                <w:sz w:val="24"/>
              </w:rPr>
            </w:pPr>
            <w:r>
              <w:rPr>
                <w:rFonts w:ascii="黑体" w:eastAsia="黑体" w:hAnsi="黑体" w:hint="eastAsia"/>
                <w:color w:val="000000"/>
              </w:rPr>
              <w:t xml:space="preserve">　</w:t>
            </w:r>
          </w:p>
        </w:tc>
        <w:tc>
          <w:tcPr>
            <w:tcW w:w="1650" w:type="dxa"/>
            <w:tcBorders>
              <w:top w:val="single" w:sz="4" w:space="0" w:color="000000"/>
              <w:left w:val="single" w:sz="4" w:space="0" w:color="000000"/>
              <w:bottom w:val="single" w:sz="12" w:space="0" w:color="000000"/>
              <w:right w:val="single" w:sz="4" w:space="0" w:color="000000"/>
            </w:tcBorders>
          </w:tcPr>
          <w:p w:rsidR="009C5C1F" w:rsidRDefault="004D2E0D">
            <w:pPr>
              <w:autoSpaceDE w:val="0"/>
              <w:autoSpaceDN w:val="0"/>
              <w:adjustRightInd w:val="0"/>
              <w:jc w:val="center"/>
              <w:rPr>
                <w:rFonts w:ascii="黑体" w:eastAsia="黑体" w:hAnsiTheme="minorHAnsi" w:cstheme="minorBidi"/>
                <w:kern w:val="0"/>
                <w:sz w:val="24"/>
              </w:rPr>
            </w:pPr>
            <w:r>
              <w:rPr>
                <w:rFonts w:ascii="黑体" w:eastAsia="黑体" w:hAnsi="黑体" w:hint="eastAsia"/>
                <w:color w:val="000000"/>
              </w:rPr>
              <w:t xml:space="preserve">　</w:t>
            </w:r>
          </w:p>
        </w:tc>
        <w:tc>
          <w:tcPr>
            <w:tcW w:w="1713" w:type="dxa"/>
            <w:tcBorders>
              <w:top w:val="single" w:sz="4" w:space="0" w:color="000000"/>
              <w:left w:val="single" w:sz="4" w:space="0" w:color="000000"/>
              <w:bottom w:val="single" w:sz="12" w:space="0" w:color="000000"/>
              <w:right w:val="single" w:sz="12" w:space="0" w:color="000000"/>
            </w:tcBorders>
            <w:vAlign w:val="center"/>
          </w:tcPr>
          <w:p w:rsidR="009C5C1F" w:rsidRDefault="004D2E0D">
            <w:pPr>
              <w:jc w:val="center"/>
              <w:rPr>
                <w:rFonts w:ascii="宋体" w:hAnsiTheme="minorHAnsi" w:cs="宋体"/>
                <w:color w:val="000000"/>
                <w:kern w:val="0"/>
                <w:sz w:val="20"/>
                <w:szCs w:val="20"/>
              </w:rPr>
            </w:pPr>
            <w:r>
              <w:rPr>
                <w:b/>
                <w:bCs/>
                <w:color w:val="000000"/>
                <w:sz w:val="20"/>
                <w:szCs w:val="20"/>
              </w:rPr>
              <w:t>224844.1005</w:t>
            </w:r>
          </w:p>
        </w:tc>
      </w:tr>
    </w:tbl>
    <w:p w:rsidR="009C5C1F" w:rsidRDefault="004D2E0D">
      <w:pPr>
        <w:suppressAutoHyphens/>
        <w:wordWrap w:val="0"/>
        <w:topLinePunct/>
        <w:spacing w:beforeLines="50" w:before="180" w:afterLines="50" w:after="180"/>
        <w:jc w:val="center"/>
        <w:rPr>
          <w:b/>
          <w:bCs/>
          <w:sz w:val="24"/>
        </w:rPr>
      </w:pPr>
      <w:r>
        <w:rPr>
          <w:rFonts w:hint="eastAsia"/>
          <w:b/>
          <w:bCs/>
          <w:sz w:val="24"/>
        </w:rPr>
        <w:t xml:space="preserve"> </w:t>
      </w:r>
      <w:r>
        <w:rPr>
          <w:b/>
          <w:bCs/>
          <w:sz w:val="24"/>
        </w:rPr>
        <w:t xml:space="preserve">    </w:t>
      </w:r>
      <w:r>
        <w:rPr>
          <w:b/>
          <w:bCs/>
          <w:sz w:val="24"/>
        </w:rPr>
        <w:t>表</w:t>
      </w:r>
      <w:r>
        <w:rPr>
          <w:b/>
          <w:bCs/>
          <w:sz w:val="24"/>
        </w:rPr>
        <w:t xml:space="preserve">7-13         </w:t>
      </w:r>
      <w:r>
        <w:rPr>
          <w:rFonts w:hint="eastAsia"/>
          <w:b/>
          <w:bCs/>
          <w:sz w:val="24"/>
        </w:rPr>
        <w:t xml:space="preserve"> </w:t>
      </w:r>
      <w:r>
        <w:rPr>
          <w:b/>
          <w:bCs/>
          <w:sz w:val="24"/>
        </w:rPr>
        <w:t>其他费用估算表</w:t>
      </w:r>
      <w:r>
        <w:rPr>
          <w:rFonts w:hint="eastAsia"/>
          <w:b/>
          <w:bCs/>
          <w:sz w:val="24"/>
        </w:rPr>
        <w:t xml:space="preserve">      </w:t>
      </w:r>
    </w:p>
    <w:tbl>
      <w:tblPr>
        <w:tblW w:w="8640" w:type="dxa"/>
        <w:jc w:val="center"/>
        <w:tblLook w:val="04A0" w:firstRow="1" w:lastRow="0" w:firstColumn="1" w:lastColumn="0" w:noHBand="0" w:noVBand="1"/>
      </w:tblPr>
      <w:tblGrid>
        <w:gridCol w:w="1399"/>
        <w:gridCol w:w="2008"/>
        <w:gridCol w:w="1650"/>
        <w:gridCol w:w="1745"/>
        <w:gridCol w:w="1838"/>
      </w:tblGrid>
      <w:tr w:rsidR="009C5C1F">
        <w:trPr>
          <w:trHeight w:val="325"/>
          <w:jc w:val="center"/>
        </w:trPr>
        <w:tc>
          <w:tcPr>
            <w:tcW w:w="1399" w:type="dxa"/>
            <w:tcBorders>
              <w:top w:val="single" w:sz="12"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序号</w:t>
            </w:r>
          </w:p>
        </w:tc>
        <w:tc>
          <w:tcPr>
            <w:tcW w:w="2008"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费用名称</w:t>
            </w:r>
          </w:p>
        </w:tc>
        <w:tc>
          <w:tcPr>
            <w:tcW w:w="1650"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费基</w:t>
            </w:r>
            <w:r>
              <w:rPr>
                <w:rFonts w:ascii="宋体" w:hAnsiTheme="minorHAnsi" w:cs="宋体"/>
                <w:color w:val="000000"/>
                <w:kern w:val="0"/>
                <w:sz w:val="20"/>
                <w:szCs w:val="20"/>
              </w:rPr>
              <w:t>/</w:t>
            </w:r>
            <w:r>
              <w:rPr>
                <w:rFonts w:ascii="宋体" w:hAnsiTheme="minorHAnsi" w:cs="宋体" w:hint="eastAsia"/>
                <w:color w:val="000000"/>
                <w:kern w:val="0"/>
                <w:sz w:val="20"/>
                <w:szCs w:val="20"/>
              </w:rPr>
              <w:t>万元</w:t>
            </w:r>
          </w:p>
        </w:tc>
        <w:tc>
          <w:tcPr>
            <w:tcW w:w="1745"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费率</w:t>
            </w:r>
            <w:r>
              <w:rPr>
                <w:rFonts w:ascii="宋体" w:hAnsiTheme="minorHAnsi" w:cs="宋体"/>
                <w:color w:val="000000"/>
                <w:kern w:val="0"/>
                <w:sz w:val="20"/>
                <w:szCs w:val="20"/>
              </w:rPr>
              <w:t>/%</w:t>
            </w:r>
          </w:p>
        </w:tc>
        <w:tc>
          <w:tcPr>
            <w:tcW w:w="1838" w:type="dxa"/>
            <w:tcBorders>
              <w:top w:val="single" w:sz="12"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金额</w:t>
            </w:r>
            <w:r>
              <w:rPr>
                <w:rFonts w:ascii="宋体" w:hAnsiTheme="minorHAnsi" w:cs="宋体"/>
                <w:color w:val="000000"/>
                <w:kern w:val="0"/>
                <w:sz w:val="20"/>
                <w:szCs w:val="20"/>
              </w:rPr>
              <w:t>/</w:t>
            </w:r>
            <w:r>
              <w:rPr>
                <w:rFonts w:ascii="宋体" w:hAnsiTheme="minorHAnsi" w:cs="宋体" w:hint="eastAsia"/>
                <w:color w:val="000000"/>
                <w:kern w:val="0"/>
                <w:sz w:val="20"/>
                <w:szCs w:val="20"/>
              </w:rPr>
              <w:t>万元</w:t>
            </w:r>
          </w:p>
        </w:tc>
      </w:tr>
      <w:tr w:rsidR="009C5C1F">
        <w:trPr>
          <w:trHeight w:val="323"/>
          <w:jc w:val="center"/>
        </w:trPr>
        <w:tc>
          <w:tcPr>
            <w:tcW w:w="1399"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1 </w:t>
            </w:r>
          </w:p>
        </w:tc>
        <w:tc>
          <w:tcPr>
            <w:tcW w:w="2008"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前期工作费</w:t>
            </w:r>
          </w:p>
        </w:tc>
        <w:tc>
          <w:tcPr>
            <w:tcW w:w="16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31</w:t>
            </w:r>
          </w:p>
        </w:tc>
        <w:tc>
          <w:tcPr>
            <w:tcW w:w="17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hint="eastAsia"/>
                <w:color w:val="000000"/>
                <w:sz w:val="20"/>
                <w:szCs w:val="20"/>
              </w:rPr>
              <w:t xml:space="preserve">6.45 </w:t>
            </w:r>
          </w:p>
        </w:tc>
        <w:tc>
          <w:tcPr>
            <w:tcW w:w="1838"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sz w:val="20"/>
                <w:szCs w:val="20"/>
              </w:rPr>
              <w:t>2</w:t>
            </w:r>
            <w:r>
              <w:rPr>
                <w:rFonts w:ascii="宋体" w:hAnsiTheme="minorHAnsi" w:cs="宋体"/>
                <w:color w:val="000000"/>
                <w:sz w:val="20"/>
                <w:szCs w:val="20"/>
              </w:rPr>
              <w:t>.0</w:t>
            </w:r>
          </w:p>
        </w:tc>
      </w:tr>
      <w:tr w:rsidR="009C5C1F">
        <w:trPr>
          <w:trHeight w:val="323"/>
          <w:jc w:val="center"/>
        </w:trPr>
        <w:tc>
          <w:tcPr>
            <w:tcW w:w="1399"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2 </w:t>
            </w:r>
          </w:p>
        </w:tc>
        <w:tc>
          <w:tcPr>
            <w:tcW w:w="2008"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工程监理费</w:t>
            </w:r>
          </w:p>
        </w:tc>
        <w:tc>
          <w:tcPr>
            <w:tcW w:w="16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31</w:t>
            </w:r>
            <w:r>
              <w:rPr>
                <w:rFonts w:hint="eastAsia"/>
                <w:color w:val="000000"/>
                <w:sz w:val="20"/>
                <w:szCs w:val="20"/>
              </w:rPr>
              <w:t xml:space="preserve"> </w:t>
            </w:r>
          </w:p>
        </w:tc>
        <w:tc>
          <w:tcPr>
            <w:tcW w:w="17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hint="eastAsia"/>
                <w:color w:val="000000"/>
                <w:sz w:val="20"/>
                <w:szCs w:val="20"/>
              </w:rPr>
              <w:t xml:space="preserve">1.60 </w:t>
            </w:r>
          </w:p>
        </w:tc>
        <w:tc>
          <w:tcPr>
            <w:tcW w:w="1838"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0.5</w:t>
            </w:r>
            <w:r>
              <w:rPr>
                <w:rFonts w:hint="eastAsia"/>
                <w:color w:val="000000"/>
                <w:sz w:val="20"/>
                <w:szCs w:val="20"/>
              </w:rPr>
              <w:t xml:space="preserve"> </w:t>
            </w:r>
          </w:p>
        </w:tc>
      </w:tr>
      <w:tr w:rsidR="009C5C1F">
        <w:trPr>
          <w:trHeight w:val="323"/>
          <w:jc w:val="center"/>
        </w:trPr>
        <w:tc>
          <w:tcPr>
            <w:tcW w:w="1399"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t xml:space="preserve">3 </w:t>
            </w:r>
          </w:p>
        </w:tc>
        <w:tc>
          <w:tcPr>
            <w:tcW w:w="2008"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竣工验收费</w:t>
            </w:r>
          </w:p>
        </w:tc>
        <w:tc>
          <w:tcPr>
            <w:tcW w:w="16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31</w:t>
            </w:r>
          </w:p>
        </w:tc>
        <w:tc>
          <w:tcPr>
            <w:tcW w:w="17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hint="eastAsia"/>
                <w:color w:val="000000"/>
                <w:sz w:val="20"/>
                <w:szCs w:val="20"/>
              </w:rPr>
              <w:t xml:space="preserve">3.11 </w:t>
            </w:r>
          </w:p>
        </w:tc>
        <w:tc>
          <w:tcPr>
            <w:tcW w:w="1838"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0.96</w:t>
            </w:r>
            <w:r>
              <w:rPr>
                <w:rFonts w:hint="eastAsia"/>
                <w:color w:val="000000"/>
                <w:sz w:val="20"/>
                <w:szCs w:val="20"/>
              </w:rPr>
              <w:t xml:space="preserve"> </w:t>
            </w:r>
          </w:p>
        </w:tc>
      </w:tr>
      <w:tr w:rsidR="009C5C1F">
        <w:trPr>
          <w:trHeight w:val="325"/>
          <w:jc w:val="center"/>
        </w:trPr>
        <w:tc>
          <w:tcPr>
            <w:tcW w:w="1399"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黑体" w:eastAsia="黑体" w:hAnsiTheme="minorHAnsi" w:cs="黑体"/>
                <w:color w:val="000000"/>
                <w:kern w:val="0"/>
                <w:sz w:val="24"/>
              </w:rPr>
            </w:pPr>
            <w:r>
              <w:rPr>
                <w:rFonts w:ascii="黑体" w:eastAsia="黑体" w:hAnsiTheme="minorHAnsi" w:cs="黑体"/>
                <w:color w:val="000000"/>
                <w:kern w:val="0"/>
                <w:sz w:val="24"/>
              </w:rPr>
              <w:lastRenderedPageBreak/>
              <w:t xml:space="preserve">4 </w:t>
            </w:r>
          </w:p>
        </w:tc>
        <w:tc>
          <w:tcPr>
            <w:tcW w:w="2008"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业主管理费</w:t>
            </w:r>
          </w:p>
        </w:tc>
        <w:tc>
          <w:tcPr>
            <w:tcW w:w="1650"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31</w:t>
            </w:r>
            <w:r>
              <w:rPr>
                <w:rFonts w:hint="eastAsia"/>
                <w:color w:val="000000"/>
                <w:sz w:val="20"/>
                <w:szCs w:val="20"/>
              </w:rPr>
              <w:t xml:space="preserve"> </w:t>
            </w:r>
          </w:p>
        </w:tc>
        <w:tc>
          <w:tcPr>
            <w:tcW w:w="1745"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hint="eastAsia"/>
                <w:color w:val="000000"/>
                <w:sz w:val="20"/>
                <w:szCs w:val="20"/>
              </w:rPr>
              <w:t xml:space="preserve">2.40 </w:t>
            </w:r>
          </w:p>
        </w:tc>
        <w:tc>
          <w:tcPr>
            <w:tcW w:w="1838"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sz w:val="20"/>
                <w:szCs w:val="20"/>
              </w:rPr>
              <w:t>0</w:t>
            </w:r>
            <w:r>
              <w:rPr>
                <w:rFonts w:ascii="宋体" w:hAnsiTheme="minorHAnsi" w:cs="宋体"/>
                <w:color w:val="000000"/>
                <w:sz w:val="20"/>
                <w:szCs w:val="20"/>
              </w:rPr>
              <w:t>.74</w:t>
            </w:r>
          </w:p>
        </w:tc>
      </w:tr>
      <w:tr w:rsidR="009C5C1F">
        <w:trPr>
          <w:trHeight w:val="310"/>
          <w:jc w:val="center"/>
        </w:trPr>
        <w:tc>
          <w:tcPr>
            <w:tcW w:w="1399" w:type="dxa"/>
            <w:tcBorders>
              <w:top w:val="single" w:sz="4" w:space="0" w:color="000000"/>
              <w:left w:val="single" w:sz="12" w:space="0" w:color="000000"/>
              <w:bottom w:val="single" w:sz="12"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合计</w:t>
            </w:r>
          </w:p>
        </w:tc>
        <w:tc>
          <w:tcPr>
            <w:tcW w:w="2008" w:type="dxa"/>
            <w:tcBorders>
              <w:top w:val="single" w:sz="4" w:space="0" w:color="000000"/>
              <w:left w:val="single" w:sz="4" w:space="0" w:color="000000"/>
              <w:bottom w:val="single" w:sz="12" w:space="0" w:color="000000"/>
              <w:right w:val="single" w:sz="4" w:space="0" w:color="000000"/>
            </w:tcBorders>
          </w:tcPr>
          <w:p w:rsidR="009C5C1F" w:rsidRDefault="009C5C1F">
            <w:pPr>
              <w:autoSpaceDE w:val="0"/>
              <w:autoSpaceDN w:val="0"/>
              <w:adjustRightInd w:val="0"/>
              <w:jc w:val="center"/>
              <w:rPr>
                <w:rFonts w:ascii="黑体" w:eastAsia="黑体" w:hAnsiTheme="minorHAnsi" w:cstheme="minorBidi"/>
                <w:kern w:val="0"/>
                <w:sz w:val="24"/>
              </w:rPr>
            </w:pPr>
          </w:p>
        </w:tc>
        <w:tc>
          <w:tcPr>
            <w:tcW w:w="1650" w:type="dxa"/>
            <w:tcBorders>
              <w:top w:val="single" w:sz="4" w:space="0" w:color="000000"/>
              <w:left w:val="single" w:sz="4" w:space="0" w:color="000000"/>
              <w:bottom w:val="single" w:sz="12" w:space="0" w:color="000000"/>
              <w:right w:val="single" w:sz="4" w:space="0" w:color="000000"/>
            </w:tcBorders>
          </w:tcPr>
          <w:p w:rsidR="009C5C1F" w:rsidRDefault="004D2E0D">
            <w:pPr>
              <w:autoSpaceDE w:val="0"/>
              <w:autoSpaceDN w:val="0"/>
              <w:adjustRightInd w:val="0"/>
              <w:jc w:val="center"/>
              <w:rPr>
                <w:rFonts w:ascii="黑体" w:eastAsia="黑体" w:hAnsiTheme="minorHAnsi" w:cstheme="minorBidi"/>
                <w:kern w:val="0"/>
                <w:sz w:val="24"/>
              </w:rPr>
            </w:pPr>
            <w:r>
              <w:rPr>
                <w:rFonts w:ascii="黑体" w:eastAsia="黑体" w:hAnsi="黑体" w:hint="eastAsia"/>
                <w:color w:val="000000"/>
              </w:rPr>
              <w:t xml:space="preserve">　</w:t>
            </w:r>
          </w:p>
        </w:tc>
        <w:tc>
          <w:tcPr>
            <w:tcW w:w="1745" w:type="dxa"/>
            <w:tcBorders>
              <w:top w:val="single" w:sz="4" w:space="0" w:color="000000"/>
              <w:left w:val="single" w:sz="4" w:space="0" w:color="000000"/>
              <w:bottom w:val="single" w:sz="12" w:space="0" w:color="000000"/>
              <w:right w:val="single" w:sz="4" w:space="0" w:color="000000"/>
            </w:tcBorders>
          </w:tcPr>
          <w:p w:rsidR="009C5C1F" w:rsidRDefault="004D2E0D">
            <w:pPr>
              <w:autoSpaceDE w:val="0"/>
              <w:autoSpaceDN w:val="0"/>
              <w:adjustRightInd w:val="0"/>
              <w:jc w:val="center"/>
              <w:rPr>
                <w:rFonts w:ascii="黑体" w:eastAsia="黑体" w:hAnsiTheme="minorHAnsi" w:cstheme="minorBidi"/>
                <w:kern w:val="0"/>
                <w:sz w:val="24"/>
              </w:rPr>
            </w:pPr>
            <w:r>
              <w:rPr>
                <w:rFonts w:ascii="黑体" w:eastAsia="黑体" w:hAnsi="黑体" w:hint="eastAsia"/>
                <w:color w:val="000000"/>
              </w:rPr>
              <w:t xml:space="preserve">　</w:t>
            </w:r>
          </w:p>
        </w:tc>
        <w:tc>
          <w:tcPr>
            <w:tcW w:w="1838" w:type="dxa"/>
            <w:tcBorders>
              <w:top w:val="single" w:sz="4" w:space="0" w:color="000000"/>
              <w:left w:val="single" w:sz="4" w:space="0" w:color="000000"/>
              <w:bottom w:val="single" w:sz="12"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b/>
                <w:color w:val="000000"/>
                <w:kern w:val="0"/>
                <w:sz w:val="20"/>
                <w:szCs w:val="20"/>
              </w:rPr>
            </w:pPr>
            <w:r>
              <w:rPr>
                <w:b/>
                <w:color w:val="000000"/>
                <w:sz w:val="20"/>
                <w:szCs w:val="20"/>
              </w:rPr>
              <w:t>4.2</w:t>
            </w:r>
            <w:r>
              <w:rPr>
                <w:rFonts w:hint="eastAsia"/>
                <w:b/>
                <w:color w:val="000000"/>
                <w:sz w:val="20"/>
                <w:szCs w:val="20"/>
              </w:rPr>
              <w:t xml:space="preserve"> </w:t>
            </w:r>
          </w:p>
        </w:tc>
      </w:tr>
    </w:tbl>
    <w:p w:rsidR="009C5C1F" w:rsidRDefault="004D2E0D">
      <w:pPr>
        <w:keepNext/>
        <w:keepLines/>
        <w:suppressAutoHyphens/>
        <w:wordWrap w:val="0"/>
        <w:topLinePunct/>
        <w:spacing w:beforeLines="50" w:before="180" w:afterLines="50" w:after="180" w:line="560" w:lineRule="exact"/>
        <w:ind w:firstLineChars="200" w:firstLine="562"/>
        <w:jc w:val="left"/>
        <w:outlineLvl w:val="1"/>
        <w:rPr>
          <w:rFonts w:eastAsia="黑体"/>
          <w:b/>
          <w:bCs/>
          <w:sz w:val="28"/>
          <w:szCs w:val="30"/>
        </w:rPr>
      </w:pPr>
      <w:bookmarkStart w:id="1052" w:name="_Toc70589919"/>
      <w:bookmarkStart w:id="1053" w:name="_Toc153130804"/>
      <w:r>
        <w:rPr>
          <w:rFonts w:eastAsia="黑体"/>
          <w:b/>
          <w:bCs/>
          <w:sz w:val="28"/>
          <w:szCs w:val="30"/>
        </w:rPr>
        <w:t>四、总费用汇总与年度安排</w:t>
      </w:r>
      <w:bookmarkEnd w:id="1052"/>
      <w:bookmarkEnd w:id="1053"/>
    </w:p>
    <w:p w:rsidR="009C5C1F" w:rsidRDefault="004D2E0D">
      <w:pPr>
        <w:keepNext/>
        <w:keepLines/>
        <w:suppressAutoHyphens/>
        <w:wordWrap w:val="0"/>
        <w:topLinePunct/>
        <w:spacing w:before="120" w:after="120" w:line="360" w:lineRule="auto"/>
        <w:ind w:firstLineChars="200" w:firstLine="482"/>
        <w:outlineLvl w:val="2"/>
        <w:rPr>
          <w:b/>
          <w:sz w:val="24"/>
          <w:szCs w:val="28"/>
        </w:rPr>
      </w:pPr>
      <w:bookmarkStart w:id="1054" w:name="_Toc70589920"/>
      <w:r>
        <w:rPr>
          <w:b/>
          <w:sz w:val="24"/>
          <w:szCs w:val="28"/>
        </w:rPr>
        <w:t>(</w:t>
      </w:r>
      <w:proofErr w:type="gramStart"/>
      <w:r>
        <w:rPr>
          <w:b/>
          <w:sz w:val="24"/>
          <w:szCs w:val="28"/>
        </w:rPr>
        <w:t>一</w:t>
      </w:r>
      <w:proofErr w:type="gramEnd"/>
      <w:r>
        <w:rPr>
          <w:b/>
          <w:sz w:val="24"/>
          <w:szCs w:val="28"/>
        </w:rPr>
        <w:t>)</w:t>
      </w:r>
      <w:r>
        <w:rPr>
          <w:b/>
          <w:sz w:val="24"/>
          <w:szCs w:val="28"/>
        </w:rPr>
        <w:t>总费用构成与汇总</w:t>
      </w:r>
      <w:bookmarkEnd w:id="1054"/>
    </w:p>
    <w:p w:rsidR="009C5C1F" w:rsidRDefault="004D2E0D">
      <w:pPr>
        <w:suppressAutoHyphens/>
        <w:wordWrap w:val="0"/>
        <w:topLinePunct/>
        <w:spacing w:line="480" w:lineRule="exact"/>
        <w:ind w:firstLineChars="200" w:firstLine="480"/>
        <w:rPr>
          <w:sz w:val="24"/>
        </w:rPr>
      </w:pPr>
      <w:r>
        <w:rPr>
          <w:sz w:val="24"/>
        </w:rPr>
        <w:t>甘肃省</w:t>
      </w:r>
      <w:bookmarkStart w:id="1055" w:name="_Hlk151670205"/>
      <w:r>
        <w:rPr>
          <w:rFonts w:hint="eastAsia"/>
          <w:sz w:val="24"/>
        </w:rPr>
        <w:t>临泽县板桥镇</w:t>
      </w:r>
      <w:bookmarkEnd w:id="1055"/>
      <w:r>
        <w:rPr>
          <w:rFonts w:hint="eastAsia"/>
          <w:sz w:val="24"/>
        </w:rPr>
        <w:t>正北山西侧砖瓦用粘土</w:t>
      </w:r>
      <w:proofErr w:type="gramStart"/>
      <w:r>
        <w:rPr>
          <w:rFonts w:hint="eastAsia"/>
          <w:sz w:val="24"/>
        </w:rPr>
        <w:t>矿</w:t>
      </w:r>
      <w:proofErr w:type="gramEnd"/>
      <w:r>
        <w:rPr>
          <w:sz w:val="24"/>
        </w:rPr>
        <w:t>矿山地质环境保护与土地复垦方案</w:t>
      </w:r>
      <w:r>
        <w:rPr>
          <w:rFonts w:hint="eastAsia"/>
          <w:sz w:val="24"/>
        </w:rPr>
        <w:t>编制</w:t>
      </w:r>
      <w:r>
        <w:rPr>
          <w:sz w:val="24"/>
        </w:rPr>
        <w:t>年限期内</w:t>
      </w:r>
      <w:r>
        <w:rPr>
          <w:rFonts w:hint="eastAsia"/>
          <w:sz w:val="24"/>
        </w:rPr>
        <w:t>（</w:t>
      </w:r>
      <w:r>
        <w:rPr>
          <w:sz w:val="24"/>
        </w:rPr>
        <w:t>12</w:t>
      </w:r>
      <w:r>
        <w:rPr>
          <w:rFonts w:hint="eastAsia"/>
          <w:sz w:val="24"/>
        </w:rPr>
        <w:t>年）</w:t>
      </w:r>
      <w:r>
        <w:rPr>
          <w:sz w:val="24"/>
        </w:rPr>
        <w:t>总计</w:t>
      </w:r>
      <w:r>
        <w:rPr>
          <w:sz w:val="24"/>
        </w:rPr>
        <w:t>52.78</w:t>
      </w:r>
      <w:r>
        <w:rPr>
          <w:sz w:val="24"/>
        </w:rPr>
        <w:t>万元，其中矿山地质环境保护费用</w:t>
      </w:r>
      <w:r>
        <w:rPr>
          <w:sz w:val="24"/>
        </w:rPr>
        <w:t>19.83</w:t>
      </w:r>
      <w:r>
        <w:rPr>
          <w:sz w:val="24"/>
        </w:rPr>
        <w:t>万元，土地复垦费用</w:t>
      </w:r>
      <w:r>
        <w:rPr>
          <w:sz w:val="24"/>
        </w:rPr>
        <w:t>32.95</w:t>
      </w:r>
      <w:r>
        <w:rPr>
          <w:sz w:val="24"/>
        </w:rPr>
        <w:t>万元；总费用汇总估算表见表</w:t>
      </w:r>
      <w:r>
        <w:rPr>
          <w:sz w:val="24"/>
        </w:rPr>
        <w:t>7-14</w:t>
      </w:r>
      <w:r>
        <w:rPr>
          <w:sz w:val="24"/>
        </w:rPr>
        <w:t>。</w:t>
      </w:r>
    </w:p>
    <w:p w:rsidR="009C5C1F" w:rsidRDefault="004D2E0D">
      <w:pPr>
        <w:suppressAutoHyphens/>
        <w:wordWrap w:val="0"/>
        <w:topLinePunct/>
        <w:spacing w:beforeLines="50" w:before="180" w:afterLines="50" w:after="180"/>
        <w:jc w:val="center"/>
        <w:rPr>
          <w:b/>
          <w:bCs/>
          <w:sz w:val="24"/>
        </w:rPr>
      </w:pPr>
      <w:r>
        <w:rPr>
          <w:rFonts w:hint="eastAsia"/>
          <w:b/>
          <w:bCs/>
          <w:sz w:val="24"/>
        </w:rPr>
        <w:t xml:space="preserve"> </w:t>
      </w:r>
      <w:r>
        <w:rPr>
          <w:b/>
          <w:bCs/>
          <w:sz w:val="24"/>
        </w:rPr>
        <w:t xml:space="preserve">    </w:t>
      </w:r>
      <w:r>
        <w:rPr>
          <w:b/>
          <w:bCs/>
          <w:sz w:val="24"/>
        </w:rPr>
        <w:t>表</w:t>
      </w:r>
      <w:r>
        <w:rPr>
          <w:b/>
          <w:bCs/>
          <w:sz w:val="24"/>
        </w:rPr>
        <w:t xml:space="preserve">7-14                </w:t>
      </w:r>
      <w:r>
        <w:rPr>
          <w:b/>
          <w:bCs/>
          <w:sz w:val="24"/>
        </w:rPr>
        <w:t>总费用汇总表</w:t>
      </w:r>
      <w:r>
        <w:rPr>
          <w:rFonts w:hint="eastAsia"/>
          <w:b/>
          <w:bCs/>
          <w:sz w:val="24"/>
        </w:rPr>
        <w:t xml:space="preserve">     </w:t>
      </w:r>
    </w:p>
    <w:tbl>
      <w:tblPr>
        <w:tblW w:w="5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505"/>
        <w:gridCol w:w="1505"/>
        <w:gridCol w:w="1505"/>
      </w:tblGrid>
      <w:tr w:rsidR="009C5C1F">
        <w:trPr>
          <w:trHeight w:val="730"/>
          <w:jc w:val="center"/>
        </w:trPr>
        <w:tc>
          <w:tcPr>
            <w:tcW w:w="1163" w:type="dxa"/>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费用分期</w:t>
            </w:r>
          </w:p>
        </w:tc>
        <w:tc>
          <w:tcPr>
            <w:tcW w:w="1505" w:type="dxa"/>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矿山地质环境保护（万元）</w:t>
            </w:r>
          </w:p>
        </w:tc>
        <w:tc>
          <w:tcPr>
            <w:tcW w:w="1505" w:type="dxa"/>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土地复垦费用</w:t>
            </w:r>
          </w:p>
          <w:p w:rsidR="009C5C1F" w:rsidRDefault="004D2E0D">
            <w:pPr>
              <w:pStyle w:val="a0"/>
              <w:ind w:firstLine="210"/>
            </w:pPr>
            <w:r>
              <w:rPr>
                <w:rFonts w:hint="eastAsia"/>
              </w:rPr>
              <w:t>（万元）</w:t>
            </w:r>
          </w:p>
        </w:tc>
        <w:tc>
          <w:tcPr>
            <w:tcW w:w="1505" w:type="dxa"/>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总计（万元）</w:t>
            </w:r>
          </w:p>
        </w:tc>
      </w:tr>
      <w:tr w:rsidR="009C5C1F">
        <w:trPr>
          <w:trHeight w:val="1080"/>
          <w:jc w:val="center"/>
        </w:trPr>
        <w:tc>
          <w:tcPr>
            <w:tcW w:w="1163" w:type="dxa"/>
            <w:vAlign w:val="center"/>
          </w:tcPr>
          <w:p w:rsidR="009C5C1F" w:rsidRDefault="004D2E0D">
            <w:pPr>
              <w:autoSpaceDE w:val="0"/>
              <w:autoSpaceDN w:val="0"/>
              <w:adjustRightInd w:val="0"/>
              <w:jc w:val="center"/>
            </w:pPr>
            <w:r>
              <w:rPr>
                <w:rFonts w:ascii="宋体" w:hAnsiTheme="minorHAnsi" w:cs="宋体" w:hint="eastAsia"/>
                <w:color w:val="000000"/>
                <w:kern w:val="0"/>
                <w:sz w:val="20"/>
                <w:szCs w:val="20"/>
              </w:rPr>
              <w:t>编制年限/期</w:t>
            </w:r>
            <w:r>
              <w:rPr>
                <w:rFonts w:hint="eastAsia"/>
              </w:rPr>
              <w:t>（</w:t>
            </w:r>
            <w:r>
              <w:t>12</w:t>
            </w:r>
            <w:r>
              <w:rPr>
                <w:rFonts w:hint="eastAsia"/>
              </w:rPr>
              <w:t>年）</w:t>
            </w:r>
          </w:p>
        </w:tc>
        <w:tc>
          <w:tcPr>
            <w:tcW w:w="1505" w:type="dxa"/>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19.83</w:t>
            </w:r>
          </w:p>
        </w:tc>
        <w:tc>
          <w:tcPr>
            <w:tcW w:w="1505" w:type="dxa"/>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32.95</w:t>
            </w:r>
          </w:p>
        </w:tc>
        <w:tc>
          <w:tcPr>
            <w:tcW w:w="1505" w:type="dxa"/>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52.78</w:t>
            </w:r>
          </w:p>
        </w:tc>
      </w:tr>
    </w:tbl>
    <w:p w:rsidR="009C5C1F" w:rsidRDefault="004D2E0D">
      <w:pPr>
        <w:keepNext/>
        <w:keepLines/>
        <w:suppressAutoHyphens/>
        <w:wordWrap w:val="0"/>
        <w:topLinePunct/>
        <w:spacing w:before="120" w:after="120" w:line="360" w:lineRule="auto"/>
        <w:ind w:firstLineChars="200" w:firstLine="482"/>
        <w:outlineLvl w:val="2"/>
        <w:rPr>
          <w:b/>
          <w:sz w:val="24"/>
          <w:szCs w:val="28"/>
        </w:rPr>
      </w:pPr>
      <w:bookmarkStart w:id="1056" w:name="_Toc70589921"/>
      <w:r>
        <w:rPr>
          <w:b/>
          <w:sz w:val="24"/>
          <w:szCs w:val="28"/>
        </w:rPr>
        <w:t>(</w:t>
      </w:r>
      <w:r>
        <w:rPr>
          <w:b/>
          <w:sz w:val="24"/>
          <w:szCs w:val="28"/>
        </w:rPr>
        <w:t>二</w:t>
      </w:r>
      <w:r>
        <w:rPr>
          <w:b/>
          <w:sz w:val="24"/>
          <w:szCs w:val="28"/>
        </w:rPr>
        <w:t>)</w:t>
      </w:r>
      <w:r>
        <w:rPr>
          <w:b/>
          <w:sz w:val="24"/>
          <w:szCs w:val="28"/>
        </w:rPr>
        <w:t>近期年度经费安排</w:t>
      </w:r>
      <w:bookmarkEnd w:id="1056"/>
    </w:p>
    <w:p w:rsidR="009C5C1F" w:rsidRDefault="004D2E0D">
      <w:pPr>
        <w:suppressAutoHyphens/>
        <w:wordWrap w:val="0"/>
        <w:topLinePunct/>
        <w:spacing w:line="480" w:lineRule="exact"/>
        <w:ind w:firstLineChars="200" w:firstLine="480"/>
        <w:rPr>
          <w:sz w:val="24"/>
        </w:rPr>
      </w:pPr>
      <w:r>
        <w:rPr>
          <w:sz w:val="24"/>
        </w:rPr>
        <w:t>1.</w:t>
      </w:r>
      <w:r>
        <w:rPr>
          <w:sz w:val="24"/>
        </w:rPr>
        <w:t>服务年限</w:t>
      </w:r>
    </w:p>
    <w:p w:rsidR="009C5C1F" w:rsidRDefault="004D2E0D">
      <w:pPr>
        <w:suppressAutoHyphens/>
        <w:wordWrap w:val="0"/>
        <w:topLinePunct/>
        <w:spacing w:line="480" w:lineRule="exact"/>
        <w:ind w:firstLineChars="200" w:firstLine="480"/>
        <w:rPr>
          <w:sz w:val="24"/>
        </w:rPr>
      </w:pPr>
      <w:r>
        <w:rPr>
          <w:sz w:val="24"/>
        </w:rPr>
        <w:t>根据《开发利用方案》（</w:t>
      </w:r>
      <w:r>
        <w:rPr>
          <w:sz w:val="24"/>
        </w:rPr>
        <w:t>20</w:t>
      </w:r>
      <w:r>
        <w:rPr>
          <w:rFonts w:hint="eastAsia"/>
          <w:sz w:val="24"/>
        </w:rPr>
        <w:t>2</w:t>
      </w:r>
      <w:r>
        <w:rPr>
          <w:sz w:val="24"/>
        </w:rPr>
        <w:t>3</w:t>
      </w:r>
      <w:r>
        <w:rPr>
          <w:sz w:val="24"/>
        </w:rPr>
        <w:t>年</w:t>
      </w:r>
      <w:r>
        <w:rPr>
          <w:sz w:val="24"/>
        </w:rPr>
        <w:t>8</w:t>
      </w:r>
      <w:r>
        <w:rPr>
          <w:rFonts w:hint="eastAsia"/>
          <w:sz w:val="24"/>
        </w:rPr>
        <w:t>月</w:t>
      </w:r>
      <w:r>
        <w:rPr>
          <w:sz w:val="24"/>
        </w:rPr>
        <w:t>编制），</w:t>
      </w:r>
      <w:r>
        <w:rPr>
          <w:rFonts w:hint="eastAsia"/>
          <w:sz w:val="24"/>
        </w:rPr>
        <w:t>确定可利用系数取</w:t>
      </w:r>
      <w:r>
        <w:rPr>
          <w:sz w:val="24"/>
        </w:rPr>
        <w:t>1</w:t>
      </w:r>
      <w:r>
        <w:rPr>
          <w:rFonts w:hint="eastAsia"/>
          <w:sz w:val="24"/>
        </w:rPr>
        <w:t>，回采率</w:t>
      </w:r>
      <w:r>
        <w:rPr>
          <w:rFonts w:hint="eastAsia"/>
          <w:sz w:val="24"/>
        </w:rPr>
        <w:t>95%</w:t>
      </w:r>
      <w:r>
        <w:rPr>
          <w:rFonts w:hint="eastAsia"/>
          <w:sz w:val="24"/>
        </w:rPr>
        <w:t>，矿山确定的可采储量为</w:t>
      </w:r>
      <w:r>
        <w:rPr>
          <w:rFonts w:hint="eastAsia"/>
          <w:sz w:val="24"/>
        </w:rPr>
        <w:t>1</w:t>
      </w:r>
      <w:r>
        <w:rPr>
          <w:sz w:val="24"/>
        </w:rPr>
        <w:t>11.815</w:t>
      </w:r>
      <w:r>
        <w:rPr>
          <w:rFonts w:hint="eastAsia"/>
          <w:sz w:val="24"/>
        </w:rPr>
        <w:t>×</w:t>
      </w:r>
      <w:r>
        <w:rPr>
          <w:sz w:val="24"/>
        </w:rPr>
        <w:t>10</w:t>
      </w:r>
      <w:r>
        <w:rPr>
          <w:sz w:val="24"/>
          <w:vertAlign w:val="superscript"/>
        </w:rPr>
        <w:t>4</w:t>
      </w:r>
      <w:r>
        <w:rPr>
          <w:sz w:val="24"/>
        </w:rPr>
        <w:t>万</w:t>
      </w:r>
      <w:r>
        <w:rPr>
          <w:rFonts w:hint="eastAsia"/>
          <w:sz w:val="24"/>
        </w:rPr>
        <w:t>立方米，设计生产规模为</w:t>
      </w:r>
      <w:r>
        <w:rPr>
          <w:sz w:val="24"/>
        </w:rPr>
        <w:t>1</w:t>
      </w:r>
      <w:r>
        <w:rPr>
          <w:rFonts w:hint="eastAsia"/>
          <w:sz w:val="24"/>
        </w:rPr>
        <w:t>0</w:t>
      </w:r>
      <w:r>
        <w:rPr>
          <w:rFonts w:hint="eastAsia"/>
          <w:sz w:val="24"/>
        </w:rPr>
        <w:t>万立方米</w:t>
      </w:r>
      <w:r>
        <w:rPr>
          <w:rFonts w:hint="eastAsia"/>
          <w:sz w:val="24"/>
        </w:rPr>
        <w:t>/</w:t>
      </w:r>
      <w:r>
        <w:rPr>
          <w:rFonts w:hint="eastAsia"/>
          <w:sz w:val="24"/>
        </w:rPr>
        <w:t>年，矿山服务年限约为</w:t>
      </w:r>
      <w:r>
        <w:rPr>
          <w:rFonts w:hint="eastAsia"/>
          <w:sz w:val="24"/>
        </w:rPr>
        <w:t>1</w:t>
      </w:r>
      <w:r>
        <w:rPr>
          <w:sz w:val="24"/>
        </w:rPr>
        <w:t>1</w:t>
      </w:r>
      <w:r>
        <w:rPr>
          <w:rFonts w:hint="eastAsia"/>
          <w:sz w:val="24"/>
        </w:rPr>
        <w:t>年（不含基建期）。</w:t>
      </w:r>
    </w:p>
    <w:p w:rsidR="009C5C1F" w:rsidRDefault="004D2E0D">
      <w:pPr>
        <w:suppressAutoHyphens/>
        <w:wordWrap w:val="0"/>
        <w:topLinePunct/>
        <w:spacing w:line="480" w:lineRule="exact"/>
        <w:ind w:firstLineChars="200" w:firstLine="480"/>
        <w:rPr>
          <w:sz w:val="24"/>
        </w:rPr>
      </w:pPr>
      <w:r>
        <w:rPr>
          <w:sz w:val="24"/>
        </w:rPr>
        <w:t>本次编制的《甘肃省</w:t>
      </w:r>
      <w:r>
        <w:rPr>
          <w:rFonts w:hint="eastAsia"/>
          <w:sz w:val="24"/>
        </w:rPr>
        <w:t>临泽县板桥镇粘土矿</w:t>
      </w:r>
      <w:r>
        <w:rPr>
          <w:sz w:val="24"/>
        </w:rPr>
        <w:t>矿山地质环境保护与土地复垦方案》适用年限按照国土资源部《土地复垦方案编制规程第一部分：通则》（</w:t>
      </w:r>
      <w:r>
        <w:rPr>
          <w:sz w:val="24"/>
        </w:rPr>
        <w:t>TD/T1031.1-2011</w:t>
      </w:r>
      <w:r>
        <w:rPr>
          <w:sz w:val="24"/>
        </w:rPr>
        <w:t>）的规定，最终确定方案编制年限为</w:t>
      </w:r>
      <w:r>
        <w:rPr>
          <w:sz w:val="24"/>
        </w:rPr>
        <w:t>12</w:t>
      </w:r>
      <w:r>
        <w:rPr>
          <w:sz w:val="24"/>
        </w:rPr>
        <w:t>年（含</w:t>
      </w:r>
      <w:r>
        <w:rPr>
          <w:rFonts w:hint="eastAsia"/>
          <w:sz w:val="24"/>
        </w:rPr>
        <w:t>3</w:t>
      </w:r>
      <w:r>
        <w:rPr>
          <w:sz w:val="24"/>
        </w:rPr>
        <w:t>年恢复治理期及管护期）即自</w:t>
      </w:r>
      <w:r>
        <w:rPr>
          <w:sz w:val="24"/>
        </w:rPr>
        <w:t>2023</w:t>
      </w:r>
      <w:r>
        <w:rPr>
          <w:sz w:val="24"/>
        </w:rPr>
        <w:t>年</w:t>
      </w:r>
      <w:r>
        <w:rPr>
          <w:rFonts w:hint="eastAsia"/>
          <w:sz w:val="24"/>
        </w:rPr>
        <w:t>8</w:t>
      </w:r>
      <w:r>
        <w:rPr>
          <w:sz w:val="24"/>
        </w:rPr>
        <w:t>月至</w:t>
      </w:r>
      <w:r>
        <w:rPr>
          <w:sz w:val="24"/>
        </w:rPr>
        <w:t>2035</w:t>
      </w:r>
      <w:r>
        <w:rPr>
          <w:sz w:val="24"/>
        </w:rPr>
        <w:t>年</w:t>
      </w:r>
      <w:r>
        <w:rPr>
          <w:rFonts w:hint="eastAsia"/>
          <w:sz w:val="24"/>
        </w:rPr>
        <w:t>8</w:t>
      </w:r>
      <w:r>
        <w:rPr>
          <w:sz w:val="24"/>
        </w:rPr>
        <w:t>月；方案适用年限为</w:t>
      </w:r>
      <w:r>
        <w:rPr>
          <w:sz w:val="24"/>
        </w:rPr>
        <w:t>5</w:t>
      </w:r>
      <w:r>
        <w:rPr>
          <w:sz w:val="24"/>
        </w:rPr>
        <w:t>年，即自</w:t>
      </w:r>
      <w:r>
        <w:rPr>
          <w:sz w:val="24"/>
        </w:rPr>
        <w:t>2023</w:t>
      </w:r>
      <w:r>
        <w:rPr>
          <w:sz w:val="24"/>
        </w:rPr>
        <w:t>年</w:t>
      </w:r>
      <w:r>
        <w:rPr>
          <w:rFonts w:hint="eastAsia"/>
          <w:sz w:val="24"/>
        </w:rPr>
        <w:t>8</w:t>
      </w:r>
      <w:r>
        <w:rPr>
          <w:sz w:val="24"/>
        </w:rPr>
        <w:t>月至</w:t>
      </w:r>
      <w:r>
        <w:rPr>
          <w:sz w:val="24"/>
        </w:rPr>
        <w:t>2028</w:t>
      </w:r>
      <w:r>
        <w:rPr>
          <w:sz w:val="24"/>
        </w:rPr>
        <w:t>年</w:t>
      </w:r>
      <w:r>
        <w:rPr>
          <w:rFonts w:hint="eastAsia"/>
          <w:sz w:val="24"/>
        </w:rPr>
        <w:t>8</w:t>
      </w:r>
      <w:r>
        <w:rPr>
          <w:sz w:val="24"/>
        </w:rPr>
        <w:t>月（</w:t>
      </w:r>
      <w:r>
        <w:rPr>
          <w:rFonts w:hint="eastAsia"/>
          <w:sz w:val="24"/>
        </w:rPr>
        <w:t>矿山</w:t>
      </w:r>
      <w:r>
        <w:rPr>
          <w:sz w:val="24"/>
        </w:rPr>
        <w:t>服务年限为</w:t>
      </w:r>
      <w:r>
        <w:rPr>
          <w:rFonts w:hint="eastAsia"/>
          <w:sz w:val="24"/>
        </w:rPr>
        <w:t>1</w:t>
      </w:r>
      <w:r>
        <w:rPr>
          <w:sz w:val="24"/>
        </w:rPr>
        <w:t>1</w:t>
      </w:r>
      <w:r>
        <w:rPr>
          <w:rFonts w:hint="eastAsia"/>
          <w:sz w:val="24"/>
        </w:rPr>
        <w:t>年</w:t>
      </w:r>
      <w:r>
        <w:rPr>
          <w:sz w:val="24"/>
        </w:rPr>
        <w:t>）。期间如出现企业发展、矿产开采变化等，要适时调整土地复垦方案。</w:t>
      </w:r>
      <w:r>
        <w:rPr>
          <w:rFonts w:hint="eastAsia"/>
          <w:sz w:val="24"/>
        </w:rPr>
        <w:t>另外方案需每</w:t>
      </w:r>
      <w:r>
        <w:rPr>
          <w:rFonts w:hint="eastAsia"/>
          <w:sz w:val="24"/>
        </w:rPr>
        <w:t>5</w:t>
      </w:r>
      <w:r>
        <w:rPr>
          <w:rFonts w:hint="eastAsia"/>
          <w:sz w:val="24"/>
        </w:rPr>
        <w:t>年更新订正一次。</w:t>
      </w:r>
    </w:p>
    <w:p w:rsidR="009C5C1F" w:rsidRDefault="004D2E0D">
      <w:pPr>
        <w:suppressAutoHyphens/>
        <w:wordWrap w:val="0"/>
        <w:topLinePunct/>
        <w:spacing w:line="480" w:lineRule="exact"/>
        <w:ind w:firstLineChars="200" w:firstLine="480"/>
        <w:rPr>
          <w:sz w:val="24"/>
        </w:rPr>
      </w:pPr>
      <w:r>
        <w:rPr>
          <w:sz w:val="24"/>
        </w:rPr>
        <w:t>2.</w:t>
      </w:r>
      <w:r>
        <w:rPr>
          <w:sz w:val="24"/>
        </w:rPr>
        <w:t>工作计划安排</w:t>
      </w:r>
    </w:p>
    <w:p w:rsidR="009C5C1F" w:rsidRDefault="004D2E0D">
      <w:pPr>
        <w:suppressAutoHyphens/>
        <w:wordWrap w:val="0"/>
        <w:topLinePunct/>
        <w:spacing w:line="480" w:lineRule="exact"/>
        <w:ind w:firstLineChars="200" w:firstLine="480"/>
        <w:rPr>
          <w:sz w:val="24"/>
        </w:rPr>
      </w:pPr>
      <w:r>
        <w:rPr>
          <w:sz w:val="24"/>
        </w:rPr>
        <w:t>根据该矿生产工艺、生产服务年限、生产活动对土地破坏的特点及区域，以及土地复垦方案服务年限，制定土地复垦工作进度，以保证土地复垦目标的实现，复垦任务的完成。具体复垦工作计划安排如表</w:t>
      </w:r>
      <w:r>
        <w:rPr>
          <w:sz w:val="24"/>
        </w:rPr>
        <w:t>7-15</w:t>
      </w:r>
      <w:r>
        <w:rPr>
          <w:sz w:val="24"/>
        </w:rPr>
        <w:t>。</w:t>
      </w:r>
    </w:p>
    <w:p w:rsidR="009C5C1F" w:rsidRDefault="004D2E0D">
      <w:pPr>
        <w:suppressAutoHyphens/>
        <w:wordWrap w:val="0"/>
        <w:topLinePunct/>
        <w:spacing w:beforeLines="50" w:before="180" w:afterLines="50" w:after="180"/>
        <w:jc w:val="center"/>
        <w:rPr>
          <w:b/>
          <w:bCs/>
          <w:sz w:val="24"/>
        </w:rPr>
      </w:pPr>
      <w:r>
        <w:rPr>
          <w:rFonts w:hint="eastAsia"/>
          <w:b/>
          <w:bCs/>
          <w:sz w:val="24"/>
        </w:rPr>
        <w:lastRenderedPageBreak/>
        <w:t xml:space="preserve"> </w:t>
      </w:r>
      <w:r>
        <w:rPr>
          <w:b/>
          <w:bCs/>
          <w:sz w:val="24"/>
        </w:rPr>
        <w:t xml:space="preserve">     </w:t>
      </w:r>
      <w:r>
        <w:rPr>
          <w:b/>
          <w:bCs/>
          <w:sz w:val="24"/>
        </w:rPr>
        <w:t>表</w:t>
      </w:r>
      <w:r>
        <w:rPr>
          <w:b/>
          <w:bCs/>
          <w:sz w:val="24"/>
        </w:rPr>
        <w:t xml:space="preserve">7-15           </w:t>
      </w:r>
      <w:r>
        <w:rPr>
          <w:b/>
          <w:bCs/>
          <w:sz w:val="24"/>
        </w:rPr>
        <w:t>土地复垦工作安排表</w:t>
      </w:r>
      <w:r>
        <w:rPr>
          <w:rFonts w:hint="eastAsia"/>
          <w:b/>
          <w:bCs/>
          <w:sz w:val="24"/>
        </w:rPr>
        <w:t xml:space="preserve">      </w:t>
      </w:r>
    </w:p>
    <w:tbl>
      <w:tblPr>
        <w:tblW w:w="8551" w:type="dxa"/>
        <w:jc w:val="center"/>
        <w:tblLayout w:type="fixed"/>
        <w:tblLook w:val="04A0" w:firstRow="1" w:lastRow="0" w:firstColumn="1" w:lastColumn="0" w:noHBand="0" w:noVBand="1"/>
      </w:tblPr>
      <w:tblGrid>
        <w:gridCol w:w="1538"/>
        <w:gridCol w:w="1547"/>
        <w:gridCol w:w="5466"/>
      </w:tblGrid>
      <w:tr w:rsidR="009C5C1F">
        <w:trPr>
          <w:trHeight w:val="408"/>
          <w:jc w:val="center"/>
        </w:trPr>
        <w:tc>
          <w:tcPr>
            <w:tcW w:w="1538" w:type="dxa"/>
            <w:tcBorders>
              <w:top w:val="single" w:sz="12"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复垦阶段</w:t>
            </w:r>
          </w:p>
        </w:tc>
        <w:tc>
          <w:tcPr>
            <w:tcW w:w="1547" w:type="dxa"/>
            <w:tcBorders>
              <w:top w:val="single" w:sz="12"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复垦面积</w:t>
            </w:r>
            <w:r>
              <w:rPr>
                <w:rFonts w:ascii="宋体" w:hAnsiTheme="minorHAnsi" w:cs="宋体"/>
                <w:color w:val="000000"/>
                <w:kern w:val="0"/>
                <w:sz w:val="20"/>
                <w:szCs w:val="20"/>
              </w:rPr>
              <w:t>(hm</w:t>
            </w:r>
            <w:r>
              <w:rPr>
                <w:rFonts w:ascii="宋体" w:hAnsiTheme="minorHAnsi" w:cs="宋体"/>
                <w:color w:val="000000"/>
                <w:kern w:val="0"/>
                <w:sz w:val="20"/>
                <w:szCs w:val="20"/>
                <w:vertAlign w:val="superscript"/>
              </w:rPr>
              <w:t>2</w:t>
            </w:r>
            <w:r>
              <w:rPr>
                <w:rFonts w:ascii="宋体" w:hAnsiTheme="minorHAnsi" w:cs="宋体"/>
                <w:color w:val="000000"/>
                <w:kern w:val="0"/>
                <w:sz w:val="20"/>
                <w:szCs w:val="20"/>
              </w:rPr>
              <w:t>)</w:t>
            </w:r>
          </w:p>
        </w:tc>
        <w:tc>
          <w:tcPr>
            <w:tcW w:w="5466" w:type="dxa"/>
            <w:tcBorders>
              <w:top w:val="single" w:sz="12"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主要工程</w:t>
            </w:r>
          </w:p>
        </w:tc>
      </w:tr>
      <w:tr w:rsidR="009C5C1F">
        <w:trPr>
          <w:trHeight w:val="450"/>
          <w:jc w:val="center"/>
        </w:trPr>
        <w:tc>
          <w:tcPr>
            <w:tcW w:w="1538"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2023.8-2024.8</w:t>
            </w:r>
          </w:p>
        </w:tc>
        <w:tc>
          <w:tcPr>
            <w:tcW w:w="154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1.75</w:t>
            </w:r>
            <w:r>
              <w:rPr>
                <w:rFonts w:hint="eastAsia"/>
                <w:color w:val="000000"/>
                <w:sz w:val="20"/>
                <w:szCs w:val="20"/>
              </w:rPr>
              <w:t xml:space="preserve"> </w:t>
            </w:r>
          </w:p>
        </w:tc>
        <w:tc>
          <w:tcPr>
            <w:tcW w:w="5466"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left"/>
              <w:rPr>
                <w:rFonts w:ascii="宋体" w:hAnsiTheme="minorHAnsi" w:cs="宋体"/>
                <w:color w:val="000000"/>
                <w:kern w:val="0"/>
                <w:szCs w:val="21"/>
              </w:rPr>
            </w:pPr>
            <w:r>
              <w:rPr>
                <w:rFonts w:ascii="宋体" w:hAnsiTheme="minorHAnsi" w:cs="宋体" w:hint="eastAsia"/>
                <w:color w:val="000000"/>
                <w:kern w:val="0"/>
                <w:szCs w:val="21"/>
              </w:rPr>
              <w:t>建立环境问题治理及土地复垦工作领导机构；规划拟开采区；清除崩塌体的危岩；场地平整、覆土、监测等；</w:t>
            </w:r>
          </w:p>
        </w:tc>
      </w:tr>
      <w:tr w:rsidR="009C5C1F">
        <w:trPr>
          <w:trHeight w:val="450"/>
          <w:jc w:val="center"/>
        </w:trPr>
        <w:tc>
          <w:tcPr>
            <w:tcW w:w="1538"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2024.8</w:t>
            </w:r>
            <w:r>
              <w:rPr>
                <w:rFonts w:ascii="宋体" w:hAnsiTheme="minorHAnsi" w:cs="宋体" w:hint="eastAsia"/>
                <w:color w:val="000000"/>
                <w:kern w:val="0"/>
                <w:sz w:val="20"/>
                <w:szCs w:val="20"/>
              </w:rPr>
              <w:t>-</w:t>
            </w:r>
            <w:r>
              <w:rPr>
                <w:rFonts w:ascii="宋体" w:hAnsiTheme="minorHAnsi" w:cs="宋体"/>
                <w:color w:val="000000"/>
                <w:kern w:val="0"/>
                <w:sz w:val="20"/>
                <w:szCs w:val="20"/>
              </w:rPr>
              <w:t>2025.8</w:t>
            </w:r>
          </w:p>
        </w:tc>
        <w:tc>
          <w:tcPr>
            <w:tcW w:w="154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1.75</w:t>
            </w:r>
          </w:p>
        </w:tc>
        <w:tc>
          <w:tcPr>
            <w:tcW w:w="5466"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left"/>
              <w:rPr>
                <w:rFonts w:ascii="宋体" w:hAnsiTheme="minorHAnsi" w:cs="宋体"/>
                <w:color w:val="000000"/>
                <w:kern w:val="0"/>
                <w:szCs w:val="21"/>
              </w:rPr>
            </w:pPr>
            <w:r>
              <w:rPr>
                <w:rFonts w:ascii="宋体" w:hAnsiTheme="minorHAnsi" w:cs="宋体" w:hint="eastAsia"/>
                <w:color w:val="000000"/>
                <w:kern w:val="0"/>
                <w:szCs w:val="21"/>
              </w:rPr>
              <w:t>清除崩塌体的危岩；场地平整、覆土、已形成采场周边架设防护栏、监测等</w:t>
            </w:r>
          </w:p>
        </w:tc>
      </w:tr>
      <w:tr w:rsidR="009C5C1F">
        <w:trPr>
          <w:trHeight w:val="450"/>
          <w:jc w:val="center"/>
        </w:trPr>
        <w:tc>
          <w:tcPr>
            <w:tcW w:w="1538"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2025.8-2026.8</w:t>
            </w:r>
          </w:p>
        </w:tc>
        <w:tc>
          <w:tcPr>
            <w:tcW w:w="154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color w:val="000000"/>
                <w:sz w:val="20"/>
                <w:szCs w:val="20"/>
              </w:rPr>
              <w:t>1.75</w:t>
            </w:r>
          </w:p>
        </w:tc>
        <w:tc>
          <w:tcPr>
            <w:tcW w:w="5466"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left"/>
              <w:rPr>
                <w:rFonts w:ascii="宋体" w:hAnsiTheme="minorHAnsi" w:cs="宋体"/>
                <w:color w:val="000000"/>
                <w:kern w:val="0"/>
                <w:szCs w:val="21"/>
              </w:rPr>
            </w:pPr>
            <w:r>
              <w:rPr>
                <w:rFonts w:ascii="宋体" w:hAnsiTheme="minorHAnsi" w:cs="宋体" w:hint="eastAsia"/>
                <w:color w:val="000000"/>
                <w:kern w:val="0"/>
                <w:szCs w:val="21"/>
              </w:rPr>
              <w:t>清除崩塌体的危岩；场地平整、覆土、已形成采场周边架设防护栏、监测等</w:t>
            </w:r>
          </w:p>
        </w:tc>
      </w:tr>
      <w:tr w:rsidR="009C5C1F">
        <w:trPr>
          <w:trHeight w:val="450"/>
          <w:jc w:val="center"/>
        </w:trPr>
        <w:tc>
          <w:tcPr>
            <w:tcW w:w="1538"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2026.8-2027.8</w:t>
            </w:r>
          </w:p>
        </w:tc>
        <w:tc>
          <w:tcPr>
            <w:tcW w:w="154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color w:val="000000"/>
                <w:sz w:val="20"/>
                <w:szCs w:val="20"/>
              </w:rPr>
            </w:pPr>
            <w:r>
              <w:rPr>
                <w:color w:val="000000"/>
                <w:sz w:val="22"/>
                <w:szCs w:val="22"/>
              </w:rPr>
              <w:t>1.75</w:t>
            </w:r>
          </w:p>
        </w:tc>
        <w:tc>
          <w:tcPr>
            <w:tcW w:w="5466"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left"/>
              <w:rPr>
                <w:rFonts w:ascii="宋体" w:hAnsiTheme="minorHAnsi" w:cs="宋体"/>
                <w:color w:val="000000"/>
                <w:kern w:val="0"/>
                <w:szCs w:val="21"/>
              </w:rPr>
            </w:pPr>
            <w:r>
              <w:rPr>
                <w:rFonts w:ascii="宋体" w:hAnsiTheme="minorHAnsi" w:cs="宋体" w:hint="eastAsia"/>
                <w:color w:val="000000"/>
                <w:kern w:val="0"/>
                <w:szCs w:val="21"/>
              </w:rPr>
              <w:t>清除崩塌体的危岩；场地平整、覆土、已形成采场周边架设防护栏、监测等</w:t>
            </w:r>
          </w:p>
        </w:tc>
      </w:tr>
      <w:tr w:rsidR="009C5C1F">
        <w:trPr>
          <w:trHeight w:val="450"/>
          <w:jc w:val="center"/>
        </w:trPr>
        <w:tc>
          <w:tcPr>
            <w:tcW w:w="1538"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2027.8-2028.8</w:t>
            </w:r>
          </w:p>
        </w:tc>
        <w:tc>
          <w:tcPr>
            <w:tcW w:w="154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rPr>
                <w:color w:val="000000"/>
                <w:sz w:val="20"/>
                <w:szCs w:val="20"/>
              </w:rPr>
            </w:pPr>
            <w:r>
              <w:rPr>
                <w:color w:val="000000"/>
                <w:sz w:val="22"/>
                <w:szCs w:val="22"/>
              </w:rPr>
              <w:t>1.75</w:t>
            </w:r>
          </w:p>
        </w:tc>
        <w:tc>
          <w:tcPr>
            <w:tcW w:w="5466"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left"/>
              <w:rPr>
                <w:rFonts w:ascii="宋体" w:hAnsiTheme="minorHAnsi" w:cs="宋体"/>
                <w:color w:val="000000"/>
                <w:kern w:val="0"/>
                <w:szCs w:val="21"/>
              </w:rPr>
            </w:pPr>
            <w:r>
              <w:rPr>
                <w:rFonts w:ascii="宋体" w:hAnsiTheme="minorHAnsi" w:cs="宋体" w:hint="eastAsia"/>
                <w:color w:val="000000"/>
                <w:kern w:val="0"/>
                <w:szCs w:val="21"/>
              </w:rPr>
              <w:t>清除崩塌体的危岩；场地平整、覆土、已形成采场周边架设防护栏、监测等</w:t>
            </w:r>
          </w:p>
        </w:tc>
      </w:tr>
      <w:tr w:rsidR="009C5C1F">
        <w:trPr>
          <w:trHeight w:val="450"/>
          <w:jc w:val="center"/>
        </w:trPr>
        <w:tc>
          <w:tcPr>
            <w:tcW w:w="1538" w:type="dxa"/>
            <w:tcBorders>
              <w:top w:val="single" w:sz="4" w:space="0" w:color="000000"/>
              <w:left w:val="single" w:sz="12" w:space="0" w:color="000000"/>
              <w:bottom w:val="single" w:sz="4"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2028.8-2030.8</w:t>
            </w:r>
          </w:p>
        </w:tc>
        <w:tc>
          <w:tcPr>
            <w:tcW w:w="1547" w:type="dxa"/>
            <w:tcBorders>
              <w:top w:val="single" w:sz="4" w:space="0" w:color="000000"/>
              <w:left w:val="single" w:sz="4" w:space="0" w:color="000000"/>
              <w:bottom w:val="single" w:sz="4" w:space="0" w:color="000000"/>
              <w:right w:val="single" w:sz="4" w:space="0" w:color="000000"/>
            </w:tcBorders>
            <w:vAlign w:val="center"/>
          </w:tcPr>
          <w:p w:rsidR="009C5C1F" w:rsidRDefault="004D2E0D">
            <w:pPr>
              <w:autoSpaceDE w:val="0"/>
              <w:autoSpaceDN w:val="0"/>
              <w:adjustRightInd w:val="0"/>
              <w:jc w:val="center"/>
            </w:pPr>
            <w:r>
              <w:rPr>
                <w:color w:val="000000"/>
                <w:sz w:val="20"/>
                <w:szCs w:val="20"/>
              </w:rPr>
              <w:t>3.098</w:t>
            </w:r>
          </w:p>
        </w:tc>
        <w:tc>
          <w:tcPr>
            <w:tcW w:w="5466" w:type="dxa"/>
            <w:tcBorders>
              <w:top w:val="single" w:sz="4" w:space="0" w:color="000000"/>
              <w:left w:val="single" w:sz="4" w:space="0" w:color="000000"/>
              <w:bottom w:val="single" w:sz="4" w:space="0" w:color="000000"/>
              <w:right w:val="single" w:sz="12" w:space="0" w:color="000000"/>
            </w:tcBorders>
            <w:vAlign w:val="center"/>
          </w:tcPr>
          <w:p w:rsidR="009C5C1F" w:rsidRDefault="004D2E0D">
            <w:pPr>
              <w:autoSpaceDE w:val="0"/>
              <w:autoSpaceDN w:val="0"/>
              <w:adjustRightInd w:val="0"/>
              <w:jc w:val="left"/>
              <w:rPr>
                <w:rFonts w:ascii="宋体" w:hAnsiTheme="minorHAnsi" w:cs="宋体"/>
                <w:color w:val="000000"/>
                <w:kern w:val="0"/>
                <w:szCs w:val="21"/>
              </w:rPr>
            </w:pPr>
            <w:r>
              <w:rPr>
                <w:rFonts w:ascii="宋体" w:hAnsiTheme="minorHAnsi" w:cs="宋体" w:hint="eastAsia"/>
                <w:color w:val="000000"/>
                <w:kern w:val="0"/>
                <w:szCs w:val="21"/>
              </w:rPr>
              <w:t>清除崩塌体的危岩；已形成采场周边架设防护栏；砌体拆除；场地平整、覆土、监测等；</w:t>
            </w:r>
          </w:p>
        </w:tc>
      </w:tr>
      <w:tr w:rsidR="009C5C1F">
        <w:trPr>
          <w:trHeight w:val="393"/>
          <w:jc w:val="center"/>
        </w:trPr>
        <w:tc>
          <w:tcPr>
            <w:tcW w:w="1538" w:type="dxa"/>
            <w:tcBorders>
              <w:top w:val="single" w:sz="4" w:space="0" w:color="000000"/>
              <w:left w:val="single" w:sz="12" w:space="0" w:color="000000"/>
              <w:bottom w:val="single" w:sz="12"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合计</w:t>
            </w:r>
          </w:p>
        </w:tc>
        <w:tc>
          <w:tcPr>
            <w:tcW w:w="1547" w:type="dxa"/>
            <w:tcBorders>
              <w:top w:val="single" w:sz="4" w:space="0" w:color="000000"/>
              <w:left w:val="single" w:sz="4" w:space="0" w:color="000000"/>
              <w:bottom w:val="single" w:sz="12" w:space="0" w:color="000000"/>
              <w:right w:val="single" w:sz="4" w:space="0" w:color="000000"/>
            </w:tcBorders>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color w:val="000000"/>
                <w:kern w:val="0"/>
                <w:sz w:val="20"/>
                <w:szCs w:val="20"/>
              </w:rPr>
              <w:t>3.098</w:t>
            </w:r>
          </w:p>
        </w:tc>
        <w:tc>
          <w:tcPr>
            <w:tcW w:w="5466" w:type="dxa"/>
            <w:tcBorders>
              <w:top w:val="single" w:sz="4" w:space="0" w:color="000000"/>
              <w:left w:val="single" w:sz="4" w:space="0" w:color="000000"/>
              <w:bottom w:val="single" w:sz="12" w:space="0" w:color="000000"/>
              <w:right w:val="single" w:sz="12" w:space="0" w:color="000000"/>
            </w:tcBorders>
            <w:vAlign w:val="center"/>
          </w:tcPr>
          <w:p w:rsidR="009C5C1F" w:rsidRDefault="009C5C1F">
            <w:pPr>
              <w:autoSpaceDE w:val="0"/>
              <w:autoSpaceDN w:val="0"/>
              <w:adjustRightInd w:val="0"/>
              <w:jc w:val="center"/>
              <w:rPr>
                <w:rFonts w:ascii="黑体" w:eastAsia="黑体" w:hAnsiTheme="minorHAnsi" w:cstheme="minorBidi"/>
                <w:kern w:val="0"/>
                <w:sz w:val="24"/>
              </w:rPr>
            </w:pPr>
          </w:p>
        </w:tc>
      </w:tr>
    </w:tbl>
    <w:p w:rsidR="009C5C1F" w:rsidRDefault="004D2E0D">
      <w:pPr>
        <w:suppressAutoHyphens/>
        <w:wordWrap w:val="0"/>
        <w:topLinePunct/>
        <w:spacing w:line="480" w:lineRule="exact"/>
        <w:ind w:firstLineChars="200" w:firstLine="480"/>
        <w:rPr>
          <w:sz w:val="24"/>
        </w:rPr>
      </w:pPr>
      <w:r>
        <w:rPr>
          <w:sz w:val="24"/>
        </w:rPr>
        <w:t>3.</w:t>
      </w:r>
      <w:r>
        <w:rPr>
          <w:sz w:val="24"/>
        </w:rPr>
        <w:t>土地复垦费用安排</w:t>
      </w:r>
    </w:p>
    <w:p w:rsidR="009C5C1F" w:rsidRDefault="004D2E0D">
      <w:pPr>
        <w:suppressAutoHyphens/>
        <w:wordWrap w:val="0"/>
        <w:topLinePunct/>
        <w:spacing w:line="480" w:lineRule="exact"/>
        <w:ind w:firstLineChars="200" w:firstLine="480"/>
        <w:rPr>
          <w:sz w:val="24"/>
        </w:rPr>
      </w:pPr>
      <w:r>
        <w:rPr>
          <w:rFonts w:hint="eastAsia"/>
          <w:sz w:val="24"/>
        </w:rPr>
        <w:t>土地复垦费用来源为企业自筹。土地复垦总投资为</w:t>
      </w:r>
      <w:r>
        <w:rPr>
          <w:sz w:val="24"/>
        </w:rPr>
        <w:t>32.95</w:t>
      </w:r>
      <w:r>
        <w:rPr>
          <w:rFonts w:hint="eastAsia"/>
          <w:sz w:val="24"/>
        </w:rPr>
        <w:t>万元，土地复垦的投资列入矿山投资的总体安排和年度计划中，严格按照土地复垦资金管理办法，确保复垦资金足额到位，并设专门</w:t>
      </w:r>
      <w:proofErr w:type="gramStart"/>
      <w:r>
        <w:rPr>
          <w:rFonts w:hint="eastAsia"/>
          <w:sz w:val="24"/>
        </w:rPr>
        <w:t>帐户</w:t>
      </w:r>
      <w:proofErr w:type="gramEnd"/>
      <w:r>
        <w:rPr>
          <w:rFonts w:hint="eastAsia"/>
          <w:sz w:val="24"/>
        </w:rPr>
        <w:t>，专款专用，按规定单独建账，单独核算，同时加强土地复垦资金的监管，实现按项目进度分期拨款。费用安排见表</w:t>
      </w:r>
      <w:r>
        <w:rPr>
          <w:sz w:val="24"/>
        </w:rPr>
        <w:t>7-16</w:t>
      </w:r>
      <w:r>
        <w:rPr>
          <w:rFonts w:hint="eastAsia"/>
          <w:sz w:val="24"/>
        </w:rPr>
        <w:t>。</w:t>
      </w:r>
    </w:p>
    <w:p w:rsidR="009C5C1F" w:rsidRDefault="004D2E0D">
      <w:pPr>
        <w:suppressAutoHyphens/>
        <w:wordWrap w:val="0"/>
        <w:topLinePunct/>
        <w:spacing w:beforeLines="50" w:before="180" w:afterLines="50" w:after="180"/>
        <w:jc w:val="center"/>
        <w:rPr>
          <w:b/>
          <w:bCs/>
          <w:sz w:val="24"/>
        </w:rPr>
      </w:pPr>
      <w:r>
        <w:rPr>
          <w:rFonts w:hint="eastAsia"/>
          <w:b/>
          <w:bCs/>
          <w:sz w:val="24"/>
        </w:rPr>
        <w:t>表</w:t>
      </w:r>
      <w:r>
        <w:rPr>
          <w:b/>
          <w:bCs/>
          <w:sz w:val="24"/>
        </w:rPr>
        <w:t xml:space="preserve">7-16       </w:t>
      </w:r>
      <w:r>
        <w:rPr>
          <w:rFonts w:hint="eastAsia"/>
          <w:b/>
          <w:bCs/>
          <w:sz w:val="24"/>
        </w:rPr>
        <w:t>土地复垦费用安排表</w:t>
      </w:r>
      <w:r>
        <w:rPr>
          <w:rFonts w:hint="eastAsia"/>
          <w:b/>
          <w:bCs/>
          <w:sz w:val="24"/>
        </w:rPr>
        <w:t xml:space="preserve">      </w:t>
      </w:r>
    </w:p>
    <w:tbl>
      <w:tblPr>
        <w:tblW w:w="744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2049"/>
        <w:gridCol w:w="1559"/>
        <w:gridCol w:w="1843"/>
        <w:gridCol w:w="1996"/>
      </w:tblGrid>
      <w:tr w:rsidR="009C5C1F">
        <w:trPr>
          <w:trHeight w:val="378"/>
          <w:jc w:val="center"/>
        </w:trPr>
        <w:tc>
          <w:tcPr>
            <w:tcW w:w="2049" w:type="dxa"/>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年度</w:t>
            </w:r>
          </w:p>
        </w:tc>
        <w:tc>
          <w:tcPr>
            <w:tcW w:w="1559" w:type="dxa"/>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静态总投资</w:t>
            </w:r>
            <w:r>
              <w:rPr>
                <w:rFonts w:ascii="宋体" w:hAnsiTheme="minorHAnsi" w:cs="宋体"/>
                <w:color w:val="000000"/>
                <w:kern w:val="0"/>
                <w:sz w:val="20"/>
                <w:szCs w:val="20"/>
              </w:rPr>
              <w:t>/</w:t>
            </w:r>
            <w:r>
              <w:rPr>
                <w:rFonts w:ascii="宋体" w:hAnsiTheme="minorHAnsi" w:cs="宋体" w:hint="eastAsia"/>
                <w:color w:val="000000"/>
                <w:kern w:val="0"/>
                <w:sz w:val="20"/>
                <w:szCs w:val="20"/>
              </w:rPr>
              <w:t>万元</w:t>
            </w:r>
          </w:p>
        </w:tc>
        <w:tc>
          <w:tcPr>
            <w:tcW w:w="1843" w:type="dxa"/>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年度复垦费用预存额</w:t>
            </w:r>
          </w:p>
        </w:tc>
        <w:tc>
          <w:tcPr>
            <w:tcW w:w="1996" w:type="dxa"/>
            <w:vAlign w:val="center"/>
          </w:tcPr>
          <w:p w:rsidR="009C5C1F" w:rsidRDefault="004D2E0D">
            <w:pPr>
              <w:autoSpaceDE w:val="0"/>
              <w:autoSpaceDN w:val="0"/>
              <w:adjustRightInd w:val="0"/>
              <w:jc w:val="center"/>
              <w:rPr>
                <w:rFonts w:ascii="宋体" w:hAnsiTheme="minorHAnsi" w:cs="宋体"/>
                <w:color w:val="000000"/>
                <w:kern w:val="0"/>
                <w:sz w:val="20"/>
                <w:szCs w:val="20"/>
              </w:rPr>
            </w:pPr>
            <w:r>
              <w:rPr>
                <w:rFonts w:ascii="宋体" w:hAnsiTheme="minorHAnsi" w:cs="宋体" w:hint="eastAsia"/>
                <w:color w:val="000000"/>
                <w:kern w:val="0"/>
                <w:sz w:val="20"/>
                <w:szCs w:val="20"/>
              </w:rPr>
              <w:t>阶段复垦费用预存额</w:t>
            </w:r>
          </w:p>
        </w:tc>
      </w:tr>
      <w:tr w:rsidR="009C5C1F">
        <w:trPr>
          <w:trHeight w:val="398"/>
          <w:jc w:val="center"/>
        </w:trPr>
        <w:tc>
          <w:tcPr>
            <w:tcW w:w="2049" w:type="dxa"/>
            <w:vAlign w:val="center"/>
          </w:tcPr>
          <w:p w:rsidR="009C5C1F" w:rsidRDefault="004D2E0D">
            <w:pPr>
              <w:autoSpaceDE w:val="0"/>
              <w:autoSpaceDN w:val="0"/>
              <w:adjustRightInd w:val="0"/>
              <w:jc w:val="center"/>
              <w:rPr>
                <w:rFonts w:ascii="宋体" w:hAnsiTheme="minorHAnsi" w:cs="宋体"/>
                <w:color w:val="000000"/>
                <w:kern w:val="0"/>
                <w:szCs w:val="21"/>
              </w:rPr>
            </w:pPr>
            <w:r>
              <w:rPr>
                <w:rFonts w:ascii="宋体" w:hAnsiTheme="minorHAnsi" w:cs="宋体"/>
                <w:color w:val="000000"/>
                <w:kern w:val="0"/>
                <w:sz w:val="20"/>
                <w:szCs w:val="20"/>
              </w:rPr>
              <w:t>2023.8-2035.8</w:t>
            </w:r>
          </w:p>
        </w:tc>
        <w:tc>
          <w:tcPr>
            <w:tcW w:w="1559" w:type="dxa"/>
            <w:vAlign w:val="center"/>
          </w:tcPr>
          <w:p w:rsidR="009C5C1F" w:rsidRDefault="004D2E0D">
            <w:pPr>
              <w:autoSpaceDE w:val="0"/>
              <w:autoSpaceDN w:val="0"/>
              <w:adjustRightInd w:val="0"/>
              <w:jc w:val="center"/>
              <w:rPr>
                <w:rFonts w:ascii="宋体" w:hAnsiTheme="minorHAnsi" w:cs="宋体"/>
                <w:color w:val="000000"/>
                <w:kern w:val="0"/>
                <w:szCs w:val="21"/>
              </w:rPr>
            </w:pPr>
            <w:r>
              <w:rPr>
                <w:color w:val="000000"/>
                <w:sz w:val="20"/>
                <w:szCs w:val="20"/>
              </w:rPr>
              <w:t>32.95</w:t>
            </w:r>
          </w:p>
        </w:tc>
        <w:tc>
          <w:tcPr>
            <w:tcW w:w="1843" w:type="dxa"/>
            <w:vAlign w:val="center"/>
          </w:tcPr>
          <w:p w:rsidR="009C5C1F" w:rsidRDefault="004D2E0D">
            <w:pPr>
              <w:autoSpaceDE w:val="0"/>
              <w:autoSpaceDN w:val="0"/>
              <w:adjustRightInd w:val="0"/>
              <w:jc w:val="center"/>
              <w:rPr>
                <w:rFonts w:ascii="宋体" w:hAnsiTheme="minorHAnsi" w:cs="宋体"/>
                <w:color w:val="000000"/>
                <w:kern w:val="0"/>
                <w:szCs w:val="21"/>
              </w:rPr>
            </w:pPr>
            <w:r>
              <w:rPr>
                <w:color w:val="000000"/>
                <w:sz w:val="20"/>
                <w:szCs w:val="20"/>
              </w:rPr>
              <w:t>32.95</w:t>
            </w:r>
          </w:p>
        </w:tc>
        <w:tc>
          <w:tcPr>
            <w:tcW w:w="1996" w:type="dxa"/>
            <w:vAlign w:val="center"/>
          </w:tcPr>
          <w:p w:rsidR="009C5C1F" w:rsidRDefault="004D2E0D">
            <w:pPr>
              <w:autoSpaceDE w:val="0"/>
              <w:autoSpaceDN w:val="0"/>
              <w:adjustRightInd w:val="0"/>
              <w:jc w:val="center"/>
              <w:rPr>
                <w:rFonts w:ascii="宋体" w:hAnsiTheme="minorHAnsi" w:cs="宋体"/>
                <w:color w:val="000000"/>
                <w:kern w:val="0"/>
                <w:szCs w:val="21"/>
              </w:rPr>
            </w:pPr>
            <w:r>
              <w:rPr>
                <w:color w:val="000000"/>
                <w:szCs w:val="21"/>
              </w:rPr>
              <w:t>32.95</w:t>
            </w:r>
          </w:p>
        </w:tc>
      </w:tr>
    </w:tbl>
    <w:p w:rsidR="009C5C1F" w:rsidRDefault="009C5C1F">
      <w:pPr>
        <w:keepNext/>
        <w:keepLines/>
        <w:suppressAutoHyphens/>
        <w:wordWrap w:val="0"/>
        <w:topLinePunct/>
        <w:spacing w:beforeLines="50" w:before="180" w:afterLines="50" w:after="180" w:line="580" w:lineRule="exact"/>
        <w:ind w:firstLine="723"/>
        <w:jc w:val="center"/>
        <w:outlineLvl w:val="0"/>
        <w:rPr>
          <w:b/>
          <w:bCs/>
          <w:kern w:val="44"/>
          <w:sz w:val="36"/>
          <w:szCs w:val="36"/>
        </w:rPr>
        <w:sectPr w:rsidR="009C5C1F">
          <w:headerReference w:type="default" r:id="rId42"/>
          <w:pgSz w:w="11906" w:h="16838"/>
          <w:pgMar w:top="1440" w:right="1797" w:bottom="1440" w:left="1797" w:header="907" w:footer="548" w:gutter="0"/>
          <w:cols w:space="708"/>
          <w:docGrid w:type="lines" w:linePitch="360"/>
        </w:sectPr>
      </w:pPr>
      <w:bookmarkStart w:id="1057" w:name="_Toc511226494"/>
      <w:bookmarkStart w:id="1058" w:name="_Toc70589922"/>
    </w:p>
    <w:p w:rsidR="009C5C1F" w:rsidRDefault="004D2E0D">
      <w:pPr>
        <w:keepNext/>
        <w:keepLines/>
        <w:suppressAutoHyphens/>
        <w:wordWrap w:val="0"/>
        <w:topLinePunct/>
        <w:spacing w:beforeLines="50" w:before="180" w:afterLines="50" w:after="180" w:line="580" w:lineRule="exact"/>
        <w:ind w:firstLine="723"/>
        <w:jc w:val="center"/>
        <w:outlineLvl w:val="0"/>
        <w:rPr>
          <w:b/>
          <w:bCs/>
          <w:kern w:val="44"/>
          <w:sz w:val="36"/>
          <w:szCs w:val="36"/>
        </w:rPr>
      </w:pPr>
      <w:bookmarkStart w:id="1059" w:name="_Toc153130805"/>
      <w:r>
        <w:rPr>
          <w:rFonts w:hint="eastAsia"/>
          <w:b/>
          <w:bCs/>
          <w:kern w:val="44"/>
          <w:sz w:val="36"/>
          <w:szCs w:val="36"/>
        </w:rPr>
        <w:lastRenderedPageBreak/>
        <w:t>第八章</w:t>
      </w:r>
      <w:r>
        <w:rPr>
          <w:rFonts w:hint="eastAsia"/>
          <w:b/>
          <w:bCs/>
          <w:kern w:val="44"/>
          <w:sz w:val="36"/>
          <w:szCs w:val="36"/>
        </w:rPr>
        <w:t xml:space="preserve">   </w:t>
      </w:r>
      <w:r>
        <w:rPr>
          <w:rFonts w:hint="eastAsia"/>
          <w:b/>
          <w:bCs/>
          <w:kern w:val="44"/>
          <w:sz w:val="36"/>
          <w:szCs w:val="36"/>
        </w:rPr>
        <w:t>保障措施与效益分析</w:t>
      </w:r>
      <w:bookmarkEnd w:id="1057"/>
      <w:bookmarkEnd w:id="1058"/>
      <w:bookmarkEnd w:id="1059"/>
    </w:p>
    <w:p w:rsidR="009C5C1F" w:rsidRDefault="004D2E0D">
      <w:pPr>
        <w:keepNext/>
        <w:keepLines/>
        <w:suppressAutoHyphens/>
        <w:wordWrap w:val="0"/>
        <w:topLinePunct/>
        <w:spacing w:beforeLines="50" w:before="180" w:afterLines="50" w:after="180" w:line="560" w:lineRule="exact"/>
        <w:ind w:firstLineChars="200" w:firstLine="562"/>
        <w:jc w:val="left"/>
        <w:outlineLvl w:val="1"/>
        <w:rPr>
          <w:rFonts w:eastAsia="黑体"/>
          <w:b/>
          <w:bCs/>
          <w:sz w:val="28"/>
          <w:szCs w:val="30"/>
        </w:rPr>
      </w:pPr>
      <w:bookmarkStart w:id="1060" w:name="_Toc511226495"/>
      <w:bookmarkStart w:id="1061" w:name="_Toc70589923"/>
      <w:bookmarkStart w:id="1062" w:name="_Toc153130806"/>
      <w:r>
        <w:rPr>
          <w:rFonts w:eastAsia="黑体" w:hint="eastAsia"/>
          <w:b/>
          <w:bCs/>
          <w:sz w:val="28"/>
          <w:szCs w:val="30"/>
        </w:rPr>
        <w:t>一、保障措施</w:t>
      </w:r>
      <w:bookmarkEnd w:id="1060"/>
      <w:bookmarkEnd w:id="1061"/>
      <w:bookmarkEnd w:id="1062"/>
    </w:p>
    <w:p w:rsidR="009C5C1F" w:rsidRDefault="004D2E0D">
      <w:pPr>
        <w:keepNext/>
        <w:keepLines/>
        <w:suppressAutoHyphens/>
        <w:wordWrap w:val="0"/>
        <w:topLinePunct/>
        <w:spacing w:line="360" w:lineRule="auto"/>
        <w:ind w:firstLineChars="200" w:firstLine="482"/>
        <w:outlineLvl w:val="2"/>
        <w:rPr>
          <w:b/>
          <w:sz w:val="24"/>
          <w:szCs w:val="28"/>
        </w:rPr>
      </w:pPr>
      <w:bookmarkStart w:id="1063" w:name="_Toc70589924"/>
      <w:r>
        <w:rPr>
          <w:rFonts w:hint="eastAsia"/>
          <w:b/>
          <w:sz w:val="24"/>
          <w:szCs w:val="28"/>
        </w:rPr>
        <w:t>（一）组织保障</w:t>
      </w:r>
      <w:bookmarkEnd w:id="1063"/>
    </w:p>
    <w:p w:rsidR="009C5C1F" w:rsidRDefault="004D2E0D">
      <w:pPr>
        <w:suppressAutoHyphens/>
        <w:wordWrap w:val="0"/>
        <w:topLinePunct/>
        <w:spacing w:line="480" w:lineRule="exact"/>
        <w:ind w:firstLineChars="200" w:firstLine="480"/>
        <w:rPr>
          <w:sz w:val="24"/>
        </w:rPr>
      </w:pPr>
      <w:r>
        <w:rPr>
          <w:rFonts w:hint="eastAsia"/>
          <w:sz w:val="24"/>
        </w:rPr>
        <w:t>1</w:t>
      </w:r>
      <w:r>
        <w:rPr>
          <w:rFonts w:hint="eastAsia"/>
          <w:sz w:val="24"/>
        </w:rPr>
        <w:t>、加强法规宣传教育，增强企业员工的地质环境及生态保护意识、增</w:t>
      </w:r>
      <w:r>
        <w:rPr>
          <w:rFonts w:hint="eastAsia"/>
          <w:sz w:val="24"/>
        </w:rPr>
        <w:t xml:space="preserve"> </w:t>
      </w:r>
      <w:r>
        <w:rPr>
          <w:rFonts w:hint="eastAsia"/>
          <w:sz w:val="24"/>
        </w:rPr>
        <w:t>强责任感，使各项治理工程落实到人，并加强矿山内部的自检工作。</w:t>
      </w:r>
    </w:p>
    <w:p w:rsidR="009C5C1F" w:rsidRDefault="004D2E0D">
      <w:pPr>
        <w:suppressAutoHyphens/>
        <w:wordWrap w:val="0"/>
        <w:topLinePunct/>
        <w:spacing w:line="480" w:lineRule="exact"/>
        <w:ind w:firstLineChars="200" w:firstLine="480"/>
        <w:rPr>
          <w:sz w:val="24"/>
        </w:rPr>
      </w:pPr>
      <w:r>
        <w:rPr>
          <w:rFonts w:hint="eastAsia"/>
          <w:sz w:val="24"/>
        </w:rPr>
        <w:t>2</w:t>
      </w:r>
      <w:r>
        <w:rPr>
          <w:rFonts w:hint="eastAsia"/>
          <w:sz w:val="24"/>
        </w:rPr>
        <w:t>、建立健全工程质量管理体系。要组建项目管理部门，建立健全质量</w:t>
      </w:r>
      <w:r>
        <w:rPr>
          <w:rFonts w:hint="eastAsia"/>
          <w:sz w:val="24"/>
        </w:rPr>
        <w:t xml:space="preserve"> </w:t>
      </w:r>
      <w:r>
        <w:rPr>
          <w:rFonts w:hint="eastAsia"/>
          <w:sz w:val="24"/>
        </w:rPr>
        <w:t>管理工作体系；强化项目的技术管理工作。项目实施中，严格按照国家及行业有关规范、规定施工，层层分解质量目标，确保工程质量。</w:t>
      </w:r>
    </w:p>
    <w:p w:rsidR="009C5C1F" w:rsidRDefault="004D2E0D">
      <w:pPr>
        <w:suppressAutoHyphens/>
        <w:wordWrap w:val="0"/>
        <w:topLinePunct/>
        <w:spacing w:line="480" w:lineRule="exact"/>
        <w:ind w:firstLineChars="200" w:firstLine="480"/>
        <w:rPr>
          <w:sz w:val="24"/>
        </w:rPr>
      </w:pPr>
      <w:r>
        <w:rPr>
          <w:rFonts w:hint="eastAsia"/>
          <w:sz w:val="24"/>
        </w:rPr>
        <w:t>3</w:t>
      </w:r>
      <w:r>
        <w:rPr>
          <w:rFonts w:hint="eastAsia"/>
          <w:sz w:val="24"/>
        </w:rPr>
        <w:t>、建立健全安全保证体系。从项目的前期论证到实施、施工，都必须</w:t>
      </w:r>
      <w:r>
        <w:rPr>
          <w:rFonts w:hint="eastAsia"/>
          <w:sz w:val="24"/>
        </w:rPr>
        <w:t xml:space="preserve"> </w:t>
      </w:r>
      <w:r>
        <w:rPr>
          <w:rFonts w:hint="eastAsia"/>
          <w:sz w:val="24"/>
        </w:rPr>
        <w:t>建立有效的安全管理体系，建立健全各类安全管理规章和制度，把安全摆</w:t>
      </w:r>
      <w:r>
        <w:rPr>
          <w:rFonts w:hint="eastAsia"/>
          <w:sz w:val="24"/>
        </w:rPr>
        <w:t xml:space="preserve"> </w:t>
      </w:r>
      <w:r>
        <w:rPr>
          <w:rFonts w:hint="eastAsia"/>
          <w:sz w:val="24"/>
        </w:rPr>
        <w:t>在突出位置。在项目的实施过程中，项目主管部门、项目实施部门和施工</w:t>
      </w:r>
      <w:r>
        <w:rPr>
          <w:rFonts w:hint="eastAsia"/>
          <w:sz w:val="24"/>
        </w:rPr>
        <w:t xml:space="preserve"> </w:t>
      </w:r>
      <w:r>
        <w:rPr>
          <w:rFonts w:hint="eastAsia"/>
          <w:sz w:val="24"/>
        </w:rPr>
        <w:t>队伍都要严格遵守安全规章制度，按照“管生产必须管安全”和“谁主管</w:t>
      </w:r>
      <w:r>
        <w:rPr>
          <w:rFonts w:hint="eastAsia"/>
          <w:sz w:val="24"/>
        </w:rPr>
        <w:t xml:space="preserve"> </w:t>
      </w:r>
      <w:r>
        <w:rPr>
          <w:rFonts w:hint="eastAsia"/>
          <w:sz w:val="24"/>
        </w:rPr>
        <w:t>谁负责”的原则，做到</w:t>
      </w:r>
      <w:proofErr w:type="gramStart"/>
      <w:r>
        <w:rPr>
          <w:rFonts w:hint="eastAsia"/>
          <w:sz w:val="24"/>
        </w:rPr>
        <w:t>安全零</w:t>
      </w:r>
      <w:proofErr w:type="gramEnd"/>
      <w:r>
        <w:rPr>
          <w:rFonts w:hint="eastAsia"/>
          <w:sz w:val="24"/>
        </w:rPr>
        <w:t>事故。</w:t>
      </w:r>
    </w:p>
    <w:p w:rsidR="009C5C1F" w:rsidRDefault="004D2E0D">
      <w:pPr>
        <w:keepNext/>
        <w:keepLines/>
        <w:suppressAutoHyphens/>
        <w:wordWrap w:val="0"/>
        <w:topLinePunct/>
        <w:spacing w:line="360" w:lineRule="auto"/>
        <w:ind w:firstLineChars="200" w:firstLine="482"/>
        <w:outlineLvl w:val="2"/>
        <w:rPr>
          <w:b/>
          <w:sz w:val="24"/>
          <w:szCs w:val="28"/>
        </w:rPr>
      </w:pPr>
      <w:bookmarkStart w:id="1064" w:name="_Toc70589925"/>
      <w:r>
        <w:rPr>
          <w:rFonts w:hint="eastAsia"/>
          <w:b/>
          <w:sz w:val="24"/>
          <w:szCs w:val="28"/>
        </w:rPr>
        <w:t>（二）技术保障</w:t>
      </w:r>
      <w:bookmarkEnd w:id="1064"/>
    </w:p>
    <w:p w:rsidR="009C5C1F" w:rsidRDefault="004D2E0D">
      <w:pPr>
        <w:suppressAutoHyphens/>
        <w:wordWrap w:val="0"/>
        <w:topLinePunct/>
        <w:spacing w:line="480" w:lineRule="exact"/>
        <w:ind w:firstLineChars="200" w:firstLine="480"/>
        <w:rPr>
          <w:sz w:val="24"/>
        </w:rPr>
      </w:pPr>
      <w:r>
        <w:rPr>
          <w:rFonts w:hint="eastAsia"/>
          <w:sz w:val="24"/>
        </w:rPr>
        <w:t>矿山地质环境保护与土地复垦工作必须牢固树立科学技术是第一生产力的观点，坚持以科技为先导，依靠科学技术，把高标准、高质量、高科技作为一条主线贯穿到矿山地质环境保护与土地复垦的全过程。强化项目的技术管理工作，围绕项目大力开展科技攻关。同时企业可聘请有关专家对矿山地质环境保护与土地复垦工程进行专业咨询，对不合理的方案和措施及时进行调整，多方论证选择最优实施方案，使矿山地质环境保护与土地复垦工程切实有效。</w:t>
      </w:r>
    </w:p>
    <w:p w:rsidR="009C5C1F" w:rsidRDefault="004D2E0D">
      <w:pPr>
        <w:keepNext/>
        <w:keepLines/>
        <w:suppressAutoHyphens/>
        <w:wordWrap w:val="0"/>
        <w:topLinePunct/>
        <w:spacing w:line="360" w:lineRule="auto"/>
        <w:ind w:firstLineChars="200" w:firstLine="482"/>
        <w:outlineLvl w:val="2"/>
        <w:rPr>
          <w:b/>
          <w:sz w:val="24"/>
          <w:szCs w:val="28"/>
        </w:rPr>
      </w:pPr>
      <w:bookmarkStart w:id="1065" w:name="_Toc70589926"/>
      <w:r>
        <w:rPr>
          <w:rFonts w:hint="eastAsia"/>
          <w:b/>
          <w:sz w:val="24"/>
          <w:szCs w:val="28"/>
        </w:rPr>
        <w:t>（三）资金保障</w:t>
      </w:r>
      <w:bookmarkEnd w:id="1065"/>
    </w:p>
    <w:p w:rsidR="009C5C1F" w:rsidRDefault="004D2E0D">
      <w:pPr>
        <w:suppressAutoHyphens/>
        <w:wordWrap w:val="0"/>
        <w:topLinePunct/>
        <w:spacing w:line="480" w:lineRule="exact"/>
        <w:ind w:firstLineChars="200" w:firstLine="480"/>
        <w:rPr>
          <w:sz w:val="24"/>
        </w:rPr>
      </w:pPr>
      <w:r>
        <w:rPr>
          <w:rFonts w:hint="eastAsia"/>
          <w:sz w:val="24"/>
        </w:rPr>
        <w:t>依据</w:t>
      </w:r>
      <w:r>
        <w:rPr>
          <w:rFonts w:hint="eastAsia"/>
          <w:sz w:val="24"/>
        </w:rPr>
        <w:t>2</w:t>
      </w:r>
      <w:r>
        <w:rPr>
          <w:sz w:val="24"/>
        </w:rPr>
        <w:t>017</w:t>
      </w:r>
      <w:r>
        <w:rPr>
          <w:rFonts w:hint="eastAsia"/>
          <w:sz w:val="24"/>
        </w:rPr>
        <w:t>年</w:t>
      </w:r>
      <w:r>
        <w:rPr>
          <w:rFonts w:hint="eastAsia"/>
          <w:sz w:val="24"/>
        </w:rPr>
        <w:t>1</w:t>
      </w:r>
      <w:r>
        <w:rPr>
          <w:sz w:val="24"/>
        </w:rPr>
        <w:t>1</w:t>
      </w:r>
      <w:r>
        <w:rPr>
          <w:rFonts w:hint="eastAsia"/>
          <w:sz w:val="24"/>
        </w:rPr>
        <w:t>月财政部、原国土资源局、原环境保护部印发《关于取消矿山地质环境治理恢复保证金建立矿山地质环境恢复基金的指导意见</w:t>
      </w:r>
      <w:bookmarkStart w:id="1066" w:name="_Hlk147560940"/>
      <w:r>
        <w:rPr>
          <w:rFonts w:hint="eastAsia"/>
          <w:sz w:val="24"/>
        </w:rPr>
        <w:t>》</w:t>
      </w:r>
      <w:bookmarkEnd w:id="1066"/>
      <w:r>
        <w:rPr>
          <w:rFonts w:hint="eastAsia"/>
          <w:sz w:val="24"/>
        </w:rPr>
        <w:t>（</w:t>
      </w:r>
      <w:proofErr w:type="gramStart"/>
      <w:r>
        <w:rPr>
          <w:rFonts w:hint="eastAsia"/>
          <w:sz w:val="24"/>
        </w:rPr>
        <w:t>财建【</w:t>
      </w:r>
      <w:r>
        <w:rPr>
          <w:rFonts w:hint="eastAsia"/>
          <w:sz w:val="24"/>
        </w:rPr>
        <w:t>2</w:t>
      </w:r>
      <w:r>
        <w:rPr>
          <w:sz w:val="24"/>
        </w:rPr>
        <w:t>017</w:t>
      </w:r>
      <w:r>
        <w:rPr>
          <w:rFonts w:hint="eastAsia"/>
          <w:sz w:val="24"/>
        </w:rPr>
        <w:t>】</w:t>
      </w:r>
      <w:proofErr w:type="gramEnd"/>
      <w:r>
        <w:rPr>
          <w:rFonts w:hint="eastAsia"/>
          <w:sz w:val="24"/>
        </w:rPr>
        <w:t>6</w:t>
      </w:r>
      <w:r>
        <w:rPr>
          <w:sz w:val="24"/>
        </w:rPr>
        <w:t>38</w:t>
      </w:r>
      <w:r>
        <w:rPr>
          <w:rFonts w:hint="eastAsia"/>
          <w:sz w:val="24"/>
        </w:rPr>
        <w:t>号）和甘肃省自然资源厅、甘肃省财政厅和甘肃省生态环境厅联合下发实施的《甘肃省矿山地质环境恢复治理保证金管理暂行办法》（甘财经二【</w:t>
      </w:r>
      <w:r>
        <w:rPr>
          <w:rFonts w:hint="eastAsia"/>
          <w:sz w:val="24"/>
        </w:rPr>
        <w:t>2</w:t>
      </w:r>
      <w:r>
        <w:rPr>
          <w:sz w:val="24"/>
        </w:rPr>
        <w:t>019</w:t>
      </w:r>
      <w:r>
        <w:rPr>
          <w:rFonts w:hint="eastAsia"/>
          <w:sz w:val="24"/>
        </w:rPr>
        <w:t>】</w:t>
      </w:r>
      <w:r>
        <w:rPr>
          <w:rFonts w:hint="eastAsia"/>
          <w:sz w:val="24"/>
        </w:rPr>
        <w:t>2</w:t>
      </w:r>
      <w:r>
        <w:rPr>
          <w:sz w:val="24"/>
        </w:rPr>
        <w:t>3</w:t>
      </w:r>
      <w:r>
        <w:rPr>
          <w:rFonts w:hint="eastAsia"/>
          <w:sz w:val="24"/>
        </w:rPr>
        <w:t>号），要求企业设立矿山地质环境恢复基金账户，该矿区地质环境保护与土地复垦基金必须按年度存入专户，列入矿山开采成本，由临泽县自然资源局监管，</w:t>
      </w:r>
      <w:r>
        <w:rPr>
          <w:rFonts w:hint="eastAsia"/>
          <w:sz w:val="24"/>
        </w:rPr>
        <w:lastRenderedPageBreak/>
        <w:t>使其治理资金能得到有效的保障。</w:t>
      </w:r>
    </w:p>
    <w:p w:rsidR="009C5C1F" w:rsidRDefault="004D2E0D">
      <w:pPr>
        <w:keepNext/>
        <w:keepLines/>
        <w:suppressAutoHyphens/>
        <w:wordWrap w:val="0"/>
        <w:topLinePunct/>
        <w:spacing w:line="360" w:lineRule="auto"/>
        <w:ind w:firstLineChars="200" w:firstLine="482"/>
        <w:outlineLvl w:val="2"/>
        <w:rPr>
          <w:b/>
          <w:sz w:val="24"/>
          <w:szCs w:val="28"/>
        </w:rPr>
      </w:pPr>
      <w:bookmarkStart w:id="1067" w:name="_Toc70589927"/>
      <w:r>
        <w:rPr>
          <w:rFonts w:hint="eastAsia"/>
          <w:b/>
          <w:sz w:val="24"/>
          <w:szCs w:val="28"/>
        </w:rPr>
        <w:t>（四）监管保障</w:t>
      </w:r>
      <w:bookmarkEnd w:id="1067"/>
    </w:p>
    <w:p w:rsidR="009C5C1F" w:rsidRDefault="004D2E0D">
      <w:pPr>
        <w:suppressAutoHyphens/>
        <w:wordWrap w:val="0"/>
        <w:topLinePunct/>
        <w:spacing w:line="480" w:lineRule="exact"/>
        <w:ind w:firstLineChars="200" w:firstLine="480"/>
        <w:rPr>
          <w:sz w:val="24"/>
        </w:rPr>
      </w:pPr>
      <w:r>
        <w:rPr>
          <w:rFonts w:hint="eastAsia"/>
          <w:sz w:val="24"/>
        </w:rPr>
        <w:t>矿山地质环境保护与土地复垦工作具有长期性、复杂性和综合性。矿山地质环境保护与土地复垦方案经自然资源行政主管部门批准后，矿山地质环境保护与土地复垦义务人必须实施矿山地质环境保护与土地复垦方案，定期向县级以上自然资源主管部门报告当年矿山地质环境保护与土地复垦情况，接受县级以上自然资源主管部门对实施情况监督检查，接收社会对矿山地质环境保护与土地复垦实施情况监督。对于不履行义务的义务人，按照法律法规和政策文件的规定，由自然资源主管部门及有关部门进行处罚。</w:t>
      </w:r>
    </w:p>
    <w:p w:rsidR="009C5C1F" w:rsidRDefault="004D2E0D">
      <w:pPr>
        <w:keepNext/>
        <w:keepLines/>
        <w:suppressAutoHyphens/>
        <w:wordWrap w:val="0"/>
        <w:topLinePunct/>
        <w:spacing w:beforeLines="50" w:before="180" w:afterLines="50" w:after="180" w:line="560" w:lineRule="exact"/>
        <w:ind w:firstLineChars="200" w:firstLine="562"/>
        <w:jc w:val="left"/>
        <w:outlineLvl w:val="1"/>
        <w:rPr>
          <w:rFonts w:eastAsia="黑体"/>
          <w:b/>
          <w:bCs/>
          <w:sz w:val="28"/>
          <w:szCs w:val="30"/>
        </w:rPr>
      </w:pPr>
      <w:bookmarkStart w:id="1068" w:name="_Toc70589928"/>
      <w:bookmarkStart w:id="1069" w:name="_Toc511226496"/>
      <w:bookmarkStart w:id="1070" w:name="_Toc153130807"/>
      <w:r>
        <w:rPr>
          <w:rFonts w:eastAsia="黑体" w:hint="eastAsia"/>
          <w:b/>
          <w:bCs/>
          <w:sz w:val="28"/>
          <w:szCs w:val="30"/>
        </w:rPr>
        <w:t>二、效益分析</w:t>
      </w:r>
      <w:bookmarkEnd w:id="1068"/>
      <w:bookmarkEnd w:id="1069"/>
      <w:bookmarkEnd w:id="1070"/>
    </w:p>
    <w:p w:rsidR="009C5C1F" w:rsidRDefault="004D2E0D">
      <w:pPr>
        <w:keepNext/>
        <w:keepLines/>
        <w:suppressAutoHyphens/>
        <w:wordWrap w:val="0"/>
        <w:topLinePunct/>
        <w:spacing w:line="360" w:lineRule="auto"/>
        <w:ind w:firstLineChars="200" w:firstLine="482"/>
        <w:outlineLvl w:val="2"/>
        <w:rPr>
          <w:b/>
          <w:sz w:val="24"/>
          <w:szCs w:val="28"/>
        </w:rPr>
      </w:pPr>
      <w:bookmarkStart w:id="1071" w:name="_Toc70589929"/>
      <w:r>
        <w:rPr>
          <w:rFonts w:hint="eastAsia"/>
          <w:b/>
          <w:sz w:val="24"/>
          <w:szCs w:val="28"/>
        </w:rPr>
        <w:t>（一）</w:t>
      </w:r>
      <w:r>
        <w:rPr>
          <w:b/>
          <w:sz w:val="24"/>
          <w:szCs w:val="28"/>
        </w:rPr>
        <w:t>社会效益</w:t>
      </w:r>
      <w:bookmarkEnd w:id="1071"/>
    </w:p>
    <w:p w:rsidR="009C5C1F" w:rsidRDefault="004D2E0D">
      <w:pPr>
        <w:suppressAutoHyphens/>
        <w:wordWrap w:val="0"/>
        <w:topLinePunct/>
        <w:spacing w:line="480" w:lineRule="exact"/>
        <w:ind w:firstLineChars="200" w:firstLine="480"/>
        <w:rPr>
          <w:sz w:val="24"/>
        </w:rPr>
      </w:pPr>
      <w:r>
        <w:rPr>
          <w:sz w:val="24"/>
        </w:rPr>
        <w:t>矿山地质环境保护与土地复垦工作是一项全新的</w:t>
      </w:r>
      <w:r>
        <w:rPr>
          <w:sz w:val="24"/>
        </w:rPr>
        <w:t>“</w:t>
      </w:r>
      <w:r>
        <w:rPr>
          <w:sz w:val="24"/>
        </w:rPr>
        <w:t>功在当代，利及千秋</w:t>
      </w:r>
      <w:r>
        <w:rPr>
          <w:sz w:val="24"/>
        </w:rPr>
        <w:t>”</w:t>
      </w:r>
      <w:r>
        <w:rPr>
          <w:sz w:val="24"/>
        </w:rPr>
        <w:t>的国土地质环境整治工程，是</w:t>
      </w:r>
      <w:proofErr w:type="gramStart"/>
      <w:r>
        <w:rPr>
          <w:sz w:val="24"/>
        </w:rPr>
        <w:t>整治受</w:t>
      </w:r>
      <w:proofErr w:type="gramEnd"/>
      <w:r>
        <w:rPr>
          <w:sz w:val="24"/>
        </w:rPr>
        <w:t>破坏的矿山地质环境，恢复其原貌，保护矿区生态环境的必要措施，也是矿山开采活动中不可分割的组成部分。在恢复治理产业中，工矿企业、政府等参与者结成</w:t>
      </w:r>
      <w:r>
        <w:rPr>
          <w:sz w:val="24"/>
        </w:rPr>
        <w:t>“</w:t>
      </w:r>
      <w:r>
        <w:rPr>
          <w:sz w:val="24"/>
        </w:rPr>
        <w:t>风险共担，利益共享</w:t>
      </w:r>
      <w:r>
        <w:rPr>
          <w:sz w:val="24"/>
        </w:rPr>
        <w:t>”</w:t>
      </w:r>
      <w:r>
        <w:rPr>
          <w:sz w:val="24"/>
        </w:rPr>
        <w:t>的利益共同体。通过恢复治理，确保项目区内地质环境的动态平衡，保护了项目区内的人民生命财产安全。改善了矿山和地方政府、矿山企业和牧民的关系，保障了社会的和谐稳定。通过恢复治理，有利于促进区域经济发展，确保社会的稳定。</w:t>
      </w:r>
    </w:p>
    <w:p w:rsidR="009C5C1F" w:rsidRDefault="004D2E0D">
      <w:pPr>
        <w:keepNext/>
        <w:keepLines/>
        <w:suppressAutoHyphens/>
        <w:wordWrap w:val="0"/>
        <w:topLinePunct/>
        <w:spacing w:before="180" w:line="360" w:lineRule="auto"/>
        <w:ind w:firstLineChars="200" w:firstLine="482"/>
        <w:outlineLvl w:val="2"/>
        <w:rPr>
          <w:b/>
          <w:sz w:val="24"/>
          <w:szCs w:val="28"/>
        </w:rPr>
      </w:pPr>
      <w:bookmarkStart w:id="1072" w:name="_Toc70589930"/>
      <w:r>
        <w:rPr>
          <w:rFonts w:hint="eastAsia"/>
          <w:b/>
          <w:sz w:val="24"/>
          <w:szCs w:val="28"/>
        </w:rPr>
        <w:t>（二）</w:t>
      </w:r>
      <w:r>
        <w:rPr>
          <w:b/>
          <w:sz w:val="24"/>
          <w:szCs w:val="28"/>
        </w:rPr>
        <w:t>环境效益</w:t>
      </w:r>
      <w:bookmarkEnd w:id="1072"/>
    </w:p>
    <w:p w:rsidR="009C5C1F" w:rsidRDefault="004D2E0D">
      <w:pPr>
        <w:suppressAutoHyphens/>
        <w:wordWrap w:val="0"/>
        <w:topLinePunct/>
        <w:spacing w:line="480" w:lineRule="exact"/>
        <w:ind w:firstLineChars="200" w:firstLine="480"/>
        <w:rPr>
          <w:sz w:val="24"/>
        </w:rPr>
      </w:pPr>
      <w:r>
        <w:rPr>
          <w:sz w:val="24"/>
        </w:rPr>
        <w:t>通过矿山恢复治理与土地复垦，使矿山生态结构、地质环境和生态平衡得以恢复，地面坡度得到较好调整，地质灾害隐患得到遏制，地下水环境破坏也将得到有效控制，并在一定程度上改善区内不良地质环境和生态环境。通过对区内地质灾害实施有效监测，有利于判断其稳定性和发展趋势，有利于矿区人民群众安居乐业和社会稳定。这样的地质环境基本维持原来的平衡条件或优于原来的矿山地质环境，最大程度地减少了地质灾害的发生，适宜人、动物的活动及植物的生长。</w:t>
      </w:r>
    </w:p>
    <w:p w:rsidR="009C5C1F" w:rsidRDefault="004D2E0D">
      <w:pPr>
        <w:keepNext/>
        <w:keepLines/>
        <w:suppressAutoHyphens/>
        <w:wordWrap w:val="0"/>
        <w:topLinePunct/>
        <w:spacing w:line="360" w:lineRule="auto"/>
        <w:ind w:firstLineChars="200" w:firstLine="482"/>
        <w:outlineLvl w:val="2"/>
        <w:rPr>
          <w:b/>
          <w:sz w:val="24"/>
          <w:szCs w:val="28"/>
        </w:rPr>
      </w:pPr>
      <w:bookmarkStart w:id="1073" w:name="_Toc70589931"/>
      <w:r>
        <w:rPr>
          <w:rFonts w:hint="eastAsia"/>
          <w:b/>
          <w:sz w:val="24"/>
          <w:szCs w:val="28"/>
        </w:rPr>
        <w:lastRenderedPageBreak/>
        <w:t>（三）</w:t>
      </w:r>
      <w:r>
        <w:rPr>
          <w:b/>
          <w:sz w:val="24"/>
          <w:szCs w:val="28"/>
        </w:rPr>
        <w:t>经济效益</w:t>
      </w:r>
      <w:bookmarkEnd w:id="1073"/>
    </w:p>
    <w:p w:rsidR="009C5C1F" w:rsidRDefault="004D2E0D">
      <w:pPr>
        <w:suppressAutoHyphens/>
        <w:wordWrap w:val="0"/>
        <w:topLinePunct/>
        <w:spacing w:line="480" w:lineRule="exact"/>
        <w:ind w:firstLineChars="200" w:firstLine="480"/>
        <w:rPr>
          <w:sz w:val="24"/>
        </w:rPr>
      </w:pPr>
      <w:r>
        <w:rPr>
          <w:rFonts w:hint="eastAsia"/>
          <w:sz w:val="24"/>
        </w:rPr>
        <w:t>临泽</w:t>
      </w:r>
      <w:r>
        <w:rPr>
          <w:sz w:val="24"/>
        </w:rPr>
        <w:t>县</w:t>
      </w:r>
      <w:r>
        <w:rPr>
          <w:rFonts w:hint="eastAsia"/>
          <w:sz w:val="24"/>
        </w:rPr>
        <w:t>板桥</w:t>
      </w:r>
      <w:proofErr w:type="gramStart"/>
      <w:r>
        <w:rPr>
          <w:sz w:val="24"/>
        </w:rPr>
        <w:t>镇</w:t>
      </w:r>
      <w:r>
        <w:rPr>
          <w:rFonts w:hint="eastAsia"/>
          <w:sz w:val="24"/>
        </w:rPr>
        <w:t>壕洼村</w:t>
      </w:r>
      <w:proofErr w:type="gramEnd"/>
      <w:r>
        <w:rPr>
          <w:rFonts w:hint="eastAsia"/>
          <w:sz w:val="24"/>
        </w:rPr>
        <w:t>正北山西侧砖瓦用粘土</w:t>
      </w:r>
      <w:proofErr w:type="gramStart"/>
      <w:r>
        <w:rPr>
          <w:rFonts w:hint="eastAsia"/>
          <w:sz w:val="24"/>
        </w:rPr>
        <w:t>矿</w:t>
      </w:r>
      <w:proofErr w:type="gramEnd"/>
      <w:r>
        <w:rPr>
          <w:sz w:val="24"/>
        </w:rPr>
        <w:t>矿山地质环境恢复治理与土地复垦项目的实施，有利于改善矿区的矿山地质环境，消除地质灾害隐患，更好地推进当地的经济发展。</w:t>
      </w:r>
    </w:p>
    <w:p w:rsidR="009C5C1F" w:rsidRDefault="004D2E0D">
      <w:pPr>
        <w:suppressAutoHyphens/>
        <w:wordWrap w:val="0"/>
        <w:topLinePunct/>
        <w:spacing w:line="480" w:lineRule="exact"/>
        <w:ind w:firstLineChars="200" w:firstLine="480"/>
        <w:rPr>
          <w:sz w:val="24"/>
        </w:rPr>
      </w:pPr>
      <w:r>
        <w:rPr>
          <w:sz w:val="24"/>
        </w:rPr>
        <w:t>通过各种防治措施使地灾隐患得到治理，保证了矿区周边牧民的生命财产安全，极大地改善了矿区的经济发展环境。</w:t>
      </w:r>
    </w:p>
    <w:p w:rsidR="009C5C1F" w:rsidRDefault="004D2E0D">
      <w:pPr>
        <w:suppressAutoHyphens/>
        <w:wordWrap w:val="0"/>
        <w:topLinePunct/>
        <w:spacing w:line="480" w:lineRule="exact"/>
        <w:ind w:firstLineChars="200" w:firstLine="480"/>
        <w:rPr>
          <w:sz w:val="24"/>
        </w:rPr>
      </w:pPr>
      <w:r>
        <w:rPr>
          <w:sz w:val="24"/>
        </w:rPr>
        <w:t>因此，投入一定量的治理工程费用，换取一个安全的生产环境，保障矿山经济持续增长，其经济效益不言而喻。</w:t>
      </w:r>
    </w:p>
    <w:p w:rsidR="009C5C1F" w:rsidRDefault="004D2E0D">
      <w:pPr>
        <w:keepNext/>
        <w:keepLines/>
        <w:suppressAutoHyphens/>
        <w:wordWrap w:val="0"/>
        <w:topLinePunct/>
        <w:spacing w:beforeLines="50" w:before="180" w:afterLines="50" w:after="180" w:line="560" w:lineRule="exact"/>
        <w:ind w:firstLineChars="200" w:firstLine="562"/>
        <w:jc w:val="left"/>
        <w:outlineLvl w:val="1"/>
        <w:rPr>
          <w:rFonts w:eastAsia="黑体"/>
          <w:b/>
          <w:bCs/>
          <w:sz w:val="28"/>
          <w:szCs w:val="30"/>
        </w:rPr>
      </w:pPr>
      <w:bookmarkStart w:id="1074" w:name="_Toc70589932"/>
      <w:bookmarkStart w:id="1075" w:name="_Toc511226497"/>
      <w:bookmarkStart w:id="1076" w:name="_Toc153130808"/>
      <w:r>
        <w:rPr>
          <w:rFonts w:eastAsia="黑体" w:hint="eastAsia"/>
          <w:b/>
          <w:bCs/>
          <w:sz w:val="28"/>
          <w:szCs w:val="30"/>
        </w:rPr>
        <w:t>三、公众参与</w:t>
      </w:r>
      <w:bookmarkEnd w:id="1074"/>
      <w:bookmarkEnd w:id="1075"/>
      <w:bookmarkEnd w:id="1076"/>
    </w:p>
    <w:p w:rsidR="009C5C1F" w:rsidRDefault="004D2E0D">
      <w:pPr>
        <w:suppressAutoHyphens/>
        <w:wordWrap w:val="0"/>
        <w:topLinePunct/>
        <w:spacing w:line="480" w:lineRule="exact"/>
        <w:ind w:firstLineChars="200" w:firstLine="480"/>
        <w:rPr>
          <w:sz w:val="24"/>
        </w:rPr>
      </w:pPr>
      <w:r>
        <w:rPr>
          <w:sz w:val="24"/>
        </w:rPr>
        <w:t>为体现土地复垦工作的民主化和公开化，使土地复垦的规划、设计、施工和运行更加完善、合理，避免土地复垦的片面性和主观性，应加强公众参与的力度。相关部门应及时发布项目的有关信息，使公众更加了解情况，通过调查问卷、实地访谈、举行公众座谈会、召开专家咨询论证会和举行公众听证会等方式使公众及时参与土地复垦的工作当中去。</w:t>
      </w:r>
    </w:p>
    <w:p w:rsidR="009C5C1F" w:rsidRDefault="009C5C1F">
      <w:pPr>
        <w:suppressAutoHyphens/>
        <w:wordWrap w:val="0"/>
        <w:topLinePunct/>
        <w:spacing w:line="480" w:lineRule="exact"/>
        <w:ind w:firstLineChars="200" w:firstLine="480"/>
        <w:rPr>
          <w:sz w:val="24"/>
        </w:rPr>
        <w:sectPr w:rsidR="009C5C1F">
          <w:pgSz w:w="11906" w:h="16838"/>
          <w:pgMar w:top="1440" w:right="1797" w:bottom="1440" w:left="1797" w:header="907" w:footer="548" w:gutter="0"/>
          <w:cols w:space="708"/>
          <w:docGrid w:type="lines" w:linePitch="360"/>
        </w:sectPr>
      </w:pPr>
    </w:p>
    <w:p w:rsidR="009C5C1F" w:rsidRDefault="004D2E0D">
      <w:pPr>
        <w:keepNext/>
        <w:keepLines/>
        <w:suppressAutoHyphens/>
        <w:wordWrap w:val="0"/>
        <w:topLinePunct/>
        <w:spacing w:beforeLines="50" w:before="180" w:afterLines="50" w:after="180" w:line="580" w:lineRule="exact"/>
        <w:ind w:firstLine="723"/>
        <w:jc w:val="center"/>
        <w:outlineLvl w:val="0"/>
        <w:rPr>
          <w:b/>
          <w:bCs/>
          <w:kern w:val="44"/>
          <w:sz w:val="36"/>
          <w:szCs w:val="36"/>
        </w:rPr>
      </w:pPr>
      <w:bookmarkStart w:id="1077" w:name="_Toc70589933"/>
      <w:bookmarkStart w:id="1078" w:name="_Toc153130809"/>
      <w:bookmarkStart w:id="1079" w:name="_Toc511226498"/>
      <w:r>
        <w:rPr>
          <w:rFonts w:hint="eastAsia"/>
          <w:b/>
          <w:bCs/>
          <w:kern w:val="44"/>
          <w:sz w:val="36"/>
          <w:szCs w:val="36"/>
        </w:rPr>
        <w:lastRenderedPageBreak/>
        <w:t>第九章</w:t>
      </w:r>
      <w:r>
        <w:rPr>
          <w:rFonts w:hint="eastAsia"/>
          <w:b/>
          <w:bCs/>
          <w:kern w:val="44"/>
          <w:sz w:val="36"/>
          <w:szCs w:val="36"/>
        </w:rPr>
        <w:t xml:space="preserve">   </w:t>
      </w:r>
      <w:r>
        <w:rPr>
          <w:rFonts w:hint="eastAsia"/>
          <w:b/>
          <w:bCs/>
          <w:kern w:val="44"/>
          <w:sz w:val="36"/>
          <w:szCs w:val="36"/>
        </w:rPr>
        <w:t>结论与建议</w:t>
      </w:r>
      <w:bookmarkEnd w:id="1077"/>
      <w:bookmarkEnd w:id="1078"/>
      <w:bookmarkEnd w:id="1079"/>
    </w:p>
    <w:p w:rsidR="009C5C1F" w:rsidRDefault="004D2E0D">
      <w:pPr>
        <w:keepNext/>
        <w:keepLines/>
        <w:suppressAutoHyphens/>
        <w:wordWrap w:val="0"/>
        <w:topLinePunct/>
        <w:spacing w:beforeLines="50" w:before="180" w:afterLines="50" w:after="180" w:line="560" w:lineRule="exact"/>
        <w:ind w:firstLineChars="200" w:firstLine="562"/>
        <w:jc w:val="left"/>
        <w:outlineLvl w:val="1"/>
        <w:rPr>
          <w:rFonts w:eastAsia="黑体"/>
          <w:b/>
          <w:bCs/>
          <w:sz w:val="28"/>
          <w:szCs w:val="30"/>
        </w:rPr>
      </w:pPr>
      <w:bookmarkStart w:id="1080" w:name="_Toc511226499"/>
      <w:bookmarkStart w:id="1081" w:name="_Toc70589934"/>
      <w:bookmarkStart w:id="1082" w:name="_Toc153130810"/>
      <w:r>
        <w:rPr>
          <w:rFonts w:eastAsia="黑体" w:hint="eastAsia"/>
          <w:b/>
          <w:bCs/>
          <w:sz w:val="28"/>
          <w:szCs w:val="30"/>
        </w:rPr>
        <w:t>一、结论</w:t>
      </w:r>
      <w:bookmarkEnd w:id="1080"/>
      <w:bookmarkEnd w:id="1081"/>
      <w:bookmarkEnd w:id="1082"/>
    </w:p>
    <w:p w:rsidR="009C5C1F" w:rsidRDefault="004D2E0D">
      <w:pPr>
        <w:suppressAutoHyphens/>
        <w:wordWrap w:val="0"/>
        <w:topLinePunct/>
        <w:spacing w:line="480" w:lineRule="exact"/>
        <w:ind w:firstLineChars="200" w:firstLine="480"/>
        <w:rPr>
          <w:sz w:val="24"/>
        </w:rPr>
      </w:pPr>
      <w:r>
        <w:rPr>
          <w:rFonts w:hint="eastAsia"/>
          <w:sz w:val="24"/>
        </w:rPr>
        <w:t>1</w:t>
      </w:r>
      <w:r>
        <w:rPr>
          <w:rFonts w:hint="eastAsia"/>
          <w:sz w:val="24"/>
        </w:rPr>
        <w:t>、</w:t>
      </w:r>
      <w:r>
        <w:rPr>
          <w:sz w:val="24"/>
        </w:rPr>
        <w:t>甘肃省</w:t>
      </w:r>
      <w:r>
        <w:rPr>
          <w:rFonts w:hint="eastAsia"/>
          <w:sz w:val="24"/>
        </w:rPr>
        <w:t>临泽</w:t>
      </w:r>
      <w:r>
        <w:rPr>
          <w:sz w:val="24"/>
        </w:rPr>
        <w:t>县</w:t>
      </w:r>
      <w:r>
        <w:rPr>
          <w:rFonts w:hint="eastAsia"/>
          <w:sz w:val="24"/>
        </w:rPr>
        <w:t>板桥</w:t>
      </w:r>
      <w:proofErr w:type="gramStart"/>
      <w:r>
        <w:rPr>
          <w:sz w:val="24"/>
        </w:rPr>
        <w:t>镇</w:t>
      </w:r>
      <w:r>
        <w:rPr>
          <w:rFonts w:hint="eastAsia"/>
          <w:sz w:val="24"/>
        </w:rPr>
        <w:t>壕洼村</w:t>
      </w:r>
      <w:proofErr w:type="gramEnd"/>
      <w:r>
        <w:rPr>
          <w:rFonts w:hint="eastAsia"/>
          <w:sz w:val="24"/>
        </w:rPr>
        <w:t>正北山西侧砖瓦用粘土矿</w:t>
      </w:r>
      <w:r>
        <w:rPr>
          <w:sz w:val="24"/>
        </w:rPr>
        <w:t>位于</w:t>
      </w:r>
      <w:r>
        <w:rPr>
          <w:rFonts w:hint="eastAsia"/>
          <w:sz w:val="24"/>
        </w:rPr>
        <w:t>甘肃省临泽县城</w:t>
      </w:r>
      <w:r>
        <w:rPr>
          <w:rFonts w:hint="eastAsia"/>
          <w:sz w:val="24"/>
        </w:rPr>
        <w:t>1</w:t>
      </w:r>
      <w:r>
        <w:rPr>
          <w:sz w:val="24"/>
        </w:rPr>
        <w:t>3</w:t>
      </w:r>
      <w:r>
        <w:rPr>
          <w:rFonts w:hint="eastAsia"/>
          <w:sz w:val="24"/>
        </w:rPr>
        <w:t>°方向，直线距离约</w:t>
      </w:r>
      <w:r>
        <w:rPr>
          <w:rFonts w:hint="eastAsia"/>
          <w:sz w:val="24"/>
        </w:rPr>
        <w:t>2</w:t>
      </w:r>
      <w:r>
        <w:rPr>
          <w:sz w:val="24"/>
        </w:rPr>
        <w:t>5</w:t>
      </w:r>
      <w:r>
        <w:rPr>
          <w:rFonts w:hint="eastAsia"/>
          <w:sz w:val="24"/>
        </w:rPr>
        <w:t>km</w:t>
      </w:r>
      <w:r>
        <w:rPr>
          <w:rFonts w:hint="eastAsia"/>
          <w:sz w:val="24"/>
        </w:rPr>
        <w:t>；行政区划隶属临泽县板桥镇管辖。该矿区距板桥镇古城七组正北</w:t>
      </w:r>
      <w:r>
        <w:rPr>
          <w:rFonts w:hint="eastAsia"/>
          <w:sz w:val="24"/>
        </w:rPr>
        <w:t>2km</w:t>
      </w:r>
      <w:r>
        <w:rPr>
          <w:rFonts w:hint="eastAsia"/>
          <w:sz w:val="24"/>
        </w:rPr>
        <w:t>；矿区距</w:t>
      </w:r>
      <w:r>
        <w:rPr>
          <w:rFonts w:hint="eastAsia"/>
          <w:sz w:val="24"/>
        </w:rPr>
        <w:t>2</w:t>
      </w:r>
      <w:r>
        <w:rPr>
          <w:sz w:val="24"/>
        </w:rPr>
        <w:t>14</w:t>
      </w:r>
      <w:r>
        <w:rPr>
          <w:rFonts w:hint="eastAsia"/>
          <w:sz w:val="24"/>
        </w:rPr>
        <w:t>县道</w:t>
      </w:r>
      <w:r>
        <w:rPr>
          <w:rFonts w:hint="eastAsia"/>
          <w:sz w:val="24"/>
        </w:rPr>
        <w:t>6km</w:t>
      </w:r>
      <w:r>
        <w:rPr>
          <w:rFonts w:hint="eastAsia"/>
          <w:sz w:val="24"/>
        </w:rPr>
        <w:t>，北邻</w:t>
      </w:r>
      <w:r>
        <w:rPr>
          <w:rFonts w:hint="eastAsia"/>
          <w:sz w:val="24"/>
        </w:rPr>
        <w:t>3</w:t>
      </w:r>
      <w:r>
        <w:rPr>
          <w:sz w:val="24"/>
        </w:rPr>
        <w:t>16</w:t>
      </w:r>
      <w:r>
        <w:rPr>
          <w:rFonts w:hint="eastAsia"/>
          <w:sz w:val="24"/>
        </w:rPr>
        <w:t>省道，交通较为便利。</w:t>
      </w:r>
      <w:r>
        <w:rPr>
          <w:sz w:val="24"/>
        </w:rPr>
        <w:t>矿区面积</w:t>
      </w:r>
      <w:r>
        <w:rPr>
          <w:sz w:val="24"/>
        </w:rPr>
        <w:t>0.35km</w:t>
      </w:r>
      <w:r>
        <w:rPr>
          <w:sz w:val="24"/>
          <w:vertAlign w:val="superscript"/>
        </w:rPr>
        <w:t>2</w:t>
      </w:r>
      <w:r>
        <w:rPr>
          <w:rFonts w:hint="eastAsia"/>
          <w:sz w:val="24"/>
        </w:rPr>
        <w:t>。</w:t>
      </w:r>
    </w:p>
    <w:p w:rsidR="009C5C1F" w:rsidRDefault="004D2E0D">
      <w:pPr>
        <w:suppressAutoHyphens/>
        <w:wordWrap w:val="0"/>
        <w:topLinePunct/>
        <w:spacing w:line="480" w:lineRule="exact"/>
        <w:ind w:firstLineChars="200" w:firstLine="480"/>
        <w:rPr>
          <w:sz w:val="24"/>
        </w:rPr>
      </w:pPr>
      <w:r>
        <w:rPr>
          <w:rFonts w:hint="eastAsia"/>
          <w:sz w:val="24"/>
        </w:rPr>
        <w:t>2</w:t>
      </w:r>
      <w:r>
        <w:rPr>
          <w:rFonts w:hint="eastAsia"/>
          <w:sz w:val="24"/>
        </w:rPr>
        <w:t>、</w:t>
      </w:r>
      <w:r>
        <w:rPr>
          <w:sz w:val="24"/>
        </w:rPr>
        <w:t>根据</w:t>
      </w:r>
      <w:r>
        <w:rPr>
          <w:rFonts w:hint="eastAsia"/>
          <w:sz w:val="24"/>
        </w:rPr>
        <w:t>《</w:t>
      </w:r>
      <w:r>
        <w:rPr>
          <w:sz w:val="24"/>
        </w:rPr>
        <w:t>甘肃省</w:t>
      </w:r>
      <w:r>
        <w:rPr>
          <w:rFonts w:hint="eastAsia"/>
          <w:sz w:val="24"/>
        </w:rPr>
        <w:t>临泽</w:t>
      </w:r>
      <w:r>
        <w:rPr>
          <w:sz w:val="24"/>
        </w:rPr>
        <w:t>县</w:t>
      </w:r>
      <w:r>
        <w:rPr>
          <w:rFonts w:hint="eastAsia"/>
          <w:sz w:val="24"/>
        </w:rPr>
        <w:t>板桥</w:t>
      </w:r>
      <w:r>
        <w:rPr>
          <w:sz w:val="24"/>
        </w:rPr>
        <w:t>镇</w:t>
      </w:r>
      <w:r>
        <w:rPr>
          <w:rFonts w:hint="eastAsia"/>
          <w:sz w:val="24"/>
        </w:rPr>
        <w:t>壕洼村正北山西侧砖瓦用粘土矿普查报告》（</w:t>
      </w:r>
      <w:r>
        <w:rPr>
          <w:sz w:val="24"/>
        </w:rPr>
        <w:t>截止日期：</w:t>
      </w:r>
      <w:r>
        <w:rPr>
          <w:sz w:val="24"/>
        </w:rPr>
        <w:t>20</w:t>
      </w:r>
      <w:r>
        <w:rPr>
          <w:rFonts w:hint="eastAsia"/>
          <w:sz w:val="24"/>
        </w:rPr>
        <w:t>2</w:t>
      </w:r>
      <w:r>
        <w:rPr>
          <w:sz w:val="24"/>
        </w:rPr>
        <w:t>2</w:t>
      </w:r>
      <w:r>
        <w:rPr>
          <w:sz w:val="24"/>
        </w:rPr>
        <w:t>年</w:t>
      </w:r>
      <w:r>
        <w:rPr>
          <w:rFonts w:hint="eastAsia"/>
          <w:sz w:val="24"/>
        </w:rPr>
        <w:t>1</w:t>
      </w:r>
      <w:r>
        <w:rPr>
          <w:sz w:val="24"/>
        </w:rPr>
        <w:t>月</w:t>
      </w:r>
      <w:r>
        <w:rPr>
          <w:rFonts w:hint="eastAsia"/>
          <w:sz w:val="24"/>
        </w:rPr>
        <w:t>），甘肃省临泽</w:t>
      </w:r>
      <w:r>
        <w:rPr>
          <w:sz w:val="24"/>
        </w:rPr>
        <w:t>县</w:t>
      </w:r>
      <w:r>
        <w:rPr>
          <w:rFonts w:hint="eastAsia"/>
          <w:sz w:val="24"/>
        </w:rPr>
        <w:t>板桥</w:t>
      </w:r>
      <w:proofErr w:type="gramStart"/>
      <w:r>
        <w:rPr>
          <w:sz w:val="24"/>
        </w:rPr>
        <w:t>镇</w:t>
      </w:r>
      <w:r>
        <w:rPr>
          <w:rFonts w:hint="eastAsia"/>
          <w:sz w:val="24"/>
        </w:rPr>
        <w:t>壕洼村</w:t>
      </w:r>
      <w:proofErr w:type="gramEnd"/>
      <w:r>
        <w:rPr>
          <w:rFonts w:hint="eastAsia"/>
          <w:sz w:val="24"/>
        </w:rPr>
        <w:t>正北山西侧砖瓦用粘土矿</w:t>
      </w:r>
      <w:proofErr w:type="gramStart"/>
      <w:r>
        <w:rPr>
          <w:rFonts w:hint="eastAsia"/>
          <w:sz w:val="24"/>
        </w:rPr>
        <w:t>矿</w:t>
      </w:r>
      <w:proofErr w:type="gramEnd"/>
      <w:r>
        <w:rPr>
          <w:rFonts w:hint="eastAsia"/>
          <w:sz w:val="24"/>
        </w:rPr>
        <w:t>权范围内查明资源储量为</w:t>
      </w:r>
      <w:r>
        <w:rPr>
          <w:rFonts w:hint="eastAsia"/>
          <w:sz w:val="24"/>
        </w:rPr>
        <w:t>1</w:t>
      </w:r>
      <w:r>
        <w:rPr>
          <w:sz w:val="24"/>
        </w:rPr>
        <w:t>24.1×</w:t>
      </w:r>
      <w:r>
        <w:rPr>
          <w:rFonts w:hint="eastAsia"/>
          <w:sz w:val="24"/>
        </w:rPr>
        <w:t>10</w:t>
      </w:r>
      <w:r>
        <w:rPr>
          <w:rFonts w:hint="eastAsia"/>
          <w:sz w:val="24"/>
          <w:vertAlign w:val="superscript"/>
        </w:rPr>
        <w:t>4</w:t>
      </w:r>
      <w:r>
        <w:rPr>
          <w:rFonts w:hint="eastAsia"/>
          <w:sz w:val="24"/>
        </w:rPr>
        <w:t>m</w:t>
      </w:r>
      <w:r>
        <w:rPr>
          <w:rFonts w:hint="eastAsia"/>
          <w:sz w:val="24"/>
          <w:vertAlign w:val="superscript"/>
        </w:rPr>
        <w:t>3</w:t>
      </w:r>
      <w:r>
        <w:rPr>
          <w:rFonts w:hint="eastAsia"/>
          <w:sz w:val="24"/>
        </w:rPr>
        <w:t>。矿体厚度</w:t>
      </w:r>
      <w:r>
        <w:rPr>
          <w:rFonts w:hint="eastAsia"/>
          <w:sz w:val="24"/>
        </w:rPr>
        <w:t>4</w:t>
      </w:r>
      <w:r>
        <w:rPr>
          <w:sz w:val="24"/>
        </w:rPr>
        <w:t>.8</w:t>
      </w:r>
      <w:r>
        <w:rPr>
          <w:rFonts w:hint="eastAsia"/>
          <w:sz w:val="24"/>
        </w:rPr>
        <w:t>m</w:t>
      </w:r>
      <w:r>
        <w:rPr>
          <w:rFonts w:hint="eastAsia"/>
          <w:sz w:val="24"/>
        </w:rPr>
        <w:t>～</w:t>
      </w:r>
      <w:r>
        <w:rPr>
          <w:sz w:val="24"/>
        </w:rPr>
        <w:t>11.5</w:t>
      </w:r>
      <w:r>
        <w:rPr>
          <w:rFonts w:hint="eastAsia"/>
          <w:sz w:val="24"/>
        </w:rPr>
        <w:t>m</w:t>
      </w:r>
      <w:r>
        <w:rPr>
          <w:rFonts w:hint="eastAsia"/>
          <w:sz w:val="24"/>
        </w:rPr>
        <w:t>，矿体赋存地表以下</w:t>
      </w:r>
      <w:r>
        <w:rPr>
          <w:sz w:val="24"/>
        </w:rPr>
        <w:t>1</w:t>
      </w:r>
      <w:r>
        <w:rPr>
          <w:rFonts w:hint="eastAsia"/>
          <w:sz w:val="24"/>
        </w:rPr>
        <w:t>m</w:t>
      </w:r>
      <w:r>
        <w:rPr>
          <w:rFonts w:hint="eastAsia"/>
          <w:sz w:val="24"/>
        </w:rPr>
        <w:t>范围内，开采标高范围：</w:t>
      </w:r>
      <w:r>
        <w:rPr>
          <w:rFonts w:hint="eastAsia"/>
          <w:sz w:val="24"/>
        </w:rPr>
        <w:t>1</w:t>
      </w:r>
      <w:r>
        <w:rPr>
          <w:sz w:val="24"/>
        </w:rPr>
        <w:t>371</w:t>
      </w:r>
      <w:r>
        <w:rPr>
          <w:rFonts w:hint="eastAsia"/>
          <w:sz w:val="24"/>
        </w:rPr>
        <w:t>～</w:t>
      </w:r>
      <w:r>
        <w:rPr>
          <w:rFonts w:hint="eastAsia"/>
          <w:sz w:val="24"/>
        </w:rPr>
        <w:t>1</w:t>
      </w:r>
      <w:r>
        <w:rPr>
          <w:sz w:val="24"/>
        </w:rPr>
        <w:t>353</w:t>
      </w:r>
      <w:r>
        <w:rPr>
          <w:rFonts w:hint="eastAsia"/>
          <w:sz w:val="24"/>
        </w:rPr>
        <w:t>m</w:t>
      </w:r>
      <w:r>
        <w:rPr>
          <w:sz w:val="24"/>
        </w:rPr>
        <w:t>。</w:t>
      </w:r>
    </w:p>
    <w:p w:rsidR="009C5C1F" w:rsidRDefault="004D2E0D">
      <w:pPr>
        <w:spacing w:line="500" w:lineRule="exact"/>
        <w:ind w:firstLineChars="200" w:firstLine="480"/>
        <w:rPr>
          <w:rFonts w:ascii="宋体" w:hAnsi="宋体" w:cs="宋体"/>
          <w:sz w:val="24"/>
        </w:rPr>
      </w:pPr>
      <w:r>
        <w:rPr>
          <w:rFonts w:hint="eastAsia"/>
          <w:sz w:val="24"/>
        </w:rPr>
        <w:t>3</w:t>
      </w:r>
      <w:r>
        <w:rPr>
          <w:rFonts w:hint="eastAsia"/>
          <w:sz w:val="24"/>
        </w:rPr>
        <w:t>、根据</w:t>
      </w:r>
      <w:r>
        <w:rPr>
          <w:sz w:val="24"/>
        </w:rPr>
        <w:t>《开发利用方案》</w:t>
      </w:r>
      <w:r>
        <w:rPr>
          <w:rFonts w:hint="eastAsia"/>
          <w:sz w:val="24"/>
        </w:rPr>
        <w:t>确定矿山可利用资源量为：</w:t>
      </w:r>
      <w:r>
        <w:rPr>
          <w:rFonts w:ascii="宋体" w:hAnsi="宋体" w:cs="宋体" w:hint="eastAsia"/>
          <w:sz w:val="24"/>
        </w:rPr>
        <w:t>1</w:t>
      </w:r>
      <w:r>
        <w:rPr>
          <w:rFonts w:ascii="宋体" w:hAnsi="宋体" w:cs="宋体"/>
          <w:sz w:val="24"/>
        </w:rPr>
        <w:t>11.815</w:t>
      </w:r>
      <w:r>
        <w:rPr>
          <w:rFonts w:ascii="宋体" w:hAnsi="宋体" w:cs="宋体" w:hint="eastAsia"/>
          <w:sz w:val="24"/>
        </w:rPr>
        <w:t>×10</w:t>
      </w:r>
      <w:r>
        <w:rPr>
          <w:rFonts w:ascii="宋体" w:hAnsi="宋体" w:cs="宋体" w:hint="eastAsia"/>
          <w:sz w:val="24"/>
          <w:vertAlign w:val="superscript"/>
        </w:rPr>
        <w:t>4</w:t>
      </w:r>
      <w:r>
        <w:rPr>
          <w:rFonts w:ascii="宋体" w:hAnsi="宋体" w:cs="宋体" w:hint="eastAsia"/>
          <w:sz w:val="24"/>
        </w:rPr>
        <w:t>m</w:t>
      </w:r>
      <w:r>
        <w:rPr>
          <w:rFonts w:ascii="宋体" w:hAnsi="宋体" w:cs="宋体" w:hint="eastAsia"/>
          <w:sz w:val="24"/>
          <w:vertAlign w:val="superscript"/>
        </w:rPr>
        <w:t>3</w:t>
      </w:r>
      <w:r>
        <w:rPr>
          <w:rFonts w:hint="eastAsia"/>
          <w:sz w:val="24"/>
        </w:rPr>
        <w:t xml:space="preserve"> </w:t>
      </w:r>
      <w:r>
        <w:rPr>
          <w:rFonts w:hint="eastAsia"/>
          <w:sz w:val="24"/>
        </w:rPr>
        <w:t>。设计生产规模为</w:t>
      </w:r>
      <w:r>
        <w:rPr>
          <w:sz w:val="24"/>
        </w:rPr>
        <w:t>1</w:t>
      </w:r>
      <w:r>
        <w:rPr>
          <w:rFonts w:hint="eastAsia"/>
          <w:sz w:val="24"/>
        </w:rPr>
        <w:t>0</w:t>
      </w:r>
      <w:r>
        <w:rPr>
          <w:rFonts w:hint="eastAsia"/>
          <w:sz w:val="24"/>
        </w:rPr>
        <w:t>万立方米</w:t>
      </w:r>
      <w:r>
        <w:rPr>
          <w:rFonts w:hint="eastAsia"/>
          <w:sz w:val="24"/>
        </w:rPr>
        <w:t>/</w:t>
      </w:r>
      <w:r>
        <w:rPr>
          <w:rFonts w:hint="eastAsia"/>
          <w:sz w:val="24"/>
        </w:rPr>
        <w:t>年，矿山服务年限为</w:t>
      </w:r>
      <w:r>
        <w:rPr>
          <w:sz w:val="24"/>
        </w:rPr>
        <w:t>11</w:t>
      </w:r>
      <w:r>
        <w:rPr>
          <w:rFonts w:hint="eastAsia"/>
          <w:sz w:val="24"/>
        </w:rPr>
        <w:t>年（不含基建期）。</w:t>
      </w:r>
    </w:p>
    <w:p w:rsidR="009C5C1F" w:rsidRDefault="004D2E0D">
      <w:pPr>
        <w:suppressAutoHyphens/>
        <w:wordWrap w:val="0"/>
        <w:topLinePunct/>
        <w:spacing w:line="480" w:lineRule="exact"/>
        <w:ind w:firstLineChars="200" w:firstLine="480"/>
        <w:rPr>
          <w:sz w:val="24"/>
        </w:rPr>
      </w:pPr>
      <w:r>
        <w:rPr>
          <w:rFonts w:hint="eastAsia"/>
          <w:sz w:val="24"/>
        </w:rPr>
        <w:t>4</w:t>
      </w:r>
      <w:r>
        <w:rPr>
          <w:rFonts w:hint="eastAsia"/>
          <w:sz w:val="24"/>
        </w:rPr>
        <w:t>、矿山采用露天开采的开采方式，</w:t>
      </w:r>
      <w:r>
        <w:rPr>
          <w:sz w:val="24"/>
        </w:rPr>
        <w:t>采矿方法为</w:t>
      </w:r>
      <w:r>
        <w:rPr>
          <w:rFonts w:hint="eastAsia"/>
          <w:sz w:val="24"/>
        </w:rPr>
        <w:t>在矿体顶部地势较为平坦位置指定首采面，将采矿设备拉运至矿体顶部，在设计指定位置建立首采面工作平台，工作线沿矿体走向布置，垂直推进，一次性全部开采；矿石综合利用率</w:t>
      </w:r>
      <w:r>
        <w:rPr>
          <w:rFonts w:hint="eastAsia"/>
          <w:sz w:val="24"/>
        </w:rPr>
        <w:t>1</w:t>
      </w:r>
      <w:r>
        <w:rPr>
          <w:rFonts w:hint="eastAsia"/>
          <w:sz w:val="24"/>
        </w:rPr>
        <w:t>，开采回采</w:t>
      </w:r>
      <w:r>
        <w:rPr>
          <w:sz w:val="24"/>
        </w:rPr>
        <w:t>率</w:t>
      </w:r>
      <w:r>
        <w:rPr>
          <w:sz w:val="24"/>
        </w:rPr>
        <w:t>95</w:t>
      </w:r>
      <w:r>
        <w:rPr>
          <w:sz w:val="24"/>
        </w:rPr>
        <w:t>％</w:t>
      </w:r>
      <w:r>
        <w:rPr>
          <w:rFonts w:hint="eastAsia"/>
          <w:sz w:val="24"/>
        </w:rPr>
        <w:t>。</w:t>
      </w:r>
    </w:p>
    <w:p w:rsidR="009C5C1F" w:rsidRDefault="004D2E0D">
      <w:pPr>
        <w:suppressAutoHyphens/>
        <w:wordWrap w:val="0"/>
        <w:topLinePunct/>
        <w:spacing w:line="480" w:lineRule="exact"/>
        <w:ind w:firstLineChars="200" w:firstLine="480"/>
        <w:rPr>
          <w:sz w:val="24"/>
        </w:rPr>
      </w:pPr>
      <w:r>
        <w:rPr>
          <w:rFonts w:hint="eastAsia"/>
          <w:sz w:val="24"/>
        </w:rPr>
        <w:t>5</w:t>
      </w:r>
      <w:r>
        <w:rPr>
          <w:rFonts w:hint="eastAsia"/>
          <w:sz w:val="24"/>
        </w:rPr>
        <w:t>、本项目建设投资总额</w:t>
      </w:r>
      <w:r>
        <w:rPr>
          <w:sz w:val="24"/>
        </w:rPr>
        <w:t>52.78</w:t>
      </w:r>
      <w:r>
        <w:rPr>
          <w:rFonts w:hint="eastAsia"/>
          <w:sz w:val="24"/>
        </w:rPr>
        <w:t>万元，</w:t>
      </w:r>
      <w:r>
        <w:rPr>
          <w:sz w:val="24"/>
        </w:rPr>
        <w:t>本方案评估面积约为</w:t>
      </w:r>
      <w:bookmarkStart w:id="1083" w:name="_Hlk151733544"/>
      <w:r>
        <w:rPr>
          <w:sz w:val="24"/>
        </w:rPr>
        <w:t>3.</w:t>
      </w:r>
      <w:bookmarkEnd w:id="1083"/>
      <w:r>
        <w:rPr>
          <w:sz w:val="24"/>
        </w:rPr>
        <w:t>098</w:t>
      </w:r>
      <w:r>
        <w:rPr>
          <w:rFonts w:hint="eastAsia"/>
          <w:sz w:val="24"/>
        </w:rPr>
        <w:t>h</w:t>
      </w:r>
      <w:r>
        <w:rPr>
          <w:sz w:val="24"/>
        </w:rPr>
        <w:t>m</w:t>
      </w:r>
      <w:r>
        <w:rPr>
          <w:sz w:val="24"/>
          <w:vertAlign w:val="superscript"/>
        </w:rPr>
        <w:t>2</w:t>
      </w:r>
      <w:r>
        <w:rPr>
          <w:sz w:val="24"/>
        </w:rPr>
        <w:t>。</w:t>
      </w:r>
      <w:proofErr w:type="gramStart"/>
      <w:r>
        <w:rPr>
          <w:sz w:val="24"/>
        </w:rPr>
        <w:t>评估区</w:t>
      </w:r>
      <w:proofErr w:type="gramEnd"/>
      <w:r>
        <w:rPr>
          <w:sz w:val="24"/>
        </w:rPr>
        <w:t>重要程度为</w:t>
      </w:r>
      <w:r>
        <w:rPr>
          <w:rFonts w:hint="eastAsia"/>
          <w:sz w:val="24"/>
        </w:rPr>
        <w:t>一般</w:t>
      </w:r>
      <w:r>
        <w:rPr>
          <w:sz w:val="24"/>
        </w:rPr>
        <w:t>区，地质环境条件复杂程度为简单，矿山生产建设规模为</w:t>
      </w:r>
      <w:r>
        <w:rPr>
          <w:rFonts w:hint="eastAsia"/>
          <w:sz w:val="24"/>
        </w:rPr>
        <w:t>小</w:t>
      </w:r>
      <w:r>
        <w:rPr>
          <w:sz w:val="24"/>
        </w:rPr>
        <w:t>型，按照《矿山地质环境保护与恢复治理方案编制规范》，评估级别为</w:t>
      </w:r>
      <w:r>
        <w:rPr>
          <w:rFonts w:hint="eastAsia"/>
          <w:sz w:val="24"/>
        </w:rPr>
        <w:t>三</w:t>
      </w:r>
      <w:r>
        <w:rPr>
          <w:sz w:val="24"/>
        </w:rPr>
        <w:t>级。</w:t>
      </w:r>
    </w:p>
    <w:p w:rsidR="009C5C1F" w:rsidRDefault="004D2E0D">
      <w:pPr>
        <w:suppressAutoHyphens/>
        <w:wordWrap w:val="0"/>
        <w:topLinePunct/>
        <w:spacing w:line="480" w:lineRule="exact"/>
        <w:ind w:firstLineChars="200" w:firstLine="480"/>
        <w:rPr>
          <w:sz w:val="24"/>
        </w:rPr>
      </w:pPr>
      <w:r>
        <w:rPr>
          <w:rFonts w:hint="eastAsia"/>
          <w:sz w:val="24"/>
        </w:rPr>
        <w:t>6</w:t>
      </w:r>
      <w:r>
        <w:rPr>
          <w:rFonts w:hint="eastAsia"/>
          <w:sz w:val="24"/>
        </w:rPr>
        <w:t>、本复垦方案服务年限内，</w:t>
      </w:r>
      <w:r>
        <w:rPr>
          <w:sz w:val="24"/>
        </w:rPr>
        <w:t>项目区损毁</w:t>
      </w:r>
      <w:proofErr w:type="gramStart"/>
      <w:r>
        <w:rPr>
          <w:sz w:val="24"/>
        </w:rPr>
        <w:t>土地类型</w:t>
      </w:r>
      <w:r>
        <w:rPr>
          <w:rFonts w:hint="eastAsia"/>
          <w:sz w:val="24"/>
        </w:rPr>
        <w:t>为裸土地</w:t>
      </w:r>
      <w:proofErr w:type="gramEnd"/>
      <w:r>
        <w:rPr>
          <w:rFonts w:hint="eastAsia"/>
          <w:sz w:val="24"/>
        </w:rPr>
        <w:t>（</w:t>
      </w:r>
      <w:r>
        <w:rPr>
          <w:sz w:val="24"/>
        </w:rPr>
        <w:t>1206</w:t>
      </w:r>
      <w:r>
        <w:rPr>
          <w:rFonts w:hint="eastAsia"/>
          <w:sz w:val="24"/>
        </w:rPr>
        <w:t>），复垦方向最终确定按</w:t>
      </w:r>
      <w:proofErr w:type="gramStart"/>
      <w:r>
        <w:rPr>
          <w:rFonts w:hint="eastAsia"/>
          <w:sz w:val="24"/>
        </w:rPr>
        <w:t>原地类裸土地</w:t>
      </w:r>
      <w:proofErr w:type="gramEnd"/>
      <w:r>
        <w:rPr>
          <w:rFonts w:hint="eastAsia"/>
          <w:sz w:val="24"/>
        </w:rPr>
        <w:t>（</w:t>
      </w:r>
      <w:r>
        <w:rPr>
          <w:rFonts w:hint="eastAsia"/>
          <w:sz w:val="24"/>
        </w:rPr>
        <w:t>1</w:t>
      </w:r>
      <w:r>
        <w:rPr>
          <w:sz w:val="24"/>
        </w:rPr>
        <w:t>2</w:t>
      </w:r>
      <w:r>
        <w:rPr>
          <w:rFonts w:hint="eastAsia"/>
          <w:sz w:val="24"/>
        </w:rPr>
        <w:t>0</w:t>
      </w:r>
      <w:r>
        <w:rPr>
          <w:sz w:val="24"/>
        </w:rPr>
        <w:t>6</w:t>
      </w:r>
      <w:r>
        <w:rPr>
          <w:rFonts w:hint="eastAsia"/>
          <w:sz w:val="24"/>
        </w:rPr>
        <w:t>）复垦，</w:t>
      </w:r>
      <w:proofErr w:type="gramStart"/>
      <w:r>
        <w:rPr>
          <w:sz w:val="24"/>
        </w:rPr>
        <w:t>复垦区</w:t>
      </w:r>
      <w:proofErr w:type="gramEnd"/>
      <w:r>
        <w:rPr>
          <w:sz w:val="24"/>
        </w:rPr>
        <w:t>面积</w:t>
      </w:r>
      <w:r>
        <w:rPr>
          <w:sz w:val="24"/>
        </w:rPr>
        <w:t>3.098hm</w:t>
      </w:r>
      <w:r>
        <w:rPr>
          <w:sz w:val="24"/>
          <w:vertAlign w:val="superscript"/>
        </w:rPr>
        <w:t>2</w:t>
      </w:r>
      <w:r>
        <w:rPr>
          <w:sz w:val="24"/>
        </w:rPr>
        <w:t>，复垦责任范围</w:t>
      </w:r>
      <w:r>
        <w:rPr>
          <w:sz w:val="24"/>
        </w:rPr>
        <w:t>3.098hm</w:t>
      </w:r>
      <w:r>
        <w:rPr>
          <w:sz w:val="24"/>
          <w:vertAlign w:val="superscript"/>
        </w:rPr>
        <w:t>2</w:t>
      </w:r>
      <w:r>
        <w:rPr>
          <w:sz w:val="24"/>
        </w:rPr>
        <w:t>，复垦率</w:t>
      </w:r>
      <w:r>
        <w:rPr>
          <w:sz w:val="24"/>
        </w:rPr>
        <w:t>100%</w:t>
      </w:r>
      <w:r>
        <w:rPr>
          <w:sz w:val="24"/>
        </w:rPr>
        <w:t>。</w:t>
      </w:r>
    </w:p>
    <w:p w:rsidR="009C5C1F" w:rsidRDefault="004D2E0D">
      <w:pPr>
        <w:suppressAutoHyphens/>
        <w:wordWrap w:val="0"/>
        <w:topLinePunct/>
        <w:spacing w:line="480" w:lineRule="exact"/>
        <w:ind w:firstLineChars="200" w:firstLine="480"/>
        <w:rPr>
          <w:sz w:val="24"/>
        </w:rPr>
      </w:pPr>
      <w:r>
        <w:rPr>
          <w:rFonts w:hint="eastAsia"/>
          <w:sz w:val="24"/>
        </w:rPr>
        <w:t>7</w:t>
      </w:r>
      <w:r>
        <w:rPr>
          <w:rFonts w:hint="eastAsia"/>
          <w:sz w:val="24"/>
        </w:rPr>
        <w:t>、甘肃省临泽县板桥</w:t>
      </w:r>
      <w:proofErr w:type="gramStart"/>
      <w:r>
        <w:rPr>
          <w:rFonts w:hint="eastAsia"/>
          <w:sz w:val="24"/>
        </w:rPr>
        <w:t>镇壕洼村</w:t>
      </w:r>
      <w:proofErr w:type="gramEnd"/>
      <w:r>
        <w:rPr>
          <w:rFonts w:hint="eastAsia"/>
          <w:sz w:val="24"/>
        </w:rPr>
        <w:t>正北山西侧砖瓦用粘土</w:t>
      </w:r>
      <w:proofErr w:type="gramStart"/>
      <w:r>
        <w:rPr>
          <w:rFonts w:hint="eastAsia"/>
          <w:sz w:val="24"/>
        </w:rPr>
        <w:t>矿</w:t>
      </w:r>
      <w:proofErr w:type="gramEnd"/>
      <w:r>
        <w:rPr>
          <w:rFonts w:hint="eastAsia"/>
          <w:sz w:val="24"/>
        </w:rPr>
        <w:t>矿山地质环境保护与土地复垦工程总投资</w:t>
      </w:r>
      <w:r>
        <w:rPr>
          <w:sz w:val="24"/>
        </w:rPr>
        <w:t>由矿山地质环境治理工程费和土地复垦费组成</w:t>
      </w:r>
      <w:r>
        <w:rPr>
          <w:rFonts w:hint="eastAsia"/>
          <w:sz w:val="24"/>
        </w:rPr>
        <w:t>，总投资为</w:t>
      </w:r>
      <w:r>
        <w:rPr>
          <w:rFonts w:hint="eastAsia"/>
          <w:sz w:val="24"/>
        </w:rPr>
        <w:t>5</w:t>
      </w:r>
      <w:r>
        <w:rPr>
          <w:sz w:val="24"/>
        </w:rPr>
        <w:t>2.78</w:t>
      </w:r>
      <w:r>
        <w:rPr>
          <w:rFonts w:hint="eastAsia"/>
          <w:sz w:val="24"/>
        </w:rPr>
        <w:t>万元，其中矿山地质环境治理工程费用为</w:t>
      </w:r>
      <w:r>
        <w:rPr>
          <w:rFonts w:hint="eastAsia"/>
          <w:sz w:val="24"/>
        </w:rPr>
        <w:t>1</w:t>
      </w:r>
      <w:r>
        <w:rPr>
          <w:sz w:val="24"/>
        </w:rPr>
        <w:t>9.83</w:t>
      </w:r>
      <w:r>
        <w:rPr>
          <w:rFonts w:hint="eastAsia"/>
          <w:sz w:val="24"/>
        </w:rPr>
        <w:t>万元，土地复垦工程费用为</w:t>
      </w:r>
      <w:r>
        <w:rPr>
          <w:sz w:val="24"/>
        </w:rPr>
        <w:t>32.95</w:t>
      </w:r>
      <w:r>
        <w:rPr>
          <w:rFonts w:hint="eastAsia"/>
          <w:sz w:val="24"/>
        </w:rPr>
        <w:t>万元。</w:t>
      </w:r>
    </w:p>
    <w:p w:rsidR="009C5C1F" w:rsidRDefault="004D2E0D">
      <w:pPr>
        <w:suppressAutoHyphens/>
        <w:wordWrap w:val="0"/>
        <w:topLinePunct/>
        <w:spacing w:line="480" w:lineRule="exact"/>
        <w:ind w:firstLineChars="200" w:firstLine="480"/>
        <w:rPr>
          <w:sz w:val="24"/>
        </w:rPr>
      </w:pPr>
      <w:r>
        <w:rPr>
          <w:rFonts w:hint="eastAsia"/>
          <w:sz w:val="24"/>
        </w:rPr>
        <w:t>8</w:t>
      </w:r>
      <w:r>
        <w:rPr>
          <w:rFonts w:hint="eastAsia"/>
          <w:sz w:val="24"/>
        </w:rPr>
        <w:t>、</w:t>
      </w:r>
      <w:r>
        <w:rPr>
          <w:sz w:val="24"/>
        </w:rPr>
        <w:t>评估区内现状</w:t>
      </w:r>
      <w:r>
        <w:rPr>
          <w:rFonts w:hint="eastAsia"/>
          <w:sz w:val="24"/>
        </w:rPr>
        <w:t>条件下</w:t>
      </w:r>
      <w:r>
        <w:rPr>
          <w:sz w:val="24"/>
        </w:rPr>
        <w:t>地质灾害</w:t>
      </w:r>
      <w:r>
        <w:rPr>
          <w:rFonts w:hint="eastAsia"/>
          <w:sz w:val="24"/>
        </w:rPr>
        <w:t>及不良地质现象不发育，矿山属新建矿山，</w:t>
      </w:r>
      <w:r>
        <w:rPr>
          <w:rFonts w:hint="eastAsia"/>
          <w:sz w:val="24"/>
        </w:rPr>
        <w:lastRenderedPageBreak/>
        <w:t>尚未进行矿山基础建设和矿石开采，因此</w:t>
      </w:r>
      <w:r>
        <w:rPr>
          <w:sz w:val="24"/>
        </w:rPr>
        <w:t>对矿山地质环境的影响程度、含水层影响程度、地形地貌景观的影响或破坏程度、水土环境</w:t>
      </w:r>
      <w:r>
        <w:rPr>
          <w:rFonts w:hint="eastAsia"/>
          <w:sz w:val="24"/>
        </w:rPr>
        <w:t>污染或</w:t>
      </w:r>
      <w:r>
        <w:rPr>
          <w:sz w:val="24"/>
        </w:rPr>
        <w:t>破坏程度均为较轻。</w:t>
      </w:r>
    </w:p>
    <w:p w:rsidR="009C5C1F" w:rsidRDefault="004D2E0D">
      <w:pPr>
        <w:suppressAutoHyphens/>
        <w:wordWrap w:val="0"/>
        <w:topLinePunct/>
        <w:spacing w:line="480" w:lineRule="exact"/>
        <w:ind w:firstLineChars="200" w:firstLine="480"/>
        <w:rPr>
          <w:sz w:val="24"/>
        </w:rPr>
      </w:pPr>
      <w:r>
        <w:rPr>
          <w:rFonts w:hint="eastAsia"/>
          <w:sz w:val="24"/>
        </w:rPr>
        <w:t>9</w:t>
      </w:r>
      <w:r>
        <w:rPr>
          <w:rFonts w:hint="eastAsia"/>
          <w:sz w:val="24"/>
        </w:rPr>
        <w:t>、</w:t>
      </w:r>
      <w:r>
        <w:rPr>
          <w:sz w:val="24"/>
        </w:rPr>
        <w:t>预测评估</w:t>
      </w:r>
    </w:p>
    <w:p w:rsidR="009C5C1F" w:rsidRDefault="004D2E0D">
      <w:pPr>
        <w:suppressAutoHyphens/>
        <w:wordWrap w:val="0"/>
        <w:topLinePunct/>
        <w:spacing w:line="480" w:lineRule="exact"/>
        <w:ind w:firstLineChars="200" w:firstLine="480"/>
        <w:rPr>
          <w:sz w:val="24"/>
        </w:rPr>
      </w:pPr>
      <w:r>
        <w:rPr>
          <w:sz w:val="24"/>
        </w:rPr>
        <w:t>评估区内地质灾害对矿山地质环境的影响程度较轻；矿业活动对含水层影响程度为较轻；矿业活动对</w:t>
      </w:r>
      <w:proofErr w:type="gramStart"/>
      <w:r>
        <w:rPr>
          <w:sz w:val="24"/>
        </w:rPr>
        <w:t>评估区</w:t>
      </w:r>
      <w:proofErr w:type="gramEnd"/>
      <w:r>
        <w:rPr>
          <w:sz w:val="24"/>
        </w:rPr>
        <w:t>地形地貌景观的影响或破坏程度为</w:t>
      </w:r>
      <w:r>
        <w:rPr>
          <w:rFonts w:hint="eastAsia"/>
          <w:sz w:val="24"/>
        </w:rPr>
        <w:t>严重</w:t>
      </w:r>
      <w:r>
        <w:rPr>
          <w:sz w:val="24"/>
        </w:rPr>
        <w:t>；矿业活动对</w:t>
      </w:r>
      <w:proofErr w:type="gramStart"/>
      <w:r>
        <w:rPr>
          <w:sz w:val="24"/>
        </w:rPr>
        <w:t>评估区</w:t>
      </w:r>
      <w:proofErr w:type="gramEnd"/>
      <w:r>
        <w:rPr>
          <w:sz w:val="24"/>
        </w:rPr>
        <w:t>水土环境破坏程度较轻。</w:t>
      </w:r>
    </w:p>
    <w:p w:rsidR="009C5C1F" w:rsidRDefault="004D2E0D">
      <w:pPr>
        <w:suppressAutoHyphens/>
        <w:wordWrap w:val="0"/>
        <w:topLinePunct/>
        <w:spacing w:line="480" w:lineRule="exact"/>
        <w:ind w:firstLineChars="200" w:firstLine="480"/>
        <w:rPr>
          <w:sz w:val="24"/>
        </w:rPr>
      </w:pPr>
      <w:r>
        <w:rPr>
          <w:rFonts w:hint="eastAsia"/>
          <w:sz w:val="24"/>
        </w:rPr>
        <w:t>10</w:t>
      </w:r>
      <w:r>
        <w:rPr>
          <w:sz w:val="24"/>
        </w:rPr>
        <w:t>、治理分区</w:t>
      </w:r>
    </w:p>
    <w:p w:rsidR="009C5C1F" w:rsidRDefault="004D2E0D">
      <w:pPr>
        <w:suppressAutoHyphens/>
        <w:wordWrap w:val="0"/>
        <w:topLinePunct/>
        <w:spacing w:line="480" w:lineRule="exact"/>
        <w:ind w:firstLineChars="200" w:firstLine="480"/>
        <w:rPr>
          <w:sz w:val="24"/>
        </w:rPr>
      </w:pPr>
      <w:r>
        <w:rPr>
          <w:sz w:val="24"/>
        </w:rPr>
        <w:t>通过现状评估和预测评估，评估区内矿山地质环境保护全区划分</w:t>
      </w:r>
      <w:r>
        <w:rPr>
          <w:rFonts w:hint="eastAsia"/>
          <w:sz w:val="24"/>
        </w:rPr>
        <w:t>重点防治区和</w:t>
      </w:r>
      <w:r>
        <w:rPr>
          <w:sz w:val="24"/>
        </w:rPr>
        <w:t>一般防治区。其中重点防治区面积为</w:t>
      </w:r>
      <w:r>
        <w:rPr>
          <w:rFonts w:hint="eastAsia"/>
          <w:sz w:val="24"/>
        </w:rPr>
        <w:t>2</w:t>
      </w:r>
      <w:r>
        <w:rPr>
          <w:sz w:val="24"/>
        </w:rPr>
        <w:t>.686hm</w:t>
      </w:r>
      <w:r>
        <w:rPr>
          <w:sz w:val="24"/>
          <w:vertAlign w:val="superscript"/>
        </w:rPr>
        <w:t>2</w:t>
      </w:r>
      <w:r>
        <w:rPr>
          <w:sz w:val="24"/>
        </w:rPr>
        <w:t>，占</w:t>
      </w:r>
      <w:proofErr w:type="gramStart"/>
      <w:r>
        <w:rPr>
          <w:sz w:val="24"/>
        </w:rPr>
        <w:t>评估区</w:t>
      </w:r>
      <w:proofErr w:type="gramEnd"/>
      <w:r>
        <w:rPr>
          <w:sz w:val="24"/>
        </w:rPr>
        <w:t>总面积的</w:t>
      </w:r>
      <w:r>
        <w:rPr>
          <w:sz w:val="24"/>
        </w:rPr>
        <w:t>86.7%</w:t>
      </w:r>
      <w:r>
        <w:rPr>
          <w:rFonts w:hint="eastAsia"/>
          <w:sz w:val="24"/>
        </w:rPr>
        <w:t>，</w:t>
      </w:r>
      <w:r>
        <w:rPr>
          <w:sz w:val="24"/>
        </w:rPr>
        <w:t>一般防治区面积为</w:t>
      </w:r>
      <w:r>
        <w:rPr>
          <w:sz w:val="24"/>
        </w:rPr>
        <w:t>0.4125hm</w:t>
      </w:r>
      <w:r>
        <w:rPr>
          <w:sz w:val="24"/>
          <w:vertAlign w:val="superscript"/>
        </w:rPr>
        <w:t>2</w:t>
      </w:r>
      <w:r>
        <w:rPr>
          <w:sz w:val="24"/>
        </w:rPr>
        <w:t>，占</w:t>
      </w:r>
      <w:proofErr w:type="gramStart"/>
      <w:r>
        <w:rPr>
          <w:sz w:val="24"/>
        </w:rPr>
        <w:t>评估区</w:t>
      </w:r>
      <w:proofErr w:type="gramEnd"/>
      <w:r>
        <w:rPr>
          <w:sz w:val="24"/>
        </w:rPr>
        <w:t>总面积的</w:t>
      </w:r>
      <w:r>
        <w:rPr>
          <w:sz w:val="24"/>
        </w:rPr>
        <w:t>13.3%</w:t>
      </w:r>
      <w:r>
        <w:rPr>
          <w:sz w:val="24"/>
        </w:rPr>
        <w:t>。</w:t>
      </w:r>
    </w:p>
    <w:p w:rsidR="009C5C1F" w:rsidRDefault="004D2E0D">
      <w:pPr>
        <w:suppressAutoHyphens/>
        <w:wordWrap w:val="0"/>
        <w:topLinePunct/>
        <w:spacing w:line="480" w:lineRule="exact"/>
        <w:ind w:firstLineChars="200" w:firstLine="480"/>
        <w:rPr>
          <w:sz w:val="24"/>
        </w:rPr>
      </w:pPr>
      <w:r>
        <w:rPr>
          <w:rFonts w:hint="eastAsia"/>
          <w:sz w:val="24"/>
        </w:rPr>
        <w:t>11</w:t>
      </w:r>
      <w:r>
        <w:rPr>
          <w:sz w:val="24"/>
        </w:rPr>
        <w:t>、恢复治理及复垦工程措施</w:t>
      </w:r>
    </w:p>
    <w:p w:rsidR="009C5C1F" w:rsidRDefault="004D2E0D">
      <w:pPr>
        <w:suppressAutoHyphens/>
        <w:wordWrap w:val="0"/>
        <w:topLinePunct/>
        <w:spacing w:line="480" w:lineRule="exact"/>
        <w:ind w:firstLineChars="200" w:firstLine="480"/>
        <w:rPr>
          <w:sz w:val="24"/>
        </w:rPr>
      </w:pPr>
      <w:r>
        <w:rPr>
          <w:rFonts w:hint="eastAsia"/>
          <w:sz w:val="24"/>
        </w:rPr>
        <w:t>矿山环境恢复治理工程措施主要是针对矿山地质灾害方面设计的，主要措施有：架设警示牌、清理危岩体和监测等；</w:t>
      </w:r>
      <w:r>
        <w:rPr>
          <w:sz w:val="24"/>
        </w:rPr>
        <w:t>土地复垦工程措施有</w:t>
      </w:r>
      <w:r>
        <w:rPr>
          <w:rFonts w:hint="eastAsia"/>
          <w:sz w:val="24"/>
        </w:rPr>
        <w:t>采场废料回填，拆除建筑物、</w:t>
      </w:r>
      <w:r>
        <w:rPr>
          <w:sz w:val="24"/>
        </w:rPr>
        <w:t>场地平整、覆土。</w:t>
      </w:r>
    </w:p>
    <w:p w:rsidR="009C5C1F" w:rsidRDefault="004D2E0D">
      <w:pPr>
        <w:keepNext/>
        <w:keepLines/>
        <w:suppressAutoHyphens/>
        <w:wordWrap w:val="0"/>
        <w:topLinePunct/>
        <w:spacing w:beforeLines="50" w:before="180" w:afterLines="50" w:after="180" w:line="560" w:lineRule="exact"/>
        <w:ind w:firstLineChars="200" w:firstLine="562"/>
        <w:jc w:val="left"/>
        <w:outlineLvl w:val="1"/>
        <w:rPr>
          <w:rFonts w:eastAsia="黑体"/>
          <w:b/>
          <w:bCs/>
          <w:sz w:val="28"/>
          <w:szCs w:val="30"/>
        </w:rPr>
      </w:pPr>
      <w:bookmarkStart w:id="1084" w:name="_Toc153130811"/>
      <w:bookmarkStart w:id="1085" w:name="_Toc511226500"/>
      <w:bookmarkStart w:id="1086" w:name="_Toc70589935"/>
      <w:r>
        <w:rPr>
          <w:rFonts w:eastAsia="黑体" w:hint="eastAsia"/>
          <w:b/>
          <w:bCs/>
          <w:sz w:val="28"/>
          <w:szCs w:val="30"/>
        </w:rPr>
        <w:t>二、建议</w:t>
      </w:r>
      <w:bookmarkEnd w:id="1084"/>
      <w:bookmarkEnd w:id="1085"/>
      <w:bookmarkEnd w:id="1086"/>
    </w:p>
    <w:p w:rsidR="009C5C1F" w:rsidRDefault="004D2E0D">
      <w:pPr>
        <w:suppressAutoHyphens/>
        <w:wordWrap w:val="0"/>
        <w:topLinePunct/>
        <w:spacing w:line="480" w:lineRule="exact"/>
        <w:ind w:firstLineChars="200" w:firstLine="480"/>
        <w:rPr>
          <w:sz w:val="24"/>
        </w:rPr>
      </w:pPr>
      <w:r>
        <w:rPr>
          <w:rFonts w:hint="eastAsia"/>
          <w:sz w:val="24"/>
        </w:rPr>
        <w:t>1</w:t>
      </w:r>
      <w:r>
        <w:rPr>
          <w:rFonts w:hint="eastAsia"/>
          <w:sz w:val="24"/>
        </w:rPr>
        <w:t>、</w:t>
      </w:r>
      <w:r>
        <w:rPr>
          <w:sz w:val="24"/>
        </w:rPr>
        <w:t>矿山地质环境保护与土地复垦工作，始终贯穿于矿山建设与生产的</w:t>
      </w:r>
      <w:r>
        <w:rPr>
          <w:sz w:val="24"/>
        </w:rPr>
        <w:t xml:space="preserve"> </w:t>
      </w:r>
      <w:r>
        <w:rPr>
          <w:sz w:val="24"/>
        </w:rPr>
        <w:t>全过程，企业应坚持</w:t>
      </w:r>
      <w:r>
        <w:rPr>
          <w:sz w:val="24"/>
        </w:rPr>
        <w:t>“</w:t>
      </w:r>
      <w:r>
        <w:rPr>
          <w:sz w:val="24"/>
        </w:rPr>
        <w:t>边开发、边治理</w:t>
      </w:r>
      <w:r>
        <w:rPr>
          <w:sz w:val="24"/>
        </w:rPr>
        <w:t>”</w:t>
      </w:r>
      <w:r>
        <w:rPr>
          <w:sz w:val="24"/>
        </w:rPr>
        <w:t>的原则，最大限度地减少矿业活动对矿山地质环境的影响和破坏。</w:t>
      </w:r>
    </w:p>
    <w:p w:rsidR="009C5C1F" w:rsidRDefault="004D2E0D">
      <w:pPr>
        <w:suppressAutoHyphens/>
        <w:wordWrap w:val="0"/>
        <w:topLinePunct/>
        <w:spacing w:line="480" w:lineRule="exact"/>
        <w:ind w:firstLineChars="200" w:firstLine="480"/>
        <w:rPr>
          <w:sz w:val="24"/>
        </w:rPr>
      </w:pPr>
      <w:r>
        <w:rPr>
          <w:rFonts w:hint="eastAsia"/>
          <w:sz w:val="24"/>
        </w:rPr>
        <w:t>2</w:t>
      </w:r>
      <w:r>
        <w:rPr>
          <w:rFonts w:hint="eastAsia"/>
          <w:sz w:val="24"/>
        </w:rPr>
        <w:t>、由于矿山为新建矿山，尚未进行基础设施建设和矿石开采，因此建议企业在该阶段严格按照开发利用方案的设计进行基础设施建设和矿石开采，以避免对矿山地质环境和土地资源造成不必要的扰动。</w:t>
      </w:r>
    </w:p>
    <w:p w:rsidR="009C5C1F" w:rsidRDefault="004D2E0D">
      <w:pPr>
        <w:suppressAutoHyphens/>
        <w:wordWrap w:val="0"/>
        <w:topLinePunct/>
        <w:spacing w:line="480" w:lineRule="exact"/>
        <w:ind w:firstLineChars="200" w:firstLine="480"/>
        <w:rPr>
          <w:sz w:val="24"/>
        </w:rPr>
      </w:pPr>
      <w:r>
        <w:rPr>
          <w:rFonts w:hint="eastAsia"/>
          <w:sz w:val="24"/>
        </w:rPr>
        <w:t>3</w:t>
      </w:r>
      <w:r>
        <w:rPr>
          <w:sz w:val="24"/>
        </w:rPr>
        <w:t>、健全安全巡视制度，发现问题及时上报解决。</w:t>
      </w:r>
    </w:p>
    <w:p w:rsidR="009C5C1F" w:rsidRDefault="004D2E0D">
      <w:pPr>
        <w:suppressAutoHyphens/>
        <w:wordWrap w:val="0"/>
        <w:topLinePunct/>
        <w:spacing w:line="480" w:lineRule="exact"/>
        <w:ind w:firstLineChars="200" w:firstLine="480"/>
        <w:rPr>
          <w:sz w:val="24"/>
        </w:rPr>
      </w:pPr>
      <w:r>
        <w:rPr>
          <w:rFonts w:hint="eastAsia"/>
          <w:sz w:val="24"/>
        </w:rPr>
        <w:t>4</w:t>
      </w:r>
      <w:r>
        <w:rPr>
          <w:sz w:val="24"/>
        </w:rPr>
        <w:t>、加强矿山地质环境保护工作，最大限度地保护矿山地质环境，以期实现经济效益和环境效益双赢。</w:t>
      </w:r>
    </w:p>
    <w:p w:rsidR="009C5C1F" w:rsidRDefault="004D2E0D">
      <w:pPr>
        <w:suppressAutoHyphens/>
        <w:wordWrap w:val="0"/>
        <w:topLinePunct/>
        <w:spacing w:line="480" w:lineRule="exact"/>
        <w:ind w:firstLineChars="200" w:firstLine="480"/>
        <w:rPr>
          <w:sz w:val="24"/>
        </w:rPr>
      </w:pPr>
      <w:r>
        <w:rPr>
          <w:rFonts w:hint="eastAsia"/>
          <w:sz w:val="24"/>
        </w:rPr>
        <w:t>5</w:t>
      </w:r>
      <w:r>
        <w:rPr>
          <w:rFonts w:hint="eastAsia"/>
          <w:sz w:val="24"/>
        </w:rPr>
        <w:t>、矿山建设和开采过程中，必须每半年向当地自然资源主管部门以文字和图件形式报告矿山建设情况、开采现状、地质环境的变化情况及已采取的整治和恢复措施。</w:t>
      </w:r>
    </w:p>
    <w:p w:rsidR="009C5C1F" w:rsidRDefault="004D2E0D">
      <w:pPr>
        <w:suppressAutoHyphens/>
        <w:wordWrap w:val="0"/>
        <w:topLinePunct/>
        <w:spacing w:line="480" w:lineRule="exact"/>
        <w:ind w:firstLineChars="200" w:firstLine="480"/>
        <w:rPr>
          <w:sz w:val="24"/>
        </w:rPr>
      </w:pPr>
      <w:r>
        <w:rPr>
          <w:rFonts w:hint="eastAsia"/>
          <w:sz w:val="24"/>
        </w:rPr>
        <w:t>6</w:t>
      </w:r>
      <w:r>
        <w:rPr>
          <w:rFonts w:hint="eastAsia"/>
          <w:sz w:val="24"/>
        </w:rPr>
        <w:t>、矿山应建立健全地质环境问题监测体系，在进行矿山环境问题保护与治</w:t>
      </w:r>
      <w:r>
        <w:rPr>
          <w:rFonts w:hint="eastAsia"/>
          <w:sz w:val="24"/>
        </w:rPr>
        <w:lastRenderedPageBreak/>
        <w:t>理过程中不断积累经验和相关资料，为后期编制方案提供依据。</w:t>
      </w:r>
    </w:p>
    <w:p w:rsidR="009C5C1F" w:rsidRDefault="004D2E0D">
      <w:pPr>
        <w:suppressAutoHyphens/>
        <w:wordWrap w:val="0"/>
        <w:topLinePunct/>
        <w:spacing w:line="480" w:lineRule="exact"/>
        <w:ind w:firstLineChars="200" w:firstLine="480"/>
        <w:rPr>
          <w:sz w:val="24"/>
        </w:rPr>
      </w:pPr>
      <w:r>
        <w:rPr>
          <w:rFonts w:hint="eastAsia"/>
          <w:sz w:val="24"/>
        </w:rPr>
        <w:t>7</w:t>
      </w:r>
      <w:r>
        <w:rPr>
          <w:rFonts w:hint="eastAsia"/>
          <w:sz w:val="24"/>
        </w:rPr>
        <w:t>、若矿山开采过程中开发利用方案发生变化、矿山开采规模发生变化、资源利用情况发生变化，均应重新编制《矿山地质环境保护与恢复治理方案》。</w:t>
      </w:r>
    </w:p>
    <w:p w:rsidR="009C5C1F" w:rsidRDefault="004D2E0D">
      <w:pPr>
        <w:suppressAutoHyphens/>
        <w:wordWrap w:val="0"/>
        <w:topLinePunct/>
        <w:spacing w:line="480" w:lineRule="exact"/>
        <w:ind w:firstLineChars="200" w:firstLine="480"/>
        <w:rPr>
          <w:sz w:val="24"/>
        </w:rPr>
      </w:pPr>
      <w:bookmarkStart w:id="1087" w:name="_Toc485832013"/>
      <w:r>
        <w:rPr>
          <w:rFonts w:hint="eastAsia"/>
          <w:sz w:val="24"/>
        </w:rPr>
        <w:t>8</w:t>
      </w:r>
      <w:r>
        <w:rPr>
          <w:rFonts w:hint="eastAsia"/>
          <w:sz w:val="24"/>
        </w:rPr>
        <w:t>、</w:t>
      </w:r>
      <w:proofErr w:type="gramStart"/>
      <w:r>
        <w:rPr>
          <w:rFonts w:hint="eastAsia"/>
          <w:sz w:val="24"/>
        </w:rPr>
        <w:t>本恢复</w:t>
      </w:r>
      <w:proofErr w:type="gramEnd"/>
      <w:r>
        <w:rPr>
          <w:rFonts w:hint="eastAsia"/>
          <w:sz w:val="24"/>
        </w:rPr>
        <w:t>治理方案不能代替该矿山今后的施工设计方案。</w:t>
      </w:r>
      <w:bookmarkEnd w:id="1087"/>
    </w:p>
    <w:p w:rsidR="009C5C1F" w:rsidRDefault="009C5C1F">
      <w:pPr>
        <w:suppressAutoHyphens/>
        <w:wordWrap w:val="0"/>
        <w:topLinePunct/>
        <w:spacing w:line="480" w:lineRule="exact"/>
        <w:ind w:firstLineChars="200" w:firstLine="480"/>
        <w:rPr>
          <w:sz w:val="24"/>
        </w:rPr>
      </w:pPr>
    </w:p>
    <w:p w:rsidR="009C5C1F" w:rsidRDefault="009C5C1F">
      <w:pPr>
        <w:rPr>
          <w:rFonts w:ascii="宋体" w:hAnsi="宋体"/>
          <w:sz w:val="24"/>
        </w:rPr>
      </w:pPr>
      <w:bookmarkStart w:id="1088" w:name="_GoBack"/>
      <w:bookmarkEnd w:id="1088"/>
    </w:p>
    <w:sectPr w:rsidR="009C5C1F">
      <w:pgSz w:w="11906" w:h="16838"/>
      <w:pgMar w:top="1440" w:right="1797" w:bottom="1440" w:left="1797" w:header="907" w:footer="548"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62B" w:rsidRDefault="00ED062B">
      <w:r>
        <w:separator/>
      </w:r>
    </w:p>
  </w:endnote>
  <w:endnote w:type="continuationSeparator" w:id="0">
    <w:p w:rsidR="00ED062B" w:rsidRDefault="00ED0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中宋">
    <w:altName w:val="宋体"/>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panose1 w:val="02010609030101010101"/>
    <w:charset w:val="86"/>
    <w:family w:val="modern"/>
    <w:pitch w:val="fixed"/>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BankGothic Lt BT">
    <w:altName w:val="Segoe Print"/>
    <w:charset w:val="00"/>
    <w:family w:val="swiss"/>
    <w:pitch w:val="default"/>
    <w:sig w:usb0="00000000"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___WRD_EMBED_SUB_38">
    <w:altName w:val="宋体"/>
    <w:charset w:val="86"/>
    <w:family w:val="auto"/>
    <w:pitch w:val="default"/>
  </w:font>
  <w:font w:name="TimesNewRomanPSMT">
    <w:altName w:val="微软雅黑"/>
    <w:charset w:val="86"/>
    <w:family w:val="auto"/>
    <w:pitch w:val="default"/>
    <w:sig w:usb0="00000000" w:usb1="0000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1F" w:rsidRDefault="004D2E0D">
    <w:pPr>
      <w:pStyle w:val="ad"/>
      <w:ind w:firstLine="482"/>
      <w:jc w:val="center"/>
    </w:pPr>
    <w:r>
      <w:rPr>
        <w:noProof/>
      </w:rPr>
      <mc:AlternateContent>
        <mc:Choice Requires="wps">
          <w:drawing>
            <wp:anchor distT="0" distB="0" distL="114300" distR="114300" simplePos="0" relativeHeight="251659264" behindDoc="0" locked="0" layoutInCell="1" allowOverlap="1" wp14:anchorId="378D8D01" wp14:editId="4C672B31">
              <wp:simplePos x="0" y="0"/>
              <wp:positionH relativeFrom="margin">
                <wp:align>center</wp:align>
              </wp:positionH>
              <wp:positionV relativeFrom="paragraph">
                <wp:posOffset>0</wp:posOffset>
              </wp:positionV>
              <wp:extent cx="421005" cy="131445"/>
              <wp:effectExtent l="0" t="1270" r="635" b="635"/>
              <wp:wrapNone/>
              <wp:docPr id="1933676469"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131445"/>
                      </a:xfrm>
                      <a:prstGeom prst="rect">
                        <a:avLst/>
                      </a:prstGeom>
                      <a:noFill/>
                      <a:ln>
                        <a:noFill/>
                      </a:ln>
                    </wps:spPr>
                    <wps:txbx>
                      <w:txbxContent>
                        <w:p w:rsidR="009C5C1F" w:rsidRDefault="009C5C1F">
                          <w:pPr>
                            <w:pStyle w:val="ad"/>
                            <w:ind w:firstLine="482"/>
                            <w:jc w:val="center"/>
                          </w:pPr>
                        </w:p>
                      </w:txbxContent>
                    </wps:txbx>
                    <wps:bodyPr rot="0" vert="horz" wrap="none" lIns="0" tIns="0" rIns="0" bIns="0" anchor="t" anchorCtr="0" upright="1">
                      <a:spAutoFit/>
                    </wps:bodyPr>
                  </wps:wsp>
                </a:graphicData>
              </a:graphic>
            </wp:anchor>
          </w:drawing>
        </mc:Choice>
        <mc:Fallback xmlns:wpsCustomData="http://www.wps.cn/officeDocument/2013/wpsCustomData" xmlns:w15="http://schemas.microsoft.com/office/word/2012/wordml">
          <w:pict>
            <v:shape id="文本框 1" o:spid="_x0000_s1026" o:spt="202" type="#_x0000_t202" style="position:absolute;left:0pt;margin-top:0pt;height:10.35pt;width:33.15pt;mso-position-horizontal:center;mso-position-horizontal-relative:margin;mso-wrap-style:none;z-index:251659264;mso-width-relative:page;mso-height-relative:page;" filled="f" stroked="f" coordsize="21600,21600" o:gfxdata="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jwTbtEAAAADAQAADwAAAAAAAAABACAAAAAi&#10;AAAAZHJzL2Rvd25yZXYueG1sUEsBAhQAFAAAAAgAh07iQO5lIM4RAgAACwQAAA4AAAAAAAAAAQAg&#10;AAAAIAEAAGRycy9lMm9Eb2MueG1sUEsFBgAAAAAGAAYAWQEAAKMFAAAAAA==&#10;">
              <v:fill on="f" focussize="0,0"/>
              <v:stroke on="f"/>
              <v:imagedata o:title=""/>
              <o:lock v:ext="edit" aspectratio="f"/>
              <v:textbox inset="0mm,0mm,0mm,0mm" style="mso-fit-shape-to-text:t;">
                <w:txbxContent>
                  <w:p>
                    <w:pPr>
                      <w:pStyle w:val="24"/>
                      <w:ind w:firstLine="482"/>
                      <w:jc w:val="center"/>
                    </w:pPr>
                  </w:p>
                </w:txbxContent>
              </v:textbox>
            </v:shape>
          </w:pict>
        </mc:Fallback>
      </mc:AlternateContent>
    </w:r>
  </w:p>
  <w:p w:rsidR="009C5C1F" w:rsidRDefault="009C5C1F">
    <w:pPr>
      <w:pStyle w:val="ad"/>
      <w:ind w:firstLine="482"/>
      <w:jc w:val="center"/>
    </w:pPr>
  </w:p>
  <w:p w:rsidR="009C5C1F" w:rsidRDefault="009C5C1F">
    <w:pPr>
      <w:pStyle w:val="ad"/>
      <w:ind w:firstLine="482"/>
      <w:jc w:val="center"/>
    </w:pPr>
  </w:p>
  <w:p w:rsidR="009C5C1F" w:rsidRDefault="009C5C1F">
    <w:pPr>
      <w:pStyle w:val="ad"/>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1F" w:rsidRDefault="004D2E0D">
    <w:pPr>
      <w:pStyle w:val="ad"/>
      <w:ind w:firstLine="482"/>
      <w:jc w:val="cen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53035"/>
              <wp:effectExtent l="0" t="1270" r="1270" b="0"/>
              <wp:wrapNone/>
              <wp:docPr id="6942401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wps:spPr>
                    <wps:txbx>
                      <w:txbxContent>
                        <w:p w:rsidR="009C5C1F" w:rsidRDefault="009C5C1F"/>
                      </w:txbxContent>
                    </wps:txbx>
                    <wps:bodyPr rot="0" vert="horz" wrap="none" lIns="0" tIns="0" rIns="0" bIns="0" anchor="t" anchorCtr="0" upright="1">
                      <a:spAutoFit/>
                    </wps:bodyPr>
                  </wps:wsp>
                </a:graphicData>
              </a:graphic>
            </wp:anchor>
          </w:drawing>
        </mc:Choice>
        <mc:Fallback xmlns:wpsCustomData="http://www.wps.cn/officeDocument/2013/wpsCustomData" xmlns:w15="http://schemas.microsoft.com/office/word/2012/wordml">
          <w:pict>
            <v:shape id="Text Box 3" o:spid="_x0000_s1026" o:spt="202" type="#_x0000_t202" style="position:absolute;left:0pt;margin-top:0pt;height:12.05pt;width:9.05pt;mso-position-horizontal:center;mso-position-horizontal-relative:margin;mso-wrap-style:none;z-index:25166028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QVPmtAAAAADAQAADwAAAAAAAAABACAAAAAiAAAAZHJzL2Rvd25yZXYueG1s&#10;UEsBAhQAFAAAAAgAh07iQO5rG/gAAgAACQQAAA4AAAAAAAAAAQAgAAAAHwEAAGRycy9lMm9Eb2Mu&#10;eG1sUEsFBgAAAAAGAAYAWQEAAJEFAAAAAA==&#10;">
              <v:fill on="f" focussize="0,0"/>
              <v:stroke on="f"/>
              <v:imagedata o:title=""/>
              <o:lock v:ext="edit" aspectratio="f"/>
              <v:textbox inset="0mm,0mm,0mm,0mm" style="mso-fit-shape-to-text:t;">
                <w:txbxContent>
                  <w:p/>
                </w:txbxContent>
              </v:textbox>
            </v:shape>
          </w:pict>
        </mc:Fallback>
      </mc:AlternateContent>
    </w:r>
  </w:p>
  <w:p w:rsidR="009C5C1F" w:rsidRDefault="009C5C1F">
    <w:pPr>
      <w:pStyle w:val="ad"/>
      <w:ind w:firstLine="482"/>
      <w:jc w:val="center"/>
    </w:pPr>
  </w:p>
  <w:p w:rsidR="009C5C1F" w:rsidRDefault="009C5C1F">
    <w:pPr>
      <w:pStyle w:val="ad"/>
      <w:ind w:firstLine="482"/>
      <w:jc w:val="center"/>
    </w:pPr>
  </w:p>
  <w:p w:rsidR="009C5C1F" w:rsidRDefault="009C5C1F">
    <w:pPr>
      <w:pStyle w:val="ad"/>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071622"/>
      <w:docPartObj>
        <w:docPartGallery w:val="AutoText"/>
      </w:docPartObj>
    </w:sdtPr>
    <w:sdtEndPr/>
    <w:sdtContent>
      <w:p w:rsidR="009C5C1F" w:rsidRDefault="004D2E0D">
        <w:pPr>
          <w:pStyle w:val="ad"/>
          <w:jc w:val="center"/>
        </w:pPr>
        <w:r>
          <w:fldChar w:fldCharType="begin"/>
        </w:r>
        <w:r>
          <w:instrText xml:space="preserve"> PAGE   \* MERGEFORMAT </w:instrText>
        </w:r>
        <w:r>
          <w:fldChar w:fldCharType="separate"/>
        </w:r>
        <w:r w:rsidR="00A702D7" w:rsidRPr="00A702D7">
          <w:rPr>
            <w:noProof/>
            <w:lang w:val="zh-CN"/>
          </w:rPr>
          <w:t>117</w:t>
        </w:r>
        <w:r>
          <w:rPr>
            <w:lang w:val="zh-CN"/>
          </w:rPr>
          <w:fldChar w:fldCharType="end"/>
        </w:r>
      </w:p>
    </w:sdtContent>
  </w:sdt>
  <w:p w:rsidR="009C5C1F" w:rsidRDefault="009C5C1F">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1F" w:rsidRDefault="004D2E0D">
    <w:pPr>
      <w:pStyle w:val="ad"/>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42</w:t>
    </w:r>
    <w:r>
      <w:rPr>
        <w:rStyle w:val="af4"/>
      </w:rPr>
      <w:fldChar w:fldCharType="end"/>
    </w:r>
  </w:p>
  <w:p w:rsidR="009C5C1F" w:rsidRDefault="009C5C1F">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62B" w:rsidRDefault="00ED062B">
      <w:r>
        <w:separator/>
      </w:r>
    </w:p>
  </w:footnote>
  <w:footnote w:type="continuationSeparator" w:id="0">
    <w:p w:rsidR="00ED062B" w:rsidRDefault="00ED06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1F" w:rsidRDefault="009C5C1F">
    <w:pPr>
      <w:pStyle w:val="ae"/>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1F" w:rsidRDefault="009C5C1F">
    <w:pPr>
      <w:pStyle w:val="ae"/>
      <w:pBdr>
        <w:bottom w:val="none" w:sz="0" w:space="0" w:color="auto"/>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1F" w:rsidRDefault="009C5C1F">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1F" w:rsidRDefault="009C5C1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1F" w:rsidRDefault="009C5C1F">
    <w:pPr>
      <w:ind w:right="420"/>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C1F" w:rsidRDefault="009C5C1F">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proofState w:grammar="clean"/>
  <w:doNotTrackFormatting/>
  <w:defaultTabStop w:val="72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0NWJhNThkYTE4MTIzNDlhMzY2YjBkYTc4NGU4ODUifQ=="/>
  </w:docVars>
  <w:rsids>
    <w:rsidRoot w:val="00AB03D4"/>
    <w:rsid w:val="00000060"/>
    <w:rsid w:val="00000610"/>
    <w:rsid w:val="00000613"/>
    <w:rsid w:val="00000719"/>
    <w:rsid w:val="00000B92"/>
    <w:rsid w:val="00000CF5"/>
    <w:rsid w:val="00000FC9"/>
    <w:rsid w:val="00001F0B"/>
    <w:rsid w:val="00002275"/>
    <w:rsid w:val="00002323"/>
    <w:rsid w:val="00002C36"/>
    <w:rsid w:val="00002C95"/>
    <w:rsid w:val="00002FC2"/>
    <w:rsid w:val="000038AB"/>
    <w:rsid w:val="000048A8"/>
    <w:rsid w:val="00004FEA"/>
    <w:rsid w:val="0000512D"/>
    <w:rsid w:val="00005146"/>
    <w:rsid w:val="0000514D"/>
    <w:rsid w:val="00005264"/>
    <w:rsid w:val="0000572E"/>
    <w:rsid w:val="00005B15"/>
    <w:rsid w:val="00005F96"/>
    <w:rsid w:val="00005FCF"/>
    <w:rsid w:val="000064B0"/>
    <w:rsid w:val="00006E6C"/>
    <w:rsid w:val="000077E9"/>
    <w:rsid w:val="000078C7"/>
    <w:rsid w:val="00007A35"/>
    <w:rsid w:val="00007BA3"/>
    <w:rsid w:val="00007C90"/>
    <w:rsid w:val="00007F9B"/>
    <w:rsid w:val="00007FAD"/>
    <w:rsid w:val="0001055E"/>
    <w:rsid w:val="00011127"/>
    <w:rsid w:val="0001185F"/>
    <w:rsid w:val="000119E4"/>
    <w:rsid w:val="00011BEF"/>
    <w:rsid w:val="00011D0F"/>
    <w:rsid w:val="00011F78"/>
    <w:rsid w:val="0001281B"/>
    <w:rsid w:val="000128C4"/>
    <w:rsid w:val="00012CD1"/>
    <w:rsid w:val="00013047"/>
    <w:rsid w:val="000131FA"/>
    <w:rsid w:val="00013AD5"/>
    <w:rsid w:val="00013CF2"/>
    <w:rsid w:val="00013EA0"/>
    <w:rsid w:val="00014121"/>
    <w:rsid w:val="0001427B"/>
    <w:rsid w:val="000150E5"/>
    <w:rsid w:val="0001590C"/>
    <w:rsid w:val="00016100"/>
    <w:rsid w:val="000163E6"/>
    <w:rsid w:val="00016426"/>
    <w:rsid w:val="00016A38"/>
    <w:rsid w:val="00016E20"/>
    <w:rsid w:val="000176F4"/>
    <w:rsid w:val="00017A01"/>
    <w:rsid w:val="00017F8C"/>
    <w:rsid w:val="000200AB"/>
    <w:rsid w:val="00020132"/>
    <w:rsid w:val="00021480"/>
    <w:rsid w:val="00021488"/>
    <w:rsid w:val="00021D95"/>
    <w:rsid w:val="0002219E"/>
    <w:rsid w:val="000222C7"/>
    <w:rsid w:val="0002250A"/>
    <w:rsid w:val="00023031"/>
    <w:rsid w:val="00023297"/>
    <w:rsid w:val="00023478"/>
    <w:rsid w:val="00023595"/>
    <w:rsid w:val="000237A9"/>
    <w:rsid w:val="00023A50"/>
    <w:rsid w:val="00023DB8"/>
    <w:rsid w:val="00023F8E"/>
    <w:rsid w:val="0002411B"/>
    <w:rsid w:val="000242FA"/>
    <w:rsid w:val="00024739"/>
    <w:rsid w:val="00024B00"/>
    <w:rsid w:val="00024B39"/>
    <w:rsid w:val="00024C29"/>
    <w:rsid w:val="00025186"/>
    <w:rsid w:val="00025831"/>
    <w:rsid w:val="000259AF"/>
    <w:rsid w:val="00025A0A"/>
    <w:rsid w:val="00025AB0"/>
    <w:rsid w:val="00025C27"/>
    <w:rsid w:val="00025DB3"/>
    <w:rsid w:val="00026015"/>
    <w:rsid w:val="000265E7"/>
    <w:rsid w:val="0002698C"/>
    <w:rsid w:val="000269CE"/>
    <w:rsid w:val="00026A99"/>
    <w:rsid w:val="00026D91"/>
    <w:rsid w:val="00026E1F"/>
    <w:rsid w:val="000273D2"/>
    <w:rsid w:val="000274B6"/>
    <w:rsid w:val="000279A3"/>
    <w:rsid w:val="00027B3E"/>
    <w:rsid w:val="00027C11"/>
    <w:rsid w:val="000302DB"/>
    <w:rsid w:val="00030790"/>
    <w:rsid w:val="0003099A"/>
    <w:rsid w:val="00030BC0"/>
    <w:rsid w:val="000311B1"/>
    <w:rsid w:val="000312A9"/>
    <w:rsid w:val="000312F5"/>
    <w:rsid w:val="00031843"/>
    <w:rsid w:val="00031A05"/>
    <w:rsid w:val="00031AE8"/>
    <w:rsid w:val="000325D9"/>
    <w:rsid w:val="00032617"/>
    <w:rsid w:val="00032BCF"/>
    <w:rsid w:val="00032C10"/>
    <w:rsid w:val="00032D3D"/>
    <w:rsid w:val="00032D64"/>
    <w:rsid w:val="0003345D"/>
    <w:rsid w:val="000334E6"/>
    <w:rsid w:val="00033715"/>
    <w:rsid w:val="0003382D"/>
    <w:rsid w:val="00033A53"/>
    <w:rsid w:val="000340CD"/>
    <w:rsid w:val="0003430E"/>
    <w:rsid w:val="000355C8"/>
    <w:rsid w:val="00035679"/>
    <w:rsid w:val="0003576F"/>
    <w:rsid w:val="000357D2"/>
    <w:rsid w:val="000359B5"/>
    <w:rsid w:val="00036539"/>
    <w:rsid w:val="0003676C"/>
    <w:rsid w:val="00036BD2"/>
    <w:rsid w:val="00036D4A"/>
    <w:rsid w:val="00037630"/>
    <w:rsid w:val="000377A6"/>
    <w:rsid w:val="00037819"/>
    <w:rsid w:val="000400AB"/>
    <w:rsid w:val="000400CA"/>
    <w:rsid w:val="0004018C"/>
    <w:rsid w:val="00040512"/>
    <w:rsid w:val="0004062A"/>
    <w:rsid w:val="0004063A"/>
    <w:rsid w:val="0004073A"/>
    <w:rsid w:val="000407EF"/>
    <w:rsid w:val="00040CB8"/>
    <w:rsid w:val="00040CF8"/>
    <w:rsid w:val="0004153B"/>
    <w:rsid w:val="00041825"/>
    <w:rsid w:val="00041B5E"/>
    <w:rsid w:val="00041BAC"/>
    <w:rsid w:val="000420B6"/>
    <w:rsid w:val="000427DA"/>
    <w:rsid w:val="00042F7C"/>
    <w:rsid w:val="00043182"/>
    <w:rsid w:val="000435B1"/>
    <w:rsid w:val="00043A89"/>
    <w:rsid w:val="00043D28"/>
    <w:rsid w:val="00044065"/>
    <w:rsid w:val="0004497A"/>
    <w:rsid w:val="00044BB7"/>
    <w:rsid w:val="00044C77"/>
    <w:rsid w:val="000455D4"/>
    <w:rsid w:val="000457B0"/>
    <w:rsid w:val="00046354"/>
    <w:rsid w:val="000463E4"/>
    <w:rsid w:val="0004693C"/>
    <w:rsid w:val="00046D53"/>
    <w:rsid w:val="00046F3E"/>
    <w:rsid w:val="00047171"/>
    <w:rsid w:val="0004719F"/>
    <w:rsid w:val="00047709"/>
    <w:rsid w:val="0004775D"/>
    <w:rsid w:val="000477AA"/>
    <w:rsid w:val="00047AD4"/>
    <w:rsid w:val="00050270"/>
    <w:rsid w:val="000504F7"/>
    <w:rsid w:val="000505E7"/>
    <w:rsid w:val="000509A2"/>
    <w:rsid w:val="00050A80"/>
    <w:rsid w:val="00050B05"/>
    <w:rsid w:val="00050D29"/>
    <w:rsid w:val="00050D76"/>
    <w:rsid w:val="00050EC5"/>
    <w:rsid w:val="00051010"/>
    <w:rsid w:val="00051321"/>
    <w:rsid w:val="000516DD"/>
    <w:rsid w:val="000517F6"/>
    <w:rsid w:val="000518F0"/>
    <w:rsid w:val="0005196C"/>
    <w:rsid w:val="00051B77"/>
    <w:rsid w:val="00051BE4"/>
    <w:rsid w:val="00051D4C"/>
    <w:rsid w:val="000526A7"/>
    <w:rsid w:val="00052823"/>
    <w:rsid w:val="00052B15"/>
    <w:rsid w:val="000536AF"/>
    <w:rsid w:val="000538D3"/>
    <w:rsid w:val="000538E3"/>
    <w:rsid w:val="00053C64"/>
    <w:rsid w:val="00053CD7"/>
    <w:rsid w:val="0005404A"/>
    <w:rsid w:val="0005419C"/>
    <w:rsid w:val="00054B1A"/>
    <w:rsid w:val="00054C07"/>
    <w:rsid w:val="00054F67"/>
    <w:rsid w:val="0005547E"/>
    <w:rsid w:val="00055593"/>
    <w:rsid w:val="0005570C"/>
    <w:rsid w:val="000563A3"/>
    <w:rsid w:val="000565ED"/>
    <w:rsid w:val="00056621"/>
    <w:rsid w:val="000569AF"/>
    <w:rsid w:val="00056A35"/>
    <w:rsid w:val="000579D8"/>
    <w:rsid w:val="00057C6B"/>
    <w:rsid w:val="00057FF5"/>
    <w:rsid w:val="000605ED"/>
    <w:rsid w:val="00060A76"/>
    <w:rsid w:val="00060C8F"/>
    <w:rsid w:val="00060CB2"/>
    <w:rsid w:val="00060E91"/>
    <w:rsid w:val="00061100"/>
    <w:rsid w:val="000613FA"/>
    <w:rsid w:val="000622FD"/>
    <w:rsid w:val="000624D0"/>
    <w:rsid w:val="000628FB"/>
    <w:rsid w:val="00062E02"/>
    <w:rsid w:val="00063060"/>
    <w:rsid w:val="00063345"/>
    <w:rsid w:val="00064198"/>
    <w:rsid w:val="000642F4"/>
    <w:rsid w:val="0006485F"/>
    <w:rsid w:val="00064C6A"/>
    <w:rsid w:val="00064E54"/>
    <w:rsid w:val="000651C3"/>
    <w:rsid w:val="0006527E"/>
    <w:rsid w:val="000655FA"/>
    <w:rsid w:val="00065A24"/>
    <w:rsid w:val="00065EE1"/>
    <w:rsid w:val="0006628F"/>
    <w:rsid w:val="000664FD"/>
    <w:rsid w:val="00066A63"/>
    <w:rsid w:val="000675A8"/>
    <w:rsid w:val="000676B7"/>
    <w:rsid w:val="0006783B"/>
    <w:rsid w:val="00067A85"/>
    <w:rsid w:val="00067B24"/>
    <w:rsid w:val="00070607"/>
    <w:rsid w:val="00070EDA"/>
    <w:rsid w:val="00071342"/>
    <w:rsid w:val="00071987"/>
    <w:rsid w:val="00071A1A"/>
    <w:rsid w:val="000720E6"/>
    <w:rsid w:val="00072CBF"/>
    <w:rsid w:val="00073827"/>
    <w:rsid w:val="00073861"/>
    <w:rsid w:val="0007432B"/>
    <w:rsid w:val="000745CD"/>
    <w:rsid w:val="0007466F"/>
    <w:rsid w:val="00074DA0"/>
    <w:rsid w:val="00074EA6"/>
    <w:rsid w:val="00075037"/>
    <w:rsid w:val="0007528B"/>
    <w:rsid w:val="00075385"/>
    <w:rsid w:val="000756ED"/>
    <w:rsid w:val="000757C2"/>
    <w:rsid w:val="00075C64"/>
    <w:rsid w:val="0007643A"/>
    <w:rsid w:val="0007684E"/>
    <w:rsid w:val="00076D23"/>
    <w:rsid w:val="00076D81"/>
    <w:rsid w:val="00077A6E"/>
    <w:rsid w:val="00077DC3"/>
    <w:rsid w:val="00080DCC"/>
    <w:rsid w:val="00081DD2"/>
    <w:rsid w:val="000820A3"/>
    <w:rsid w:val="000820FD"/>
    <w:rsid w:val="000822E5"/>
    <w:rsid w:val="0008274A"/>
    <w:rsid w:val="00082FE5"/>
    <w:rsid w:val="0008354C"/>
    <w:rsid w:val="000836EC"/>
    <w:rsid w:val="00083984"/>
    <w:rsid w:val="0008400E"/>
    <w:rsid w:val="0008457A"/>
    <w:rsid w:val="00084862"/>
    <w:rsid w:val="00084BEA"/>
    <w:rsid w:val="00085196"/>
    <w:rsid w:val="000853E5"/>
    <w:rsid w:val="00085621"/>
    <w:rsid w:val="00085DB2"/>
    <w:rsid w:val="00085EC2"/>
    <w:rsid w:val="00085EC5"/>
    <w:rsid w:val="00086155"/>
    <w:rsid w:val="000862AD"/>
    <w:rsid w:val="000863A1"/>
    <w:rsid w:val="0008661B"/>
    <w:rsid w:val="0008667A"/>
    <w:rsid w:val="00086C35"/>
    <w:rsid w:val="0008724D"/>
    <w:rsid w:val="000872FD"/>
    <w:rsid w:val="000877C7"/>
    <w:rsid w:val="00087942"/>
    <w:rsid w:val="000879A6"/>
    <w:rsid w:val="00087F34"/>
    <w:rsid w:val="00087FC3"/>
    <w:rsid w:val="00090436"/>
    <w:rsid w:val="00090E17"/>
    <w:rsid w:val="00091037"/>
    <w:rsid w:val="0009133C"/>
    <w:rsid w:val="000916E8"/>
    <w:rsid w:val="00091D92"/>
    <w:rsid w:val="00091F31"/>
    <w:rsid w:val="0009217C"/>
    <w:rsid w:val="00092B9C"/>
    <w:rsid w:val="00092C41"/>
    <w:rsid w:val="0009301C"/>
    <w:rsid w:val="000931E8"/>
    <w:rsid w:val="00093B58"/>
    <w:rsid w:val="000940E9"/>
    <w:rsid w:val="00094142"/>
    <w:rsid w:val="000941B5"/>
    <w:rsid w:val="00094439"/>
    <w:rsid w:val="00095177"/>
    <w:rsid w:val="00095CB1"/>
    <w:rsid w:val="00095FD7"/>
    <w:rsid w:val="000962B5"/>
    <w:rsid w:val="00096EC6"/>
    <w:rsid w:val="000973B1"/>
    <w:rsid w:val="000974E1"/>
    <w:rsid w:val="0009770E"/>
    <w:rsid w:val="00097746"/>
    <w:rsid w:val="0009792A"/>
    <w:rsid w:val="00097972"/>
    <w:rsid w:val="00097C12"/>
    <w:rsid w:val="00097C94"/>
    <w:rsid w:val="00097FB2"/>
    <w:rsid w:val="000A06BF"/>
    <w:rsid w:val="000A0888"/>
    <w:rsid w:val="000A0958"/>
    <w:rsid w:val="000A0BC5"/>
    <w:rsid w:val="000A14F8"/>
    <w:rsid w:val="000A1BE8"/>
    <w:rsid w:val="000A1EFF"/>
    <w:rsid w:val="000A1F70"/>
    <w:rsid w:val="000A205D"/>
    <w:rsid w:val="000A2566"/>
    <w:rsid w:val="000A2A6B"/>
    <w:rsid w:val="000A2C29"/>
    <w:rsid w:val="000A2DCD"/>
    <w:rsid w:val="000A32A9"/>
    <w:rsid w:val="000A3651"/>
    <w:rsid w:val="000A376A"/>
    <w:rsid w:val="000A3910"/>
    <w:rsid w:val="000A4360"/>
    <w:rsid w:val="000A4531"/>
    <w:rsid w:val="000A49A7"/>
    <w:rsid w:val="000A4D1F"/>
    <w:rsid w:val="000A5041"/>
    <w:rsid w:val="000A53A2"/>
    <w:rsid w:val="000A5950"/>
    <w:rsid w:val="000A5F76"/>
    <w:rsid w:val="000A618E"/>
    <w:rsid w:val="000A64A2"/>
    <w:rsid w:val="000A6D71"/>
    <w:rsid w:val="000A6F13"/>
    <w:rsid w:val="000A711D"/>
    <w:rsid w:val="000A7140"/>
    <w:rsid w:val="000A72A0"/>
    <w:rsid w:val="000A73C2"/>
    <w:rsid w:val="000A7463"/>
    <w:rsid w:val="000A762A"/>
    <w:rsid w:val="000A7641"/>
    <w:rsid w:val="000A78CC"/>
    <w:rsid w:val="000A798A"/>
    <w:rsid w:val="000A7B2E"/>
    <w:rsid w:val="000A7B60"/>
    <w:rsid w:val="000A7E69"/>
    <w:rsid w:val="000B027D"/>
    <w:rsid w:val="000B11F9"/>
    <w:rsid w:val="000B1F16"/>
    <w:rsid w:val="000B208E"/>
    <w:rsid w:val="000B20F4"/>
    <w:rsid w:val="000B25D1"/>
    <w:rsid w:val="000B277F"/>
    <w:rsid w:val="000B27F7"/>
    <w:rsid w:val="000B3A21"/>
    <w:rsid w:val="000B3AFA"/>
    <w:rsid w:val="000B3B16"/>
    <w:rsid w:val="000B3B78"/>
    <w:rsid w:val="000B3BD2"/>
    <w:rsid w:val="000B3D79"/>
    <w:rsid w:val="000B3F64"/>
    <w:rsid w:val="000B4341"/>
    <w:rsid w:val="000B46B2"/>
    <w:rsid w:val="000B4A9B"/>
    <w:rsid w:val="000B4EEB"/>
    <w:rsid w:val="000B4F39"/>
    <w:rsid w:val="000B5616"/>
    <w:rsid w:val="000B5772"/>
    <w:rsid w:val="000B5831"/>
    <w:rsid w:val="000B59B4"/>
    <w:rsid w:val="000B59E5"/>
    <w:rsid w:val="000B5B78"/>
    <w:rsid w:val="000B61D5"/>
    <w:rsid w:val="000B68F1"/>
    <w:rsid w:val="000B7575"/>
    <w:rsid w:val="000B7679"/>
    <w:rsid w:val="000C023F"/>
    <w:rsid w:val="000C03AD"/>
    <w:rsid w:val="000C0C6D"/>
    <w:rsid w:val="000C1689"/>
    <w:rsid w:val="000C174F"/>
    <w:rsid w:val="000C1A6D"/>
    <w:rsid w:val="000C2101"/>
    <w:rsid w:val="000C220E"/>
    <w:rsid w:val="000C2545"/>
    <w:rsid w:val="000C2716"/>
    <w:rsid w:val="000C289B"/>
    <w:rsid w:val="000C2939"/>
    <w:rsid w:val="000C2D51"/>
    <w:rsid w:val="000C301C"/>
    <w:rsid w:val="000C3460"/>
    <w:rsid w:val="000C3672"/>
    <w:rsid w:val="000C3835"/>
    <w:rsid w:val="000C385A"/>
    <w:rsid w:val="000C38D5"/>
    <w:rsid w:val="000C3C39"/>
    <w:rsid w:val="000C4177"/>
    <w:rsid w:val="000C4917"/>
    <w:rsid w:val="000C4D16"/>
    <w:rsid w:val="000C4E0D"/>
    <w:rsid w:val="000C4F75"/>
    <w:rsid w:val="000C5ABC"/>
    <w:rsid w:val="000C5D34"/>
    <w:rsid w:val="000C5DCB"/>
    <w:rsid w:val="000C60CA"/>
    <w:rsid w:val="000C6960"/>
    <w:rsid w:val="000C6BD7"/>
    <w:rsid w:val="000C6D63"/>
    <w:rsid w:val="000C6EE2"/>
    <w:rsid w:val="000C7274"/>
    <w:rsid w:val="000C7793"/>
    <w:rsid w:val="000C7DD3"/>
    <w:rsid w:val="000C7EE0"/>
    <w:rsid w:val="000D02B1"/>
    <w:rsid w:val="000D077B"/>
    <w:rsid w:val="000D0C12"/>
    <w:rsid w:val="000D1381"/>
    <w:rsid w:val="000D13D6"/>
    <w:rsid w:val="000D2850"/>
    <w:rsid w:val="000D2A90"/>
    <w:rsid w:val="000D2F84"/>
    <w:rsid w:val="000D3428"/>
    <w:rsid w:val="000D3550"/>
    <w:rsid w:val="000D3631"/>
    <w:rsid w:val="000D3E9D"/>
    <w:rsid w:val="000D3EDA"/>
    <w:rsid w:val="000D45A9"/>
    <w:rsid w:val="000D4726"/>
    <w:rsid w:val="000D4826"/>
    <w:rsid w:val="000D4CC1"/>
    <w:rsid w:val="000D53C8"/>
    <w:rsid w:val="000D56A6"/>
    <w:rsid w:val="000D56AB"/>
    <w:rsid w:val="000D5A21"/>
    <w:rsid w:val="000D5AA4"/>
    <w:rsid w:val="000D5AD2"/>
    <w:rsid w:val="000D630F"/>
    <w:rsid w:val="000D6541"/>
    <w:rsid w:val="000D65CD"/>
    <w:rsid w:val="000D6753"/>
    <w:rsid w:val="000D6B5C"/>
    <w:rsid w:val="000D7126"/>
    <w:rsid w:val="000D71BD"/>
    <w:rsid w:val="000D7384"/>
    <w:rsid w:val="000D7721"/>
    <w:rsid w:val="000D7C08"/>
    <w:rsid w:val="000D7FB9"/>
    <w:rsid w:val="000E0466"/>
    <w:rsid w:val="000E0ACC"/>
    <w:rsid w:val="000E0EE5"/>
    <w:rsid w:val="000E1344"/>
    <w:rsid w:val="000E19D4"/>
    <w:rsid w:val="000E1F03"/>
    <w:rsid w:val="000E21B2"/>
    <w:rsid w:val="000E25C8"/>
    <w:rsid w:val="000E28E1"/>
    <w:rsid w:val="000E2B04"/>
    <w:rsid w:val="000E2CC3"/>
    <w:rsid w:val="000E34EA"/>
    <w:rsid w:val="000E3868"/>
    <w:rsid w:val="000E38D4"/>
    <w:rsid w:val="000E3984"/>
    <w:rsid w:val="000E3E46"/>
    <w:rsid w:val="000E3ECF"/>
    <w:rsid w:val="000E4036"/>
    <w:rsid w:val="000E41B3"/>
    <w:rsid w:val="000E4889"/>
    <w:rsid w:val="000E4F7F"/>
    <w:rsid w:val="000E52D1"/>
    <w:rsid w:val="000E5DB1"/>
    <w:rsid w:val="000E5E9B"/>
    <w:rsid w:val="000E5FD4"/>
    <w:rsid w:val="000E601B"/>
    <w:rsid w:val="000E6439"/>
    <w:rsid w:val="000E6724"/>
    <w:rsid w:val="000E6938"/>
    <w:rsid w:val="000E743F"/>
    <w:rsid w:val="000E7E4A"/>
    <w:rsid w:val="000E7E6B"/>
    <w:rsid w:val="000F03F6"/>
    <w:rsid w:val="000F10CF"/>
    <w:rsid w:val="000F162B"/>
    <w:rsid w:val="000F16C5"/>
    <w:rsid w:val="000F174F"/>
    <w:rsid w:val="000F1BB2"/>
    <w:rsid w:val="000F21FD"/>
    <w:rsid w:val="000F2363"/>
    <w:rsid w:val="000F2369"/>
    <w:rsid w:val="000F2F6A"/>
    <w:rsid w:val="000F32AB"/>
    <w:rsid w:val="000F3B82"/>
    <w:rsid w:val="000F447B"/>
    <w:rsid w:val="000F4BE4"/>
    <w:rsid w:val="000F4EC3"/>
    <w:rsid w:val="000F5087"/>
    <w:rsid w:val="000F563C"/>
    <w:rsid w:val="000F5DBD"/>
    <w:rsid w:val="000F6109"/>
    <w:rsid w:val="000F617B"/>
    <w:rsid w:val="000F63DF"/>
    <w:rsid w:val="000F64BF"/>
    <w:rsid w:val="000F6560"/>
    <w:rsid w:val="000F66DF"/>
    <w:rsid w:val="000F6744"/>
    <w:rsid w:val="000F678C"/>
    <w:rsid w:val="000F69CC"/>
    <w:rsid w:val="000F6D06"/>
    <w:rsid w:val="000F6E67"/>
    <w:rsid w:val="000F7696"/>
    <w:rsid w:val="000F774E"/>
    <w:rsid w:val="000F7892"/>
    <w:rsid w:val="000F7BE0"/>
    <w:rsid w:val="001002FF"/>
    <w:rsid w:val="001006F7"/>
    <w:rsid w:val="00100762"/>
    <w:rsid w:val="00100861"/>
    <w:rsid w:val="00100880"/>
    <w:rsid w:val="00100BC7"/>
    <w:rsid w:val="00100C5B"/>
    <w:rsid w:val="00100D5D"/>
    <w:rsid w:val="00100F8F"/>
    <w:rsid w:val="00100FD6"/>
    <w:rsid w:val="001014C9"/>
    <w:rsid w:val="00101AE3"/>
    <w:rsid w:val="00102649"/>
    <w:rsid w:val="001034F4"/>
    <w:rsid w:val="001035CB"/>
    <w:rsid w:val="00103620"/>
    <w:rsid w:val="00103C43"/>
    <w:rsid w:val="00103D02"/>
    <w:rsid w:val="00103F6F"/>
    <w:rsid w:val="00104102"/>
    <w:rsid w:val="00104751"/>
    <w:rsid w:val="00104BC1"/>
    <w:rsid w:val="00105BAE"/>
    <w:rsid w:val="00105BBD"/>
    <w:rsid w:val="00105CB8"/>
    <w:rsid w:val="00105F7E"/>
    <w:rsid w:val="001062DF"/>
    <w:rsid w:val="001063B6"/>
    <w:rsid w:val="0010686E"/>
    <w:rsid w:val="00106B06"/>
    <w:rsid w:val="00106E74"/>
    <w:rsid w:val="00106F18"/>
    <w:rsid w:val="00106F9F"/>
    <w:rsid w:val="00107616"/>
    <w:rsid w:val="00107DE2"/>
    <w:rsid w:val="00110163"/>
    <w:rsid w:val="00110546"/>
    <w:rsid w:val="00110750"/>
    <w:rsid w:val="00110781"/>
    <w:rsid w:val="0011099E"/>
    <w:rsid w:val="00110D8E"/>
    <w:rsid w:val="00110F5E"/>
    <w:rsid w:val="001110A2"/>
    <w:rsid w:val="001115E3"/>
    <w:rsid w:val="00111928"/>
    <w:rsid w:val="00111C2E"/>
    <w:rsid w:val="00111CE2"/>
    <w:rsid w:val="00111D15"/>
    <w:rsid w:val="00112264"/>
    <w:rsid w:val="00112330"/>
    <w:rsid w:val="00112794"/>
    <w:rsid w:val="0011292E"/>
    <w:rsid w:val="00112B54"/>
    <w:rsid w:val="00112BCE"/>
    <w:rsid w:val="00112C5F"/>
    <w:rsid w:val="00112DC4"/>
    <w:rsid w:val="00112EA8"/>
    <w:rsid w:val="00112F93"/>
    <w:rsid w:val="001131AD"/>
    <w:rsid w:val="00113901"/>
    <w:rsid w:val="00113C76"/>
    <w:rsid w:val="00113DBD"/>
    <w:rsid w:val="00113F0C"/>
    <w:rsid w:val="001144DA"/>
    <w:rsid w:val="001145E5"/>
    <w:rsid w:val="0011476E"/>
    <w:rsid w:val="00114E8E"/>
    <w:rsid w:val="0011546B"/>
    <w:rsid w:val="00115573"/>
    <w:rsid w:val="001155E1"/>
    <w:rsid w:val="00115673"/>
    <w:rsid w:val="00115AD8"/>
    <w:rsid w:val="00116161"/>
    <w:rsid w:val="0011627B"/>
    <w:rsid w:val="00116B15"/>
    <w:rsid w:val="0011710C"/>
    <w:rsid w:val="00117B61"/>
    <w:rsid w:val="00117C11"/>
    <w:rsid w:val="00117CF8"/>
    <w:rsid w:val="00117DF2"/>
    <w:rsid w:val="00120376"/>
    <w:rsid w:val="00120BCC"/>
    <w:rsid w:val="00120ECC"/>
    <w:rsid w:val="00121049"/>
    <w:rsid w:val="001212DB"/>
    <w:rsid w:val="00121825"/>
    <w:rsid w:val="00121AE0"/>
    <w:rsid w:val="00121BB3"/>
    <w:rsid w:val="00122057"/>
    <w:rsid w:val="0012254B"/>
    <w:rsid w:val="00122592"/>
    <w:rsid w:val="00122605"/>
    <w:rsid w:val="0012271C"/>
    <w:rsid w:val="00122AD6"/>
    <w:rsid w:val="00122CDA"/>
    <w:rsid w:val="00122F0A"/>
    <w:rsid w:val="00122F1B"/>
    <w:rsid w:val="00123394"/>
    <w:rsid w:val="001234DA"/>
    <w:rsid w:val="00123663"/>
    <w:rsid w:val="001238FC"/>
    <w:rsid w:val="00123A1E"/>
    <w:rsid w:val="00123B7C"/>
    <w:rsid w:val="00123F3E"/>
    <w:rsid w:val="0012494F"/>
    <w:rsid w:val="00124B68"/>
    <w:rsid w:val="00124DCE"/>
    <w:rsid w:val="00125AB6"/>
    <w:rsid w:val="00125B0C"/>
    <w:rsid w:val="00125EAE"/>
    <w:rsid w:val="001260CD"/>
    <w:rsid w:val="00126349"/>
    <w:rsid w:val="001265DE"/>
    <w:rsid w:val="001267A3"/>
    <w:rsid w:val="00126806"/>
    <w:rsid w:val="00126E2B"/>
    <w:rsid w:val="00126F57"/>
    <w:rsid w:val="00126F81"/>
    <w:rsid w:val="001270DB"/>
    <w:rsid w:val="001272E5"/>
    <w:rsid w:val="001276FF"/>
    <w:rsid w:val="00127E26"/>
    <w:rsid w:val="001302DB"/>
    <w:rsid w:val="0013034A"/>
    <w:rsid w:val="001308D1"/>
    <w:rsid w:val="00130940"/>
    <w:rsid w:val="00131317"/>
    <w:rsid w:val="00131A13"/>
    <w:rsid w:val="00131B5D"/>
    <w:rsid w:val="0013216E"/>
    <w:rsid w:val="001321AC"/>
    <w:rsid w:val="00132588"/>
    <w:rsid w:val="00132675"/>
    <w:rsid w:val="00132779"/>
    <w:rsid w:val="00132D70"/>
    <w:rsid w:val="00132D98"/>
    <w:rsid w:val="00133206"/>
    <w:rsid w:val="0013399A"/>
    <w:rsid w:val="00133CB5"/>
    <w:rsid w:val="00133CC0"/>
    <w:rsid w:val="00133D01"/>
    <w:rsid w:val="00133FDB"/>
    <w:rsid w:val="001340D7"/>
    <w:rsid w:val="001344D8"/>
    <w:rsid w:val="0013491A"/>
    <w:rsid w:val="00134DE0"/>
    <w:rsid w:val="001351E4"/>
    <w:rsid w:val="00135872"/>
    <w:rsid w:val="001358A4"/>
    <w:rsid w:val="00135DE4"/>
    <w:rsid w:val="001364F5"/>
    <w:rsid w:val="00136FFF"/>
    <w:rsid w:val="0013735A"/>
    <w:rsid w:val="00137901"/>
    <w:rsid w:val="00137A4B"/>
    <w:rsid w:val="00140AC1"/>
    <w:rsid w:val="001412FB"/>
    <w:rsid w:val="0014180E"/>
    <w:rsid w:val="001420D7"/>
    <w:rsid w:val="0014217C"/>
    <w:rsid w:val="00142413"/>
    <w:rsid w:val="00142AFC"/>
    <w:rsid w:val="00142F3A"/>
    <w:rsid w:val="00143795"/>
    <w:rsid w:val="00143A2B"/>
    <w:rsid w:val="00143C73"/>
    <w:rsid w:val="0014413B"/>
    <w:rsid w:val="00146419"/>
    <w:rsid w:val="00146B95"/>
    <w:rsid w:val="0014716B"/>
    <w:rsid w:val="0014723D"/>
    <w:rsid w:val="00147263"/>
    <w:rsid w:val="0015005E"/>
    <w:rsid w:val="00150137"/>
    <w:rsid w:val="001503A3"/>
    <w:rsid w:val="00150408"/>
    <w:rsid w:val="001506AC"/>
    <w:rsid w:val="001507A7"/>
    <w:rsid w:val="00150CC0"/>
    <w:rsid w:val="00151270"/>
    <w:rsid w:val="0015156A"/>
    <w:rsid w:val="00151629"/>
    <w:rsid w:val="00151716"/>
    <w:rsid w:val="00151A24"/>
    <w:rsid w:val="001520BB"/>
    <w:rsid w:val="00152350"/>
    <w:rsid w:val="001529F1"/>
    <w:rsid w:val="00152DD9"/>
    <w:rsid w:val="00153257"/>
    <w:rsid w:val="0015355D"/>
    <w:rsid w:val="0015394E"/>
    <w:rsid w:val="0015396A"/>
    <w:rsid w:val="00153DFE"/>
    <w:rsid w:val="00154426"/>
    <w:rsid w:val="0015456B"/>
    <w:rsid w:val="001545FE"/>
    <w:rsid w:val="001547E9"/>
    <w:rsid w:val="0015521E"/>
    <w:rsid w:val="001554DD"/>
    <w:rsid w:val="00155A88"/>
    <w:rsid w:val="00155C84"/>
    <w:rsid w:val="00155D51"/>
    <w:rsid w:val="00156331"/>
    <w:rsid w:val="0015649A"/>
    <w:rsid w:val="00156C77"/>
    <w:rsid w:val="00157304"/>
    <w:rsid w:val="001578BF"/>
    <w:rsid w:val="001579F4"/>
    <w:rsid w:val="00160343"/>
    <w:rsid w:val="00160C48"/>
    <w:rsid w:val="00160D43"/>
    <w:rsid w:val="00160EBA"/>
    <w:rsid w:val="00160EEC"/>
    <w:rsid w:val="0016105C"/>
    <w:rsid w:val="001613ED"/>
    <w:rsid w:val="001614DD"/>
    <w:rsid w:val="00161CB2"/>
    <w:rsid w:val="00162100"/>
    <w:rsid w:val="00162686"/>
    <w:rsid w:val="00163431"/>
    <w:rsid w:val="00163875"/>
    <w:rsid w:val="00163882"/>
    <w:rsid w:val="00164075"/>
    <w:rsid w:val="0016462F"/>
    <w:rsid w:val="0016468B"/>
    <w:rsid w:val="00164A14"/>
    <w:rsid w:val="00164B71"/>
    <w:rsid w:val="00164EC7"/>
    <w:rsid w:val="001651BA"/>
    <w:rsid w:val="001657B8"/>
    <w:rsid w:val="0016590D"/>
    <w:rsid w:val="00165933"/>
    <w:rsid w:val="001667FB"/>
    <w:rsid w:val="00166846"/>
    <w:rsid w:val="0016699C"/>
    <w:rsid w:val="00166D9F"/>
    <w:rsid w:val="001670A9"/>
    <w:rsid w:val="00167C13"/>
    <w:rsid w:val="00167D4F"/>
    <w:rsid w:val="001703B6"/>
    <w:rsid w:val="00170AE2"/>
    <w:rsid w:val="00170C83"/>
    <w:rsid w:val="00171080"/>
    <w:rsid w:val="001713D9"/>
    <w:rsid w:val="001719F0"/>
    <w:rsid w:val="00171A9C"/>
    <w:rsid w:val="00171AB4"/>
    <w:rsid w:val="00171B1F"/>
    <w:rsid w:val="00171C9C"/>
    <w:rsid w:val="00172343"/>
    <w:rsid w:val="001724EC"/>
    <w:rsid w:val="0017286F"/>
    <w:rsid w:val="00172984"/>
    <w:rsid w:val="00172AF5"/>
    <w:rsid w:val="00172D5E"/>
    <w:rsid w:val="00172EF6"/>
    <w:rsid w:val="0017365D"/>
    <w:rsid w:val="00173730"/>
    <w:rsid w:val="00173A2A"/>
    <w:rsid w:val="0017450C"/>
    <w:rsid w:val="00174ACF"/>
    <w:rsid w:val="00174EFD"/>
    <w:rsid w:val="0017599F"/>
    <w:rsid w:val="00175D16"/>
    <w:rsid w:val="00175EE9"/>
    <w:rsid w:val="0017621F"/>
    <w:rsid w:val="00176406"/>
    <w:rsid w:val="001767DB"/>
    <w:rsid w:val="001772F7"/>
    <w:rsid w:val="00177630"/>
    <w:rsid w:val="0017767A"/>
    <w:rsid w:val="00177BF4"/>
    <w:rsid w:val="00177BFF"/>
    <w:rsid w:val="00177C24"/>
    <w:rsid w:val="00181397"/>
    <w:rsid w:val="00181A1E"/>
    <w:rsid w:val="00181E93"/>
    <w:rsid w:val="001821D3"/>
    <w:rsid w:val="001825B3"/>
    <w:rsid w:val="00182A1D"/>
    <w:rsid w:val="00182D7D"/>
    <w:rsid w:val="00182E9B"/>
    <w:rsid w:val="001836C7"/>
    <w:rsid w:val="001836CA"/>
    <w:rsid w:val="00183739"/>
    <w:rsid w:val="00183C36"/>
    <w:rsid w:val="001841A3"/>
    <w:rsid w:val="001843C4"/>
    <w:rsid w:val="001847D3"/>
    <w:rsid w:val="00184D33"/>
    <w:rsid w:val="00184DB7"/>
    <w:rsid w:val="001854D6"/>
    <w:rsid w:val="0018578F"/>
    <w:rsid w:val="00185D8C"/>
    <w:rsid w:val="00186377"/>
    <w:rsid w:val="0018678D"/>
    <w:rsid w:val="00186B70"/>
    <w:rsid w:val="00186BD8"/>
    <w:rsid w:val="00186D0E"/>
    <w:rsid w:val="00186EF5"/>
    <w:rsid w:val="001876E0"/>
    <w:rsid w:val="0018794E"/>
    <w:rsid w:val="001879D5"/>
    <w:rsid w:val="00187CD8"/>
    <w:rsid w:val="00187F3B"/>
    <w:rsid w:val="0019072F"/>
    <w:rsid w:val="00190A56"/>
    <w:rsid w:val="00190BE3"/>
    <w:rsid w:val="00190E3A"/>
    <w:rsid w:val="00191363"/>
    <w:rsid w:val="00191404"/>
    <w:rsid w:val="001919FB"/>
    <w:rsid w:val="001925CE"/>
    <w:rsid w:val="001928A0"/>
    <w:rsid w:val="00192EFB"/>
    <w:rsid w:val="001933FC"/>
    <w:rsid w:val="0019345C"/>
    <w:rsid w:val="001935C4"/>
    <w:rsid w:val="001936AD"/>
    <w:rsid w:val="00193821"/>
    <w:rsid w:val="00193A49"/>
    <w:rsid w:val="00194E3F"/>
    <w:rsid w:val="001951A1"/>
    <w:rsid w:val="00195324"/>
    <w:rsid w:val="00195FAD"/>
    <w:rsid w:val="00196D94"/>
    <w:rsid w:val="001971AC"/>
    <w:rsid w:val="001973B0"/>
    <w:rsid w:val="00197D6A"/>
    <w:rsid w:val="00197DF6"/>
    <w:rsid w:val="001A015C"/>
    <w:rsid w:val="001A03B1"/>
    <w:rsid w:val="001A0550"/>
    <w:rsid w:val="001A0CC0"/>
    <w:rsid w:val="001A11EC"/>
    <w:rsid w:val="001A19B7"/>
    <w:rsid w:val="001A1AF1"/>
    <w:rsid w:val="001A1DCB"/>
    <w:rsid w:val="001A1FF7"/>
    <w:rsid w:val="001A24A1"/>
    <w:rsid w:val="001A2970"/>
    <w:rsid w:val="001A2DDE"/>
    <w:rsid w:val="001A3B11"/>
    <w:rsid w:val="001A456E"/>
    <w:rsid w:val="001A5590"/>
    <w:rsid w:val="001A5C90"/>
    <w:rsid w:val="001A61E7"/>
    <w:rsid w:val="001A6A13"/>
    <w:rsid w:val="001A6B90"/>
    <w:rsid w:val="001A6BCC"/>
    <w:rsid w:val="001A708A"/>
    <w:rsid w:val="001A73AE"/>
    <w:rsid w:val="001A7490"/>
    <w:rsid w:val="001A775C"/>
    <w:rsid w:val="001A7C45"/>
    <w:rsid w:val="001B0819"/>
    <w:rsid w:val="001B0BEB"/>
    <w:rsid w:val="001B0C91"/>
    <w:rsid w:val="001B0E14"/>
    <w:rsid w:val="001B0EC0"/>
    <w:rsid w:val="001B0FC6"/>
    <w:rsid w:val="001B1A52"/>
    <w:rsid w:val="001B2C17"/>
    <w:rsid w:val="001B34A1"/>
    <w:rsid w:val="001B3D4F"/>
    <w:rsid w:val="001B41FA"/>
    <w:rsid w:val="001B452A"/>
    <w:rsid w:val="001B476F"/>
    <w:rsid w:val="001B49F3"/>
    <w:rsid w:val="001B4D44"/>
    <w:rsid w:val="001B582B"/>
    <w:rsid w:val="001B5DE4"/>
    <w:rsid w:val="001B625B"/>
    <w:rsid w:val="001B6417"/>
    <w:rsid w:val="001B6F87"/>
    <w:rsid w:val="001B713C"/>
    <w:rsid w:val="001B7881"/>
    <w:rsid w:val="001C02E9"/>
    <w:rsid w:val="001C04D9"/>
    <w:rsid w:val="001C0B4A"/>
    <w:rsid w:val="001C0D57"/>
    <w:rsid w:val="001C137F"/>
    <w:rsid w:val="001C175F"/>
    <w:rsid w:val="001C17E4"/>
    <w:rsid w:val="001C1D68"/>
    <w:rsid w:val="001C1FB0"/>
    <w:rsid w:val="001C236E"/>
    <w:rsid w:val="001C23F7"/>
    <w:rsid w:val="001C2AE8"/>
    <w:rsid w:val="001C2B9B"/>
    <w:rsid w:val="001C2C27"/>
    <w:rsid w:val="001C32E3"/>
    <w:rsid w:val="001C354D"/>
    <w:rsid w:val="001C392E"/>
    <w:rsid w:val="001C3D4F"/>
    <w:rsid w:val="001C3D69"/>
    <w:rsid w:val="001C428E"/>
    <w:rsid w:val="001C4989"/>
    <w:rsid w:val="001C4B16"/>
    <w:rsid w:val="001C4C6B"/>
    <w:rsid w:val="001C4C7A"/>
    <w:rsid w:val="001C4EF1"/>
    <w:rsid w:val="001C52BE"/>
    <w:rsid w:val="001C5353"/>
    <w:rsid w:val="001C53B6"/>
    <w:rsid w:val="001C53BD"/>
    <w:rsid w:val="001C5552"/>
    <w:rsid w:val="001C5611"/>
    <w:rsid w:val="001C56CE"/>
    <w:rsid w:val="001C5F21"/>
    <w:rsid w:val="001C62D6"/>
    <w:rsid w:val="001C631A"/>
    <w:rsid w:val="001C63D9"/>
    <w:rsid w:val="001C6773"/>
    <w:rsid w:val="001C69C5"/>
    <w:rsid w:val="001C6A65"/>
    <w:rsid w:val="001C7783"/>
    <w:rsid w:val="001C7A94"/>
    <w:rsid w:val="001C7F19"/>
    <w:rsid w:val="001C7FA6"/>
    <w:rsid w:val="001D0703"/>
    <w:rsid w:val="001D0AFB"/>
    <w:rsid w:val="001D0C65"/>
    <w:rsid w:val="001D1075"/>
    <w:rsid w:val="001D1489"/>
    <w:rsid w:val="001D16F6"/>
    <w:rsid w:val="001D1BD5"/>
    <w:rsid w:val="001D1E49"/>
    <w:rsid w:val="001D23C8"/>
    <w:rsid w:val="001D337E"/>
    <w:rsid w:val="001D394F"/>
    <w:rsid w:val="001D3975"/>
    <w:rsid w:val="001D3CB3"/>
    <w:rsid w:val="001D3F48"/>
    <w:rsid w:val="001D427E"/>
    <w:rsid w:val="001D4331"/>
    <w:rsid w:val="001D447B"/>
    <w:rsid w:val="001D490F"/>
    <w:rsid w:val="001D4BCF"/>
    <w:rsid w:val="001D4EFB"/>
    <w:rsid w:val="001D4F66"/>
    <w:rsid w:val="001D5021"/>
    <w:rsid w:val="001D5597"/>
    <w:rsid w:val="001D56AB"/>
    <w:rsid w:val="001D58C3"/>
    <w:rsid w:val="001D5986"/>
    <w:rsid w:val="001D5987"/>
    <w:rsid w:val="001D5B56"/>
    <w:rsid w:val="001D5F45"/>
    <w:rsid w:val="001D6113"/>
    <w:rsid w:val="001D61CA"/>
    <w:rsid w:val="001D6319"/>
    <w:rsid w:val="001D6418"/>
    <w:rsid w:val="001D6CB1"/>
    <w:rsid w:val="001D6EAE"/>
    <w:rsid w:val="001D72F8"/>
    <w:rsid w:val="001D764E"/>
    <w:rsid w:val="001D772B"/>
    <w:rsid w:val="001D7A1F"/>
    <w:rsid w:val="001D7EA0"/>
    <w:rsid w:val="001D7F1D"/>
    <w:rsid w:val="001E01A0"/>
    <w:rsid w:val="001E069D"/>
    <w:rsid w:val="001E15D5"/>
    <w:rsid w:val="001E178D"/>
    <w:rsid w:val="001E1877"/>
    <w:rsid w:val="001E1A95"/>
    <w:rsid w:val="001E1BE2"/>
    <w:rsid w:val="001E2532"/>
    <w:rsid w:val="001E3823"/>
    <w:rsid w:val="001E38D1"/>
    <w:rsid w:val="001E39B9"/>
    <w:rsid w:val="001E3AE6"/>
    <w:rsid w:val="001E3D7D"/>
    <w:rsid w:val="001E40DB"/>
    <w:rsid w:val="001E4443"/>
    <w:rsid w:val="001E472D"/>
    <w:rsid w:val="001E4AFD"/>
    <w:rsid w:val="001E5413"/>
    <w:rsid w:val="001E55C1"/>
    <w:rsid w:val="001E58AC"/>
    <w:rsid w:val="001E5D48"/>
    <w:rsid w:val="001E61C3"/>
    <w:rsid w:val="001E6425"/>
    <w:rsid w:val="001E648A"/>
    <w:rsid w:val="001E6F3F"/>
    <w:rsid w:val="001E7634"/>
    <w:rsid w:val="001F0078"/>
    <w:rsid w:val="001F029B"/>
    <w:rsid w:val="001F0407"/>
    <w:rsid w:val="001F0D20"/>
    <w:rsid w:val="001F10DF"/>
    <w:rsid w:val="001F145C"/>
    <w:rsid w:val="001F1A79"/>
    <w:rsid w:val="001F255E"/>
    <w:rsid w:val="001F2666"/>
    <w:rsid w:val="001F288B"/>
    <w:rsid w:val="001F2ACB"/>
    <w:rsid w:val="001F2B4D"/>
    <w:rsid w:val="001F2DE4"/>
    <w:rsid w:val="001F338A"/>
    <w:rsid w:val="001F35EF"/>
    <w:rsid w:val="001F3C6B"/>
    <w:rsid w:val="001F3CDD"/>
    <w:rsid w:val="001F3D59"/>
    <w:rsid w:val="001F3DB7"/>
    <w:rsid w:val="001F3FFD"/>
    <w:rsid w:val="001F4246"/>
    <w:rsid w:val="001F42B0"/>
    <w:rsid w:val="001F4627"/>
    <w:rsid w:val="001F4DDE"/>
    <w:rsid w:val="001F4E52"/>
    <w:rsid w:val="001F4E7D"/>
    <w:rsid w:val="001F4FCB"/>
    <w:rsid w:val="001F5639"/>
    <w:rsid w:val="001F5836"/>
    <w:rsid w:val="001F5856"/>
    <w:rsid w:val="001F5AE4"/>
    <w:rsid w:val="001F6269"/>
    <w:rsid w:val="001F636B"/>
    <w:rsid w:val="001F64A0"/>
    <w:rsid w:val="001F65C2"/>
    <w:rsid w:val="001F6768"/>
    <w:rsid w:val="001F6B44"/>
    <w:rsid w:val="001F6EB8"/>
    <w:rsid w:val="001F6F7F"/>
    <w:rsid w:val="001F7215"/>
    <w:rsid w:val="001F7248"/>
    <w:rsid w:val="001F7665"/>
    <w:rsid w:val="001F7765"/>
    <w:rsid w:val="001F78A2"/>
    <w:rsid w:val="001F7B58"/>
    <w:rsid w:val="001F7FA7"/>
    <w:rsid w:val="0020003A"/>
    <w:rsid w:val="00200162"/>
    <w:rsid w:val="00200774"/>
    <w:rsid w:val="0020081C"/>
    <w:rsid w:val="00200B85"/>
    <w:rsid w:val="00200C35"/>
    <w:rsid w:val="00200FA0"/>
    <w:rsid w:val="002010A1"/>
    <w:rsid w:val="00201363"/>
    <w:rsid w:val="002013C9"/>
    <w:rsid w:val="00201405"/>
    <w:rsid w:val="0020143E"/>
    <w:rsid w:val="0020180E"/>
    <w:rsid w:val="00201E80"/>
    <w:rsid w:val="0020209B"/>
    <w:rsid w:val="0020226C"/>
    <w:rsid w:val="002024F0"/>
    <w:rsid w:val="002026FF"/>
    <w:rsid w:val="002027C2"/>
    <w:rsid w:val="00203231"/>
    <w:rsid w:val="002032C9"/>
    <w:rsid w:val="002038A2"/>
    <w:rsid w:val="002043B1"/>
    <w:rsid w:val="00204EE0"/>
    <w:rsid w:val="00205526"/>
    <w:rsid w:val="00205A5B"/>
    <w:rsid w:val="002064F6"/>
    <w:rsid w:val="002068FD"/>
    <w:rsid w:val="00206F82"/>
    <w:rsid w:val="0020787D"/>
    <w:rsid w:val="002078D4"/>
    <w:rsid w:val="002100BD"/>
    <w:rsid w:val="00210495"/>
    <w:rsid w:val="002107FF"/>
    <w:rsid w:val="002110FB"/>
    <w:rsid w:val="002111FF"/>
    <w:rsid w:val="00212398"/>
    <w:rsid w:val="002127F5"/>
    <w:rsid w:val="002129F8"/>
    <w:rsid w:val="0021342C"/>
    <w:rsid w:val="002134A6"/>
    <w:rsid w:val="002134B0"/>
    <w:rsid w:val="0021390C"/>
    <w:rsid w:val="00213CCE"/>
    <w:rsid w:val="00213F64"/>
    <w:rsid w:val="00213FEF"/>
    <w:rsid w:val="002145F3"/>
    <w:rsid w:val="0021465C"/>
    <w:rsid w:val="00214F75"/>
    <w:rsid w:val="002150C9"/>
    <w:rsid w:val="002157D9"/>
    <w:rsid w:val="00215F6D"/>
    <w:rsid w:val="00216214"/>
    <w:rsid w:val="00216E5A"/>
    <w:rsid w:val="0021710C"/>
    <w:rsid w:val="0021720B"/>
    <w:rsid w:val="002172CD"/>
    <w:rsid w:val="00217675"/>
    <w:rsid w:val="00217863"/>
    <w:rsid w:val="00217C3B"/>
    <w:rsid w:val="00217EA3"/>
    <w:rsid w:val="00220261"/>
    <w:rsid w:val="002208F8"/>
    <w:rsid w:val="00220B0A"/>
    <w:rsid w:val="00220C22"/>
    <w:rsid w:val="00220C95"/>
    <w:rsid w:val="00220CA7"/>
    <w:rsid w:val="00220E51"/>
    <w:rsid w:val="00221457"/>
    <w:rsid w:val="00221DCA"/>
    <w:rsid w:val="00222291"/>
    <w:rsid w:val="0022232A"/>
    <w:rsid w:val="00222A55"/>
    <w:rsid w:val="00222E29"/>
    <w:rsid w:val="0022320D"/>
    <w:rsid w:val="00223255"/>
    <w:rsid w:val="0022349E"/>
    <w:rsid w:val="00223A2A"/>
    <w:rsid w:val="00223F13"/>
    <w:rsid w:val="002242E5"/>
    <w:rsid w:val="002244FB"/>
    <w:rsid w:val="002246AC"/>
    <w:rsid w:val="00224F45"/>
    <w:rsid w:val="00225247"/>
    <w:rsid w:val="002256F9"/>
    <w:rsid w:val="00225CF3"/>
    <w:rsid w:val="0022612E"/>
    <w:rsid w:val="00226768"/>
    <w:rsid w:val="002273CB"/>
    <w:rsid w:val="002276EF"/>
    <w:rsid w:val="002277CA"/>
    <w:rsid w:val="0023033D"/>
    <w:rsid w:val="0023068F"/>
    <w:rsid w:val="00230914"/>
    <w:rsid w:val="00231005"/>
    <w:rsid w:val="00231495"/>
    <w:rsid w:val="002317DD"/>
    <w:rsid w:val="00231ECB"/>
    <w:rsid w:val="0023245E"/>
    <w:rsid w:val="00232A74"/>
    <w:rsid w:val="00232C1E"/>
    <w:rsid w:val="002334E0"/>
    <w:rsid w:val="002337A6"/>
    <w:rsid w:val="00233876"/>
    <w:rsid w:val="00233B1F"/>
    <w:rsid w:val="00234BD1"/>
    <w:rsid w:val="00234E27"/>
    <w:rsid w:val="00235059"/>
    <w:rsid w:val="00235996"/>
    <w:rsid w:val="002359D5"/>
    <w:rsid w:val="00236BE5"/>
    <w:rsid w:val="00236DCC"/>
    <w:rsid w:val="00236EEB"/>
    <w:rsid w:val="00237014"/>
    <w:rsid w:val="002370C8"/>
    <w:rsid w:val="002377F1"/>
    <w:rsid w:val="00237BDE"/>
    <w:rsid w:val="00237D51"/>
    <w:rsid w:val="00240277"/>
    <w:rsid w:val="002405B3"/>
    <w:rsid w:val="002406BC"/>
    <w:rsid w:val="0024073B"/>
    <w:rsid w:val="0024077F"/>
    <w:rsid w:val="00240953"/>
    <w:rsid w:val="00240F47"/>
    <w:rsid w:val="00241195"/>
    <w:rsid w:val="00241515"/>
    <w:rsid w:val="002417E2"/>
    <w:rsid w:val="0024195D"/>
    <w:rsid w:val="00241B8B"/>
    <w:rsid w:val="00241CDD"/>
    <w:rsid w:val="00241D9F"/>
    <w:rsid w:val="00241DD9"/>
    <w:rsid w:val="00241FDC"/>
    <w:rsid w:val="002431D5"/>
    <w:rsid w:val="002447F8"/>
    <w:rsid w:val="0024490F"/>
    <w:rsid w:val="00244A5F"/>
    <w:rsid w:val="00245080"/>
    <w:rsid w:val="00245131"/>
    <w:rsid w:val="0024550E"/>
    <w:rsid w:val="00245B76"/>
    <w:rsid w:val="00245E8C"/>
    <w:rsid w:val="00245F49"/>
    <w:rsid w:val="002460E1"/>
    <w:rsid w:val="002464FB"/>
    <w:rsid w:val="00246576"/>
    <w:rsid w:val="0024661A"/>
    <w:rsid w:val="00246776"/>
    <w:rsid w:val="00246ABA"/>
    <w:rsid w:val="002474AB"/>
    <w:rsid w:val="002475A6"/>
    <w:rsid w:val="002477C3"/>
    <w:rsid w:val="00247881"/>
    <w:rsid w:val="00247F88"/>
    <w:rsid w:val="002509FD"/>
    <w:rsid w:val="002510B1"/>
    <w:rsid w:val="0025198F"/>
    <w:rsid w:val="002519DF"/>
    <w:rsid w:val="002521EC"/>
    <w:rsid w:val="002529E0"/>
    <w:rsid w:val="00252E38"/>
    <w:rsid w:val="00252EB2"/>
    <w:rsid w:val="00253D1F"/>
    <w:rsid w:val="00253F81"/>
    <w:rsid w:val="00253F89"/>
    <w:rsid w:val="0025404F"/>
    <w:rsid w:val="00254237"/>
    <w:rsid w:val="0025477E"/>
    <w:rsid w:val="00254A50"/>
    <w:rsid w:val="00254A70"/>
    <w:rsid w:val="00254AF2"/>
    <w:rsid w:val="0025566E"/>
    <w:rsid w:val="002558AF"/>
    <w:rsid w:val="0025591C"/>
    <w:rsid w:val="00255988"/>
    <w:rsid w:val="00255A21"/>
    <w:rsid w:val="0025629B"/>
    <w:rsid w:val="0025640C"/>
    <w:rsid w:val="00256483"/>
    <w:rsid w:val="0025697D"/>
    <w:rsid w:val="00257174"/>
    <w:rsid w:val="0025738B"/>
    <w:rsid w:val="00257AB7"/>
    <w:rsid w:val="00257B3E"/>
    <w:rsid w:val="00260A39"/>
    <w:rsid w:val="00260F21"/>
    <w:rsid w:val="0026148C"/>
    <w:rsid w:val="002616B6"/>
    <w:rsid w:val="00261CA7"/>
    <w:rsid w:val="00261CFA"/>
    <w:rsid w:val="002623DA"/>
    <w:rsid w:val="002627EC"/>
    <w:rsid w:val="00262916"/>
    <w:rsid w:val="002630FE"/>
    <w:rsid w:val="00263307"/>
    <w:rsid w:val="00263352"/>
    <w:rsid w:val="002633D8"/>
    <w:rsid w:val="00263C35"/>
    <w:rsid w:val="00263D71"/>
    <w:rsid w:val="00263EAA"/>
    <w:rsid w:val="002643C5"/>
    <w:rsid w:val="00264BF1"/>
    <w:rsid w:val="00265416"/>
    <w:rsid w:val="00265698"/>
    <w:rsid w:val="002660A9"/>
    <w:rsid w:val="0026651F"/>
    <w:rsid w:val="002667F0"/>
    <w:rsid w:val="00266822"/>
    <w:rsid w:val="00267336"/>
    <w:rsid w:val="0026763D"/>
    <w:rsid w:val="002676D9"/>
    <w:rsid w:val="002678BD"/>
    <w:rsid w:val="00267A28"/>
    <w:rsid w:val="002701B2"/>
    <w:rsid w:val="002702D9"/>
    <w:rsid w:val="002704E6"/>
    <w:rsid w:val="002704EA"/>
    <w:rsid w:val="00270917"/>
    <w:rsid w:val="002709A8"/>
    <w:rsid w:val="00270A11"/>
    <w:rsid w:val="00270C17"/>
    <w:rsid w:val="00270CD4"/>
    <w:rsid w:val="00270E6F"/>
    <w:rsid w:val="00270E7E"/>
    <w:rsid w:val="002719FF"/>
    <w:rsid w:val="00271AB5"/>
    <w:rsid w:val="002726F9"/>
    <w:rsid w:val="002728A1"/>
    <w:rsid w:val="00272A97"/>
    <w:rsid w:val="00272AFE"/>
    <w:rsid w:val="00272B1C"/>
    <w:rsid w:val="00273506"/>
    <w:rsid w:val="00273895"/>
    <w:rsid w:val="00273EC1"/>
    <w:rsid w:val="00274235"/>
    <w:rsid w:val="002742B9"/>
    <w:rsid w:val="00274315"/>
    <w:rsid w:val="002749A8"/>
    <w:rsid w:val="00275079"/>
    <w:rsid w:val="00275263"/>
    <w:rsid w:val="002754BE"/>
    <w:rsid w:val="00275510"/>
    <w:rsid w:val="00275D9C"/>
    <w:rsid w:val="00276258"/>
    <w:rsid w:val="00276501"/>
    <w:rsid w:val="00276736"/>
    <w:rsid w:val="00276A2B"/>
    <w:rsid w:val="00276C0E"/>
    <w:rsid w:val="00276C4C"/>
    <w:rsid w:val="00277475"/>
    <w:rsid w:val="00277BFA"/>
    <w:rsid w:val="002802E4"/>
    <w:rsid w:val="0028031C"/>
    <w:rsid w:val="002808D7"/>
    <w:rsid w:val="00280E27"/>
    <w:rsid w:val="0028190E"/>
    <w:rsid w:val="0028193D"/>
    <w:rsid w:val="00282171"/>
    <w:rsid w:val="002824DF"/>
    <w:rsid w:val="00282E03"/>
    <w:rsid w:val="00282F8B"/>
    <w:rsid w:val="002830B1"/>
    <w:rsid w:val="0028351E"/>
    <w:rsid w:val="002835F5"/>
    <w:rsid w:val="002838A0"/>
    <w:rsid w:val="00283C21"/>
    <w:rsid w:val="00283E4B"/>
    <w:rsid w:val="00284602"/>
    <w:rsid w:val="002847FE"/>
    <w:rsid w:val="0028496B"/>
    <w:rsid w:val="00284BE8"/>
    <w:rsid w:val="00284D36"/>
    <w:rsid w:val="002851BB"/>
    <w:rsid w:val="002856E5"/>
    <w:rsid w:val="00285DB6"/>
    <w:rsid w:val="00285F08"/>
    <w:rsid w:val="00286151"/>
    <w:rsid w:val="00286174"/>
    <w:rsid w:val="002861AA"/>
    <w:rsid w:val="00286C51"/>
    <w:rsid w:val="00286D28"/>
    <w:rsid w:val="002872C7"/>
    <w:rsid w:val="00287516"/>
    <w:rsid w:val="00287805"/>
    <w:rsid w:val="00287E0A"/>
    <w:rsid w:val="00287E96"/>
    <w:rsid w:val="0029021A"/>
    <w:rsid w:val="00290BE8"/>
    <w:rsid w:val="00290E45"/>
    <w:rsid w:val="00291341"/>
    <w:rsid w:val="002915BA"/>
    <w:rsid w:val="002916C2"/>
    <w:rsid w:val="00291A77"/>
    <w:rsid w:val="00291F86"/>
    <w:rsid w:val="00292003"/>
    <w:rsid w:val="0029249B"/>
    <w:rsid w:val="00292601"/>
    <w:rsid w:val="00292C68"/>
    <w:rsid w:val="00292E94"/>
    <w:rsid w:val="00292FFB"/>
    <w:rsid w:val="0029305B"/>
    <w:rsid w:val="0029364F"/>
    <w:rsid w:val="002937D5"/>
    <w:rsid w:val="002937DB"/>
    <w:rsid w:val="0029388D"/>
    <w:rsid w:val="00293CD7"/>
    <w:rsid w:val="002940BA"/>
    <w:rsid w:val="002941C5"/>
    <w:rsid w:val="002943CE"/>
    <w:rsid w:val="0029469C"/>
    <w:rsid w:val="0029480A"/>
    <w:rsid w:val="00294947"/>
    <w:rsid w:val="00294B6A"/>
    <w:rsid w:val="00294B95"/>
    <w:rsid w:val="00294C41"/>
    <w:rsid w:val="00295680"/>
    <w:rsid w:val="00295B09"/>
    <w:rsid w:val="00296147"/>
    <w:rsid w:val="00296411"/>
    <w:rsid w:val="002966B8"/>
    <w:rsid w:val="002968C0"/>
    <w:rsid w:val="00296C45"/>
    <w:rsid w:val="00296FFF"/>
    <w:rsid w:val="002975FE"/>
    <w:rsid w:val="002978EA"/>
    <w:rsid w:val="00297A5E"/>
    <w:rsid w:val="002A047D"/>
    <w:rsid w:val="002A0537"/>
    <w:rsid w:val="002A0808"/>
    <w:rsid w:val="002A0890"/>
    <w:rsid w:val="002A0B49"/>
    <w:rsid w:val="002A1005"/>
    <w:rsid w:val="002A1C39"/>
    <w:rsid w:val="002A1E10"/>
    <w:rsid w:val="002A28EF"/>
    <w:rsid w:val="002A2A91"/>
    <w:rsid w:val="002A2C99"/>
    <w:rsid w:val="002A30FE"/>
    <w:rsid w:val="002A34DA"/>
    <w:rsid w:val="002A3BF5"/>
    <w:rsid w:val="002A3C68"/>
    <w:rsid w:val="002A3DB9"/>
    <w:rsid w:val="002A3E22"/>
    <w:rsid w:val="002A3ED7"/>
    <w:rsid w:val="002A3F30"/>
    <w:rsid w:val="002A4161"/>
    <w:rsid w:val="002A4308"/>
    <w:rsid w:val="002A49D3"/>
    <w:rsid w:val="002A4B8B"/>
    <w:rsid w:val="002A50EA"/>
    <w:rsid w:val="002A5111"/>
    <w:rsid w:val="002A5507"/>
    <w:rsid w:val="002A5E3F"/>
    <w:rsid w:val="002A67EF"/>
    <w:rsid w:val="002A685A"/>
    <w:rsid w:val="002A6BB0"/>
    <w:rsid w:val="002A6D9D"/>
    <w:rsid w:val="002A6DDE"/>
    <w:rsid w:val="002A70A1"/>
    <w:rsid w:val="002A740C"/>
    <w:rsid w:val="002A7474"/>
    <w:rsid w:val="002A7B42"/>
    <w:rsid w:val="002B0428"/>
    <w:rsid w:val="002B048D"/>
    <w:rsid w:val="002B0C14"/>
    <w:rsid w:val="002B0C7F"/>
    <w:rsid w:val="002B0E13"/>
    <w:rsid w:val="002B16DE"/>
    <w:rsid w:val="002B2930"/>
    <w:rsid w:val="002B2A3E"/>
    <w:rsid w:val="002B3146"/>
    <w:rsid w:val="002B316B"/>
    <w:rsid w:val="002B419D"/>
    <w:rsid w:val="002B427E"/>
    <w:rsid w:val="002B42C4"/>
    <w:rsid w:val="002B44F4"/>
    <w:rsid w:val="002B4B58"/>
    <w:rsid w:val="002B4F07"/>
    <w:rsid w:val="002B5259"/>
    <w:rsid w:val="002B5813"/>
    <w:rsid w:val="002B58BD"/>
    <w:rsid w:val="002B5AEE"/>
    <w:rsid w:val="002B5FA8"/>
    <w:rsid w:val="002B6163"/>
    <w:rsid w:val="002B641B"/>
    <w:rsid w:val="002B6459"/>
    <w:rsid w:val="002B67B0"/>
    <w:rsid w:val="002B6DD3"/>
    <w:rsid w:val="002B7918"/>
    <w:rsid w:val="002B7E4D"/>
    <w:rsid w:val="002C024A"/>
    <w:rsid w:val="002C0B48"/>
    <w:rsid w:val="002C0B5B"/>
    <w:rsid w:val="002C1716"/>
    <w:rsid w:val="002C17A6"/>
    <w:rsid w:val="002C1B6B"/>
    <w:rsid w:val="002C2270"/>
    <w:rsid w:val="002C22E6"/>
    <w:rsid w:val="002C243A"/>
    <w:rsid w:val="002C2B45"/>
    <w:rsid w:val="002C2CE4"/>
    <w:rsid w:val="002C2F26"/>
    <w:rsid w:val="002C33BB"/>
    <w:rsid w:val="002C3B56"/>
    <w:rsid w:val="002C3EEA"/>
    <w:rsid w:val="002C3FBB"/>
    <w:rsid w:val="002C432B"/>
    <w:rsid w:val="002C4BFF"/>
    <w:rsid w:val="002C4D64"/>
    <w:rsid w:val="002C4DDA"/>
    <w:rsid w:val="002C4DEA"/>
    <w:rsid w:val="002C557C"/>
    <w:rsid w:val="002C5DAD"/>
    <w:rsid w:val="002C5DCE"/>
    <w:rsid w:val="002C6332"/>
    <w:rsid w:val="002C6378"/>
    <w:rsid w:val="002C6697"/>
    <w:rsid w:val="002C68DD"/>
    <w:rsid w:val="002C6E70"/>
    <w:rsid w:val="002C6F8E"/>
    <w:rsid w:val="002C7A6C"/>
    <w:rsid w:val="002C7EA1"/>
    <w:rsid w:val="002D0235"/>
    <w:rsid w:val="002D02C8"/>
    <w:rsid w:val="002D0C2B"/>
    <w:rsid w:val="002D0C72"/>
    <w:rsid w:val="002D0E57"/>
    <w:rsid w:val="002D0F49"/>
    <w:rsid w:val="002D1024"/>
    <w:rsid w:val="002D10FE"/>
    <w:rsid w:val="002D11FC"/>
    <w:rsid w:val="002D17D6"/>
    <w:rsid w:val="002D19B3"/>
    <w:rsid w:val="002D1F7F"/>
    <w:rsid w:val="002D200E"/>
    <w:rsid w:val="002D202C"/>
    <w:rsid w:val="002D2069"/>
    <w:rsid w:val="002D216A"/>
    <w:rsid w:val="002D227D"/>
    <w:rsid w:val="002D28EA"/>
    <w:rsid w:val="002D2E87"/>
    <w:rsid w:val="002D3904"/>
    <w:rsid w:val="002D3BD7"/>
    <w:rsid w:val="002D3DA1"/>
    <w:rsid w:val="002D407F"/>
    <w:rsid w:val="002D42E4"/>
    <w:rsid w:val="002D43A0"/>
    <w:rsid w:val="002D48A5"/>
    <w:rsid w:val="002D48D4"/>
    <w:rsid w:val="002D4B3A"/>
    <w:rsid w:val="002D4C2B"/>
    <w:rsid w:val="002D4D4E"/>
    <w:rsid w:val="002D51CC"/>
    <w:rsid w:val="002D5730"/>
    <w:rsid w:val="002D5916"/>
    <w:rsid w:val="002D62CC"/>
    <w:rsid w:val="002D6918"/>
    <w:rsid w:val="002D699C"/>
    <w:rsid w:val="002E002D"/>
    <w:rsid w:val="002E0150"/>
    <w:rsid w:val="002E0410"/>
    <w:rsid w:val="002E0813"/>
    <w:rsid w:val="002E08A3"/>
    <w:rsid w:val="002E0C63"/>
    <w:rsid w:val="002E0FC4"/>
    <w:rsid w:val="002E1638"/>
    <w:rsid w:val="002E1890"/>
    <w:rsid w:val="002E1C50"/>
    <w:rsid w:val="002E1E4D"/>
    <w:rsid w:val="002E23B8"/>
    <w:rsid w:val="002E24D0"/>
    <w:rsid w:val="002E273C"/>
    <w:rsid w:val="002E2B8E"/>
    <w:rsid w:val="002E371A"/>
    <w:rsid w:val="002E3BCF"/>
    <w:rsid w:val="002E3E48"/>
    <w:rsid w:val="002E40B3"/>
    <w:rsid w:val="002E44A2"/>
    <w:rsid w:val="002E4672"/>
    <w:rsid w:val="002E46E4"/>
    <w:rsid w:val="002E4B04"/>
    <w:rsid w:val="002E4B45"/>
    <w:rsid w:val="002E4D68"/>
    <w:rsid w:val="002E4DFE"/>
    <w:rsid w:val="002E5206"/>
    <w:rsid w:val="002E5341"/>
    <w:rsid w:val="002E5548"/>
    <w:rsid w:val="002E580E"/>
    <w:rsid w:val="002E589E"/>
    <w:rsid w:val="002E59F9"/>
    <w:rsid w:val="002E5DB4"/>
    <w:rsid w:val="002E5F94"/>
    <w:rsid w:val="002E606A"/>
    <w:rsid w:val="002E61B6"/>
    <w:rsid w:val="002E630C"/>
    <w:rsid w:val="002E6353"/>
    <w:rsid w:val="002E676B"/>
    <w:rsid w:val="002E6E11"/>
    <w:rsid w:val="002E7135"/>
    <w:rsid w:val="002E7AB9"/>
    <w:rsid w:val="002F02B9"/>
    <w:rsid w:val="002F0B4D"/>
    <w:rsid w:val="002F0D6F"/>
    <w:rsid w:val="002F1016"/>
    <w:rsid w:val="002F10C3"/>
    <w:rsid w:val="002F10EC"/>
    <w:rsid w:val="002F161D"/>
    <w:rsid w:val="002F1692"/>
    <w:rsid w:val="002F19E2"/>
    <w:rsid w:val="002F2306"/>
    <w:rsid w:val="002F239A"/>
    <w:rsid w:val="002F255D"/>
    <w:rsid w:val="002F2C8A"/>
    <w:rsid w:val="002F2CEB"/>
    <w:rsid w:val="002F2E27"/>
    <w:rsid w:val="002F2FAF"/>
    <w:rsid w:val="002F32E6"/>
    <w:rsid w:val="002F346D"/>
    <w:rsid w:val="002F3719"/>
    <w:rsid w:val="002F386D"/>
    <w:rsid w:val="002F40C5"/>
    <w:rsid w:val="002F463C"/>
    <w:rsid w:val="002F47FB"/>
    <w:rsid w:val="002F4D44"/>
    <w:rsid w:val="002F4DB7"/>
    <w:rsid w:val="002F5E51"/>
    <w:rsid w:val="002F63D4"/>
    <w:rsid w:val="002F644B"/>
    <w:rsid w:val="002F6595"/>
    <w:rsid w:val="002F65F1"/>
    <w:rsid w:val="002F6B9D"/>
    <w:rsid w:val="002F6EAD"/>
    <w:rsid w:val="002F70EF"/>
    <w:rsid w:val="002F78AA"/>
    <w:rsid w:val="002F7B82"/>
    <w:rsid w:val="002F7CEE"/>
    <w:rsid w:val="002F7E43"/>
    <w:rsid w:val="002F7E9E"/>
    <w:rsid w:val="00300048"/>
    <w:rsid w:val="0030027A"/>
    <w:rsid w:val="00300663"/>
    <w:rsid w:val="00300AAE"/>
    <w:rsid w:val="00300B58"/>
    <w:rsid w:val="00300FEC"/>
    <w:rsid w:val="00301036"/>
    <w:rsid w:val="003018AC"/>
    <w:rsid w:val="003020C9"/>
    <w:rsid w:val="003024A0"/>
    <w:rsid w:val="003025A2"/>
    <w:rsid w:val="00302866"/>
    <w:rsid w:val="003028DA"/>
    <w:rsid w:val="003034CB"/>
    <w:rsid w:val="00303654"/>
    <w:rsid w:val="0030374B"/>
    <w:rsid w:val="00303BD9"/>
    <w:rsid w:val="00303E80"/>
    <w:rsid w:val="00304849"/>
    <w:rsid w:val="00304D86"/>
    <w:rsid w:val="0030530B"/>
    <w:rsid w:val="0030571B"/>
    <w:rsid w:val="003062AB"/>
    <w:rsid w:val="00306B60"/>
    <w:rsid w:val="00307180"/>
    <w:rsid w:val="003072AF"/>
    <w:rsid w:val="00307344"/>
    <w:rsid w:val="003075EC"/>
    <w:rsid w:val="0030774F"/>
    <w:rsid w:val="00307D9D"/>
    <w:rsid w:val="0031002B"/>
    <w:rsid w:val="003102DC"/>
    <w:rsid w:val="00310F0C"/>
    <w:rsid w:val="003113CD"/>
    <w:rsid w:val="00311AB8"/>
    <w:rsid w:val="00311CA0"/>
    <w:rsid w:val="00311D49"/>
    <w:rsid w:val="003121B2"/>
    <w:rsid w:val="0031228D"/>
    <w:rsid w:val="00312E85"/>
    <w:rsid w:val="0031360F"/>
    <w:rsid w:val="0031366A"/>
    <w:rsid w:val="003136BA"/>
    <w:rsid w:val="00313727"/>
    <w:rsid w:val="00313734"/>
    <w:rsid w:val="00313792"/>
    <w:rsid w:val="00314056"/>
    <w:rsid w:val="003140BD"/>
    <w:rsid w:val="003140DF"/>
    <w:rsid w:val="003142AC"/>
    <w:rsid w:val="00314629"/>
    <w:rsid w:val="00314B8C"/>
    <w:rsid w:val="0031510C"/>
    <w:rsid w:val="003153FB"/>
    <w:rsid w:val="00315574"/>
    <w:rsid w:val="003156E1"/>
    <w:rsid w:val="00315E3F"/>
    <w:rsid w:val="003161E7"/>
    <w:rsid w:val="0031629B"/>
    <w:rsid w:val="0031660C"/>
    <w:rsid w:val="00316668"/>
    <w:rsid w:val="00316871"/>
    <w:rsid w:val="00316965"/>
    <w:rsid w:val="0031701A"/>
    <w:rsid w:val="003170FE"/>
    <w:rsid w:val="00317116"/>
    <w:rsid w:val="0031762C"/>
    <w:rsid w:val="00317BB1"/>
    <w:rsid w:val="00320A42"/>
    <w:rsid w:val="00320B43"/>
    <w:rsid w:val="00320B4B"/>
    <w:rsid w:val="00320DB0"/>
    <w:rsid w:val="00321109"/>
    <w:rsid w:val="0032114C"/>
    <w:rsid w:val="00321D2E"/>
    <w:rsid w:val="00321D69"/>
    <w:rsid w:val="00322381"/>
    <w:rsid w:val="00322842"/>
    <w:rsid w:val="00322C00"/>
    <w:rsid w:val="00322CAA"/>
    <w:rsid w:val="00322E5F"/>
    <w:rsid w:val="003239B2"/>
    <w:rsid w:val="00323B0C"/>
    <w:rsid w:val="00323B43"/>
    <w:rsid w:val="00323FD5"/>
    <w:rsid w:val="003246D0"/>
    <w:rsid w:val="003246D9"/>
    <w:rsid w:val="00324813"/>
    <w:rsid w:val="00324AFE"/>
    <w:rsid w:val="00324C32"/>
    <w:rsid w:val="00325124"/>
    <w:rsid w:val="003259BE"/>
    <w:rsid w:val="0032643D"/>
    <w:rsid w:val="003265C9"/>
    <w:rsid w:val="00326D90"/>
    <w:rsid w:val="00326E7C"/>
    <w:rsid w:val="0032768F"/>
    <w:rsid w:val="003278B5"/>
    <w:rsid w:val="00327BEB"/>
    <w:rsid w:val="00327DC2"/>
    <w:rsid w:val="00330051"/>
    <w:rsid w:val="003301E6"/>
    <w:rsid w:val="0033052A"/>
    <w:rsid w:val="003310A8"/>
    <w:rsid w:val="00331169"/>
    <w:rsid w:val="00331368"/>
    <w:rsid w:val="00331489"/>
    <w:rsid w:val="00331762"/>
    <w:rsid w:val="00332B26"/>
    <w:rsid w:val="00333329"/>
    <w:rsid w:val="003334EE"/>
    <w:rsid w:val="0033361A"/>
    <w:rsid w:val="00333889"/>
    <w:rsid w:val="00333AB0"/>
    <w:rsid w:val="00334400"/>
    <w:rsid w:val="0033460F"/>
    <w:rsid w:val="003347B8"/>
    <w:rsid w:val="00335836"/>
    <w:rsid w:val="00335A24"/>
    <w:rsid w:val="00335AF3"/>
    <w:rsid w:val="00335BBF"/>
    <w:rsid w:val="003362E9"/>
    <w:rsid w:val="0033630E"/>
    <w:rsid w:val="003367F4"/>
    <w:rsid w:val="00336A6A"/>
    <w:rsid w:val="00336EF4"/>
    <w:rsid w:val="00337821"/>
    <w:rsid w:val="003379A1"/>
    <w:rsid w:val="00337A1B"/>
    <w:rsid w:val="00337B5A"/>
    <w:rsid w:val="00337E90"/>
    <w:rsid w:val="00340152"/>
    <w:rsid w:val="0034020E"/>
    <w:rsid w:val="00340591"/>
    <w:rsid w:val="00340774"/>
    <w:rsid w:val="0034079C"/>
    <w:rsid w:val="003407E3"/>
    <w:rsid w:val="0034089F"/>
    <w:rsid w:val="00340D17"/>
    <w:rsid w:val="003413B4"/>
    <w:rsid w:val="0034149C"/>
    <w:rsid w:val="00341882"/>
    <w:rsid w:val="00341EAC"/>
    <w:rsid w:val="00341EF8"/>
    <w:rsid w:val="00342043"/>
    <w:rsid w:val="003425BB"/>
    <w:rsid w:val="003431CF"/>
    <w:rsid w:val="00343471"/>
    <w:rsid w:val="0034401D"/>
    <w:rsid w:val="00344771"/>
    <w:rsid w:val="003448F7"/>
    <w:rsid w:val="00344B27"/>
    <w:rsid w:val="00344BFE"/>
    <w:rsid w:val="00344C1C"/>
    <w:rsid w:val="003459A9"/>
    <w:rsid w:val="00345C1E"/>
    <w:rsid w:val="00346774"/>
    <w:rsid w:val="00347472"/>
    <w:rsid w:val="0034748D"/>
    <w:rsid w:val="00347A04"/>
    <w:rsid w:val="00347A21"/>
    <w:rsid w:val="00347EB1"/>
    <w:rsid w:val="00350433"/>
    <w:rsid w:val="003505E4"/>
    <w:rsid w:val="003506F6"/>
    <w:rsid w:val="00350830"/>
    <w:rsid w:val="00350881"/>
    <w:rsid w:val="00350C4A"/>
    <w:rsid w:val="003514C8"/>
    <w:rsid w:val="003518FF"/>
    <w:rsid w:val="00351B4D"/>
    <w:rsid w:val="00351CCB"/>
    <w:rsid w:val="00351D70"/>
    <w:rsid w:val="00352149"/>
    <w:rsid w:val="00352334"/>
    <w:rsid w:val="00352881"/>
    <w:rsid w:val="00352A3C"/>
    <w:rsid w:val="00352BFB"/>
    <w:rsid w:val="00353009"/>
    <w:rsid w:val="003536AF"/>
    <w:rsid w:val="00353A24"/>
    <w:rsid w:val="00353DB4"/>
    <w:rsid w:val="00353E1A"/>
    <w:rsid w:val="00353FC4"/>
    <w:rsid w:val="003543FA"/>
    <w:rsid w:val="0035450A"/>
    <w:rsid w:val="003545A0"/>
    <w:rsid w:val="0035498C"/>
    <w:rsid w:val="00354F60"/>
    <w:rsid w:val="00355206"/>
    <w:rsid w:val="0035520A"/>
    <w:rsid w:val="00355501"/>
    <w:rsid w:val="00355CBB"/>
    <w:rsid w:val="00356B04"/>
    <w:rsid w:val="00356B87"/>
    <w:rsid w:val="00356C87"/>
    <w:rsid w:val="003572D2"/>
    <w:rsid w:val="00357342"/>
    <w:rsid w:val="003573B3"/>
    <w:rsid w:val="0035782F"/>
    <w:rsid w:val="00357880"/>
    <w:rsid w:val="00357DC2"/>
    <w:rsid w:val="00357DDD"/>
    <w:rsid w:val="00357F23"/>
    <w:rsid w:val="00360B0B"/>
    <w:rsid w:val="00360C90"/>
    <w:rsid w:val="00360C95"/>
    <w:rsid w:val="00360CD7"/>
    <w:rsid w:val="00361097"/>
    <w:rsid w:val="00361B56"/>
    <w:rsid w:val="00361F37"/>
    <w:rsid w:val="003620E0"/>
    <w:rsid w:val="0036216A"/>
    <w:rsid w:val="0036225A"/>
    <w:rsid w:val="003622EC"/>
    <w:rsid w:val="003627D7"/>
    <w:rsid w:val="00362A0C"/>
    <w:rsid w:val="00362BBC"/>
    <w:rsid w:val="00362D9A"/>
    <w:rsid w:val="0036309D"/>
    <w:rsid w:val="00363137"/>
    <w:rsid w:val="00363298"/>
    <w:rsid w:val="003632BF"/>
    <w:rsid w:val="00363326"/>
    <w:rsid w:val="003634FD"/>
    <w:rsid w:val="00364236"/>
    <w:rsid w:val="00364B4E"/>
    <w:rsid w:val="00364DAD"/>
    <w:rsid w:val="00364FB4"/>
    <w:rsid w:val="003653D4"/>
    <w:rsid w:val="00365F6F"/>
    <w:rsid w:val="00366314"/>
    <w:rsid w:val="003674BD"/>
    <w:rsid w:val="003675D2"/>
    <w:rsid w:val="003676CC"/>
    <w:rsid w:val="003676E9"/>
    <w:rsid w:val="00367BBB"/>
    <w:rsid w:val="003703F0"/>
    <w:rsid w:val="00370BF7"/>
    <w:rsid w:val="00370D69"/>
    <w:rsid w:val="00370F0A"/>
    <w:rsid w:val="00370F7B"/>
    <w:rsid w:val="003714D1"/>
    <w:rsid w:val="00371BD1"/>
    <w:rsid w:val="00371D7D"/>
    <w:rsid w:val="00372133"/>
    <w:rsid w:val="0037214A"/>
    <w:rsid w:val="00372703"/>
    <w:rsid w:val="003727D1"/>
    <w:rsid w:val="003728C6"/>
    <w:rsid w:val="003728FB"/>
    <w:rsid w:val="00372AB5"/>
    <w:rsid w:val="00372B97"/>
    <w:rsid w:val="00373382"/>
    <w:rsid w:val="00373514"/>
    <w:rsid w:val="00373BA5"/>
    <w:rsid w:val="00373E9A"/>
    <w:rsid w:val="00374B03"/>
    <w:rsid w:val="00374C7C"/>
    <w:rsid w:val="003755D7"/>
    <w:rsid w:val="00376174"/>
    <w:rsid w:val="00376485"/>
    <w:rsid w:val="0037669D"/>
    <w:rsid w:val="0037669F"/>
    <w:rsid w:val="003769A5"/>
    <w:rsid w:val="00376BBF"/>
    <w:rsid w:val="00377008"/>
    <w:rsid w:val="0037749D"/>
    <w:rsid w:val="00377894"/>
    <w:rsid w:val="00380A8C"/>
    <w:rsid w:val="00380C45"/>
    <w:rsid w:val="00380C92"/>
    <w:rsid w:val="0038109C"/>
    <w:rsid w:val="0038114C"/>
    <w:rsid w:val="0038127F"/>
    <w:rsid w:val="003813E8"/>
    <w:rsid w:val="00381508"/>
    <w:rsid w:val="00381D0A"/>
    <w:rsid w:val="00381E7F"/>
    <w:rsid w:val="00381ECA"/>
    <w:rsid w:val="003822F8"/>
    <w:rsid w:val="0038237B"/>
    <w:rsid w:val="00382794"/>
    <w:rsid w:val="00382E55"/>
    <w:rsid w:val="00383128"/>
    <w:rsid w:val="0038370E"/>
    <w:rsid w:val="00383852"/>
    <w:rsid w:val="00383CF1"/>
    <w:rsid w:val="00385451"/>
    <w:rsid w:val="003857C0"/>
    <w:rsid w:val="003859BE"/>
    <w:rsid w:val="0038638B"/>
    <w:rsid w:val="0038723F"/>
    <w:rsid w:val="00387D11"/>
    <w:rsid w:val="003904A0"/>
    <w:rsid w:val="00390591"/>
    <w:rsid w:val="00390842"/>
    <w:rsid w:val="00390DE1"/>
    <w:rsid w:val="00390FE1"/>
    <w:rsid w:val="0039148B"/>
    <w:rsid w:val="00391508"/>
    <w:rsid w:val="00391804"/>
    <w:rsid w:val="00391E67"/>
    <w:rsid w:val="0039205B"/>
    <w:rsid w:val="003923EB"/>
    <w:rsid w:val="00392492"/>
    <w:rsid w:val="00392ADC"/>
    <w:rsid w:val="0039343B"/>
    <w:rsid w:val="0039350D"/>
    <w:rsid w:val="00393CEB"/>
    <w:rsid w:val="003941A5"/>
    <w:rsid w:val="00394D1D"/>
    <w:rsid w:val="0039503B"/>
    <w:rsid w:val="003950BB"/>
    <w:rsid w:val="003952DC"/>
    <w:rsid w:val="00395338"/>
    <w:rsid w:val="00395548"/>
    <w:rsid w:val="003955A1"/>
    <w:rsid w:val="0039577C"/>
    <w:rsid w:val="0039581E"/>
    <w:rsid w:val="00395913"/>
    <w:rsid w:val="003960E8"/>
    <w:rsid w:val="00396210"/>
    <w:rsid w:val="00396297"/>
    <w:rsid w:val="00396771"/>
    <w:rsid w:val="00396883"/>
    <w:rsid w:val="003968E3"/>
    <w:rsid w:val="003968FD"/>
    <w:rsid w:val="003970E8"/>
    <w:rsid w:val="00397409"/>
    <w:rsid w:val="003977DD"/>
    <w:rsid w:val="00397A0B"/>
    <w:rsid w:val="003A082D"/>
    <w:rsid w:val="003A09D5"/>
    <w:rsid w:val="003A0D49"/>
    <w:rsid w:val="003A0E48"/>
    <w:rsid w:val="003A1147"/>
    <w:rsid w:val="003A1897"/>
    <w:rsid w:val="003A1B91"/>
    <w:rsid w:val="003A1BA6"/>
    <w:rsid w:val="003A1FF1"/>
    <w:rsid w:val="003A263C"/>
    <w:rsid w:val="003A2640"/>
    <w:rsid w:val="003A2838"/>
    <w:rsid w:val="003A2AE4"/>
    <w:rsid w:val="003A2AF9"/>
    <w:rsid w:val="003A2B13"/>
    <w:rsid w:val="003A2E5F"/>
    <w:rsid w:val="003A3071"/>
    <w:rsid w:val="003A3146"/>
    <w:rsid w:val="003A3341"/>
    <w:rsid w:val="003A3438"/>
    <w:rsid w:val="003A3445"/>
    <w:rsid w:val="003A3634"/>
    <w:rsid w:val="003A3C77"/>
    <w:rsid w:val="003A418B"/>
    <w:rsid w:val="003A4541"/>
    <w:rsid w:val="003A4602"/>
    <w:rsid w:val="003A4815"/>
    <w:rsid w:val="003A4960"/>
    <w:rsid w:val="003A59D8"/>
    <w:rsid w:val="003A5DB6"/>
    <w:rsid w:val="003A5FC7"/>
    <w:rsid w:val="003A63A0"/>
    <w:rsid w:val="003A65D7"/>
    <w:rsid w:val="003A6898"/>
    <w:rsid w:val="003A6B6F"/>
    <w:rsid w:val="003A7803"/>
    <w:rsid w:val="003A785E"/>
    <w:rsid w:val="003B0153"/>
    <w:rsid w:val="003B02DE"/>
    <w:rsid w:val="003B02F9"/>
    <w:rsid w:val="003B03A5"/>
    <w:rsid w:val="003B04B6"/>
    <w:rsid w:val="003B0A73"/>
    <w:rsid w:val="003B0CA5"/>
    <w:rsid w:val="003B119E"/>
    <w:rsid w:val="003B1742"/>
    <w:rsid w:val="003B1DA2"/>
    <w:rsid w:val="003B29F4"/>
    <w:rsid w:val="003B2ACF"/>
    <w:rsid w:val="003B2C9A"/>
    <w:rsid w:val="003B2D91"/>
    <w:rsid w:val="003B3673"/>
    <w:rsid w:val="003B36E0"/>
    <w:rsid w:val="003B37EB"/>
    <w:rsid w:val="003B3ED9"/>
    <w:rsid w:val="003B418B"/>
    <w:rsid w:val="003B46AB"/>
    <w:rsid w:val="003B4802"/>
    <w:rsid w:val="003B4887"/>
    <w:rsid w:val="003B4B4D"/>
    <w:rsid w:val="003B4BCE"/>
    <w:rsid w:val="003B4C09"/>
    <w:rsid w:val="003B55AB"/>
    <w:rsid w:val="003B5A85"/>
    <w:rsid w:val="003B6061"/>
    <w:rsid w:val="003B6480"/>
    <w:rsid w:val="003B699A"/>
    <w:rsid w:val="003B6C9D"/>
    <w:rsid w:val="003B7783"/>
    <w:rsid w:val="003B77E9"/>
    <w:rsid w:val="003C04A1"/>
    <w:rsid w:val="003C0A59"/>
    <w:rsid w:val="003C0AC0"/>
    <w:rsid w:val="003C0D47"/>
    <w:rsid w:val="003C1432"/>
    <w:rsid w:val="003C157A"/>
    <w:rsid w:val="003C16F3"/>
    <w:rsid w:val="003C1DB9"/>
    <w:rsid w:val="003C1E3D"/>
    <w:rsid w:val="003C28B3"/>
    <w:rsid w:val="003C28BF"/>
    <w:rsid w:val="003C2B23"/>
    <w:rsid w:val="003C2D6A"/>
    <w:rsid w:val="003C3723"/>
    <w:rsid w:val="003C37EE"/>
    <w:rsid w:val="003C3A4A"/>
    <w:rsid w:val="003C3CA7"/>
    <w:rsid w:val="003C3E09"/>
    <w:rsid w:val="003C3E8E"/>
    <w:rsid w:val="003C3F3F"/>
    <w:rsid w:val="003C4297"/>
    <w:rsid w:val="003C4B16"/>
    <w:rsid w:val="003C4C7A"/>
    <w:rsid w:val="003C5305"/>
    <w:rsid w:val="003C5CA1"/>
    <w:rsid w:val="003C6BA1"/>
    <w:rsid w:val="003C6D54"/>
    <w:rsid w:val="003C722B"/>
    <w:rsid w:val="003C7D77"/>
    <w:rsid w:val="003C7E6E"/>
    <w:rsid w:val="003D0326"/>
    <w:rsid w:val="003D07B9"/>
    <w:rsid w:val="003D0B05"/>
    <w:rsid w:val="003D0D98"/>
    <w:rsid w:val="003D130D"/>
    <w:rsid w:val="003D1A0E"/>
    <w:rsid w:val="003D1DBE"/>
    <w:rsid w:val="003D22C9"/>
    <w:rsid w:val="003D23C7"/>
    <w:rsid w:val="003D2A21"/>
    <w:rsid w:val="003D2FB8"/>
    <w:rsid w:val="003D3478"/>
    <w:rsid w:val="003D37D8"/>
    <w:rsid w:val="003D3950"/>
    <w:rsid w:val="003D397E"/>
    <w:rsid w:val="003D3F21"/>
    <w:rsid w:val="003D449A"/>
    <w:rsid w:val="003D4C3F"/>
    <w:rsid w:val="003D4CE9"/>
    <w:rsid w:val="003D4DC3"/>
    <w:rsid w:val="003D4E03"/>
    <w:rsid w:val="003D5E0B"/>
    <w:rsid w:val="003D609F"/>
    <w:rsid w:val="003D6257"/>
    <w:rsid w:val="003D62BF"/>
    <w:rsid w:val="003D631B"/>
    <w:rsid w:val="003D69A1"/>
    <w:rsid w:val="003D6C05"/>
    <w:rsid w:val="003D72D5"/>
    <w:rsid w:val="003D73C4"/>
    <w:rsid w:val="003D75DE"/>
    <w:rsid w:val="003E0074"/>
    <w:rsid w:val="003E0430"/>
    <w:rsid w:val="003E095A"/>
    <w:rsid w:val="003E0A76"/>
    <w:rsid w:val="003E10F0"/>
    <w:rsid w:val="003E12F2"/>
    <w:rsid w:val="003E150D"/>
    <w:rsid w:val="003E1780"/>
    <w:rsid w:val="003E1C2B"/>
    <w:rsid w:val="003E1C55"/>
    <w:rsid w:val="003E1D09"/>
    <w:rsid w:val="003E2068"/>
    <w:rsid w:val="003E2156"/>
    <w:rsid w:val="003E2987"/>
    <w:rsid w:val="003E3B36"/>
    <w:rsid w:val="003E3E81"/>
    <w:rsid w:val="003E43BC"/>
    <w:rsid w:val="003E4523"/>
    <w:rsid w:val="003E4A64"/>
    <w:rsid w:val="003E4F5A"/>
    <w:rsid w:val="003E4FAC"/>
    <w:rsid w:val="003E5994"/>
    <w:rsid w:val="003E6599"/>
    <w:rsid w:val="003E660D"/>
    <w:rsid w:val="003E666C"/>
    <w:rsid w:val="003E6929"/>
    <w:rsid w:val="003E6E24"/>
    <w:rsid w:val="003E70B2"/>
    <w:rsid w:val="003E71BB"/>
    <w:rsid w:val="003E773C"/>
    <w:rsid w:val="003F0060"/>
    <w:rsid w:val="003F068D"/>
    <w:rsid w:val="003F0C18"/>
    <w:rsid w:val="003F0ED9"/>
    <w:rsid w:val="003F1401"/>
    <w:rsid w:val="003F1650"/>
    <w:rsid w:val="003F1C3F"/>
    <w:rsid w:val="003F2047"/>
    <w:rsid w:val="003F2178"/>
    <w:rsid w:val="003F24A0"/>
    <w:rsid w:val="003F2BB4"/>
    <w:rsid w:val="003F2E14"/>
    <w:rsid w:val="003F31E0"/>
    <w:rsid w:val="003F3AC3"/>
    <w:rsid w:val="003F3F29"/>
    <w:rsid w:val="003F41D8"/>
    <w:rsid w:val="003F467C"/>
    <w:rsid w:val="003F55E5"/>
    <w:rsid w:val="003F5925"/>
    <w:rsid w:val="003F5ABD"/>
    <w:rsid w:val="003F5C1E"/>
    <w:rsid w:val="003F5C9B"/>
    <w:rsid w:val="003F61AB"/>
    <w:rsid w:val="003F6530"/>
    <w:rsid w:val="003F6AC0"/>
    <w:rsid w:val="003F6E08"/>
    <w:rsid w:val="003F7637"/>
    <w:rsid w:val="003F78CB"/>
    <w:rsid w:val="003F7E33"/>
    <w:rsid w:val="003F7F9E"/>
    <w:rsid w:val="004010E0"/>
    <w:rsid w:val="00401899"/>
    <w:rsid w:val="00401F52"/>
    <w:rsid w:val="00401F8B"/>
    <w:rsid w:val="004020E6"/>
    <w:rsid w:val="00402B00"/>
    <w:rsid w:val="00402BF2"/>
    <w:rsid w:val="00402C44"/>
    <w:rsid w:val="00403D3C"/>
    <w:rsid w:val="00404179"/>
    <w:rsid w:val="00404240"/>
    <w:rsid w:val="00404716"/>
    <w:rsid w:val="00404867"/>
    <w:rsid w:val="00404A29"/>
    <w:rsid w:val="00404AC0"/>
    <w:rsid w:val="004050BC"/>
    <w:rsid w:val="00405491"/>
    <w:rsid w:val="004059C8"/>
    <w:rsid w:val="00405EC7"/>
    <w:rsid w:val="00406214"/>
    <w:rsid w:val="004064B5"/>
    <w:rsid w:val="00406D8F"/>
    <w:rsid w:val="004071B4"/>
    <w:rsid w:val="0040773C"/>
    <w:rsid w:val="00407BDD"/>
    <w:rsid w:val="00410169"/>
    <w:rsid w:val="0041054F"/>
    <w:rsid w:val="004105A5"/>
    <w:rsid w:val="00410B46"/>
    <w:rsid w:val="00410D18"/>
    <w:rsid w:val="00410DD4"/>
    <w:rsid w:val="00410F6C"/>
    <w:rsid w:val="00411D66"/>
    <w:rsid w:val="00411EF7"/>
    <w:rsid w:val="0041200C"/>
    <w:rsid w:val="0041207C"/>
    <w:rsid w:val="00412799"/>
    <w:rsid w:val="00412BC1"/>
    <w:rsid w:val="004130EB"/>
    <w:rsid w:val="00413164"/>
    <w:rsid w:val="00413990"/>
    <w:rsid w:val="0041399B"/>
    <w:rsid w:val="00413A2C"/>
    <w:rsid w:val="00413C6D"/>
    <w:rsid w:val="00413C74"/>
    <w:rsid w:val="00413F4E"/>
    <w:rsid w:val="00414A0B"/>
    <w:rsid w:val="004152D8"/>
    <w:rsid w:val="00415545"/>
    <w:rsid w:val="00415CC3"/>
    <w:rsid w:val="00416654"/>
    <w:rsid w:val="004166E1"/>
    <w:rsid w:val="00416F1A"/>
    <w:rsid w:val="00417279"/>
    <w:rsid w:val="0041727A"/>
    <w:rsid w:val="004173A0"/>
    <w:rsid w:val="0041744E"/>
    <w:rsid w:val="004175CE"/>
    <w:rsid w:val="00417616"/>
    <w:rsid w:val="00417ED7"/>
    <w:rsid w:val="00417EE6"/>
    <w:rsid w:val="004202C2"/>
    <w:rsid w:val="0042125A"/>
    <w:rsid w:val="00421325"/>
    <w:rsid w:val="004225DF"/>
    <w:rsid w:val="00422811"/>
    <w:rsid w:val="00422E4E"/>
    <w:rsid w:val="00422F57"/>
    <w:rsid w:val="00423103"/>
    <w:rsid w:val="00423AD6"/>
    <w:rsid w:val="00423CDE"/>
    <w:rsid w:val="00423EB5"/>
    <w:rsid w:val="00424471"/>
    <w:rsid w:val="00424958"/>
    <w:rsid w:val="0042505A"/>
    <w:rsid w:val="00425710"/>
    <w:rsid w:val="00425B0F"/>
    <w:rsid w:val="00425BEE"/>
    <w:rsid w:val="00425C98"/>
    <w:rsid w:val="00426447"/>
    <w:rsid w:val="00426DD2"/>
    <w:rsid w:val="00426ECF"/>
    <w:rsid w:val="00427528"/>
    <w:rsid w:val="00427AF0"/>
    <w:rsid w:val="00427DD7"/>
    <w:rsid w:val="00427ED8"/>
    <w:rsid w:val="00427EE9"/>
    <w:rsid w:val="00427F03"/>
    <w:rsid w:val="0043026E"/>
    <w:rsid w:val="004303F1"/>
    <w:rsid w:val="00430D93"/>
    <w:rsid w:val="004319B2"/>
    <w:rsid w:val="00431BE2"/>
    <w:rsid w:val="00431F25"/>
    <w:rsid w:val="0043236A"/>
    <w:rsid w:val="00432405"/>
    <w:rsid w:val="00432856"/>
    <w:rsid w:val="00432A39"/>
    <w:rsid w:val="004331A3"/>
    <w:rsid w:val="004333A9"/>
    <w:rsid w:val="004333CA"/>
    <w:rsid w:val="0043350D"/>
    <w:rsid w:val="00433E4F"/>
    <w:rsid w:val="00433F48"/>
    <w:rsid w:val="00434107"/>
    <w:rsid w:val="0043470A"/>
    <w:rsid w:val="004347A3"/>
    <w:rsid w:val="0043511D"/>
    <w:rsid w:val="00435524"/>
    <w:rsid w:val="004358AB"/>
    <w:rsid w:val="00435945"/>
    <w:rsid w:val="00435F81"/>
    <w:rsid w:val="0043664F"/>
    <w:rsid w:val="00436762"/>
    <w:rsid w:val="004368D1"/>
    <w:rsid w:val="00436B32"/>
    <w:rsid w:val="00436FDE"/>
    <w:rsid w:val="0043728D"/>
    <w:rsid w:val="004372B0"/>
    <w:rsid w:val="004374A5"/>
    <w:rsid w:val="00437B1F"/>
    <w:rsid w:val="00437D4D"/>
    <w:rsid w:val="004400F6"/>
    <w:rsid w:val="004401FA"/>
    <w:rsid w:val="004401FD"/>
    <w:rsid w:val="00440456"/>
    <w:rsid w:val="00440732"/>
    <w:rsid w:val="00440886"/>
    <w:rsid w:val="00440D6F"/>
    <w:rsid w:val="0044106D"/>
    <w:rsid w:val="00441153"/>
    <w:rsid w:val="004415FF"/>
    <w:rsid w:val="00441735"/>
    <w:rsid w:val="00441863"/>
    <w:rsid w:val="004418A8"/>
    <w:rsid w:val="00441B84"/>
    <w:rsid w:val="00441FB0"/>
    <w:rsid w:val="00442537"/>
    <w:rsid w:val="0044287F"/>
    <w:rsid w:val="00442ECF"/>
    <w:rsid w:val="0044329E"/>
    <w:rsid w:val="00443313"/>
    <w:rsid w:val="004438DA"/>
    <w:rsid w:val="00443A11"/>
    <w:rsid w:val="00443AA6"/>
    <w:rsid w:val="00443E9E"/>
    <w:rsid w:val="00444BDD"/>
    <w:rsid w:val="00444EDB"/>
    <w:rsid w:val="0044554C"/>
    <w:rsid w:val="00445890"/>
    <w:rsid w:val="004458BC"/>
    <w:rsid w:val="004459C3"/>
    <w:rsid w:val="00445D1C"/>
    <w:rsid w:val="00445E4F"/>
    <w:rsid w:val="004463BD"/>
    <w:rsid w:val="004464E1"/>
    <w:rsid w:val="00446A52"/>
    <w:rsid w:val="00446AFE"/>
    <w:rsid w:val="00446D70"/>
    <w:rsid w:val="00447050"/>
    <w:rsid w:val="00447401"/>
    <w:rsid w:val="004477E6"/>
    <w:rsid w:val="0045021C"/>
    <w:rsid w:val="00450395"/>
    <w:rsid w:val="00450600"/>
    <w:rsid w:val="00450832"/>
    <w:rsid w:val="004512EE"/>
    <w:rsid w:val="00451630"/>
    <w:rsid w:val="00451CEA"/>
    <w:rsid w:val="00451EEF"/>
    <w:rsid w:val="00451F28"/>
    <w:rsid w:val="00451F99"/>
    <w:rsid w:val="004524C8"/>
    <w:rsid w:val="00452891"/>
    <w:rsid w:val="00452B04"/>
    <w:rsid w:val="00452C9F"/>
    <w:rsid w:val="00453382"/>
    <w:rsid w:val="0045350F"/>
    <w:rsid w:val="00453594"/>
    <w:rsid w:val="004536A1"/>
    <w:rsid w:val="00453F07"/>
    <w:rsid w:val="0045403C"/>
    <w:rsid w:val="00454A99"/>
    <w:rsid w:val="00454B04"/>
    <w:rsid w:val="00454E42"/>
    <w:rsid w:val="0045519E"/>
    <w:rsid w:val="0045541C"/>
    <w:rsid w:val="0045633B"/>
    <w:rsid w:val="00456829"/>
    <w:rsid w:val="004569EC"/>
    <w:rsid w:val="00456F03"/>
    <w:rsid w:val="004571FA"/>
    <w:rsid w:val="00457230"/>
    <w:rsid w:val="0045742A"/>
    <w:rsid w:val="004574C7"/>
    <w:rsid w:val="004576A4"/>
    <w:rsid w:val="0045779E"/>
    <w:rsid w:val="00460030"/>
    <w:rsid w:val="004602BB"/>
    <w:rsid w:val="00460682"/>
    <w:rsid w:val="004608FA"/>
    <w:rsid w:val="00460AF0"/>
    <w:rsid w:val="00460B82"/>
    <w:rsid w:val="004612E2"/>
    <w:rsid w:val="0046183A"/>
    <w:rsid w:val="00461B4A"/>
    <w:rsid w:val="0046225B"/>
    <w:rsid w:val="004627ED"/>
    <w:rsid w:val="00462948"/>
    <w:rsid w:val="00462BAC"/>
    <w:rsid w:val="00462D4F"/>
    <w:rsid w:val="00462E3F"/>
    <w:rsid w:val="00463738"/>
    <w:rsid w:val="00463D96"/>
    <w:rsid w:val="00463DA5"/>
    <w:rsid w:val="00463E85"/>
    <w:rsid w:val="00464E50"/>
    <w:rsid w:val="004650CB"/>
    <w:rsid w:val="004651E9"/>
    <w:rsid w:val="00465500"/>
    <w:rsid w:val="00465568"/>
    <w:rsid w:val="004655EA"/>
    <w:rsid w:val="004656DC"/>
    <w:rsid w:val="0046570B"/>
    <w:rsid w:val="00465717"/>
    <w:rsid w:val="004657FF"/>
    <w:rsid w:val="004658E0"/>
    <w:rsid w:val="00465A88"/>
    <w:rsid w:val="004667B5"/>
    <w:rsid w:val="00466CF7"/>
    <w:rsid w:val="00466EE8"/>
    <w:rsid w:val="00467B8C"/>
    <w:rsid w:val="00467D7E"/>
    <w:rsid w:val="00470126"/>
    <w:rsid w:val="004701E2"/>
    <w:rsid w:val="00470456"/>
    <w:rsid w:val="004709F4"/>
    <w:rsid w:val="004719DC"/>
    <w:rsid w:val="004729DA"/>
    <w:rsid w:val="004732AB"/>
    <w:rsid w:val="004732CF"/>
    <w:rsid w:val="004733DE"/>
    <w:rsid w:val="004734EB"/>
    <w:rsid w:val="004737A3"/>
    <w:rsid w:val="004737EC"/>
    <w:rsid w:val="00473927"/>
    <w:rsid w:val="00473B3A"/>
    <w:rsid w:val="00473C83"/>
    <w:rsid w:val="00474775"/>
    <w:rsid w:val="00474C58"/>
    <w:rsid w:val="00474CE1"/>
    <w:rsid w:val="00474FB1"/>
    <w:rsid w:val="004751FC"/>
    <w:rsid w:val="00475508"/>
    <w:rsid w:val="0047570B"/>
    <w:rsid w:val="00475B89"/>
    <w:rsid w:val="00475E40"/>
    <w:rsid w:val="00475F1E"/>
    <w:rsid w:val="0047606B"/>
    <w:rsid w:val="0047646C"/>
    <w:rsid w:val="00476644"/>
    <w:rsid w:val="00476A5E"/>
    <w:rsid w:val="00476AE5"/>
    <w:rsid w:val="00476D15"/>
    <w:rsid w:val="00477361"/>
    <w:rsid w:val="004773C9"/>
    <w:rsid w:val="00477DF3"/>
    <w:rsid w:val="00480064"/>
    <w:rsid w:val="0048049F"/>
    <w:rsid w:val="00480522"/>
    <w:rsid w:val="0048068C"/>
    <w:rsid w:val="004806F1"/>
    <w:rsid w:val="0048073B"/>
    <w:rsid w:val="00480ADD"/>
    <w:rsid w:val="00480BE1"/>
    <w:rsid w:val="00480D7E"/>
    <w:rsid w:val="00480EED"/>
    <w:rsid w:val="00481331"/>
    <w:rsid w:val="004818C8"/>
    <w:rsid w:val="00481AB4"/>
    <w:rsid w:val="00482268"/>
    <w:rsid w:val="00482585"/>
    <w:rsid w:val="004827AE"/>
    <w:rsid w:val="00482E6D"/>
    <w:rsid w:val="00483109"/>
    <w:rsid w:val="004835A9"/>
    <w:rsid w:val="00483824"/>
    <w:rsid w:val="0048435A"/>
    <w:rsid w:val="004843FB"/>
    <w:rsid w:val="00484A1C"/>
    <w:rsid w:val="004850A3"/>
    <w:rsid w:val="00485389"/>
    <w:rsid w:val="004859A6"/>
    <w:rsid w:val="00485DB1"/>
    <w:rsid w:val="00485FCF"/>
    <w:rsid w:val="0048657F"/>
    <w:rsid w:val="004866B5"/>
    <w:rsid w:val="00486803"/>
    <w:rsid w:val="0048691A"/>
    <w:rsid w:val="00486A19"/>
    <w:rsid w:val="00487153"/>
    <w:rsid w:val="0048717E"/>
    <w:rsid w:val="004872CC"/>
    <w:rsid w:val="00487D8C"/>
    <w:rsid w:val="00487F6F"/>
    <w:rsid w:val="00487F75"/>
    <w:rsid w:val="004904C5"/>
    <w:rsid w:val="00490BCF"/>
    <w:rsid w:val="00490E70"/>
    <w:rsid w:val="00491038"/>
    <w:rsid w:val="00491620"/>
    <w:rsid w:val="004919C7"/>
    <w:rsid w:val="00491C53"/>
    <w:rsid w:val="00492507"/>
    <w:rsid w:val="004926C5"/>
    <w:rsid w:val="0049292E"/>
    <w:rsid w:val="00493387"/>
    <w:rsid w:val="004937AF"/>
    <w:rsid w:val="00493C98"/>
    <w:rsid w:val="004940E2"/>
    <w:rsid w:val="00494401"/>
    <w:rsid w:val="004946EC"/>
    <w:rsid w:val="00494C2B"/>
    <w:rsid w:val="00494C81"/>
    <w:rsid w:val="00495026"/>
    <w:rsid w:val="004951ED"/>
    <w:rsid w:val="0049544C"/>
    <w:rsid w:val="004958E6"/>
    <w:rsid w:val="00495955"/>
    <w:rsid w:val="00495BA0"/>
    <w:rsid w:val="0049600F"/>
    <w:rsid w:val="00496B97"/>
    <w:rsid w:val="00497008"/>
    <w:rsid w:val="004974DB"/>
    <w:rsid w:val="0049751F"/>
    <w:rsid w:val="004A02E9"/>
    <w:rsid w:val="004A0424"/>
    <w:rsid w:val="004A04EF"/>
    <w:rsid w:val="004A06BA"/>
    <w:rsid w:val="004A1150"/>
    <w:rsid w:val="004A16DE"/>
    <w:rsid w:val="004A17B7"/>
    <w:rsid w:val="004A1927"/>
    <w:rsid w:val="004A1928"/>
    <w:rsid w:val="004A2076"/>
    <w:rsid w:val="004A272D"/>
    <w:rsid w:val="004A2858"/>
    <w:rsid w:val="004A2ACD"/>
    <w:rsid w:val="004A2E31"/>
    <w:rsid w:val="004A337C"/>
    <w:rsid w:val="004A34D8"/>
    <w:rsid w:val="004A3957"/>
    <w:rsid w:val="004A3EC0"/>
    <w:rsid w:val="004A4110"/>
    <w:rsid w:val="004A42F1"/>
    <w:rsid w:val="004A434E"/>
    <w:rsid w:val="004A4637"/>
    <w:rsid w:val="004A4B18"/>
    <w:rsid w:val="004A4D7C"/>
    <w:rsid w:val="004A4EC5"/>
    <w:rsid w:val="004A4F8E"/>
    <w:rsid w:val="004A5060"/>
    <w:rsid w:val="004A54E3"/>
    <w:rsid w:val="004A597B"/>
    <w:rsid w:val="004A63A8"/>
    <w:rsid w:val="004A65DF"/>
    <w:rsid w:val="004A65E0"/>
    <w:rsid w:val="004A69A4"/>
    <w:rsid w:val="004A6A8D"/>
    <w:rsid w:val="004A7A36"/>
    <w:rsid w:val="004A7F14"/>
    <w:rsid w:val="004B01FE"/>
    <w:rsid w:val="004B0471"/>
    <w:rsid w:val="004B081C"/>
    <w:rsid w:val="004B086D"/>
    <w:rsid w:val="004B09CB"/>
    <w:rsid w:val="004B0D8D"/>
    <w:rsid w:val="004B1598"/>
    <w:rsid w:val="004B2094"/>
    <w:rsid w:val="004B23CC"/>
    <w:rsid w:val="004B2B7B"/>
    <w:rsid w:val="004B2F23"/>
    <w:rsid w:val="004B32AB"/>
    <w:rsid w:val="004B4856"/>
    <w:rsid w:val="004B494B"/>
    <w:rsid w:val="004B4D3C"/>
    <w:rsid w:val="004B5158"/>
    <w:rsid w:val="004B51BD"/>
    <w:rsid w:val="004B5A02"/>
    <w:rsid w:val="004B6336"/>
    <w:rsid w:val="004B645B"/>
    <w:rsid w:val="004B6847"/>
    <w:rsid w:val="004B72C3"/>
    <w:rsid w:val="004B7734"/>
    <w:rsid w:val="004B7AE6"/>
    <w:rsid w:val="004C0319"/>
    <w:rsid w:val="004C03E3"/>
    <w:rsid w:val="004C078B"/>
    <w:rsid w:val="004C0C0D"/>
    <w:rsid w:val="004C1685"/>
    <w:rsid w:val="004C1A6D"/>
    <w:rsid w:val="004C1AF4"/>
    <w:rsid w:val="004C211B"/>
    <w:rsid w:val="004C217D"/>
    <w:rsid w:val="004C24F1"/>
    <w:rsid w:val="004C292C"/>
    <w:rsid w:val="004C2CC8"/>
    <w:rsid w:val="004C3DFA"/>
    <w:rsid w:val="004C3EB3"/>
    <w:rsid w:val="004C404C"/>
    <w:rsid w:val="004C4281"/>
    <w:rsid w:val="004C4978"/>
    <w:rsid w:val="004C4A45"/>
    <w:rsid w:val="004C4AAD"/>
    <w:rsid w:val="004C4B33"/>
    <w:rsid w:val="004C5216"/>
    <w:rsid w:val="004C532D"/>
    <w:rsid w:val="004C53C8"/>
    <w:rsid w:val="004C5970"/>
    <w:rsid w:val="004C5BD6"/>
    <w:rsid w:val="004C619B"/>
    <w:rsid w:val="004C6D4D"/>
    <w:rsid w:val="004C701D"/>
    <w:rsid w:val="004C72E4"/>
    <w:rsid w:val="004C764F"/>
    <w:rsid w:val="004C7CC2"/>
    <w:rsid w:val="004D04BB"/>
    <w:rsid w:val="004D0A3A"/>
    <w:rsid w:val="004D0B25"/>
    <w:rsid w:val="004D0C71"/>
    <w:rsid w:val="004D0D92"/>
    <w:rsid w:val="004D163F"/>
    <w:rsid w:val="004D1DB9"/>
    <w:rsid w:val="004D22A8"/>
    <w:rsid w:val="004D266D"/>
    <w:rsid w:val="004D2792"/>
    <w:rsid w:val="004D27B1"/>
    <w:rsid w:val="004D2DD8"/>
    <w:rsid w:val="004D2E0D"/>
    <w:rsid w:val="004D2EB1"/>
    <w:rsid w:val="004D3F1E"/>
    <w:rsid w:val="004D4AA8"/>
    <w:rsid w:val="004D4F33"/>
    <w:rsid w:val="004D50F5"/>
    <w:rsid w:val="004D52B2"/>
    <w:rsid w:val="004D5656"/>
    <w:rsid w:val="004D5CB9"/>
    <w:rsid w:val="004D6426"/>
    <w:rsid w:val="004D6B5E"/>
    <w:rsid w:val="004D6FF1"/>
    <w:rsid w:val="004D7591"/>
    <w:rsid w:val="004D7CA0"/>
    <w:rsid w:val="004D7D0B"/>
    <w:rsid w:val="004E0405"/>
    <w:rsid w:val="004E0898"/>
    <w:rsid w:val="004E2018"/>
    <w:rsid w:val="004E20CC"/>
    <w:rsid w:val="004E2132"/>
    <w:rsid w:val="004E2166"/>
    <w:rsid w:val="004E2326"/>
    <w:rsid w:val="004E30E3"/>
    <w:rsid w:val="004E32A8"/>
    <w:rsid w:val="004E4295"/>
    <w:rsid w:val="004E48BB"/>
    <w:rsid w:val="004E4C39"/>
    <w:rsid w:val="004E502D"/>
    <w:rsid w:val="004E508B"/>
    <w:rsid w:val="004E5384"/>
    <w:rsid w:val="004E5B33"/>
    <w:rsid w:val="004E5BA3"/>
    <w:rsid w:val="004E65C9"/>
    <w:rsid w:val="004E66F3"/>
    <w:rsid w:val="004E67F7"/>
    <w:rsid w:val="004E67FE"/>
    <w:rsid w:val="004E71F9"/>
    <w:rsid w:val="004E7264"/>
    <w:rsid w:val="004E7601"/>
    <w:rsid w:val="004E7802"/>
    <w:rsid w:val="004E79F7"/>
    <w:rsid w:val="004E7D1D"/>
    <w:rsid w:val="004F01CF"/>
    <w:rsid w:val="004F0592"/>
    <w:rsid w:val="004F0B2F"/>
    <w:rsid w:val="004F0D86"/>
    <w:rsid w:val="004F1745"/>
    <w:rsid w:val="004F1821"/>
    <w:rsid w:val="004F1BA6"/>
    <w:rsid w:val="004F1E17"/>
    <w:rsid w:val="004F21E0"/>
    <w:rsid w:val="004F23BA"/>
    <w:rsid w:val="004F281A"/>
    <w:rsid w:val="004F2BB9"/>
    <w:rsid w:val="004F2D91"/>
    <w:rsid w:val="004F3650"/>
    <w:rsid w:val="004F3924"/>
    <w:rsid w:val="004F3A45"/>
    <w:rsid w:val="004F3DFD"/>
    <w:rsid w:val="004F3E65"/>
    <w:rsid w:val="004F4434"/>
    <w:rsid w:val="004F6BE7"/>
    <w:rsid w:val="004F6D3A"/>
    <w:rsid w:val="004F6ECF"/>
    <w:rsid w:val="004F71BC"/>
    <w:rsid w:val="004F7CA3"/>
    <w:rsid w:val="004F7D15"/>
    <w:rsid w:val="00500455"/>
    <w:rsid w:val="00500B4F"/>
    <w:rsid w:val="00500EA7"/>
    <w:rsid w:val="00501054"/>
    <w:rsid w:val="005010E6"/>
    <w:rsid w:val="00501268"/>
    <w:rsid w:val="0050147D"/>
    <w:rsid w:val="005016B7"/>
    <w:rsid w:val="0050191C"/>
    <w:rsid w:val="00502644"/>
    <w:rsid w:val="005027AF"/>
    <w:rsid w:val="00502A18"/>
    <w:rsid w:val="00502B03"/>
    <w:rsid w:val="00502BE1"/>
    <w:rsid w:val="0050441E"/>
    <w:rsid w:val="00504494"/>
    <w:rsid w:val="00504579"/>
    <w:rsid w:val="005045D3"/>
    <w:rsid w:val="0050477A"/>
    <w:rsid w:val="005060E4"/>
    <w:rsid w:val="005061B9"/>
    <w:rsid w:val="0050628A"/>
    <w:rsid w:val="00506677"/>
    <w:rsid w:val="0050683A"/>
    <w:rsid w:val="00506AD8"/>
    <w:rsid w:val="00506BAA"/>
    <w:rsid w:val="00506F06"/>
    <w:rsid w:val="005102AB"/>
    <w:rsid w:val="0051050E"/>
    <w:rsid w:val="00510965"/>
    <w:rsid w:val="00510A82"/>
    <w:rsid w:val="0051120E"/>
    <w:rsid w:val="005114B6"/>
    <w:rsid w:val="005117FA"/>
    <w:rsid w:val="00511BAC"/>
    <w:rsid w:val="00512B9C"/>
    <w:rsid w:val="00513144"/>
    <w:rsid w:val="005134B8"/>
    <w:rsid w:val="0051375A"/>
    <w:rsid w:val="005138FB"/>
    <w:rsid w:val="005139AF"/>
    <w:rsid w:val="005145F7"/>
    <w:rsid w:val="005147B9"/>
    <w:rsid w:val="00514B0A"/>
    <w:rsid w:val="0051556A"/>
    <w:rsid w:val="005158E1"/>
    <w:rsid w:val="00515A87"/>
    <w:rsid w:val="00515E43"/>
    <w:rsid w:val="00516E31"/>
    <w:rsid w:val="0051761D"/>
    <w:rsid w:val="00517653"/>
    <w:rsid w:val="00517E1B"/>
    <w:rsid w:val="00517EA3"/>
    <w:rsid w:val="005203DF"/>
    <w:rsid w:val="005203E9"/>
    <w:rsid w:val="00520494"/>
    <w:rsid w:val="005204F7"/>
    <w:rsid w:val="00520816"/>
    <w:rsid w:val="00520A0B"/>
    <w:rsid w:val="005212A9"/>
    <w:rsid w:val="005212E7"/>
    <w:rsid w:val="00521461"/>
    <w:rsid w:val="005219F7"/>
    <w:rsid w:val="00521BE5"/>
    <w:rsid w:val="00521D71"/>
    <w:rsid w:val="00522275"/>
    <w:rsid w:val="005222CA"/>
    <w:rsid w:val="00522839"/>
    <w:rsid w:val="0052326D"/>
    <w:rsid w:val="00523418"/>
    <w:rsid w:val="00523633"/>
    <w:rsid w:val="00523F4D"/>
    <w:rsid w:val="00524155"/>
    <w:rsid w:val="00524216"/>
    <w:rsid w:val="00524A86"/>
    <w:rsid w:val="00524B52"/>
    <w:rsid w:val="00524CCD"/>
    <w:rsid w:val="005251C8"/>
    <w:rsid w:val="00525843"/>
    <w:rsid w:val="00525AA5"/>
    <w:rsid w:val="00525CB1"/>
    <w:rsid w:val="00525ED8"/>
    <w:rsid w:val="00525F82"/>
    <w:rsid w:val="00526D92"/>
    <w:rsid w:val="00526DD1"/>
    <w:rsid w:val="005272E3"/>
    <w:rsid w:val="005277A8"/>
    <w:rsid w:val="00527A5F"/>
    <w:rsid w:val="00530166"/>
    <w:rsid w:val="00530398"/>
    <w:rsid w:val="00530608"/>
    <w:rsid w:val="00530A32"/>
    <w:rsid w:val="00530AD5"/>
    <w:rsid w:val="005313A0"/>
    <w:rsid w:val="0053223E"/>
    <w:rsid w:val="0053258A"/>
    <w:rsid w:val="00532C0C"/>
    <w:rsid w:val="00532D4F"/>
    <w:rsid w:val="00532DB3"/>
    <w:rsid w:val="00533027"/>
    <w:rsid w:val="00533125"/>
    <w:rsid w:val="005332BD"/>
    <w:rsid w:val="005333EE"/>
    <w:rsid w:val="0053344D"/>
    <w:rsid w:val="00534560"/>
    <w:rsid w:val="0053530A"/>
    <w:rsid w:val="0053566A"/>
    <w:rsid w:val="00535A4D"/>
    <w:rsid w:val="00536120"/>
    <w:rsid w:val="005362EE"/>
    <w:rsid w:val="00536495"/>
    <w:rsid w:val="0053677D"/>
    <w:rsid w:val="0053697E"/>
    <w:rsid w:val="00536A33"/>
    <w:rsid w:val="00536AFB"/>
    <w:rsid w:val="00537173"/>
    <w:rsid w:val="005373FA"/>
    <w:rsid w:val="005375D4"/>
    <w:rsid w:val="00537CF8"/>
    <w:rsid w:val="00537FE7"/>
    <w:rsid w:val="00540009"/>
    <w:rsid w:val="0054061B"/>
    <w:rsid w:val="00540CEA"/>
    <w:rsid w:val="0054100C"/>
    <w:rsid w:val="005410CC"/>
    <w:rsid w:val="00541339"/>
    <w:rsid w:val="00541988"/>
    <w:rsid w:val="00541DC8"/>
    <w:rsid w:val="0054216E"/>
    <w:rsid w:val="00542624"/>
    <w:rsid w:val="00542D64"/>
    <w:rsid w:val="00542DBB"/>
    <w:rsid w:val="00543037"/>
    <w:rsid w:val="005430D5"/>
    <w:rsid w:val="00543289"/>
    <w:rsid w:val="00543580"/>
    <w:rsid w:val="005438CF"/>
    <w:rsid w:val="005439B5"/>
    <w:rsid w:val="00543E5D"/>
    <w:rsid w:val="00543F7D"/>
    <w:rsid w:val="00544191"/>
    <w:rsid w:val="00544281"/>
    <w:rsid w:val="005443A1"/>
    <w:rsid w:val="00544715"/>
    <w:rsid w:val="00544BE4"/>
    <w:rsid w:val="00544DB4"/>
    <w:rsid w:val="00545561"/>
    <w:rsid w:val="00545589"/>
    <w:rsid w:val="00545A62"/>
    <w:rsid w:val="00545B01"/>
    <w:rsid w:val="00545D91"/>
    <w:rsid w:val="00546595"/>
    <w:rsid w:val="005467EA"/>
    <w:rsid w:val="00546910"/>
    <w:rsid w:val="00546B4D"/>
    <w:rsid w:val="00546C75"/>
    <w:rsid w:val="00546C9F"/>
    <w:rsid w:val="00546EE2"/>
    <w:rsid w:val="0054714E"/>
    <w:rsid w:val="00547A07"/>
    <w:rsid w:val="00547E03"/>
    <w:rsid w:val="00550B5D"/>
    <w:rsid w:val="005511B0"/>
    <w:rsid w:val="0055146E"/>
    <w:rsid w:val="0055165D"/>
    <w:rsid w:val="00551A86"/>
    <w:rsid w:val="00551C20"/>
    <w:rsid w:val="00551F36"/>
    <w:rsid w:val="00551F9A"/>
    <w:rsid w:val="00552062"/>
    <w:rsid w:val="005528A9"/>
    <w:rsid w:val="005528C4"/>
    <w:rsid w:val="00552A52"/>
    <w:rsid w:val="00552D1A"/>
    <w:rsid w:val="005530CB"/>
    <w:rsid w:val="005531BB"/>
    <w:rsid w:val="005536EE"/>
    <w:rsid w:val="00553A06"/>
    <w:rsid w:val="00553C8D"/>
    <w:rsid w:val="00554182"/>
    <w:rsid w:val="0055488F"/>
    <w:rsid w:val="005549F2"/>
    <w:rsid w:val="00554E28"/>
    <w:rsid w:val="00554E8D"/>
    <w:rsid w:val="00554E9F"/>
    <w:rsid w:val="00555AC1"/>
    <w:rsid w:val="00555BC9"/>
    <w:rsid w:val="00555D3D"/>
    <w:rsid w:val="005561F8"/>
    <w:rsid w:val="005568EE"/>
    <w:rsid w:val="00556A40"/>
    <w:rsid w:val="00556B72"/>
    <w:rsid w:val="00556B92"/>
    <w:rsid w:val="00557ADF"/>
    <w:rsid w:val="00557CA8"/>
    <w:rsid w:val="00557EBF"/>
    <w:rsid w:val="00557FB0"/>
    <w:rsid w:val="0056033D"/>
    <w:rsid w:val="005608E8"/>
    <w:rsid w:val="00560B10"/>
    <w:rsid w:val="00561B1B"/>
    <w:rsid w:val="00561B27"/>
    <w:rsid w:val="00561D11"/>
    <w:rsid w:val="00562053"/>
    <w:rsid w:val="005635DC"/>
    <w:rsid w:val="005639C6"/>
    <w:rsid w:val="00563FDE"/>
    <w:rsid w:val="005640D4"/>
    <w:rsid w:val="00564672"/>
    <w:rsid w:val="005646ED"/>
    <w:rsid w:val="00564974"/>
    <w:rsid w:val="00564983"/>
    <w:rsid w:val="00564BBE"/>
    <w:rsid w:val="00564BDD"/>
    <w:rsid w:val="00564BF3"/>
    <w:rsid w:val="00564C88"/>
    <w:rsid w:val="00564EBB"/>
    <w:rsid w:val="00565083"/>
    <w:rsid w:val="0056537D"/>
    <w:rsid w:val="005666A1"/>
    <w:rsid w:val="00566BAF"/>
    <w:rsid w:val="00567422"/>
    <w:rsid w:val="00567AC6"/>
    <w:rsid w:val="00570268"/>
    <w:rsid w:val="00570424"/>
    <w:rsid w:val="00570C57"/>
    <w:rsid w:val="00570F4A"/>
    <w:rsid w:val="00571056"/>
    <w:rsid w:val="00571090"/>
    <w:rsid w:val="00571A9F"/>
    <w:rsid w:val="00571AE4"/>
    <w:rsid w:val="005721F9"/>
    <w:rsid w:val="005727DC"/>
    <w:rsid w:val="00572A7F"/>
    <w:rsid w:val="00572DCC"/>
    <w:rsid w:val="00572F4D"/>
    <w:rsid w:val="00573F70"/>
    <w:rsid w:val="0057428B"/>
    <w:rsid w:val="005743D9"/>
    <w:rsid w:val="00574C17"/>
    <w:rsid w:val="0057599F"/>
    <w:rsid w:val="00575A6F"/>
    <w:rsid w:val="005769F4"/>
    <w:rsid w:val="005769F6"/>
    <w:rsid w:val="00576C3E"/>
    <w:rsid w:val="0057717B"/>
    <w:rsid w:val="005772BC"/>
    <w:rsid w:val="005772F8"/>
    <w:rsid w:val="0057779E"/>
    <w:rsid w:val="00577CF9"/>
    <w:rsid w:val="005804EA"/>
    <w:rsid w:val="005814E2"/>
    <w:rsid w:val="00581900"/>
    <w:rsid w:val="00581A22"/>
    <w:rsid w:val="00581C81"/>
    <w:rsid w:val="00581F9C"/>
    <w:rsid w:val="00581F9D"/>
    <w:rsid w:val="005821D0"/>
    <w:rsid w:val="005828AC"/>
    <w:rsid w:val="00582A0E"/>
    <w:rsid w:val="00582D33"/>
    <w:rsid w:val="00583092"/>
    <w:rsid w:val="0058366A"/>
    <w:rsid w:val="005839EE"/>
    <w:rsid w:val="00583DC3"/>
    <w:rsid w:val="005840CB"/>
    <w:rsid w:val="0058411D"/>
    <w:rsid w:val="00584516"/>
    <w:rsid w:val="00584543"/>
    <w:rsid w:val="005845AE"/>
    <w:rsid w:val="00585200"/>
    <w:rsid w:val="00585336"/>
    <w:rsid w:val="005857E8"/>
    <w:rsid w:val="00585856"/>
    <w:rsid w:val="00585961"/>
    <w:rsid w:val="005863A6"/>
    <w:rsid w:val="0058667D"/>
    <w:rsid w:val="00586923"/>
    <w:rsid w:val="0058697E"/>
    <w:rsid w:val="00586B97"/>
    <w:rsid w:val="00586DAB"/>
    <w:rsid w:val="0058711F"/>
    <w:rsid w:val="00587B9B"/>
    <w:rsid w:val="00587DEF"/>
    <w:rsid w:val="00587E67"/>
    <w:rsid w:val="00590469"/>
    <w:rsid w:val="00590748"/>
    <w:rsid w:val="00590DCD"/>
    <w:rsid w:val="00590EB6"/>
    <w:rsid w:val="00591293"/>
    <w:rsid w:val="00591959"/>
    <w:rsid w:val="00591BF9"/>
    <w:rsid w:val="00592144"/>
    <w:rsid w:val="00592414"/>
    <w:rsid w:val="0059244F"/>
    <w:rsid w:val="0059305E"/>
    <w:rsid w:val="00593064"/>
    <w:rsid w:val="00593361"/>
    <w:rsid w:val="005933D1"/>
    <w:rsid w:val="00593568"/>
    <w:rsid w:val="005936A5"/>
    <w:rsid w:val="0059387C"/>
    <w:rsid w:val="00594093"/>
    <w:rsid w:val="00594465"/>
    <w:rsid w:val="0059504A"/>
    <w:rsid w:val="005951A3"/>
    <w:rsid w:val="005954EF"/>
    <w:rsid w:val="0059559C"/>
    <w:rsid w:val="00595F36"/>
    <w:rsid w:val="00595FFD"/>
    <w:rsid w:val="00596561"/>
    <w:rsid w:val="00596E09"/>
    <w:rsid w:val="00597185"/>
    <w:rsid w:val="005973CB"/>
    <w:rsid w:val="00597B27"/>
    <w:rsid w:val="005A031E"/>
    <w:rsid w:val="005A03E4"/>
    <w:rsid w:val="005A05F5"/>
    <w:rsid w:val="005A068A"/>
    <w:rsid w:val="005A0D3F"/>
    <w:rsid w:val="005A0F04"/>
    <w:rsid w:val="005A1681"/>
    <w:rsid w:val="005A185F"/>
    <w:rsid w:val="005A1904"/>
    <w:rsid w:val="005A1D83"/>
    <w:rsid w:val="005A1F79"/>
    <w:rsid w:val="005A2153"/>
    <w:rsid w:val="005A2881"/>
    <w:rsid w:val="005A2D18"/>
    <w:rsid w:val="005A3955"/>
    <w:rsid w:val="005A3A15"/>
    <w:rsid w:val="005A3A98"/>
    <w:rsid w:val="005A3D95"/>
    <w:rsid w:val="005A451C"/>
    <w:rsid w:val="005A479E"/>
    <w:rsid w:val="005A5232"/>
    <w:rsid w:val="005A5558"/>
    <w:rsid w:val="005A55D9"/>
    <w:rsid w:val="005A5AF4"/>
    <w:rsid w:val="005A5CEE"/>
    <w:rsid w:val="005A5DEA"/>
    <w:rsid w:val="005A5E4A"/>
    <w:rsid w:val="005A62DB"/>
    <w:rsid w:val="005A67C5"/>
    <w:rsid w:val="005A6977"/>
    <w:rsid w:val="005A6A6A"/>
    <w:rsid w:val="005A6C13"/>
    <w:rsid w:val="005A75EC"/>
    <w:rsid w:val="005A7D70"/>
    <w:rsid w:val="005A7D8E"/>
    <w:rsid w:val="005B00EA"/>
    <w:rsid w:val="005B031E"/>
    <w:rsid w:val="005B0E82"/>
    <w:rsid w:val="005B0E9D"/>
    <w:rsid w:val="005B0ED4"/>
    <w:rsid w:val="005B1108"/>
    <w:rsid w:val="005B121A"/>
    <w:rsid w:val="005B125B"/>
    <w:rsid w:val="005B1633"/>
    <w:rsid w:val="005B17D8"/>
    <w:rsid w:val="005B30AA"/>
    <w:rsid w:val="005B31CF"/>
    <w:rsid w:val="005B3255"/>
    <w:rsid w:val="005B3489"/>
    <w:rsid w:val="005B374D"/>
    <w:rsid w:val="005B400D"/>
    <w:rsid w:val="005B4119"/>
    <w:rsid w:val="005B4131"/>
    <w:rsid w:val="005B44F3"/>
    <w:rsid w:val="005B4513"/>
    <w:rsid w:val="005B4832"/>
    <w:rsid w:val="005B49A9"/>
    <w:rsid w:val="005B4B69"/>
    <w:rsid w:val="005B5060"/>
    <w:rsid w:val="005B520F"/>
    <w:rsid w:val="005B546C"/>
    <w:rsid w:val="005B562D"/>
    <w:rsid w:val="005B5DA5"/>
    <w:rsid w:val="005B62CB"/>
    <w:rsid w:val="005B6336"/>
    <w:rsid w:val="005B640C"/>
    <w:rsid w:val="005B64D7"/>
    <w:rsid w:val="005B655B"/>
    <w:rsid w:val="005B65F1"/>
    <w:rsid w:val="005B670C"/>
    <w:rsid w:val="005B7151"/>
    <w:rsid w:val="005B7255"/>
    <w:rsid w:val="005B73C5"/>
    <w:rsid w:val="005B7557"/>
    <w:rsid w:val="005B7719"/>
    <w:rsid w:val="005B77B8"/>
    <w:rsid w:val="005B7971"/>
    <w:rsid w:val="005C0047"/>
    <w:rsid w:val="005C017E"/>
    <w:rsid w:val="005C01FD"/>
    <w:rsid w:val="005C0494"/>
    <w:rsid w:val="005C0744"/>
    <w:rsid w:val="005C0A01"/>
    <w:rsid w:val="005C0AFE"/>
    <w:rsid w:val="005C0D37"/>
    <w:rsid w:val="005C0E41"/>
    <w:rsid w:val="005C0EDE"/>
    <w:rsid w:val="005C0EFE"/>
    <w:rsid w:val="005C109C"/>
    <w:rsid w:val="005C112A"/>
    <w:rsid w:val="005C129D"/>
    <w:rsid w:val="005C1777"/>
    <w:rsid w:val="005C1C74"/>
    <w:rsid w:val="005C1C89"/>
    <w:rsid w:val="005C1D9D"/>
    <w:rsid w:val="005C202B"/>
    <w:rsid w:val="005C2053"/>
    <w:rsid w:val="005C23A8"/>
    <w:rsid w:val="005C2B5A"/>
    <w:rsid w:val="005C2DD1"/>
    <w:rsid w:val="005C330D"/>
    <w:rsid w:val="005C42F1"/>
    <w:rsid w:val="005C4963"/>
    <w:rsid w:val="005C4B30"/>
    <w:rsid w:val="005C4E17"/>
    <w:rsid w:val="005C530E"/>
    <w:rsid w:val="005C53C8"/>
    <w:rsid w:val="005C5D98"/>
    <w:rsid w:val="005C5E01"/>
    <w:rsid w:val="005C5FF0"/>
    <w:rsid w:val="005C614B"/>
    <w:rsid w:val="005C64B4"/>
    <w:rsid w:val="005C6CD6"/>
    <w:rsid w:val="005C6EA7"/>
    <w:rsid w:val="005C740E"/>
    <w:rsid w:val="005C7475"/>
    <w:rsid w:val="005C7C93"/>
    <w:rsid w:val="005D084C"/>
    <w:rsid w:val="005D0B3C"/>
    <w:rsid w:val="005D1070"/>
    <w:rsid w:val="005D1101"/>
    <w:rsid w:val="005D11AD"/>
    <w:rsid w:val="005D1BB1"/>
    <w:rsid w:val="005D21B8"/>
    <w:rsid w:val="005D2685"/>
    <w:rsid w:val="005D29D3"/>
    <w:rsid w:val="005D2A5D"/>
    <w:rsid w:val="005D38D1"/>
    <w:rsid w:val="005D3F52"/>
    <w:rsid w:val="005D44CE"/>
    <w:rsid w:val="005D46F1"/>
    <w:rsid w:val="005D52A3"/>
    <w:rsid w:val="005D5B4E"/>
    <w:rsid w:val="005D5E18"/>
    <w:rsid w:val="005D61D6"/>
    <w:rsid w:val="005D6231"/>
    <w:rsid w:val="005D6293"/>
    <w:rsid w:val="005D62A9"/>
    <w:rsid w:val="005D63A9"/>
    <w:rsid w:val="005D63CD"/>
    <w:rsid w:val="005D6A19"/>
    <w:rsid w:val="005D7053"/>
    <w:rsid w:val="005E04E3"/>
    <w:rsid w:val="005E0675"/>
    <w:rsid w:val="005E067D"/>
    <w:rsid w:val="005E0AB8"/>
    <w:rsid w:val="005E0ABD"/>
    <w:rsid w:val="005E0E70"/>
    <w:rsid w:val="005E0F68"/>
    <w:rsid w:val="005E108F"/>
    <w:rsid w:val="005E163B"/>
    <w:rsid w:val="005E198A"/>
    <w:rsid w:val="005E19AB"/>
    <w:rsid w:val="005E20E7"/>
    <w:rsid w:val="005E22D6"/>
    <w:rsid w:val="005E269D"/>
    <w:rsid w:val="005E26CA"/>
    <w:rsid w:val="005E28E2"/>
    <w:rsid w:val="005E2D46"/>
    <w:rsid w:val="005E2F64"/>
    <w:rsid w:val="005E34F5"/>
    <w:rsid w:val="005E35FD"/>
    <w:rsid w:val="005E3990"/>
    <w:rsid w:val="005E4194"/>
    <w:rsid w:val="005E42A2"/>
    <w:rsid w:val="005E466A"/>
    <w:rsid w:val="005E534A"/>
    <w:rsid w:val="005E54E3"/>
    <w:rsid w:val="005E5555"/>
    <w:rsid w:val="005E5904"/>
    <w:rsid w:val="005E5D8F"/>
    <w:rsid w:val="005E61C3"/>
    <w:rsid w:val="005E61DD"/>
    <w:rsid w:val="005E62B3"/>
    <w:rsid w:val="005E65F0"/>
    <w:rsid w:val="005E697B"/>
    <w:rsid w:val="005E6C9F"/>
    <w:rsid w:val="005E6D0A"/>
    <w:rsid w:val="005E6D73"/>
    <w:rsid w:val="005E6E1C"/>
    <w:rsid w:val="005E79FD"/>
    <w:rsid w:val="005E7BB9"/>
    <w:rsid w:val="005E7C65"/>
    <w:rsid w:val="005E7FE7"/>
    <w:rsid w:val="005F016F"/>
    <w:rsid w:val="005F0217"/>
    <w:rsid w:val="005F071B"/>
    <w:rsid w:val="005F1173"/>
    <w:rsid w:val="005F1894"/>
    <w:rsid w:val="005F193E"/>
    <w:rsid w:val="005F1D0E"/>
    <w:rsid w:val="005F2698"/>
    <w:rsid w:val="005F2EF7"/>
    <w:rsid w:val="005F3319"/>
    <w:rsid w:val="005F3489"/>
    <w:rsid w:val="005F36A2"/>
    <w:rsid w:val="005F3A2D"/>
    <w:rsid w:val="005F3EB6"/>
    <w:rsid w:val="005F4017"/>
    <w:rsid w:val="005F4604"/>
    <w:rsid w:val="005F476B"/>
    <w:rsid w:val="005F4C5A"/>
    <w:rsid w:val="005F4EA7"/>
    <w:rsid w:val="005F5065"/>
    <w:rsid w:val="005F52BA"/>
    <w:rsid w:val="005F5AD9"/>
    <w:rsid w:val="005F60F7"/>
    <w:rsid w:val="005F62E5"/>
    <w:rsid w:val="005F6547"/>
    <w:rsid w:val="005F66E1"/>
    <w:rsid w:val="005F66F8"/>
    <w:rsid w:val="005F69EA"/>
    <w:rsid w:val="005F6B93"/>
    <w:rsid w:val="005F6BA3"/>
    <w:rsid w:val="005F6D16"/>
    <w:rsid w:val="005F71C6"/>
    <w:rsid w:val="005F7FA5"/>
    <w:rsid w:val="00600291"/>
    <w:rsid w:val="0060134A"/>
    <w:rsid w:val="0060203C"/>
    <w:rsid w:val="006020E5"/>
    <w:rsid w:val="00602647"/>
    <w:rsid w:val="00602E33"/>
    <w:rsid w:val="00602E71"/>
    <w:rsid w:val="006032C0"/>
    <w:rsid w:val="006037FF"/>
    <w:rsid w:val="00604013"/>
    <w:rsid w:val="00604327"/>
    <w:rsid w:val="0060471B"/>
    <w:rsid w:val="00604750"/>
    <w:rsid w:val="0060477C"/>
    <w:rsid w:val="00604DF0"/>
    <w:rsid w:val="006051DD"/>
    <w:rsid w:val="006054A1"/>
    <w:rsid w:val="00605E7F"/>
    <w:rsid w:val="00605FF0"/>
    <w:rsid w:val="00606C5B"/>
    <w:rsid w:val="0060708A"/>
    <w:rsid w:val="0060712D"/>
    <w:rsid w:val="006074D0"/>
    <w:rsid w:val="00607749"/>
    <w:rsid w:val="006077D9"/>
    <w:rsid w:val="0060784A"/>
    <w:rsid w:val="00610016"/>
    <w:rsid w:val="0061011C"/>
    <w:rsid w:val="006108A5"/>
    <w:rsid w:val="006108CD"/>
    <w:rsid w:val="00610D7F"/>
    <w:rsid w:val="00611591"/>
    <w:rsid w:val="006116D7"/>
    <w:rsid w:val="006118EE"/>
    <w:rsid w:val="00611A00"/>
    <w:rsid w:val="006124F8"/>
    <w:rsid w:val="00612988"/>
    <w:rsid w:val="0061306B"/>
    <w:rsid w:val="00613211"/>
    <w:rsid w:val="00613220"/>
    <w:rsid w:val="00613296"/>
    <w:rsid w:val="00613605"/>
    <w:rsid w:val="00613CFA"/>
    <w:rsid w:val="00613E73"/>
    <w:rsid w:val="00614002"/>
    <w:rsid w:val="006141CF"/>
    <w:rsid w:val="00615138"/>
    <w:rsid w:val="0061560C"/>
    <w:rsid w:val="00615758"/>
    <w:rsid w:val="00615949"/>
    <w:rsid w:val="0061613C"/>
    <w:rsid w:val="00616315"/>
    <w:rsid w:val="00616D1A"/>
    <w:rsid w:val="00616FFF"/>
    <w:rsid w:val="006171F4"/>
    <w:rsid w:val="00620232"/>
    <w:rsid w:val="006203DD"/>
    <w:rsid w:val="00620904"/>
    <w:rsid w:val="00620CCA"/>
    <w:rsid w:val="00620D27"/>
    <w:rsid w:val="0062123A"/>
    <w:rsid w:val="00621E8C"/>
    <w:rsid w:val="00621F4E"/>
    <w:rsid w:val="00622215"/>
    <w:rsid w:val="00622F5F"/>
    <w:rsid w:val="00623D3E"/>
    <w:rsid w:val="00624130"/>
    <w:rsid w:val="006248A1"/>
    <w:rsid w:val="00624ADC"/>
    <w:rsid w:val="00624CBB"/>
    <w:rsid w:val="006252A5"/>
    <w:rsid w:val="006252D1"/>
    <w:rsid w:val="00625366"/>
    <w:rsid w:val="00625517"/>
    <w:rsid w:val="0062588B"/>
    <w:rsid w:val="00625D74"/>
    <w:rsid w:val="0062631C"/>
    <w:rsid w:val="00626749"/>
    <w:rsid w:val="006274AD"/>
    <w:rsid w:val="0062787D"/>
    <w:rsid w:val="006279ED"/>
    <w:rsid w:val="00627ABE"/>
    <w:rsid w:val="0063021B"/>
    <w:rsid w:val="006306FF"/>
    <w:rsid w:val="00630E01"/>
    <w:rsid w:val="00631425"/>
    <w:rsid w:val="0063181F"/>
    <w:rsid w:val="00631A1E"/>
    <w:rsid w:val="00631A50"/>
    <w:rsid w:val="00631BE0"/>
    <w:rsid w:val="00631D49"/>
    <w:rsid w:val="00631FDA"/>
    <w:rsid w:val="00632231"/>
    <w:rsid w:val="006327BF"/>
    <w:rsid w:val="00632947"/>
    <w:rsid w:val="00632E8F"/>
    <w:rsid w:val="00633038"/>
    <w:rsid w:val="0063391A"/>
    <w:rsid w:val="00633CAA"/>
    <w:rsid w:val="00633F20"/>
    <w:rsid w:val="006342CC"/>
    <w:rsid w:val="00634BEB"/>
    <w:rsid w:val="00634E11"/>
    <w:rsid w:val="00635093"/>
    <w:rsid w:val="006355CF"/>
    <w:rsid w:val="006357C8"/>
    <w:rsid w:val="00635886"/>
    <w:rsid w:val="00635889"/>
    <w:rsid w:val="00635943"/>
    <w:rsid w:val="00635E26"/>
    <w:rsid w:val="006364DA"/>
    <w:rsid w:val="00636555"/>
    <w:rsid w:val="006366CC"/>
    <w:rsid w:val="006368D9"/>
    <w:rsid w:val="0063690D"/>
    <w:rsid w:val="0063708A"/>
    <w:rsid w:val="006373E7"/>
    <w:rsid w:val="00637D8C"/>
    <w:rsid w:val="00637DF3"/>
    <w:rsid w:val="006400A3"/>
    <w:rsid w:val="00640B6E"/>
    <w:rsid w:val="00640DF8"/>
    <w:rsid w:val="0064104A"/>
    <w:rsid w:val="00641628"/>
    <w:rsid w:val="00641645"/>
    <w:rsid w:val="006417B9"/>
    <w:rsid w:val="00642370"/>
    <w:rsid w:val="0064252C"/>
    <w:rsid w:val="00642ECC"/>
    <w:rsid w:val="00643B43"/>
    <w:rsid w:val="00643D27"/>
    <w:rsid w:val="00643F1F"/>
    <w:rsid w:val="00644302"/>
    <w:rsid w:val="00644403"/>
    <w:rsid w:val="006444E0"/>
    <w:rsid w:val="00644638"/>
    <w:rsid w:val="006448ED"/>
    <w:rsid w:val="00644D0F"/>
    <w:rsid w:val="00645AC9"/>
    <w:rsid w:val="00645C30"/>
    <w:rsid w:val="00645C5F"/>
    <w:rsid w:val="00645CC1"/>
    <w:rsid w:val="00645F18"/>
    <w:rsid w:val="00646EB9"/>
    <w:rsid w:val="00646FD8"/>
    <w:rsid w:val="00647025"/>
    <w:rsid w:val="0064723B"/>
    <w:rsid w:val="0064761D"/>
    <w:rsid w:val="00647821"/>
    <w:rsid w:val="006479FC"/>
    <w:rsid w:val="00647B47"/>
    <w:rsid w:val="00647B99"/>
    <w:rsid w:val="00647F29"/>
    <w:rsid w:val="006500D4"/>
    <w:rsid w:val="00650129"/>
    <w:rsid w:val="00650499"/>
    <w:rsid w:val="00650630"/>
    <w:rsid w:val="00650F65"/>
    <w:rsid w:val="00651291"/>
    <w:rsid w:val="006513B9"/>
    <w:rsid w:val="00651563"/>
    <w:rsid w:val="00651829"/>
    <w:rsid w:val="00651AB6"/>
    <w:rsid w:val="00652131"/>
    <w:rsid w:val="00652321"/>
    <w:rsid w:val="00652620"/>
    <w:rsid w:val="006531D0"/>
    <w:rsid w:val="0065388E"/>
    <w:rsid w:val="00653B58"/>
    <w:rsid w:val="00653C83"/>
    <w:rsid w:val="00653D97"/>
    <w:rsid w:val="00654259"/>
    <w:rsid w:val="00654406"/>
    <w:rsid w:val="00655252"/>
    <w:rsid w:val="0065544B"/>
    <w:rsid w:val="00655667"/>
    <w:rsid w:val="006559F9"/>
    <w:rsid w:val="00655A4B"/>
    <w:rsid w:val="00655E72"/>
    <w:rsid w:val="0065606F"/>
    <w:rsid w:val="00656389"/>
    <w:rsid w:val="0065649D"/>
    <w:rsid w:val="0065650C"/>
    <w:rsid w:val="006567AF"/>
    <w:rsid w:val="0065686C"/>
    <w:rsid w:val="006569DC"/>
    <w:rsid w:val="00656B0F"/>
    <w:rsid w:val="00656BCF"/>
    <w:rsid w:val="006572A0"/>
    <w:rsid w:val="00657459"/>
    <w:rsid w:val="0065762E"/>
    <w:rsid w:val="006579FF"/>
    <w:rsid w:val="00657C95"/>
    <w:rsid w:val="00660076"/>
    <w:rsid w:val="006603BE"/>
    <w:rsid w:val="0066075F"/>
    <w:rsid w:val="00660D25"/>
    <w:rsid w:val="0066153C"/>
    <w:rsid w:val="006616BA"/>
    <w:rsid w:val="006618D9"/>
    <w:rsid w:val="00661AD8"/>
    <w:rsid w:val="00661BC9"/>
    <w:rsid w:val="00661EA2"/>
    <w:rsid w:val="00662279"/>
    <w:rsid w:val="006622D3"/>
    <w:rsid w:val="006626FA"/>
    <w:rsid w:val="006629F1"/>
    <w:rsid w:val="00662BF4"/>
    <w:rsid w:val="00662E53"/>
    <w:rsid w:val="00662E6E"/>
    <w:rsid w:val="00662FB6"/>
    <w:rsid w:val="00663673"/>
    <w:rsid w:val="00663E0B"/>
    <w:rsid w:val="00663F0A"/>
    <w:rsid w:val="00664342"/>
    <w:rsid w:val="00664A0C"/>
    <w:rsid w:val="00664AD4"/>
    <w:rsid w:val="00664C64"/>
    <w:rsid w:val="00664E48"/>
    <w:rsid w:val="006656C6"/>
    <w:rsid w:val="006656E1"/>
    <w:rsid w:val="00665C04"/>
    <w:rsid w:val="006664B3"/>
    <w:rsid w:val="00666831"/>
    <w:rsid w:val="00666A22"/>
    <w:rsid w:val="00666AC6"/>
    <w:rsid w:val="00666ADB"/>
    <w:rsid w:val="00666B24"/>
    <w:rsid w:val="00667161"/>
    <w:rsid w:val="0066730E"/>
    <w:rsid w:val="00667699"/>
    <w:rsid w:val="006677AB"/>
    <w:rsid w:val="00667D76"/>
    <w:rsid w:val="00667EE1"/>
    <w:rsid w:val="006701C4"/>
    <w:rsid w:val="0067080E"/>
    <w:rsid w:val="006708BB"/>
    <w:rsid w:val="006708E2"/>
    <w:rsid w:val="00670C84"/>
    <w:rsid w:val="006710B2"/>
    <w:rsid w:val="00671206"/>
    <w:rsid w:val="00671BCC"/>
    <w:rsid w:val="00672641"/>
    <w:rsid w:val="00672A91"/>
    <w:rsid w:val="00672AF5"/>
    <w:rsid w:val="006737D3"/>
    <w:rsid w:val="00673F12"/>
    <w:rsid w:val="00673FA1"/>
    <w:rsid w:val="00674314"/>
    <w:rsid w:val="00674595"/>
    <w:rsid w:val="006747D1"/>
    <w:rsid w:val="00674E41"/>
    <w:rsid w:val="006750A1"/>
    <w:rsid w:val="0067510D"/>
    <w:rsid w:val="006754BF"/>
    <w:rsid w:val="00675736"/>
    <w:rsid w:val="006759AE"/>
    <w:rsid w:val="00675F3E"/>
    <w:rsid w:val="006760CB"/>
    <w:rsid w:val="00676221"/>
    <w:rsid w:val="0067645D"/>
    <w:rsid w:val="006765E7"/>
    <w:rsid w:val="006767F0"/>
    <w:rsid w:val="006768D7"/>
    <w:rsid w:val="00676B3C"/>
    <w:rsid w:val="0067728F"/>
    <w:rsid w:val="0067734C"/>
    <w:rsid w:val="00677918"/>
    <w:rsid w:val="0067791A"/>
    <w:rsid w:val="00677954"/>
    <w:rsid w:val="00677C7B"/>
    <w:rsid w:val="00677CAE"/>
    <w:rsid w:val="00677EEA"/>
    <w:rsid w:val="006803E3"/>
    <w:rsid w:val="00680B03"/>
    <w:rsid w:val="00681037"/>
    <w:rsid w:val="006811EF"/>
    <w:rsid w:val="006812CC"/>
    <w:rsid w:val="006812F8"/>
    <w:rsid w:val="0068145C"/>
    <w:rsid w:val="0068153D"/>
    <w:rsid w:val="00681CA9"/>
    <w:rsid w:val="00682244"/>
    <w:rsid w:val="0068248D"/>
    <w:rsid w:val="00682561"/>
    <w:rsid w:val="006826DE"/>
    <w:rsid w:val="006828E9"/>
    <w:rsid w:val="00682C45"/>
    <w:rsid w:val="00682EB4"/>
    <w:rsid w:val="00682ECE"/>
    <w:rsid w:val="006835A0"/>
    <w:rsid w:val="00683707"/>
    <w:rsid w:val="00683909"/>
    <w:rsid w:val="006839DA"/>
    <w:rsid w:val="00683AC8"/>
    <w:rsid w:val="00683FA6"/>
    <w:rsid w:val="00684327"/>
    <w:rsid w:val="00684462"/>
    <w:rsid w:val="00684654"/>
    <w:rsid w:val="00684CD2"/>
    <w:rsid w:val="006867A4"/>
    <w:rsid w:val="00686F8B"/>
    <w:rsid w:val="00687276"/>
    <w:rsid w:val="0068739E"/>
    <w:rsid w:val="00687C03"/>
    <w:rsid w:val="00687F40"/>
    <w:rsid w:val="00690018"/>
    <w:rsid w:val="00690319"/>
    <w:rsid w:val="006904E8"/>
    <w:rsid w:val="0069077F"/>
    <w:rsid w:val="00690820"/>
    <w:rsid w:val="00690C5E"/>
    <w:rsid w:val="00690EA9"/>
    <w:rsid w:val="00691665"/>
    <w:rsid w:val="006917E1"/>
    <w:rsid w:val="00691ADB"/>
    <w:rsid w:val="00692016"/>
    <w:rsid w:val="006920B8"/>
    <w:rsid w:val="006920C4"/>
    <w:rsid w:val="0069227C"/>
    <w:rsid w:val="0069230A"/>
    <w:rsid w:val="0069296B"/>
    <w:rsid w:val="00692EA7"/>
    <w:rsid w:val="006930C8"/>
    <w:rsid w:val="0069347E"/>
    <w:rsid w:val="006938A6"/>
    <w:rsid w:val="00693C56"/>
    <w:rsid w:val="00693E62"/>
    <w:rsid w:val="006943DF"/>
    <w:rsid w:val="00694B9D"/>
    <w:rsid w:val="00694D36"/>
    <w:rsid w:val="00695199"/>
    <w:rsid w:val="006951C1"/>
    <w:rsid w:val="00695260"/>
    <w:rsid w:val="00695872"/>
    <w:rsid w:val="00695F20"/>
    <w:rsid w:val="006960C6"/>
    <w:rsid w:val="00696A4D"/>
    <w:rsid w:val="00697143"/>
    <w:rsid w:val="006972AE"/>
    <w:rsid w:val="006973A2"/>
    <w:rsid w:val="006974A6"/>
    <w:rsid w:val="00697A8F"/>
    <w:rsid w:val="00697C51"/>
    <w:rsid w:val="006A03C5"/>
    <w:rsid w:val="006A1025"/>
    <w:rsid w:val="006A162B"/>
    <w:rsid w:val="006A17E9"/>
    <w:rsid w:val="006A18D0"/>
    <w:rsid w:val="006A1BE2"/>
    <w:rsid w:val="006A1D28"/>
    <w:rsid w:val="006A1FE4"/>
    <w:rsid w:val="006A273A"/>
    <w:rsid w:val="006A2744"/>
    <w:rsid w:val="006A2840"/>
    <w:rsid w:val="006A2910"/>
    <w:rsid w:val="006A31BD"/>
    <w:rsid w:val="006A3748"/>
    <w:rsid w:val="006A376F"/>
    <w:rsid w:val="006A3ABE"/>
    <w:rsid w:val="006A3B14"/>
    <w:rsid w:val="006A3E7D"/>
    <w:rsid w:val="006A3EEE"/>
    <w:rsid w:val="006A45A8"/>
    <w:rsid w:val="006A4A7C"/>
    <w:rsid w:val="006A5872"/>
    <w:rsid w:val="006A5AC6"/>
    <w:rsid w:val="006A5D3D"/>
    <w:rsid w:val="006A64DA"/>
    <w:rsid w:val="006A661B"/>
    <w:rsid w:val="006A688F"/>
    <w:rsid w:val="006A6F2A"/>
    <w:rsid w:val="006A71B1"/>
    <w:rsid w:val="006A7950"/>
    <w:rsid w:val="006B019C"/>
    <w:rsid w:val="006B0813"/>
    <w:rsid w:val="006B0BDF"/>
    <w:rsid w:val="006B1390"/>
    <w:rsid w:val="006B1692"/>
    <w:rsid w:val="006B1F4A"/>
    <w:rsid w:val="006B201B"/>
    <w:rsid w:val="006B23E8"/>
    <w:rsid w:val="006B246E"/>
    <w:rsid w:val="006B2490"/>
    <w:rsid w:val="006B2BA2"/>
    <w:rsid w:val="006B3087"/>
    <w:rsid w:val="006B3A46"/>
    <w:rsid w:val="006B3C9C"/>
    <w:rsid w:val="006B3D25"/>
    <w:rsid w:val="006B45CC"/>
    <w:rsid w:val="006B46AE"/>
    <w:rsid w:val="006B4A7D"/>
    <w:rsid w:val="006B4A92"/>
    <w:rsid w:val="006B4DD5"/>
    <w:rsid w:val="006B509C"/>
    <w:rsid w:val="006B529F"/>
    <w:rsid w:val="006B5487"/>
    <w:rsid w:val="006B54E7"/>
    <w:rsid w:val="006B588B"/>
    <w:rsid w:val="006B5926"/>
    <w:rsid w:val="006B5B4D"/>
    <w:rsid w:val="006B5CE8"/>
    <w:rsid w:val="006B5D5A"/>
    <w:rsid w:val="006B63AC"/>
    <w:rsid w:val="006B678B"/>
    <w:rsid w:val="006B6A49"/>
    <w:rsid w:val="006B70B9"/>
    <w:rsid w:val="006B7874"/>
    <w:rsid w:val="006B7EBB"/>
    <w:rsid w:val="006B7F84"/>
    <w:rsid w:val="006B7FB9"/>
    <w:rsid w:val="006C0ADC"/>
    <w:rsid w:val="006C0DE9"/>
    <w:rsid w:val="006C10F3"/>
    <w:rsid w:val="006C166A"/>
    <w:rsid w:val="006C1701"/>
    <w:rsid w:val="006C1A47"/>
    <w:rsid w:val="006C2369"/>
    <w:rsid w:val="006C270E"/>
    <w:rsid w:val="006C27E2"/>
    <w:rsid w:val="006C28B8"/>
    <w:rsid w:val="006C2A2A"/>
    <w:rsid w:val="006C2F37"/>
    <w:rsid w:val="006C357A"/>
    <w:rsid w:val="006C3874"/>
    <w:rsid w:val="006C3A8C"/>
    <w:rsid w:val="006C3B45"/>
    <w:rsid w:val="006C3E66"/>
    <w:rsid w:val="006C3F09"/>
    <w:rsid w:val="006C4151"/>
    <w:rsid w:val="006C4580"/>
    <w:rsid w:val="006C4AB9"/>
    <w:rsid w:val="006C557F"/>
    <w:rsid w:val="006C55C4"/>
    <w:rsid w:val="006C5687"/>
    <w:rsid w:val="006C5872"/>
    <w:rsid w:val="006C5B0D"/>
    <w:rsid w:val="006C6705"/>
    <w:rsid w:val="006C6948"/>
    <w:rsid w:val="006C69DC"/>
    <w:rsid w:val="006C69EC"/>
    <w:rsid w:val="006C6D72"/>
    <w:rsid w:val="006C73A0"/>
    <w:rsid w:val="006C7672"/>
    <w:rsid w:val="006C76F3"/>
    <w:rsid w:val="006C774A"/>
    <w:rsid w:val="006D00F5"/>
    <w:rsid w:val="006D01D5"/>
    <w:rsid w:val="006D021B"/>
    <w:rsid w:val="006D0496"/>
    <w:rsid w:val="006D0633"/>
    <w:rsid w:val="006D0BA4"/>
    <w:rsid w:val="006D0CD8"/>
    <w:rsid w:val="006D0E89"/>
    <w:rsid w:val="006D128A"/>
    <w:rsid w:val="006D12C2"/>
    <w:rsid w:val="006D1AD6"/>
    <w:rsid w:val="006D2478"/>
    <w:rsid w:val="006D24FC"/>
    <w:rsid w:val="006D2A4B"/>
    <w:rsid w:val="006D2E44"/>
    <w:rsid w:val="006D3994"/>
    <w:rsid w:val="006D3E63"/>
    <w:rsid w:val="006D3FBE"/>
    <w:rsid w:val="006D4734"/>
    <w:rsid w:val="006D5135"/>
    <w:rsid w:val="006D52E9"/>
    <w:rsid w:val="006D53FB"/>
    <w:rsid w:val="006D5460"/>
    <w:rsid w:val="006D57FA"/>
    <w:rsid w:val="006D5997"/>
    <w:rsid w:val="006D59F3"/>
    <w:rsid w:val="006D5A3B"/>
    <w:rsid w:val="006D5B20"/>
    <w:rsid w:val="006D6D33"/>
    <w:rsid w:val="006D6DAC"/>
    <w:rsid w:val="006D7025"/>
    <w:rsid w:val="006D707F"/>
    <w:rsid w:val="006D72F4"/>
    <w:rsid w:val="006D72F9"/>
    <w:rsid w:val="006D7445"/>
    <w:rsid w:val="006D7585"/>
    <w:rsid w:val="006D7844"/>
    <w:rsid w:val="006D79E0"/>
    <w:rsid w:val="006D7BD6"/>
    <w:rsid w:val="006D7C1F"/>
    <w:rsid w:val="006E04F7"/>
    <w:rsid w:val="006E0A43"/>
    <w:rsid w:val="006E0A92"/>
    <w:rsid w:val="006E0BE6"/>
    <w:rsid w:val="006E0E7D"/>
    <w:rsid w:val="006E1E1D"/>
    <w:rsid w:val="006E1F17"/>
    <w:rsid w:val="006E1F5B"/>
    <w:rsid w:val="006E2778"/>
    <w:rsid w:val="006E2983"/>
    <w:rsid w:val="006E2E1D"/>
    <w:rsid w:val="006E2F4C"/>
    <w:rsid w:val="006E3307"/>
    <w:rsid w:val="006E337A"/>
    <w:rsid w:val="006E349E"/>
    <w:rsid w:val="006E3A46"/>
    <w:rsid w:val="006E3B51"/>
    <w:rsid w:val="006E3DFB"/>
    <w:rsid w:val="006E46FB"/>
    <w:rsid w:val="006E4FB3"/>
    <w:rsid w:val="006E5AC0"/>
    <w:rsid w:val="006E5C22"/>
    <w:rsid w:val="006E5E00"/>
    <w:rsid w:val="006E5F37"/>
    <w:rsid w:val="006E5FE1"/>
    <w:rsid w:val="006E6500"/>
    <w:rsid w:val="006E66D9"/>
    <w:rsid w:val="006E6A4C"/>
    <w:rsid w:val="006E6CBE"/>
    <w:rsid w:val="006E6DDD"/>
    <w:rsid w:val="006E70E9"/>
    <w:rsid w:val="006E71C2"/>
    <w:rsid w:val="006E71D1"/>
    <w:rsid w:val="006E7373"/>
    <w:rsid w:val="006E74D0"/>
    <w:rsid w:val="006E7BDB"/>
    <w:rsid w:val="006F0928"/>
    <w:rsid w:val="006F0A65"/>
    <w:rsid w:val="006F0D07"/>
    <w:rsid w:val="006F15D9"/>
    <w:rsid w:val="006F180D"/>
    <w:rsid w:val="006F187F"/>
    <w:rsid w:val="006F1BAF"/>
    <w:rsid w:val="006F1D42"/>
    <w:rsid w:val="006F1E77"/>
    <w:rsid w:val="006F1F1C"/>
    <w:rsid w:val="006F20EE"/>
    <w:rsid w:val="006F215B"/>
    <w:rsid w:val="006F244C"/>
    <w:rsid w:val="006F270C"/>
    <w:rsid w:val="006F27E4"/>
    <w:rsid w:val="006F28E7"/>
    <w:rsid w:val="006F313A"/>
    <w:rsid w:val="006F3368"/>
    <w:rsid w:val="006F3839"/>
    <w:rsid w:val="006F3E78"/>
    <w:rsid w:val="006F41E6"/>
    <w:rsid w:val="006F43D2"/>
    <w:rsid w:val="006F4617"/>
    <w:rsid w:val="006F48C0"/>
    <w:rsid w:val="006F499A"/>
    <w:rsid w:val="006F499C"/>
    <w:rsid w:val="006F5674"/>
    <w:rsid w:val="006F59C3"/>
    <w:rsid w:val="006F5A45"/>
    <w:rsid w:val="006F5CA5"/>
    <w:rsid w:val="006F6255"/>
    <w:rsid w:val="006F68DA"/>
    <w:rsid w:val="006F694D"/>
    <w:rsid w:val="006F6AA9"/>
    <w:rsid w:val="006F6D73"/>
    <w:rsid w:val="006F6E94"/>
    <w:rsid w:val="006F7174"/>
    <w:rsid w:val="006F7499"/>
    <w:rsid w:val="006F783A"/>
    <w:rsid w:val="006F7BF3"/>
    <w:rsid w:val="006F7CB8"/>
    <w:rsid w:val="00700123"/>
    <w:rsid w:val="007002F7"/>
    <w:rsid w:val="007007AC"/>
    <w:rsid w:val="0070081E"/>
    <w:rsid w:val="00700EC4"/>
    <w:rsid w:val="007018C4"/>
    <w:rsid w:val="00701D9C"/>
    <w:rsid w:val="007022BF"/>
    <w:rsid w:val="00702A0D"/>
    <w:rsid w:val="00702A55"/>
    <w:rsid w:val="0070371F"/>
    <w:rsid w:val="007038FD"/>
    <w:rsid w:val="00703B0E"/>
    <w:rsid w:val="00703C2D"/>
    <w:rsid w:val="00703C92"/>
    <w:rsid w:val="0070484C"/>
    <w:rsid w:val="00704CFC"/>
    <w:rsid w:val="00704D93"/>
    <w:rsid w:val="00704E9F"/>
    <w:rsid w:val="00705A09"/>
    <w:rsid w:val="00705A43"/>
    <w:rsid w:val="00705A76"/>
    <w:rsid w:val="00705FEF"/>
    <w:rsid w:val="007061AA"/>
    <w:rsid w:val="007062E9"/>
    <w:rsid w:val="00706F9B"/>
    <w:rsid w:val="007078BF"/>
    <w:rsid w:val="00707F6B"/>
    <w:rsid w:val="007104D4"/>
    <w:rsid w:val="007105F7"/>
    <w:rsid w:val="0071076A"/>
    <w:rsid w:val="007107C4"/>
    <w:rsid w:val="00710E05"/>
    <w:rsid w:val="00710F88"/>
    <w:rsid w:val="0071118F"/>
    <w:rsid w:val="00711C9D"/>
    <w:rsid w:val="00712150"/>
    <w:rsid w:val="00712216"/>
    <w:rsid w:val="007123C1"/>
    <w:rsid w:val="00712864"/>
    <w:rsid w:val="00712AAE"/>
    <w:rsid w:val="00712E47"/>
    <w:rsid w:val="00713724"/>
    <w:rsid w:val="00713CAC"/>
    <w:rsid w:val="00714285"/>
    <w:rsid w:val="007145BE"/>
    <w:rsid w:val="00714708"/>
    <w:rsid w:val="00714C48"/>
    <w:rsid w:val="00714CAC"/>
    <w:rsid w:val="00714DBE"/>
    <w:rsid w:val="00714F71"/>
    <w:rsid w:val="0071546D"/>
    <w:rsid w:val="007156D0"/>
    <w:rsid w:val="00715E5D"/>
    <w:rsid w:val="007160B8"/>
    <w:rsid w:val="007163A4"/>
    <w:rsid w:val="007166B8"/>
    <w:rsid w:val="007168F8"/>
    <w:rsid w:val="00716AFD"/>
    <w:rsid w:val="007170D6"/>
    <w:rsid w:val="0071714E"/>
    <w:rsid w:val="0071731E"/>
    <w:rsid w:val="00717759"/>
    <w:rsid w:val="00717D55"/>
    <w:rsid w:val="00720778"/>
    <w:rsid w:val="007209AD"/>
    <w:rsid w:val="00720FCB"/>
    <w:rsid w:val="007213AF"/>
    <w:rsid w:val="007214E1"/>
    <w:rsid w:val="00721BC1"/>
    <w:rsid w:val="007220F5"/>
    <w:rsid w:val="007227D4"/>
    <w:rsid w:val="00722BA5"/>
    <w:rsid w:val="00722C11"/>
    <w:rsid w:val="007231E0"/>
    <w:rsid w:val="007238FE"/>
    <w:rsid w:val="0072419E"/>
    <w:rsid w:val="0072449C"/>
    <w:rsid w:val="00724BCE"/>
    <w:rsid w:val="0072503A"/>
    <w:rsid w:val="0072593C"/>
    <w:rsid w:val="00725CDC"/>
    <w:rsid w:val="00726AA8"/>
    <w:rsid w:val="00726D42"/>
    <w:rsid w:val="00726F66"/>
    <w:rsid w:val="0072774A"/>
    <w:rsid w:val="00727881"/>
    <w:rsid w:val="0072799D"/>
    <w:rsid w:val="007279DB"/>
    <w:rsid w:val="00727A2E"/>
    <w:rsid w:val="00727D8D"/>
    <w:rsid w:val="0073000A"/>
    <w:rsid w:val="00730176"/>
    <w:rsid w:val="0073070B"/>
    <w:rsid w:val="007307D0"/>
    <w:rsid w:val="007308EE"/>
    <w:rsid w:val="00730F64"/>
    <w:rsid w:val="00731034"/>
    <w:rsid w:val="00731361"/>
    <w:rsid w:val="00731537"/>
    <w:rsid w:val="007321A4"/>
    <w:rsid w:val="00732666"/>
    <w:rsid w:val="007329C3"/>
    <w:rsid w:val="00732A1A"/>
    <w:rsid w:val="00732B42"/>
    <w:rsid w:val="007339C8"/>
    <w:rsid w:val="00733A4D"/>
    <w:rsid w:val="00733FA8"/>
    <w:rsid w:val="00733FB8"/>
    <w:rsid w:val="0073500F"/>
    <w:rsid w:val="007352FB"/>
    <w:rsid w:val="0073534E"/>
    <w:rsid w:val="007358EC"/>
    <w:rsid w:val="00735BC4"/>
    <w:rsid w:val="007361A1"/>
    <w:rsid w:val="00736372"/>
    <w:rsid w:val="007365BA"/>
    <w:rsid w:val="007367EC"/>
    <w:rsid w:val="007370E9"/>
    <w:rsid w:val="00737872"/>
    <w:rsid w:val="007400C6"/>
    <w:rsid w:val="00740357"/>
    <w:rsid w:val="00740485"/>
    <w:rsid w:val="00740CF8"/>
    <w:rsid w:val="00741387"/>
    <w:rsid w:val="007413C9"/>
    <w:rsid w:val="00741440"/>
    <w:rsid w:val="0074153A"/>
    <w:rsid w:val="00741552"/>
    <w:rsid w:val="00741BB8"/>
    <w:rsid w:val="00741E93"/>
    <w:rsid w:val="00741EDD"/>
    <w:rsid w:val="0074206B"/>
    <w:rsid w:val="0074231C"/>
    <w:rsid w:val="00742624"/>
    <w:rsid w:val="007431B4"/>
    <w:rsid w:val="007434DA"/>
    <w:rsid w:val="0074361D"/>
    <w:rsid w:val="00743763"/>
    <w:rsid w:val="007437BE"/>
    <w:rsid w:val="00744850"/>
    <w:rsid w:val="00745435"/>
    <w:rsid w:val="007454C8"/>
    <w:rsid w:val="007455B3"/>
    <w:rsid w:val="00745609"/>
    <w:rsid w:val="00745626"/>
    <w:rsid w:val="00745630"/>
    <w:rsid w:val="00745B59"/>
    <w:rsid w:val="00746A72"/>
    <w:rsid w:val="00746E40"/>
    <w:rsid w:val="00747643"/>
    <w:rsid w:val="00747894"/>
    <w:rsid w:val="0075009E"/>
    <w:rsid w:val="007503B5"/>
    <w:rsid w:val="007504CD"/>
    <w:rsid w:val="0075052D"/>
    <w:rsid w:val="00750968"/>
    <w:rsid w:val="00750DE1"/>
    <w:rsid w:val="007513AC"/>
    <w:rsid w:val="007514E1"/>
    <w:rsid w:val="007518DB"/>
    <w:rsid w:val="00751A36"/>
    <w:rsid w:val="00751C8D"/>
    <w:rsid w:val="007520A5"/>
    <w:rsid w:val="00752261"/>
    <w:rsid w:val="007523EA"/>
    <w:rsid w:val="007524DF"/>
    <w:rsid w:val="007528E0"/>
    <w:rsid w:val="007529DD"/>
    <w:rsid w:val="00752C89"/>
    <w:rsid w:val="00752D5C"/>
    <w:rsid w:val="00753999"/>
    <w:rsid w:val="00753D62"/>
    <w:rsid w:val="00753D81"/>
    <w:rsid w:val="007540A3"/>
    <w:rsid w:val="00754978"/>
    <w:rsid w:val="00754C03"/>
    <w:rsid w:val="00754CCA"/>
    <w:rsid w:val="0075521E"/>
    <w:rsid w:val="0075559D"/>
    <w:rsid w:val="007555B6"/>
    <w:rsid w:val="0075589C"/>
    <w:rsid w:val="00755A67"/>
    <w:rsid w:val="007563E4"/>
    <w:rsid w:val="007566C0"/>
    <w:rsid w:val="00756BBB"/>
    <w:rsid w:val="007570C6"/>
    <w:rsid w:val="00757276"/>
    <w:rsid w:val="00757838"/>
    <w:rsid w:val="00757F54"/>
    <w:rsid w:val="007603F3"/>
    <w:rsid w:val="0076062C"/>
    <w:rsid w:val="00760A4A"/>
    <w:rsid w:val="00760BA2"/>
    <w:rsid w:val="0076115F"/>
    <w:rsid w:val="007611EA"/>
    <w:rsid w:val="007612F6"/>
    <w:rsid w:val="0076132D"/>
    <w:rsid w:val="0076149A"/>
    <w:rsid w:val="00761596"/>
    <w:rsid w:val="00761DCF"/>
    <w:rsid w:val="00761E85"/>
    <w:rsid w:val="00762506"/>
    <w:rsid w:val="00762584"/>
    <w:rsid w:val="00762717"/>
    <w:rsid w:val="007628E8"/>
    <w:rsid w:val="007630B0"/>
    <w:rsid w:val="007634BF"/>
    <w:rsid w:val="007634D7"/>
    <w:rsid w:val="00763B82"/>
    <w:rsid w:val="00763BF1"/>
    <w:rsid w:val="007640A5"/>
    <w:rsid w:val="00764302"/>
    <w:rsid w:val="0076449C"/>
    <w:rsid w:val="00764567"/>
    <w:rsid w:val="00764DA9"/>
    <w:rsid w:val="00764E5A"/>
    <w:rsid w:val="007651C4"/>
    <w:rsid w:val="00766097"/>
    <w:rsid w:val="007663D8"/>
    <w:rsid w:val="0076732E"/>
    <w:rsid w:val="0076747E"/>
    <w:rsid w:val="0076791C"/>
    <w:rsid w:val="00767A4B"/>
    <w:rsid w:val="00767C26"/>
    <w:rsid w:val="00767C83"/>
    <w:rsid w:val="00767F7F"/>
    <w:rsid w:val="0077018C"/>
    <w:rsid w:val="00770386"/>
    <w:rsid w:val="00770656"/>
    <w:rsid w:val="00770924"/>
    <w:rsid w:val="00770A71"/>
    <w:rsid w:val="00770DFE"/>
    <w:rsid w:val="00771252"/>
    <w:rsid w:val="00771A14"/>
    <w:rsid w:val="00771A8B"/>
    <w:rsid w:val="0077209F"/>
    <w:rsid w:val="00772EE0"/>
    <w:rsid w:val="0077308D"/>
    <w:rsid w:val="00773225"/>
    <w:rsid w:val="007737A3"/>
    <w:rsid w:val="007742E2"/>
    <w:rsid w:val="007744AC"/>
    <w:rsid w:val="0077472E"/>
    <w:rsid w:val="0077477E"/>
    <w:rsid w:val="007749B9"/>
    <w:rsid w:val="0077553D"/>
    <w:rsid w:val="00775675"/>
    <w:rsid w:val="007756DA"/>
    <w:rsid w:val="0077589A"/>
    <w:rsid w:val="007758CB"/>
    <w:rsid w:val="007759EB"/>
    <w:rsid w:val="00775CD3"/>
    <w:rsid w:val="007761C5"/>
    <w:rsid w:val="007763A6"/>
    <w:rsid w:val="00776418"/>
    <w:rsid w:val="007766EC"/>
    <w:rsid w:val="00776997"/>
    <w:rsid w:val="00777106"/>
    <w:rsid w:val="00777134"/>
    <w:rsid w:val="0077783A"/>
    <w:rsid w:val="00777B72"/>
    <w:rsid w:val="00777CDD"/>
    <w:rsid w:val="00777D0C"/>
    <w:rsid w:val="00777D60"/>
    <w:rsid w:val="00780042"/>
    <w:rsid w:val="0078020F"/>
    <w:rsid w:val="00780334"/>
    <w:rsid w:val="007803BC"/>
    <w:rsid w:val="00780778"/>
    <w:rsid w:val="00780A68"/>
    <w:rsid w:val="00780C6F"/>
    <w:rsid w:val="00780E11"/>
    <w:rsid w:val="007810A2"/>
    <w:rsid w:val="00781485"/>
    <w:rsid w:val="007815AF"/>
    <w:rsid w:val="00781792"/>
    <w:rsid w:val="00781836"/>
    <w:rsid w:val="0078188B"/>
    <w:rsid w:val="00782271"/>
    <w:rsid w:val="00782428"/>
    <w:rsid w:val="007824D2"/>
    <w:rsid w:val="0078273B"/>
    <w:rsid w:val="0078302B"/>
    <w:rsid w:val="00783133"/>
    <w:rsid w:val="00783976"/>
    <w:rsid w:val="0078397C"/>
    <w:rsid w:val="00783AFB"/>
    <w:rsid w:val="00784914"/>
    <w:rsid w:val="00784C77"/>
    <w:rsid w:val="00784C91"/>
    <w:rsid w:val="00785152"/>
    <w:rsid w:val="00785313"/>
    <w:rsid w:val="00786079"/>
    <w:rsid w:val="007860C1"/>
    <w:rsid w:val="00786137"/>
    <w:rsid w:val="0078634B"/>
    <w:rsid w:val="00786554"/>
    <w:rsid w:val="0078746C"/>
    <w:rsid w:val="00787609"/>
    <w:rsid w:val="00787614"/>
    <w:rsid w:val="0078770F"/>
    <w:rsid w:val="0078787C"/>
    <w:rsid w:val="007879CA"/>
    <w:rsid w:val="00787E1D"/>
    <w:rsid w:val="00790023"/>
    <w:rsid w:val="0079022F"/>
    <w:rsid w:val="00790CE4"/>
    <w:rsid w:val="00790DC8"/>
    <w:rsid w:val="007915F3"/>
    <w:rsid w:val="00791789"/>
    <w:rsid w:val="00791887"/>
    <w:rsid w:val="00792520"/>
    <w:rsid w:val="0079292F"/>
    <w:rsid w:val="00792B78"/>
    <w:rsid w:val="00792E52"/>
    <w:rsid w:val="007930C3"/>
    <w:rsid w:val="007931F3"/>
    <w:rsid w:val="0079340F"/>
    <w:rsid w:val="0079383D"/>
    <w:rsid w:val="00794113"/>
    <w:rsid w:val="007943AC"/>
    <w:rsid w:val="007945EE"/>
    <w:rsid w:val="00794761"/>
    <w:rsid w:val="00794C24"/>
    <w:rsid w:val="00794C4C"/>
    <w:rsid w:val="007952CC"/>
    <w:rsid w:val="007955A3"/>
    <w:rsid w:val="00795626"/>
    <w:rsid w:val="007956D9"/>
    <w:rsid w:val="007958B2"/>
    <w:rsid w:val="00796346"/>
    <w:rsid w:val="007964AA"/>
    <w:rsid w:val="007969EA"/>
    <w:rsid w:val="00796BAA"/>
    <w:rsid w:val="00796D47"/>
    <w:rsid w:val="00796DD5"/>
    <w:rsid w:val="00797869"/>
    <w:rsid w:val="00797E78"/>
    <w:rsid w:val="007A008F"/>
    <w:rsid w:val="007A036F"/>
    <w:rsid w:val="007A041A"/>
    <w:rsid w:val="007A050A"/>
    <w:rsid w:val="007A05D9"/>
    <w:rsid w:val="007A069D"/>
    <w:rsid w:val="007A0E6D"/>
    <w:rsid w:val="007A1030"/>
    <w:rsid w:val="007A1E83"/>
    <w:rsid w:val="007A1FEC"/>
    <w:rsid w:val="007A2292"/>
    <w:rsid w:val="007A321A"/>
    <w:rsid w:val="007A33A4"/>
    <w:rsid w:val="007A3509"/>
    <w:rsid w:val="007A3A4C"/>
    <w:rsid w:val="007A40A3"/>
    <w:rsid w:val="007A40CD"/>
    <w:rsid w:val="007A412D"/>
    <w:rsid w:val="007A4208"/>
    <w:rsid w:val="007A4761"/>
    <w:rsid w:val="007A48B4"/>
    <w:rsid w:val="007A495F"/>
    <w:rsid w:val="007A5487"/>
    <w:rsid w:val="007A5C22"/>
    <w:rsid w:val="007A6796"/>
    <w:rsid w:val="007A68F6"/>
    <w:rsid w:val="007A6937"/>
    <w:rsid w:val="007A6E54"/>
    <w:rsid w:val="007A71B1"/>
    <w:rsid w:val="007A742B"/>
    <w:rsid w:val="007A7C03"/>
    <w:rsid w:val="007A7C71"/>
    <w:rsid w:val="007A7EAE"/>
    <w:rsid w:val="007B00AC"/>
    <w:rsid w:val="007B06C1"/>
    <w:rsid w:val="007B0C0E"/>
    <w:rsid w:val="007B1433"/>
    <w:rsid w:val="007B16BF"/>
    <w:rsid w:val="007B2036"/>
    <w:rsid w:val="007B2055"/>
    <w:rsid w:val="007B215C"/>
    <w:rsid w:val="007B21C8"/>
    <w:rsid w:val="007B2486"/>
    <w:rsid w:val="007B24C4"/>
    <w:rsid w:val="007B295B"/>
    <w:rsid w:val="007B29D9"/>
    <w:rsid w:val="007B2C85"/>
    <w:rsid w:val="007B339B"/>
    <w:rsid w:val="007B3519"/>
    <w:rsid w:val="007B3657"/>
    <w:rsid w:val="007B3874"/>
    <w:rsid w:val="007B39D9"/>
    <w:rsid w:val="007B3A04"/>
    <w:rsid w:val="007B3B5C"/>
    <w:rsid w:val="007B42D8"/>
    <w:rsid w:val="007B4887"/>
    <w:rsid w:val="007B4CED"/>
    <w:rsid w:val="007B53AF"/>
    <w:rsid w:val="007B5716"/>
    <w:rsid w:val="007B5A3D"/>
    <w:rsid w:val="007B5AAD"/>
    <w:rsid w:val="007B5CAE"/>
    <w:rsid w:val="007B5D81"/>
    <w:rsid w:val="007B63E9"/>
    <w:rsid w:val="007B64C8"/>
    <w:rsid w:val="007B6A2D"/>
    <w:rsid w:val="007B6A63"/>
    <w:rsid w:val="007B6C0E"/>
    <w:rsid w:val="007B6F27"/>
    <w:rsid w:val="007B7565"/>
    <w:rsid w:val="007B7804"/>
    <w:rsid w:val="007B7D0D"/>
    <w:rsid w:val="007B7ED1"/>
    <w:rsid w:val="007C01E7"/>
    <w:rsid w:val="007C02FA"/>
    <w:rsid w:val="007C03F9"/>
    <w:rsid w:val="007C059C"/>
    <w:rsid w:val="007C05E3"/>
    <w:rsid w:val="007C0760"/>
    <w:rsid w:val="007C1194"/>
    <w:rsid w:val="007C1231"/>
    <w:rsid w:val="007C14EF"/>
    <w:rsid w:val="007C1EFA"/>
    <w:rsid w:val="007C2932"/>
    <w:rsid w:val="007C3561"/>
    <w:rsid w:val="007C381F"/>
    <w:rsid w:val="007C3F38"/>
    <w:rsid w:val="007C409D"/>
    <w:rsid w:val="007C4AAB"/>
    <w:rsid w:val="007C4AEF"/>
    <w:rsid w:val="007C4B64"/>
    <w:rsid w:val="007C4C25"/>
    <w:rsid w:val="007C5415"/>
    <w:rsid w:val="007C584A"/>
    <w:rsid w:val="007C5ECC"/>
    <w:rsid w:val="007C61BF"/>
    <w:rsid w:val="007C6776"/>
    <w:rsid w:val="007C6F63"/>
    <w:rsid w:val="007C754B"/>
    <w:rsid w:val="007C7DD2"/>
    <w:rsid w:val="007C7FCD"/>
    <w:rsid w:val="007D0920"/>
    <w:rsid w:val="007D0F7E"/>
    <w:rsid w:val="007D1503"/>
    <w:rsid w:val="007D1910"/>
    <w:rsid w:val="007D1DC7"/>
    <w:rsid w:val="007D2146"/>
    <w:rsid w:val="007D2B96"/>
    <w:rsid w:val="007D2FC2"/>
    <w:rsid w:val="007D305A"/>
    <w:rsid w:val="007D3212"/>
    <w:rsid w:val="007D348A"/>
    <w:rsid w:val="007D3651"/>
    <w:rsid w:val="007D3B85"/>
    <w:rsid w:val="007D4194"/>
    <w:rsid w:val="007D49B1"/>
    <w:rsid w:val="007D4A00"/>
    <w:rsid w:val="007D4F42"/>
    <w:rsid w:val="007D53E7"/>
    <w:rsid w:val="007D5809"/>
    <w:rsid w:val="007D5AB4"/>
    <w:rsid w:val="007D6601"/>
    <w:rsid w:val="007D6792"/>
    <w:rsid w:val="007D67C2"/>
    <w:rsid w:val="007D6F9D"/>
    <w:rsid w:val="007D7397"/>
    <w:rsid w:val="007D73E7"/>
    <w:rsid w:val="007D7784"/>
    <w:rsid w:val="007D7982"/>
    <w:rsid w:val="007D7C66"/>
    <w:rsid w:val="007D7D49"/>
    <w:rsid w:val="007D7E34"/>
    <w:rsid w:val="007E012D"/>
    <w:rsid w:val="007E0A40"/>
    <w:rsid w:val="007E0BCF"/>
    <w:rsid w:val="007E1623"/>
    <w:rsid w:val="007E1A22"/>
    <w:rsid w:val="007E1FDF"/>
    <w:rsid w:val="007E2539"/>
    <w:rsid w:val="007E2E5A"/>
    <w:rsid w:val="007E338F"/>
    <w:rsid w:val="007E3B8D"/>
    <w:rsid w:val="007E3CB0"/>
    <w:rsid w:val="007E3E1A"/>
    <w:rsid w:val="007E3ECB"/>
    <w:rsid w:val="007E4094"/>
    <w:rsid w:val="007E4929"/>
    <w:rsid w:val="007E4E17"/>
    <w:rsid w:val="007E508B"/>
    <w:rsid w:val="007E50E8"/>
    <w:rsid w:val="007E5959"/>
    <w:rsid w:val="007E5D11"/>
    <w:rsid w:val="007E5F02"/>
    <w:rsid w:val="007E61B0"/>
    <w:rsid w:val="007E67A4"/>
    <w:rsid w:val="007E6F0B"/>
    <w:rsid w:val="007E6F19"/>
    <w:rsid w:val="007E711B"/>
    <w:rsid w:val="007E72A1"/>
    <w:rsid w:val="007E7637"/>
    <w:rsid w:val="007E7BF7"/>
    <w:rsid w:val="007F00A6"/>
    <w:rsid w:val="007F04B5"/>
    <w:rsid w:val="007F0D77"/>
    <w:rsid w:val="007F11C2"/>
    <w:rsid w:val="007F13EF"/>
    <w:rsid w:val="007F146C"/>
    <w:rsid w:val="007F1DD9"/>
    <w:rsid w:val="007F23F8"/>
    <w:rsid w:val="007F272B"/>
    <w:rsid w:val="007F28A9"/>
    <w:rsid w:val="007F3397"/>
    <w:rsid w:val="007F3747"/>
    <w:rsid w:val="007F38C9"/>
    <w:rsid w:val="007F3A2E"/>
    <w:rsid w:val="007F3F1A"/>
    <w:rsid w:val="007F4281"/>
    <w:rsid w:val="007F448F"/>
    <w:rsid w:val="007F46E2"/>
    <w:rsid w:val="007F4A43"/>
    <w:rsid w:val="007F4AA9"/>
    <w:rsid w:val="007F4B65"/>
    <w:rsid w:val="007F4B8B"/>
    <w:rsid w:val="007F4CCA"/>
    <w:rsid w:val="007F4EB4"/>
    <w:rsid w:val="007F4FE0"/>
    <w:rsid w:val="007F5419"/>
    <w:rsid w:val="007F5818"/>
    <w:rsid w:val="007F5F51"/>
    <w:rsid w:val="007F6A8D"/>
    <w:rsid w:val="007F6DDD"/>
    <w:rsid w:val="007F767B"/>
    <w:rsid w:val="007F77B0"/>
    <w:rsid w:val="007F7A2A"/>
    <w:rsid w:val="007F7ABF"/>
    <w:rsid w:val="008000A3"/>
    <w:rsid w:val="0080051C"/>
    <w:rsid w:val="008005AD"/>
    <w:rsid w:val="008006DF"/>
    <w:rsid w:val="00800DF5"/>
    <w:rsid w:val="008010E9"/>
    <w:rsid w:val="00801353"/>
    <w:rsid w:val="008013C3"/>
    <w:rsid w:val="00801882"/>
    <w:rsid w:val="00801B80"/>
    <w:rsid w:val="00801EDC"/>
    <w:rsid w:val="00802343"/>
    <w:rsid w:val="0080248A"/>
    <w:rsid w:val="00802C05"/>
    <w:rsid w:val="00802E5C"/>
    <w:rsid w:val="00802FB7"/>
    <w:rsid w:val="00803025"/>
    <w:rsid w:val="00803642"/>
    <w:rsid w:val="00803D59"/>
    <w:rsid w:val="008042EE"/>
    <w:rsid w:val="00804482"/>
    <w:rsid w:val="00804804"/>
    <w:rsid w:val="00804A42"/>
    <w:rsid w:val="00804E28"/>
    <w:rsid w:val="00804E2C"/>
    <w:rsid w:val="008051B5"/>
    <w:rsid w:val="008056CD"/>
    <w:rsid w:val="0080605A"/>
    <w:rsid w:val="0080666E"/>
    <w:rsid w:val="00806F37"/>
    <w:rsid w:val="008071AE"/>
    <w:rsid w:val="008071D4"/>
    <w:rsid w:val="00807857"/>
    <w:rsid w:val="00807A50"/>
    <w:rsid w:val="00810AE6"/>
    <w:rsid w:val="008110E9"/>
    <w:rsid w:val="008112C7"/>
    <w:rsid w:val="0081195B"/>
    <w:rsid w:val="00811AF8"/>
    <w:rsid w:val="00811CC9"/>
    <w:rsid w:val="00811D16"/>
    <w:rsid w:val="00811FBB"/>
    <w:rsid w:val="008121AC"/>
    <w:rsid w:val="0081235A"/>
    <w:rsid w:val="008124A9"/>
    <w:rsid w:val="008125C9"/>
    <w:rsid w:val="008129A3"/>
    <w:rsid w:val="0081306F"/>
    <w:rsid w:val="00813D2E"/>
    <w:rsid w:val="00813EF6"/>
    <w:rsid w:val="00814905"/>
    <w:rsid w:val="00814B16"/>
    <w:rsid w:val="00814EE9"/>
    <w:rsid w:val="00815212"/>
    <w:rsid w:val="008159C6"/>
    <w:rsid w:val="008163CC"/>
    <w:rsid w:val="00816515"/>
    <w:rsid w:val="00816A9A"/>
    <w:rsid w:val="00816AAD"/>
    <w:rsid w:val="00816EE7"/>
    <w:rsid w:val="0081704B"/>
    <w:rsid w:val="00817738"/>
    <w:rsid w:val="00817740"/>
    <w:rsid w:val="00817B72"/>
    <w:rsid w:val="00817E2D"/>
    <w:rsid w:val="00817EE9"/>
    <w:rsid w:val="0082001A"/>
    <w:rsid w:val="00820128"/>
    <w:rsid w:val="0082013C"/>
    <w:rsid w:val="00820555"/>
    <w:rsid w:val="008208DD"/>
    <w:rsid w:val="00820937"/>
    <w:rsid w:val="00820AA3"/>
    <w:rsid w:val="00820B07"/>
    <w:rsid w:val="00820E6D"/>
    <w:rsid w:val="008210F2"/>
    <w:rsid w:val="00821911"/>
    <w:rsid w:val="00821A9F"/>
    <w:rsid w:val="00821C27"/>
    <w:rsid w:val="008220A6"/>
    <w:rsid w:val="00822A02"/>
    <w:rsid w:val="00822D4D"/>
    <w:rsid w:val="008233B4"/>
    <w:rsid w:val="0082389B"/>
    <w:rsid w:val="00825009"/>
    <w:rsid w:val="008250F5"/>
    <w:rsid w:val="008252C4"/>
    <w:rsid w:val="0082545B"/>
    <w:rsid w:val="00825742"/>
    <w:rsid w:val="008259D6"/>
    <w:rsid w:val="00825A7C"/>
    <w:rsid w:val="00825D38"/>
    <w:rsid w:val="00825E12"/>
    <w:rsid w:val="00825F00"/>
    <w:rsid w:val="00826DC2"/>
    <w:rsid w:val="0082758F"/>
    <w:rsid w:val="008275FB"/>
    <w:rsid w:val="0082767B"/>
    <w:rsid w:val="00830402"/>
    <w:rsid w:val="008306BC"/>
    <w:rsid w:val="00830C16"/>
    <w:rsid w:val="00830F7F"/>
    <w:rsid w:val="0083130F"/>
    <w:rsid w:val="00831333"/>
    <w:rsid w:val="008314CA"/>
    <w:rsid w:val="00831D12"/>
    <w:rsid w:val="00832637"/>
    <w:rsid w:val="00832B8B"/>
    <w:rsid w:val="0083301C"/>
    <w:rsid w:val="00833A4F"/>
    <w:rsid w:val="00833C0C"/>
    <w:rsid w:val="00833C12"/>
    <w:rsid w:val="00833FAD"/>
    <w:rsid w:val="00834313"/>
    <w:rsid w:val="00834421"/>
    <w:rsid w:val="00834E8F"/>
    <w:rsid w:val="00834EDD"/>
    <w:rsid w:val="00835413"/>
    <w:rsid w:val="0083551A"/>
    <w:rsid w:val="00835577"/>
    <w:rsid w:val="008359A5"/>
    <w:rsid w:val="00835AC5"/>
    <w:rsid w:val="008361EE"/>
    <w:rsid w:val="0083629E"/>
    <w:rsid w:val="00836534"/>
    <w:rsid w:val="008366F0"/>
    <w:rsid w:val="00836C48"/>
    <w:rsid w:val="00836F15"/>
    <w:rsid w:val="0083750A"/>
    <w:rsid w:val="008379E1"/>
    <w:rsid w:val="00837BAB"/>
    <w:rsid w:val="00837EAA"/>
    <w:rsid w:val="00840043"/>
    <w:rsid w:val="0084021D"/>
    <w:rsid w:val="008402A1"/>
    <w:rsid w:val="0084034B"/>
    <w:rsid w:val="0084095F"/>
    <w:rsid w:val="00840FC0"/>
    <w:rsid w:val="0084128B"/>
    <w:rsid w:val="0084201E"/>
    <w:rsid w:val="0084244D"/>
    <w:rsid w:val="00842D36"/>
    <w:rsid w:val="00842FF9"/>
    <w:rsid w:val="00843056"/>
    <w:rsid w:val="008431F3"/>
    <w:rsid w:val="0084324F"/>
    <w:rsid w:val="008433DA"/>
    <w:rsid w:val="00843428"/>
    <w:rsid w:val="00843BA9"/>
    <w:rsid w:val="00843CDC"/>
    <w:rsid w:val="008440CA"/>
    <w:rsid w:val="0084475B"/>
    <w:rsid w:val="00844E43"/>
    <w:rsid w:val="00844E96"/>
    <w:rsid w:val="0084521D"/>
    <w:rsid w:val="00845BA5"/>
    <w:rsid w:val="00845D6C"/>
    <w:rsid w:val="00845ECD"/>
    <w:rsid w:val="0084602B"/>
    <w:rsid w:val="00846770"/>
    <w:rsid w:val="00846879"/>
    <w:rsid w:val="00846B6A"/>
    <w:rsid w:val="00846D78"/>
    <w:rsid w:val="008502AB"/>
    <w:rsid w:val="00850A4D"/>
    <w:rsid w:val="00850C8D"/>
    <w:rsid w:val="00850EB7"/>
    <w:rsid w:val="00850FB5"/>
    <w:rsid w:val="00851067"/>
    <w:rsid w:val="00851090"/>
    <w:rsid w:val="008511B8"/>
    <w:rsid w:val="0085160A"/>
    <w:rsid w:val="00851842"/>
    <w:rsid w:val="008518A2"/>
    <w:rsid w:val="00851F25"/>
    <w:rsid w:val="008529FE"/>
    <w:rsid w:val="00852DCA"/>
    <w:rsid w:val="00854310"/>
    <w:rsid w:val="008543B9"/>
    <w:rsid w:val="00854622"/>
    <w:rsid w:val="00854DDA"/>
    <w:rsid w:val="0085589C"/>
    <w:rsid w:val="00855EC7"/>
    <w:rsid w:val="008562A5"/>
    <w:rsid w:val="00856905"/>
    <w:rsid w:val="00857308"/>
    <w:rsid w:val="00860073"/>
    <w:rsid w:val="00860292"/>
    <w:rsid w:val="008605C1"/>
    <w:rsid w:val="008609FB"/>
    <w:rsid w:val="00860B46"/>
    <w:rsid w:val="008619AA"/>
    <w:rsid w:val="00862422"/>
    <w:rsid w:val="00862444"/>
    <w:rsid w:val="00862B6A"/>
    <w:rsid w:val="0086313C"/>
    <w:rsid w:val="008631FF"/>
    <w:rsid w:val="00863249"/>
    <w:rsid w:val="008637B7"/>
    <w:rsid w:val="0086395C"/>
    <w:rsid w:val="00863DA7"/>
    <w:rsid w:val="008641BC"/>
    <w:rsid w:val="00864720"/>
    <w:rsid w:val="00864B66"/>
    <w:rsid w:val="00864E50"/>
    <w:rsid w:val="00864F34"/>
    <w:rsid w:val="00864F8D"/>
    <w:rsid w:val="00865205"/>
    <w:rsid w:val="008660D5"/>
    <w:rsid w:val="00866449"/>
    <w:rsid w:val="008665CE"/>
    <w:rsid w:val="00866987"/>
    <w:rsid w:val="00866C70"/>
    <w:rsid w:val="00867061"/>
    <w:rsid w:val="00870273"/>
    <w:rsid w:val="00870484"/>
    <w:rsid w:val="00870EBA"/>
    <w:rsid w:val="00871243"/>
    <w:rsid w:val="0087136F"/>
    <w:rsid w:val="008716B4"/>
    <w:rsid w:val="00871889"/>
    <w:rsid w:val="00871A19"/>
    <w:rsid w:val="00871CB9"/>
    <w:rsid w:val="0087250C"/>
    <w:rsid w:val="00872ADA"/>
    <w:rsid w:val="00872F38"/>
    <w:rsid w:val="00873192"/>
    <w:rsid w:val="00873554"/>
    <w:rsid w:val="008736AB"/>
    <w:rsid w:val="00873DC5"/>
    <w:rsid w:val="008740C5"/>
    <w:rsid w:val="00874C57"/>
    <w:rsid w:val="00874D91"/>
    <w:rsid w:val="0087566D"/>
    <w:rsid w:val="00875AD8"/>
    <w:rsid w:val="00875CCA"/>
    <w:rsid w:val="00875E87"/>
    <w:rsid w:val="00875F86"/>
    <w:rsid w:val="00876776"/>
    <w:rsid w:val="0087687A"/>
    <w:rsid w:val="00876AF7"/>
    <w:rsid w:val="00876BF2"/>
    <w:rsid w:val="00876F63"/>
    <w:rsid w:val="00876F82"/>
    <w:rsid w:val="008772EF"/>
    <w:rsid w:val="00877A87"/>
    <w:rsid w:val="00877CAF"/>
    <w:rsid w:val="00880069"/>
    <w:rsid w:val="008800AD"/>
    <w:rsid w:val="00880298"/>
    <w:rsid w:val="008806C6"/>
    <w:rsid w:val="00880948"/>
    <w:rsid w:val="00880957"/>
    <w:rsid w:val="008810F0"/>
    <w:rsid w:val="008811B4"/>
    <w:rsid w:val="00881405"/>
    <w:rsid w:val="00881690"/>
    <w:rsid w:val="00881CA7"/>
    <w:rsid w:val="00881CCF"/>
    <w:rsid w:val="0088213F"/>
    <w:rsid w:val="008822A3"/>
    <w:rsid w:val="008825AF"/>
    <w:rsid w:val="00882FB5"/>
    <w:rsid w:val="0088323A"/>
    <w:rsid w:val="0088339F"/>
    <w:rsid w:val="00884048"/>
    <w:rsid w:val="008841D5"/>
    <w:rsid w:val="00884430"/>
    <w:rsid w:val="00884791"/>
    <w:rsid w:val="00884853"/>
    <w:rsid w:val="00884A9D"/>
    <w:rsid w:val="00884BF0"/>
    <w:rsid w:val="00885137"/>
    <w:rsid w:val="0088538D"/>
    <w:rsid w:val="00885485"/>
    <w:rsid w:val="00885C5A"/>
    <w:rsid w:val="008869EC"/>
    <w:rsid w:val="00886B53"/>
    <w:rsid w:val="00886E30"/>
    <w:rsid w:val="00886F58"/>
    <w:rsid w:val="00887234"/>
    <w:rsid w:val="00887620"/>
    <w:rsid w:val="0088778A"/>
    <w:rsid w:val="00890528"/>
    <w:rsid w:val="00890BAF"/>
    <w:rsid w:val="0089134F"/>
    <w:rsid w:val="008918AB"/>
    <w:rsid w:val="00891B71"/>
    <w:rsid w:val="00892506"/>
    <w:rsid w:val="00892616"/>
    <w:rsid w:val="0089267E"/>
    <w:rsid w:val="008926E2"/>
    <w:rsid w:val="008928DF"/>
    <w:rsid w:val="008929F8"/>
    <w:rsid w:val="00892C42"/>
    <w:rsid w:val="00892DB4"/>
    <w:rsid w:val="00894235"/>
    <w:rsid w:val="00894452"/>
    <w:rsid w:val="0089457A"/>
    <w:rsid w:val="008948E8"/>
    <w:rsid w:val="008949C2"/>
    <w:rsid w:val="00894F4C"/>
    <w:rsid w:val="008952D2"/>
    <w:rsid w:val="00895409"/>
    <w:rsid w:val="00895A00"/>
    <w:rsid w:val="00895AB1"/>
    <w:rsid w:val="00895AC9"/>
    <w:rsid w:val="00895BE6"/>
    <w:rsid w:val="008960C8"/>
    <w:rsid w:val="0089617A"/>
    <w:rsid w:val="00896680"/>
    <w:rsid w:val="008967E5"/>
    <w:rsid w:val="00896913"/>
    <w:rsid w:val="00896CD6"/>
    <w:rsid w:val="00896E1E"/>
    <w:rsid w:val="008970B2"/>
    <w:rsid w:val="00897282"/>
    <w:rsid w:val="008973EF"/>
    <w:rsid w:val="0089775E"/>
    <w:rsid w:val="0089786D"/>
    <w:rsid w:val="00897CC8"/>
    <w:rsid w:val="00897D36"/>
    <w:rsid w:val="008A003F"/>
    <w:rsid w:val="008A02E4"/>
    <w:rsid w:val="008A06D1"/>
    <w:rsid w:val="008A09E9"/>
    <w:rsid w:val="008A0D41"/>
    <w:rsid w:val="008A0DC9"/>
    <w:rsid w:val="008A0E21"/>
    <w:rsid w:val="008A0FB7"/>
    <w:rsid w:val="008A1038"/>
    <w:rsid w:val="008A1118"/>
    <w:rsid w:val="008A1594"/>
    <w:rsid w:val="008A1C2D"/>
    <w:rsid w:val="008A1DA0"/>
    <w:rsid w:val="008A22F1"/>
    <w:rsid w:val="008A23DC"/>
    <w:rsid w:val="008A2839"/>
    <w:rsid w:val="008A2D74"/>
    <w:rsid w:val="008A2F7C"/>
    <w:rsid w:val="008A3075"/>
    <w:rsid w:val="008A3642"/>
    <w:rsid w:val="008A3A55"/>
    <w:rsid w:val="008A3D69"/>
    <w:rsid w:val="008A3FF0"/>
    <w:rsid w:val="008A4109"/>
    <w:rsid w:val="008A48C2"/>
    <w:rsid w:val="008A4C85"/>
    <w:rsid w:val="008A4D1C"/>
    <w:rsid w:val="008A4D83"/>
    <w:rsid w:val="008A4D85"/>
    <w:rsid w:val="008A4F77"/>
    <w:rsid w:val="008A5805"/>
    <w:rsid w:val="008A5AA0"/>
    <w:rsid w:val="008A61BD"/>
    <w:rsid w:val="008A73D3"/>
    <w:rsid w:val="008A740F"/>
    <w:rsid w:val="008A74D3"/>
    <w:rsid w:val="008A7889"/>
    <w:rsid w:val="008A7920"/>
    <w:rsid w:val="008A7F42"/>
    <w:rsid w:val="008B00B6"/>
    <w:rsid w:val="008B014C"/>
    <w:rsid w:val="008B0157"/>
    <w:rsid w:val="008B01C8"/>
    <w:rsid w:val="008B049F"/>
    <w:rsid w:val="008B0AD8"/>
    <w:rsid w:val="008B0B33"/>
    <w:rsid w:val="008B0C27"/>
    <w:rsid w:val="008B0C84"/>
    <w:rsid w:val="008B0D64"/>
    <w:rsid w:val="008B0F83"/>
    <w:rsid w:val="008B0FC3"/>
    <w:rsid w:val="008B112C"/>
    <w:rsid w:val="008B216E"/>
    <w:rsid w:val="008B22B1"/>
    <w:rsid w:val="008B273D"/>
    <w:rsid w:val="008B2754"/>
    <w:rsid w:val="008B2AAA"/>
    <w:rsid w:val="008B2B36"/>
    <w:rsid w:val="008B3374"/>
    <w:rsid w:val="008B360D"/>
    <w:rsid w:val="008B3893"/>
    <w:rsid w:val="008B3990"/>
    <w:rsid w:val="008B3BFF"/>
    <w:rsid w:val="008B3FC4"/>
    <w:rsid w:val="008B3FD9"/>
    <w:rsid w:val="008B421D"/>
    <w:rsid w:val="008B4B73"/>
    <w:rsid w:val="008B4F07"/>
    <w:rsid w:val="008B5089"/>
    <w:rsid w:val="008B5349"/>
    <w:rsid w:val="008B5826"/>
    <w:rsid w:val="008B5C75"/>
    <w:rsid w:val="008B6960"/>
    <w:rsid w:val="008B6D2E"/>
    <w:rsid w:val="008B6DB1"/>
    <w:rsid w:val="008B707F"/>
    <w:rsid w:val="008B74D8"/>
    <w:rsid w:val="008B7726"/>
    <w:rsid w:val="008B7CFE"/>
    <w:rsid w:val="008B7DF3"/>
    <w:rsid w:val="008C0025"/>
    <w:rsid w:val="008C0952"/>
    <w:rsid w:val="008C0D35"/>
    <w:rsid w:val="008C0DC7"/>
    <w:rsid w:val="008C1050"/>
    <w:rsid w:val="008C19E9"/>
    <w:rsid w:val="008C24EB"/>
    <w:rsid w:val="008C27DC"/>
    <w:rsid w:val="008C2EE6"/>
    <w:rsid w:val="008C2EF2"/>
    <w:rsid w:val="008C2F1A"/>
    <w:rsid w:val="008C3431"/>
    <w:rsid w:val="008C39D0"/>
    <w:rsid w:val="008C3B4C"/>
    <w:rsid w:val="008C3BA9"/>
    <w:rsid w:val="008C3C06"/>
    <w:rsid w:val="008C42AA"/>
    <w:rsid w:val="008C489D"/>
    <w:rsid w:val="008C4EE3"/>
    <w:rsid w:val="008C521B"/>
    <w:rsid w:val="008C5E1E"/>
    <w:rsid w:val="008C68E5"/>
    <w:rsid w:val="008C6DD6"/>
    <w:rsid w:val="008C73AC"/>
    <w:rsid w:val="008C7567"/>
    <w:rsid w:val="008C76D2"/>
    <w:rsid w:val="008C7861"/>
    <w:rsid w:val="008C7CE8"/>
    <w:rsid w:val="008D03E2"/>
    <w:rsid w:val="008D05ED"/>
    <w:rsid w:val="008D0903"/>
    <w:rsid w:val="008D096E"/>
    <w:rsid w:val="008D0AC2"/>
    <w:rsid w:val="008D0E4B"/>
    <w:rsid w:val="008D139F"/>
    <w:rsid w:val="008D1E9A"/>
    <w:rsid w:val="008D2956"/>
    <w:rsid w:val="008D2A08"/>
    <w:rsid w:val="008D2A8D"/>
    <w:rsid w:val="008D2CA5"/>
    <w:rsid w:val="008D3140"/>
    <w:rsid w:val="008D3519"/>
    <w:rsid w:val="008D3C4C"/>
    <w:rsid w:val="008D411A"/>
    <w:rsid w:val="008D4492"/>
    <w:rsid w:val="008D45F2"/>
    <w:rsid w:val="008D4A31"/>
    <w:rsid w:val="008D4A56"/>
    <w:rsid w:val="008D5050"/>
    <w:rsid w:val="008D520A"/>
    <w:rsid w:val="008D556D"/>
    <w:rsid w:val="008D596E"/>
    <w:rsid w:val="008D603D"/>
    <w:rsid w:val="008D610D"/>
    <w:rsid w:val="008D622F"/>
    <w:rsid w:val="008D6257"/>
    <w:rsid w:val="008D6903"/>
    <w:rsid w:val="008D6E04"/>
    <w:rsid w:val="008D6E82"/>
    <w:rsid w:val="008D6F13"/>
    <w:rsid w:val="008D7529"/>
    <w:rsid w:val="008D76EA"/>
    <w:rsid w:val="008D7F3E"/>
    <w:rsid w:val="008E09F4"/>
    <w:rsid w:val="008E1411"/>
    <w:rsid w:val="008E2E31"/>
    <w:rsid w:val="008E3012"/>
    <w:rsid w:val="008E3674"/>
    <w:rsid w:val="008E3B4D"/>
    <w:rsid w:val="008E3B7F"/>
    <w:rsid w:val="008E3D27"/>
    <w:rsid w:val="008E42EB"/>
    <w:rsid w:val="008E4326"/>
    <w:rsid w:val="008E4D21"/>
    <w:rsid w:val="008E5223"/>
    <w:rsid w:val="008E5DFB"/>
    <w:rsid w:val="008E5E65"/>
    <w:rsid w:val="008E6147"/>
    <w:rsid w:val="008E65B8"/>
    <w:rsid w:val="008E661D"/>
    <w:rsid w:val="008E6760"/>
    <w:rsid w:val="008E6BA1"/>
    <w:rsid w:val="008E6C3C"/>
    <w:rsid w:val="008E743D"/>
    <w:rsid w:val="008E7573"/>
    <w:rsid w:val="008F006A"/>
    <w:rsid w:val="008F02BC"/>
    <w:rsid w:val="008F04A3"/>
    <w:rsid w:val="008F086E"/>
    <w:rsid w:val="008F088F"/>
    <w:rsid w:val="008F0B95"/>
    <w:rsid w:val="008F0D7F"/>
    <w:rsid w:val="008F0E7E"/>
    <w:rsid w:val="008F1019"/>
    <w:rsid w:val="008F14E0"/>
    <w:rsid w:val="008F2473"/>
    <w:rsid w:val="008F261C"/>
    <w:rsid w:val="008F2BC1"/>
    <w:rsid w:val="008F2F78"/>
    <w:rsid w:val="008F3419"/>
    <w:rsid w:val="008F34E6"/>
    <w:rsid w:val="008F37BD"/>
    <w:rsid w:val="008F3ED4"/>
    <w:rsid w:val="008F4249"/>
    <w:rsid w:val="008F4496"/>
    <w:rsid w:val="008F4AFB"/>
    <w:rsid w:val="008F4E5F"/>
    <w:rsid w:val="008F5355"/>
    <w:rsid w:val="008F595D"/>
    <w:rsid w:val="008F5D2C"/>
    <w:rsid w:val="008F60D4"/>
    <w:rsid w:val="008F6269"/>
    <w:rsid w:val="008F6277"/>
    <w:rsid w:val="008F6559"/>
    <w:rsid w:val="008F65A4"/>
    <w:rsid w:val="008F6979"/>
    <w:rsid w:val="008F6A41"/>
    <w:rsid w:val="008F6B29"/>
    <w:rsid w:val="008F6C89"/>
    <w:rsid w:val="008F7201"/>
    <w:rsid w:val="008F72F7"/>
    <w:rsid w:val="008F760F"/>
    <w:rsid w:val="008F7A15"/>
    <w:rsid w:val="0090013D"/>
    <w:rsid w:val="009008CA"/>
    <w:rsid w:val="00900943"/>
    <w:rsid w:val="00900AC7"/>
    <w:rsid w:val="00900E00"/>
    <w:rsid w:val="00900E97"/>
    <w:rsid w:val="0090133B"/>
    <w:rsid w:val="00901896"/>
    <w:rsid w:val="00901C92"/>
    <w:rsid w:val="00901CCB"/>
    <w:rsid w:val="009023A4"/>
    <w:rsid w:val="0090261D"/>
    <w:rsid w:val="009029DC"/>
    <w:rsid w:val="00902DC3"/>
    <w:rsid w:val="00903607"/>
    <w:rsid w:val="0090380B"/>
    <w:rsid w:val="00903F06"/>
    <w:rsid w:val="00903F21"/>
    <w:rsid w:val="00904083"/>
    <w:rsid w:val="0090439A"/>
    <w:rsid w:val="009043AF"/>
    <w:rsid w:val="009043B4"/>
    <w:rsid w:val="009043B6"/>
    <w:rsid w:val="00904619"/>
    <w:rsid w:val="00904B0F"/>
    <w:rsid w:val="00904D9A"/>
    <w:rsid w:val="00905225"/>
    <w:rsid w:val="009057C9"/>
    <w:rsid w:val="009059B3"/>
    <w:rsid w:val="00905D14"/>
    <w:rsid w:val="00905EEA"/>
    <w:rsid w:val="00906050"/>
    <w:rsid w:val="00906480"/>
    <w:rsid w:val="00906A69"/>
    <w:rsid w:val="00906F77"/>
    <w:rsid w:val="0090728B"/>
    <w:rsid w:val="00907742"/>
    <w:rsid w:val="00907924"/>
    <w:rsid w:val="00907BB1"/>
    <w:rsid w:val="00907F43"/>
    <w:rsid w:val="00910689"/>
    <w:rsid w:val="009109E2"/>
    <w:rsid w:val="00910E32"/>
    <w:rsid w:val="0091112A"/>
    <w:rsid w:val="0091129B"/>
    <w:rsid w:val="0091188F"/>
    <w:rsid w:val="009120B5"/>
    <w:rsid w:val="00912448"/>
    <w:rsid w:val="00912A13"/>
    <w:rsid w:val="00912C6E"/>
    <w:rsid w:val="0091329C"/>
    <w:rsid w:val="00913306"/>
    <w:rsid w:val="009135C6"/>
    <w:rsid w:val="00913AB4"/>
    <w:rsid w:val="00913F62"/>
    <w:rsid w:val="00914A4C"/>
    <w:rsid w:val="00914B49"/>
    <w:rsid w:val="00914B93"/>
    <w:rsid w:val="00914CD7"/>
    <w:rsid w:val="00914F96"/>
    <w:rsid w:val="00915526"/>
    <w:rsid w:val="00915650"/>
    <w:rsid w:val="00915A4E"/>
    <w:rsid w:val="00915E1D"/>
    <w:rsid w:val="00915E8A"/>
    <w:rsid w:val="009161B0"/>
    <w:rsid w:val="00916668"/>
    <w:rsid w:val="00916988"/>
    <w:rsid w:val="0091704C"/>
    <w:rsid w:val="00917086"/>
    <w:rsid w:val="00917168"/>
    <w:rsid w:val="00917DEA"/>
    <w:rsid w:val="00917FB9"/>
    <w:rsid w:val="009201E8"/>
    <w:rsid w:val="00920670"/>
    <w:rsid w:val="009206CA"/>
    <w:rsid w:val="00920AA4"/>
    <w:rsid w:val="00921047"/>
    <w:rsid w:val="009211D6"/>
    <w:rsid w:val="0092165B"/>
    <w:rsid w:val="00921BC5"/>
    <w:rsid w:val="00921F4A"/>
    <w:rsid w:val="00922F25"/>
    <w:rsid w:val="00923132"/>
    <w:rsid w:val="009231F7"/>
    <w:rsid w:val="009233DD"/>
    <w:rsid w:val="00923889"/>
    <w:rsid w:val="00923AAF"/>
    <w:rsid w:val="00923D33"/>
    <w:rsid w:val="00923F78"/>
    <w:rsid w:val="00923FFC"/>
    <w:rsid w:val="009242CC"/>
    <w:rsid w:val="00924585"/>
    <w:rsid w:val="00924684"/>
    <w:rsid w:val="00924799"/>
    <w:rsid w:val="00924E93"/>
    <w:rsid w:val="00925184"/>
    <w:rsid w:val="0092573A"/>
    <w:rsid w:val="00926645"/>
    <w:rsid w:val="00926CEA"/>
    <w:rsid w:val="009272D9"/>
    <w:rsid w:val="0092747D"/>
    <w:rsid w:val="00927894"/>
    <w:rsid w:val="00927FBB"/>
    <w:rsid w:val="00930062"/>
    <w:rsid w:val="00930732"/>
    <w:rsid w:val="00930DEA"/>
    <w:rsid w:val="00930F31"/>
    <w:rsid w:val="00931151"/>
    <w:rsid w:val="009314B7"/>
    <w:rsid w:val="00932041"/>
    <w:rsid w:val="00932284"/>
    <w:rsid w:val="009322F4"/>
    <w:rsid w:val="009331F4"/>
    <w:rsid w:val="009332A8"/>
    <w:rsid w:val="00933895"/>
    <w:rsid w:val="009338A0"/>
    <w:rsid w:val="00934247"/>
    <w:rsid w:val="00934429"/>
    <w:rsid w:val="00934900"/>
    <w:rsid w:val="00934BE2"/>
    <w:rsid w:val="00934DC5"/>
    <w:rsid w:val="00935382"/>
    <w:rsid w:val="009353B8"/>
    <w:rsid w:val="009354B4"/>
    <w:rsid w:val="00935565"/>
    <w:rsid w:val="009362D3"/>
    <w:rsid w:val="009367D9"/>
    <w:rsid w:val="00936B48"/>
    <w:rsid w:val="00936CD2"/>
    <w:rsid w:val="009372C6"/>
    <w:rsid w:val="00937413"/>
    <w:rsid w:val="00937935"/>
    <w:rsid w:val="00937A7C"/>
    <w:rsid w:val="00937CD7"/>
    <w:rsid w:val="00940EBF"/>
    <w:rsid w:val="00940EE6"/>
    <w:rsid w:val="00941074"/>
    <w:rsid w:val="009411FD"/>
    <w:rsid w:val="009413D6"/>
    <w:rsid w:val="009417B0"/>
    <w:rsid w:val="00941AC5"/>
    <w:rsid w:val="00941AEC"/>
    <w:rsid w:val="0094204C"/>
    <w:rsid w:val="009425BF"/>
    <w:rsid w:val="00942DB3"/>
    <w:rsid w:val="00943839"/>
    <w:rsid w:val="0094388F"/>
    <w:rsid w:val="00943CEA"/>
    <w:rsid w:val="00944143"/>
    <w:rsid w:val="00944661"/>
    <w:rsid w:val="009449D9"/>
    <w:rsid w:val="00944C09"/>
    <w:rsid w:val="00945745"/>
    <w:rsid w:val="009460EF"/>
    <w:rsid w:val="00946464"/>
    <w:rsid w:val="009464E1"/>
    <w:rsid w:val="009467FC"/>
    <w:rsid w:val="00947133"/>
    <w:rsid w:val="0094728B"/>
    <w:rsid w:val="009474C9"/>
    <w:rsid w:val="00947718"/>
    <w:rsid w:val="009477D7"/>
    <w:rsid w:val="009479AD"/>
    <w:rsid w:val="00947D79"/>
    <w:rsid w:val="00950056"/>
    <w:rsid w:val="00950310"/>
    <w:rsid w:val="009508F5"/>
    <w:rsid w:val="009509C5"/>
    <w:rsid w:val="00950E54"/>
    <w:rsid w:val="00951AAA"/>
    <w:rsid w:val="00951C12"/>
    <w:rsid w:val="009523C5"/>
    <w:rsid w:val="0095240C"/>
    <w:rsid w:val="009525A1"/>
    <w:rsid w:val="009525CB"/>
    <w:rsid w:val="00952962"/>
    <w:rsid w:val="00952B5D"/>
    <w:rsid w:val="00952E45"/>
    <w:rsid w:val="00953ABB"/>
    <w:rsid w:val="00953BBE"/>
    <w:rsid w:val="00953E1D"/>
    <w:rsid w:val="00953EF2"/>
    <w:rsid w:val="009543FF"/>
    <w:rsid w:val="00954743"/>
    <w:rsid w:val="009547D0"/>
    <w:rsid w:val="0095486C"/>
    <w:rsid w:val="00954996"/>
    <w:rsid w:val="00954EBE"/>
    <w:rsid w:val="00955084"/>
    <w:rsid w:val="0095516F"/>
    <w:rsid w:val="0095575E"/>
    <w:rsid w:val="0095604A"/>
    <w:rsid w:val="00956298"/>
    <w:rsid w:val="00956864"/>
    <w:rsid w:val="00956884"/>
    <w:rsid w:val="00956BD5"/>
    <w:rsid w:val="00957153"/>
    <w:rsid w:val="00957356"/>
    <w:rsid w:val="00957ADC"/>
    <w:rsid w:val="00960157"/>
    <w:rsid w:val="00960183"/>
    <w:rsid w:val="009602E1"/>
    <w:rsid w:val="009604D3"/>
    <w:rsid w:val="00960D9D"/>
    <w:rsid w:val="0096138D"/>
    <w:rsid w:val="009613E9"/>
    <w:rsid w:val="0096170F"/>
    <w:rsid w:val="009619D6"/>
    <w:rsid w:val="00961ECA"/>
    <w:rsid w:val="0096206D"/>
    <w:rsid w:val="009621FC"/>
    <w:rsid w:val="00962216"/>
    <w:rsid w:val="009622B2"/>
    <w:rsid w:val="009622BB"/>
    <w:rsid w:val="009625DA"/>
    <w:rsid w:val="00962CFC"/>
    <w:rsid w:val="00963214"/>
    <w:rsid w:val="009634E7"/>
    <w:rsid w:val="009641EA"/>
    <w:rsid w:val="009645DC"/>
    <w:rsid w:val="00964BD8"/>
    <w:rsid w:val="00964EFE"/>
    <w:rsid w:val="009652BF"/>
    <w:rsid w:val="009655F6"/>
    <w:rsid w:val="00965835"/>
    <w:rsid w:val="00965BD5"/>
    <w:rsid w:val="009662F0"/>
    <w:rsid w:val="00966A33"/>
    <w:rsid w:val="00966CB3"/>
    <w:rsid w:val="00966F68"/>
    <w:rsid w:val="00967C87"/>
    <w:rsid w:val="009700A8"/>
    <w:rsid w:val="0097078C"/>
    <w:rsid w:val="00970B87"/>
    <w:rsid w:val="00970EC3"/>
    <w:rsid w:val="00970EE5"/>
    <w:rsid w:val="0097114E"/>
    <w:rsid w:val="009712FF"/>
    <w:rsid w:val="009714C5"/>
    <w:rsid w:val="0097152F"/>
    <w:rsid w:val="009716EB"/>
    <w:rsid w:val="00971931"/>
    <w:rsid w:val="00971A83"/>
    <w:rsid w:val="009720EA"/>
    <w:rsid w:val="0097214B"/>
    <w:rsid w:val="009728B4"/>
    <w:rsid w:val="0097294F"/>
    <w:rsid w:val="00972B1C"/>
    <w:rsid w:val="00972EE2"/>
    <w:rsid w:val="00973175"/>
    <w:rsid w:val="009731DA"/>
    <w:rsid w:val="00973A70"/>
    <w:rsid w:val="00973B99"/>
    <w:rsid w:val="00973C9B"/>
    <w:rsid w:val="0097434D"/>
    <w:rsid w:val="009748F1"/>
    <w:rsid w:val="00975545"/>
    <w:rsid w:val="009756C4"/>
    <w:rsid w:val="0097599E"/>
    <w:rsid w:val="00975C15"/>
    <w:rsid w:val="00976009"/>
    <w:rsid w:val="00976140"/>
    <w:rsid w:val="00976343"/>
    <w:rsid w:val="0097646B"/>
    <w:rsid w:val="00976619"/>
    <w:rsid w:val="00976AFB"/>
    <w:rsid w:val="00976FB5"/>
    <w:rsid w:val="00976FE7"/>
    <w:rsid w:val="0097700E"/>
    <w:rsid w:val="00977180"/>
    <w:rsid w:val="00977433"/>
    <w:rsid w:val="00977605"/>
    <w:rsid w:val="0097761D"/>
    <w:rsid w:val="009776CE"/>
    <w:rsid w:val="00977CF7"/>
    <w:rsid w:val="00977E8B"/>
    <w:rsid w:val="00977ECE"/>
    <w:rsid w:val="009802A6"/>
    <w:rsid w:val="00980363"/>
    <w:rsid w:val="00981101"/>
    <w:rsid w:val="00981612"/>
    <w:rsid w:val="00981857"/>
    <w:rsid w:val="00981A79"/>
    <w:rsid w:val="00981CCD"/>
    <w:rsid w:val="00981DC3"/>
    <w:rsid w:val="00982023"/>
    <w:rsid w:val="00982145"/>
    <w:rsid w:val="00982272"/>
    <w:rsid w:val="009825E2"/>
    <w:rsid w:val="00982F7E"/>
    <w:rsid w:val="00983455"/>
    <w:rsid w:val="009834B1"/>
    <w:rsid w:val="009836F8"/>
    <w:rsid w:val="009837AD"/>
    <w:rsid w:val="00983E96"/>
    <w:rsid w:val="00983F56"/>
    <w:rsid w:val="0098412C"/>
    <w:rsid w:val="0098412F"/>
    <w:rsid w:val="009844F4"/>
    <w:rsid w:val="0098475E"/>
    <w:rsid w:val="00984AC3"/>
    <w:rsid w:val="009856DA"/>
    <w:rsid w:val="00985B4B"/>
    <w:rsid w:val="009865C4"/>
    <w:rsid w:val="00986640"/>
    <w:rsid w:val="00986746"/>
    <w:rsid w:val="00986747"/>
    <w:rsid w:val="0098723E"/>
    <w:rsid w:val="009876BC"/>
    <w:rsid w:val="00987A6B"/>
    <w:rsid w:val="00987C6A"/>
    <w:rsid w:val="00987C79"/>
    <w:rsid w:val="00987E98"/>
    <w:rsid w:val="00990205"/>
    <w:rsid w:val="0099031C"/>
    <w:rsid w:val="009909B2"/>
    <w:rsid w:val="0099120C"/>
    <w:rsid w:val="00991230"/>
    <w:rsid w:val="009914A7"/>
    <w:rsid w:val="009919CD"/>
    <w:rsid w:val="00991F3A"/>
    <w:rsid w:val="00992293"/>
    <w:rsid w:val="00992850"/>
    <w:rsid w:val="00992FF0"/>
    <w:rsid w:val="00993908"/>
    <w:rsid w:val="00993B1B"/>
    <w:rsid w:val="00993F20"/>
    <w:rsid w:val="0099405E"/>
    <w:rsid w:val="009943EA"/>
    <w:rsid w:val="00995858"/>
    <w:rsid w:val="00995EBC"/>
    <w:rsid w:val="00996125"/>
    <w:rsid w:val="0099621C"/>
    <w:rsid w:val="00996346"/>
    <w:rsid w:val="00996504"/>
    <w:rsid w:val="009966E0"/>
    <w:rsid w:val="0099673B"/>
    <w:rsid w:val="00996861"/>
    <w:rsid w:val="00996BC8"/>
    <w:rsid w:val="00997194"/>
    <w:rsid w:val="009975CC"/>
    <w:rsid w:val="0099762C"/>
    <w:rsid w:val="009979D6"/>
    <w:rsid w:val="00997B9A"/>
    <w:rsid w:val="00997C07"/>
    <w:rsid w:val="00997F3F"/>
    <w:rsid w:val="009A0012"/>
    <w:rsid w:val="009A0981"/>
    <w:rsid w:val="009A0B8E"/>
    <w:rsid w:val="009A0F88"/>
    <w:rsid w:val="009A132B"/>
    <w:rsid w:val="009A1373"/>
    <w:rsid w:val="009A1661"/>
    <w:rsid w:val="009A1AF3"/>
    <w:rsid w:val="009A27C0"/>
    <w:rsid w:val="009A294D"/>
    <w:rsid w:val="009A2C53"/>
    <w:rsid w:val="009A2C99"/>
    <w:rsid w:val="009A3075"/>
    <w:rsid w:val="009A32F5"/>
    <w:rsid w:val="009A397A"/>
    <w:rsid w:val="009A3BFD"/>
    <w:rsid w:val="009A3C95"/>
    <w:rsid w:val="009A3D9B"/>
    <w:rsid w:val="009A3F11"/>
    <w:rsid w:val="009A40C4"/>
    <w:rsid w:val="009A40E7"/>
    <w:rsid w:val="009A4228"/>
    <w:rsid w:val="009A43CC"/>
    <w:rsid w:val="009A465C"/>
    <w:rsid w:val="009A476C"/>
    <w:rsid w:val="009A4BFC"/>
    <w:rsid w:val="009A4DA0"/>
    <w:rsid w:val="009A5360"/>
    <w:rsid w:val="009A55F9"/>
    <w:rsid w:val="009A57BF"/>
    <w:rsid w:val="009A5A75"/>
    <w:rsid w:val="009A6106"/>
    <w:rsid w:val="009A626F"/>
    <w:rsid w:val="009A650D"/>
    <w:rsid w:val="009A67B1"/>
    <w:rsid w:val="009A6D9C"/>
    <w:rsid w:val="009A7039"/>
    <w:rsid w:val="009A7DDB"/>
    <w:rsid w:val="009B0507"/>
    <w:rsid w:val="009B066A"/>
    <w:rsid w:val="009B0779"/>
    <w:rsid w:val="009B085E"/>
    <w:rsid w:val="009B0B4A"/>
    <w:rsid w:val="009B1672"/>
    <w:rsid w:val="009B1A82"/>
    <w:rsid w:val="009B1E10"/>
    <w:rsid w:val="009B1E4E"/>
    <w:rsid w:val="009B1F4A"/>
    <w:rsid w:val="009B2092"/>
    <w:rsid w:val="009B2195"/>
    <w:rsid w:val="009B2660"/>
    <w:rsid w:val="009B2A11"/>
    <w:rsid w:val="009B311E"/>
    <w:rsid w:val="009B3AE3"/>
    <w:rsid w:val="009B3CDD"/>
    <w:rsid w:val="009B3F54"/>
    <w:rsid w:val="009B5350"/>
    <w:rsid w:val="009B70F8"/>
    <w:rsid w:val="009B70FF"/>
    <w:rsid w:val="009B7180"/>
    <w:rsid w:val="009B7484"/>
    <w:rsid w:val="009B760B"/>
    <w:rsid w:val="009B7BC0"/>
    <w:rsid w:val="009B7D72"/>
    <w:rsid w:val="009B7E88"/>
    <w:rsid w:val="009C0297"/>
    <w:rsid w:val="009C08C2"/>
    <w:rsid w:val="009C12A0"/>
    <w:rsid w:val="009C14BB"/>
    <w:rsid w:val="009C168F"/>
    <w:rsid w:val="009C1B4C"/>
    <w:rsid w:val="009C1B8E"/>
    <w:rsid w:val="009C1C02"/>
    <w:rsid w:val="009C1DC7"/>
    <w:rsid w:val="009C22F7"/>
    <w:rsid w:val="009C2321"/>
    <w:rsid w:val="009C252A"/>
    <w:rsid w:val="009C2A23"/>
    <w:rsid w:val="009C37F8"/>
    <w:rsid w:val="009C38C9"/>
    <w:rsid w:val="009C43F1"/>
    <w:rsid w:val="009C4705"/>
    <w:rsid w:val="009C48FE"/>
    <w:rsid w:val="009C4B2E"/>
    <w:rsid w:val="009C4C57"/>
    <w:rsid w:val="009C510B"/>
    <w:rsid w:val="009C58B1"/>
    <w:rsid w:val="009C5C1F"/>
    <w:rsid w:val="009C6518"/>
    <w:rsid w:val="009C694C"/>
    <w:rsid w:val="009C71C8"/>
    <w:rsid w:val="009C767D"/>
    <w:rsid w:val="009C7990"/>
    <w:rsid w:val="009C7C9F"/>
    <w:rsid w:val="009D02A0"/>
    <w:rsid w:val="009D053B"/>
    <w:rsid w:val="009D0896"/>
    <w:rsid w:val="009D08DA"/>
    <w:rsid w:val="009D0B9E"/>
    <w:rsid w:val="009D10E4"/>
    <w:rsid w:val="009D1711"/>
    <w:rsid w:val="009D1E05"/>
    <w:rsid w:val="009D31D0"/>
    <w:rsid w:val="009D391D"/>
    <w:rsid w:val="009D3CB6"/>
    <w:rsid w:val="009D3CEC"/>
    <w:rsid w:val="009D3D29"/>
    <w:rsid w:val="009D3F2F"/>
    <w:rsid w:val="009D4A66"/>
    <w:rsid w:val="009D4F14"/>
    <w:rsid w:val="009D59A4"/>
    <w:rsid w:val="009D5DF0"/>
    <w:rsid w:val="009D656B"/>
    <w:rsid w:val="009D6683"/>
    <w:rsid w:val="009D68D0"/>
    <w:rsid w:val="009D7004"/>
    <w:rsid w:val="009D7029"/>
    <w:rsid w:val="009D71FB"/>
    <w:rsid w:val="009D75FF"/>
    <w:rsid w:val="009D76BF"/>
    <w:rsid w:val="009D7E4D"/>
    <w:rsid w:val="009E0414"/>
    <w:rsid w:val="009E0B32"/>
    <w:rsid w:val="009E1119"/>
    <w:rsid w:val="009E136E"/>
    <w:rsid w:val="009E1772"/>
    <w:rsid w:val="009E2073"/>
    <w:rsid w:val="009E2146"/>
    <w:rsid w:val="009E21D2"/>
    <w:rsid w:val="009E2A44"/>
    <w:rsid w:val="009E2A70"/>
    <w:rsid w:val="009E2B9D"/>
    <w:rsid w:val="009E2BA3"/>
    <w:rsid w:val="009E3394"/>
    <w:rsid w:val="009E3BA8"/>
    <w:rsid w:val="009E438A"/>
    <w:rsid w:val="009E446C"/>
    <w:rsid w:val="009E4526"/>
    <w:rsid w:val="009E4671"/>
    <w:rsid w:val="009E48A3"/>
    <w:rsid w:val="009E5643"/>
    <w:rsid w:val="009E59B4"/>
    <w:rsid w:val="009E64DA"/>
    <w:rsid w:val="009E671D"/>
    <w:rsid w:val="009E679F"/>
    <w:rsid w:val="009E6AA4"/>
    <w:rsid w:val="009E7D10"/>
    <w:rsid w:val="009F01CD"/>
    <w:rsid w:val="009F03B7"/>
    <w:rsid w:val="009F0D56"/>
    <w:rsid w:val="009F0ED1"/>
    <w:rsid w:val="009F1041"/>
    <w:rsid w:val="009F12F2"/>
    <w:rsid w:val="009F1471"/>
    <w:rsid w:val="009F15FD"/>
    <w:rsid w:val="009F1BB3"/>
    <w:rsid w:val="009F1FA0"/>
    <w:rsid w:val="009F25BC"/>
    <w:rsid w:val="009F2A51"/>
    <w:rsid w:val="009F2D84"/>
    <w:rsid w:val="009F2FBC"/>
    <w:rsid w:val="009F3102"/>
    <w:rsid w:val="009F33D2"/>
    <w:rsid w:val="009F35A5"/>
    <w:rsid w:val="009F403F"/>
    <w:rsid w:val="009F46FC"/>
    <w:rsid w:val="009F4950"/>
    <w:rsid w:val="009F4D10"/>
    <w:rsid w:val="009F4F63"/>
    <w:rsid w:val="009F5129"/>
    <w:rsid w:val="009F52DC"/>
    <w:rsid w:val="009F566D"/>
    <w:rsid w:val="009F5A6E"/>
    <w:rsid w:val="009F60A2"/>
    <w:rsid w:val="009F666B"/>
    <w:rsid w:val="009F66FA"/>
    <w:rsid w:val="009F6733"/>
    <w:rsid w:val="009F683F"/>
    <w:rsid w:val="009F6A11"/>
    <w:rsid w:val="009F6D6F"/>
    <w:rsid w:val="009F6E30"/>
    <w:rsid w:val="009F6F5D"/>
    <w:rsid w:val="009F70B1"/>
    <w:rsid w:val="009F7412"/>
    <w:rsid w:val="009F7451"/>
    <w:rsid w:val="009F7F23"/>
    <w:rsid w:val="00A000A9"/>
    <w:rsid w:val="00A00702"/>
    <w:rsid w:val="00A0089C"/>
    <w:rsid w:val="00A00B78"/>
    <w:rsid w:val="00A00E32"/>
    <w:rsid w:val="00A01634"/>
    <w:rsid w:val="00A01680"/>
    <w:rsid w:val="00A017AB"/>
    <w:rsid w:val="00A01812"/>
    <w:rsid w:val="00A0195E"/>
    <w:rsid w:val="00A01D47"/>
    <w:rsid w:val="00A01E4D"/>
    <w:rsid w:val="00A021CE"/>
    <w:rsid w:val="00A022F9"/>
    <w:rsid w:val="00A02319"/>
    <w:rsid w:val="00A023E4"/>
    <w:rsid w:val="00A02407"/>
    <w:rsid w:val="00A02635"/>
    <w:rsid w:val="00A027B7"/>
    <w:rsid w:val="00A0328E"/>
    <w:rsid w:val="00A037FD"/>
    <w:rsid w:val="00A0411F"/>
    <w:rsid w:val="00A04209"/>
    <w:rsid w:val="00A045AB"/>
    <w:rsid w:val="00A04B1B"/>
    <w:rsid w:val="00A05312"/>
    <w:rsid w:val="00A056BD"/>
    <w:rsid w:val="00A05BD1"/>
    <w:rsid w:val="00A05C3A"/>
    <w:rsid w:val="00A05DFC"/>
    <w:rsid w:val="00A05E26"/>
    <w:rsid w:val="00A05F1E"/>
    <w:rsid w:val="00A062E8"/>
    <w:rsid w:val="00A06363"/>
    <w:rsid w:val="00A063FA"/>
    <w:rsid w:val="00A06C87"/>
    <w:rsid w:val="00A06D3E"/>
    <w:rsid w:val="00A072AF"/>
    <w:rsid w:val="00A072DA"/>
    <w:rsid w:val="00A078B3"/>
    <w:rsid w:val="00A079EB"/>
    <w:rsid w:val="00A07A32"/>
    <w:rsid w:val="00A100A5"/>
    <w:rsid w:val="00A10A98"/>
    <w:rsid w:val="00A11030"/>
    <w:rsid w:val="00A11D38"/>
    <w:rsid w:val="00A122C2"/>
    <w:rsid w:val="00A124A8"/>
    <w:rsid w:val="00A12E24"/>
    <w:rsid w:val="00A13288"/>
    <w:rsid w:val="00A1331F"/>
    <w:rsid w:val="00A13501"/>
    <w:rsid w:val="00A13DC5"/>
    <w:rsid w:val="00A13EC1"/>
    <w:rsid w:val="00A140EB"/>
    <w:rsid w:val="00A14C88"/>
    <w:rsid w:val="00A15314"/>
    <w:rsid w:val="00A15372"/>
    <w:rsid w:val="00A159E8"/>
    <w:rsid w:val="00A15B19"/>
    <w:rsid w:val="00A15B21"/>
    <w:rsid w:val="00A15D5C"/>
    <w:rsid w:val="00A15D8A"/>
    <w:rsid w:val="00A15F02"/>
    <w:rsid w:val="00A160CC"/>
    <w:rsid w:val="00A1634E"/>
    <w:rsid w:val="00A166CA"/>
    <w:rsid w:val="00A169B8"/>
    <w:rsid w:val="00A16D9D"/>
    <w:rsid w:val="00A170E9"/>
    <w:rsid w:val="00A17600"/>
    <w:rsid w:val="00A179C0"/>
    <w:rsid w:val="00A20607"/>
    <w:rsid w:val="00A206B9"/>
    <w:rsid w:val="00A20A79"/>
    <w:rsid w:val="00A20B6C"/>
    <w:rsid w:val="00A211BD"/>
    <w:rsid w:val="00A213E9"/>
    <w:rsid w:val="00A21653"/>
    <w:rsid w:val="00A216CB"/>
    <w:rsid w:val="00A21B52"/>
    <w:rsid w:val="00A2266D"/>
    <w:rsid w:val="00A22AB2"/>
    <w:rsid w:val="00A22CF7"/>
    <w:rsid w:val="00A22FEE"/>
    <w:rsid w:val="00A2389A"/>
    <w:rsid w:val="00A23A9A"/>
    <w:rsid w:val="00A23B77"/>
    <w:rsid w:val="00A23CF1"/>
    <w:rsid w:val="00A23D84"/>
    <w:rsid w:val="00A23DA5"/>
    <w:rsid w:val="00A24282"/>
    <w:rsid w:val="00A24655"/>
    <w:rsid w:val="00A24CE0"/>
    <w:rsid w:val="00A24D1E"/>
    <w:rsid w:val="00A24DB7"/>
    <w:rsid w:val="00A24DD7"/>
    <w:rsid w:val="00A24E19"/>
    <w:rsid w:val="00A2550B"/>
    <w:rsid w:val="00A25674"/>
    <w:rsid w:val="00A25B01"/>
    <w:rsid w:val="00A25CE2"/>
    <w:rsid w:val="00A26EA0"/>
    <w:rsid w:val="00A271AC"/>
    <w:rsid w:val="00A27351"/>
    <w:rsid w:val="00A3012F"/>
    <w:rsid w:val="00A301D7"/>
    <w:rsid w:val="00A30417"/>
    <w:rsid w:val="00A305D1"/>
    <w:rsid w:val="00A31315"/>
    <w:rsid w:val="00A3142E"/>
    <w:rsid w:val="00A31885"/>
    <w:rsid w:val="00A31C31"/>
    <w:rsid w:val="00A32122"/>
    <w:rsid w:val="00A322DF"/>
    <w:rsid w:val="00A32409"/>
    <w:rsid w:val="00A327D8"/>
    <w:rsid w:val="00A3282E"/>
    <w:rsid w:val="00A3283B"/>
    <w:rsid w:val="00A32CBC"/>
    <w:rsid w:val="00A34665"/>
    <w:rsid w:val="00A348F8"/>
    <w:rsid w:val="00A35607"/>
    <w:rsid w:val="00A3571D"/>
    <w:rsid w:val="00A35748"/>
    <w:rsid w:val="00A35F73"/>
    <w:rsid w:val="00A36103"/>
    <w:rsid w:val="00A36228"/>
    <w:rsid w:val="00A36CDA"/>
    <w:rsid w:val="00A36DBB"/>
    <w:rsid w:val="00A37835"/>
    <w:rsid w:val="00A3784C"/>
    <w:rsid w:val="00A405C0"/>
    <w:rsid w:val="00A40B16"/>
    <w:rsid w:val="00A40C76"/>
    <w:rsid w:val="00A4136A"/>
    <w:rsid w:val="00A418EE"/>
    <w:rsid w:val="00A41922"/>
    <w:rsid w:val="00A41BFC"/>
    <w:rsid w:val="00A41FB7"/>
    <w:rsid w:val="00A42220"/>
    <w:rsid w:val="00A4258F"/>
    <w:rsid w:val="00A42664"/>
    <w:rsid w:val="00A4348E"/>
    <w:rsid w:val="00A43742"/>
    <w:rsid w:val="00A440C5"/>
    <w:rsid w:val="00A449F5"/>
    <w:rsid w:val="00A4548E"/>
    <w:rsid w:val="00A4577B"/>
    <w:rsid w:val="00A45885"/>
    <w:rsid w:val="00A45C20"/>
    <w:rsid w:val="00A45DB6"/>
    <w:rsid w:val="00A4611A"/>
    <w:rsid w:val="00A46488"/>
    <w:rsid w:val="00A46524"/>
    <w:rsid w:val="00A4675A"/>
    <w:rsid w:val="00A46974"/>
    <w:rsid w:val="00A46A9B"/>
    <w:rsid w:val="00A46B1E"/>
    <w:rsid w:val="00A46DAE"/>
    <w:rsid w:val="00A46F93"/>
    <w:rsid w:val="00A4719B"/>
    <w:rsid w:val="00A471E3"/>
    <w:rsid w:val="00A4787A"/>
    <w:rsid w:val="00A4791F"/>
    <w:rsid w:val="00A47B2A"/>
    <w:rsid w:val="00A47BF0"/>
    <w:rsid w:val="00A47CB4"/>
    <w:rsid w:val="00A50176"/>
    <w:rsid w:val="00A502A7"/>
    <w:rsid w:val="00A506B6"/>
    <w:rsid w:val="00A506FB"/>
    <w:rsid w:val="00A5156B"/>
    <w:rsid w:val="00A516A1"/>
    <w:rsid w:val="00A521CF"/>
    <w:rsid w:val="00A526D6"/>
    <w:rsid w:val="00A530DF"/>
    <w:rsid w:val="00A542B3"/>
    <w:rsid w:val="00A549E0"/>
    <w:rsid w:val="00A55631"/>
    <w:rsid w:val="00A55D78"/>
    <w:rsid w:val="00A55FB8"/>
    <w:rsid w:val="00A56456"/>
    <w:rsid w:val="00A56CE3"/>
    <w:rsid w:val="00A56F86"/>
    <w:rsid w:val="00A57365"/>
    <w:rsid w:val="00A57FCE"/>
    <w:rsid w:val="00A600A9"/>
    <w:rsid w:val="00A60261"/>
    <w:rsid w:val="00A60960"/>
    <w:rsid w:val="00A60BF3"/>
    <w:rsid w:val="00A61335"/>
    <w:rsid w:val="00A613DC"/>
    <w:rsid w:val="00A61C57"/>
    <w:rsid w:val="00A61DEB"/>
    <w:rsid w:val="00A62092"/>
    <w:rsid w:val="00A62465"/>
    <w:rsid w:val="00A6258D"/>
    <w:rsid w:val="00A62C75"/>
    <w:rsid w:val="00A63003"/>
    <w:rsid w:val="00A6303F"/>
    <w:rsid w:val="00A63419"/>
    <w:rsid w:val="00A63690"/>
    <w:rsid w:val="00A63DBE"/>
    <w:rsid w:val="00A64367"/>
    <w:rsid w:val="00A6487D"/>
    <w:rsid w:val="00A64A47"/>
    <w:rsid w:val="00A64A97"/>
    <w:rsid w:val="00A64F55"/>
    <w:rsid w:val="00A65311"/>
    <w:rsid w:val="00A65912"/>
    <w:rsid w:val="00A65A02"/>
    <w:rsid w:val="00A65AC7"/>
    <w:rsid w:val="00A65CAA"/>
    <w:rsid w:val="00A65CDE"/>
    <w:rsid w:val="00A65D43"/>
    <w:rsid w:val="00A6618C"/>
    <w:rsid w:val="00A663BA"/>
    <w:rsid w:val="00A66632"/>
    <w:rsid w:val="00A66DFC"/>
    <w:rsid w:val="00A670DA"/>
    <w:rsid w:val="00A677E5"/>
    <w:rsid w:val="00A6787D"/>
    <w:rsid w:val="00A67A83"/>
    <w:rsid w:val="00A702D7"/>
    <w:rsid w:val="00A70735"/>
    <w:rsid w:val="00A708A2"/>
    <w:rsid w:val="00A71603"/>
    <w:rsid w:val="00A71C05"/>
    <w:rsid w:val="00A72053"/>
    <w:rsid w:val="00A721FB"/>
    <w:rsid w:val="00A7235F"/>
    <w:rsid w:val="00A724D6"/>
    <w:rsid w:val="00A72B1E"/>
    <w:rsid w:val="00A73434"/>
    <w:rsid w:val="00A738ED"/>
    <w:rsid w:val="00A73951"/>
    <w:rsid w:val="00A7395A"/>
    <w:rsid w:val="00A73BBA"/>
    <w:rsid w:val="00A7414D"/>
    <w:rsid w:val="00A74401"/>
    <w:rsid w:val="00A748B9"/>
    <w:rsid w:val="00A74AD6"/>
    <w:rsid w:val="00A74DE8"/>
    <w:rsid w:val="00A74F4D"/>
    <w:rsid w:val="00A751DB"/>
    <w:rsid w:val="00A75514"/>
    <w:rsid w:val="00A7559E"/>
    <w:rsid w:val="00A75CEF"/>
    <w:rsid w:val="00A75D26"/>
    <w:rsid w:val="00A75DD3"/>
    <w:rsid w:val="00A76368"/>
    <w:rsid w:val="00A765DE"/>
    <w:rsid w:val="00A77195"/>
    <w:rsid w:val="00A77E01"/>
    <w:rsid w:val="00A77EA4"/>
    <w:rsid w:val="00A80071"/>
    <w:rsid w:val="00A8093C"/>
    <w:rsid w:val="00A80E43"/>
    <w:rsid w:val="00A81035"/>
    <w:rsid w:val="00A812F1"/>
    <w:rsid w:val="00A813EC"/>
    <w:rsid w:val="00A81530"/>
    <w:rsid w:val="00A81710"/>
    <w:rsid w:val="00A819E7"/>
    <w:rsid w:val="00A8241B"/>
    <w:rsid w:val="00A82757"/>
    <w:rsid w:val="00A82D7A"/>
    <w:rsid w:val="00A82E11"/>
    <w:rsid w:val="00A8358F"/>
    <w:rsid w:val="00A83748"/>
    <w:rsid w:val="00A83DC0"/>
    <w:rsid w:val="00A8425A"/>
    <w:rsid w:val="00A852D1"/>
    <w:rsid w:val="00A853D7"/>
    <w:rsid w:val="00A8547A"/>
    <w:rsid w:val="00A8556F"/>
    <w:rsid w:val="00A85685"/>
    <w:rsid w:val="00A85B54"/>
    <w:rsid w:val="00A85B6D"/>
    <w:rsid w:val="00A85D2A"/>
    <w:rsid w:val="00A85F60"/>
    <w:rsid w:val="00A8601B"/>
    <w:rsid w:val="00A8690B"/>
    <w:rsid w:val="00A86C41"/>
    <w:rsid w:val="00A873DC"/>
    <w:rsid w:val="00A87408"/>
    <w:rsid w:val="00A87B08"/>
    <w:rsid w:val="00A87D0F"/>
    <w:rsid w:val="00A87FFA"/>
    <w:rsid w:val="00A9087E"/>
    <w:rsid w:val="00A909A9"/>
    <w:rsid w:val="00A90BEE"/>
    <w:rsid w:val="00A90EBB"/>
    <w:rsid w:val="00A911FE"/>
    <w:rsid w:val="00A913FE"/>
    <w:rsid w:val="00A9140B"/>
    <w:rsid w:val="00A9284E"/>
    <w:rsid w:val="00A936F3"/>
    <w:rsid w:val="00A9396F"/>
    <w:rsid w:val="00A939CE"/>
    <w:rsid w:val="00A93A28"/>
    <w:rsid w:val="00A93DE7"/>
    <w:rsid w:val="00A93E7A"/>
    <w:rsid w:val="00A940A9"/>
    <w:rsid w:val="00A9430B"/>
    <w:rsid w:val="00A94332"/>
    <w:rsid w:val="00A943AD"/>
    <w:rsid w:val="00A94AA0"/>
    <w:rsid w:val="00A94C3E"/>
    <w:rsid w:val="00A95A85"/>
    <w:rsid w:val="00A9634B"/>
    <w:rsid w:val="00A9675D"/>
    <w:rsid w:val="00A96B04"/>
    <w:rsid w:val="00A96C5F"/>
    <w:rsid w:val="00A96E61"/>
    <w:rsid w:val="00A97014"/>
    <w:rsid w:val="00A975B1"/>
    <w:rsid w:val="00A976D1"/>
    <w:rsid w:val="00A9772E"/>
    <w:rsid w:val="00A977C8"/>
    <w:rsid w:val="00A97957"/>
    <w:rsid w:val="00A97C69"/>
    <w:rsid w:val="00A97D69"/>
    <w:rsid w:val="00A97D7A"/>
    <w:rsid w:val="00A97FB6"/>
    <w:rsid w:val="00AA018D"/>
    <w:rsid w:val="00AA048B"/>
    <w:rsid w:val="00AA0BA2"/>
    <w:rsid w:val="00AA1281"/>
    <w:rsid w:val="00AA1353"/>
    <w:rsid w:val="00AA1595"/>
    <w:rsid w:val="00AA245B"/>
    <w:rsid w:val="00AA247F"/>
    <w:rsid w:val="00AA279E"/>
    <w:rsid w:val="00AA28AC"/>
    <w:rsid w:val="00AA2FFE"/>
    <w:rsid w:val="00AA3285"/>
    <w:rsid w:val="00AA38A2"/>
    <w:rsid w:val="00AA3C5E"/>
    <w:rsid w:val="00AA3E91"/>
    <w:rsid w:val="00AA42D7"/>
    <w:rsid w:val="00AA4440"/>
    <w:rsid w:val="00AA4496"/>
    <w:rsid w:val="00AA4921"/>
    <w:rsid w:val="00AA4B5A"/>
    <w:rsid w:val="00AA4D24"/>
    <w:rsid w:val="00AA4DEF"/>
    <w:rsid w:val="00AA5292"/>
    <w:rsid w:val="00AA52D3"/>
    <w:rsid w:val="00AA5996"/>
    <w:rsid w:val="00AA609D"/>
    <w:rsid w:val="00AA63D0"/>
    <w:rsid w:val="00AA63FC"/>
    <w:rsid w:val="00AA74AB"/>
    <w:rsid w:val="00AA791D"/>
    <w:rsid w:val="00AA7EDA"/>
    <w:rsid w:val="00AB03D4"/>
    <w:rsid w:val="00AB0AD0"/>
    <w:rsid w:val="00AB0B69"/>
    <w:rsid w:val="00AB0D38"/>
    <w:rsid w:val="00AB12F9"/>
    <w:rsid w:val="00AB2360"/>
    <w:rsid w:val="00AB2836"/>
    <w:rsid w:val="00AB28E3"/>
    <w:rsid w:val="00AB3195"/>
    <w:rsid w:val="00AB32FD"/>
    <w:rsid w:val="00AB3E25"/>
    <w:rsid w:val="00AB42E7"/>
    <w:rsid w:val="00AB4333"/>
    <w:rsid w:val="00AB4522"/>
    <w:rsid w:val="00AB47D6"/>
    <w:rsid w:val="00AB523D"/>
    <w:rsid w:val="00AB56AD"/>
    <w:rsid w:val="00AB5802"/>
    <w:rsid w:val="00AB5A99"/>
    <w:rsid w:val="00AB6595"/>
    <w:rsid w:val="00AB69BE"/>
    <w:rsid w:val="00AB6CD7"/>
    <w:rsid w:val="00AB6D45"/>
    <w:rsid w:val="00AB6F83"/>
    <w:rsid w:val="00AB6F89"/>
    <w:rsid w:val="00AB7D7E"/>
    <w:rsid w:val="00AC0478"/>
    <w:rsid w:val="00AC1314"/>
    <w:rsid w:val="00AC1C8F"/>
    <w:rsid w:val="00AC1EA2"/>
    <w:rsid w:val="00AC1F4A"/>
    <w:rsid w:val="00AC242E"/>
    <w:rsid w:val="00AC246E"/>
    <w:rsid w:val="00AC2C22"/>
    <w:rsid w:val="00AC2D64"/>
    <w:rsid w:val="00AC3BF1"/>
    <w:rsid w:val="00AC3DC0"/>
    <w:rsid w:val="00AC4365"/>
    <w:rsid w:val="00AC438F"/>
    <w:rsid w:val="00AC4B96"/>
    <w:rsid w:val="00AC4DA0"/>
    <w:rsid w:val="00AC4F62"/>
    <w:rsid w:val="00AC4FF5"/>
    <w:rsid w:val="00AC58F5"/>
    <w:rsid w:val="00AC595D"/>
    <w:rsid w:val="00AC59D0"/>
    <w:rsid w:val="00AC5A16"/>
    <w:rsid w:val="00AC5DEA"/>
    <w:rsid w:val="00AC623B"/>
    <w:rsid w:val="00AC6482"/>
    <w:rsid w:val="00AC654C"/>
    <w:rsid w:val="00AC6E88"/>
    <w:rsid w:val="00AC7280"/>
    <w:rsid w:val="00AC73A2"/>
    <w:rsid w:val="00AC79EB"/>
    <w:rsid w:val="00AD0190"/>
    <w:rsid w:val="00AD0646"/>
    <w:rsid w:val="00AD0ED4"/>
    <w:rsid w:val="00AD13BC"/>
    <w:rsid w:val="00AD1B40"/>
    <w:rsid w:val="00AD1E2D"/>
    <w:rsid w:val="00AD2369"/>
    <w:rsid w:val="00AD266A"/>
    <w:rsid w:val="00AD2B41"/>
    <w:rsid w:val="00AD32F7"/>
    <w:rsid w:val="00AD37C9"/>
    <w:rsid w:val="00AD39D8"/>
    <w:rsid w:val="00AD548F"/>
    <w:rsid w:val="00AD57A7"/>
    <w:rsid w:val="00AD5952"/>
    <w:rsid w:val="00AD5980"/>
    <w:rsid w:val="00AD5DE2"/>
    <w:rsid w:val="00AD647F"/>
    <w:rsid w:val="00AD6573"/>
    <w:rsid w:val="00AD6F51"/>
    <w:rsid w:val="00AD707B"/>
    <w:rsid w:val="00AD72A0"/>
    <w:rsid w:val="00AD7587"/>
    <w:rsid w:val="00AD77A4"/>
    <w:rsid w:val="00AD7E83"/>
    <w:rsid w:val="00AD7F56"/>
    <w:rsid w:val="00AE0041"/>
    <w:rsid w:val="00AE05ED"/>
    <w:rsid w:val="00AE09AD"/>
    <w:rsid w:val="00AE1379"/>
    <w:rsid w:val="00AE2452"/>
    <w:rsid w:val="00AE28EE"/>
    <w:rsid w:val="00AE3241"/>
    <w:rsid w:val="00AE34CD"/>
    <w:rsid w:val="00AE3757"/>
    <w:rsid w:val="00AE3A6F"/>
    <w:rsid w:val="00AE3DF1"/>
    <w:rsid w:val="00AE41B0"/>
    <w:rsid w:val="00AE4615"/>
    <w:rsid w:val="00AE48B9"/>
    <w:rsid w:val="00AE4A25"/>
    <w:rsid w:val="00AE4B4C"/>
    <w:rsid w:val="00AE5045"/>
    <w:rsid w:val="00AE5A66"/>
    <w:rsid w:val="00AE6A2B"/>
    <w:rsid w:val="00AE6BD6"/>
    <w:rsid w:val="00AE74F0"/>
    <w:rsid w:val="00AE79CC"/>
    <w:rsid w:val="00AE7D61"/>
    <w:rsid w:val="00AE7FB3"/>
    <w:rsid w:val="00AF00A0"/>
    <w:rsid w:val="00AF00A5"/>
    <w:rsid w:val="00AF0165"/>
    <w:rsid w:val="00AF023A"/>
    <w:rsid w:val="00AF076E"/>
    <w:rsid w:val="00AF0869"/>
    <w:rsid w:val="00AF08E9"/>
    <w:rsid w:val="00AF0AA0"/>
    <w:rsid w:val="00AF1108"/>
    <w:rsid w:val="00AF1BD9"/>
    <w:rsid w:val="00AF1D47"/>
    <w:rsid w:val="00AF1E82"/>
    <w:rsid w:val="00AF1F10"/>
    <w:rsid w:val="00AF1F32"/>
    <w:rsid w:val="00AF26DE"/>
    <w:rsid w:val="00AF2781"/>
    <w:rsid w:val="00AF2951"/>
    <w:rsid w:val="00AF305F"/>
    <w:rsid w:val="00AF33F2"/>
    <w:rsid w:val="00AF35D4"/>
    <w:rsid w:val="00AF3A7D"/>
    <w:rsid w:val="00AF40A9"/>
    <w:rsid w:val="00AF416F"/>
    <w:rsid w:val="00AF4FC9"/>
    <w:rsid w:val="00AF5271"/>
    <w:rsid w:val="00AF5296"/>
    <w:rsid w:val="00AF54CF"/>
    <w:rsid w:val="00AF5BC3"/>
    <w:rsid w:val="00AF5D99"/>
    <w:rsid w:val="00AF693F"/>
    <w:rsid w:val="00AF6A59"/>
    <w:rsid w:val="00AF776A"/>
    <w:rsid w:val="00AF7A0D"/>
    <w:rsid w:val="00AF7A4A"/>
    <w:rsid w:val="00AF7AEB"/>
    <w:rsid w:val="00AF7B34"/>
    <w:rsid w:val="00B00228"/>
    <w:rsid w:val="00B004A9"/>
    <w:rsid w:val="00B00FB9"/>
    <w:rsid w:val="00B018C0"/>
    <w:rsid w:val="00B01B3E"/>
    <w:rsid w:val="00B0245E"/>
    <w:rsid w:val="00B0274B"/>
    <w:rsid w:val="00B02D8F"/>
    <w:rsid w:val="00B02FC4"/>
    <w:rsid w:val="00B03435"/>
    <w:rsid w:val="00B03580"/>
    <w:rsid w:val="00B03E48"/>
    <w:rsid w:val="00B04170"/>
    <w:rsid w:val="00B044D3"/>
    <w:rsid w:val="00B04BB5"/>
    <w:rsid w:val="00B0514B"/>
    <w:rsid w:val="00B05151"/>
    <w:rsid w:val="00B05914"/>
    <w:rsid w:val="00B06E1A"/>
    <w:rsid w:val="00B070EE"/>
    <w:rsid w:val="00B07107"/>
    <w:rsid w:val="00B077E2"/>
    <w:rsid w:val="00B10637"/>
    <w:rsid w:val="00B10BDE"/>
    <w:rsid w:val="00B10CAF"/>
    <w:rsid w:val="00B11520"/>
    <w:rsid w:val="00B11524"/>
    <w:rsid w:val="00B11735"/>
    <w:rsid w:val="00B1189E"/>
    <w:rsid w:val="00B11B2E"/>
    <w:rsid w:val="00B11D2A"/>
    <w:rsid w:val="00B11DAE"/>
    <w:rsid w:val="00B12046"/>
    <w:rsid w:val="00B12430"/>
    <w:rsid w:val="00B12762"/>
    <w:rsid w:val="00B13390"/>
    <w:rsid w:val="00B13520"/>
    <w:rsid w:val="00B13552"/>
    <w:rsid w:val="00B13641"/>
    <w:rsid w:val="00B13D7C"/>
    <w:rsid w:val="00B13E2F"/>
    <w:rsid w:val="00B13E4B"/>
    <w:rsid w:val="00B13F4C"/>
    <w:rsid w:val="00B141DD"/>
    <w:rsid w:val="00B14DD6"/>
    <w:rsid w:val="00B14F58"/>
    <w:rsid w:val="00B151CF"/>
    <w:rsid w:val="00B15558"/>
    <w:rsid w:val="00B1560E"/>
    <w:rsid w:val="00B157F1"/>
    <w:rsid w:val="00B162D8"/>
    <w:rsid w:val="00B17063"/>
    <w:rsid w:val="00B171DC"/>
    <w:rsid w:val="00B17462"/>
    <w:rsid w:val="00B17677"/>
    <w:rsid w:val="00B178E0"/>
    <w:rsid w:val="00B17AF8"/>
    <w:rsid w:val="00B17BD7"/>
    <w:rsid w:val="00B204E9"/>
    <w:rsid w:val="00B20678"/>
    <w:rsid w:val="00B20965"/>
    <w:rsid w:val="00B20F69"/>
    <w:rsid w:val="00B2151E"/>
    <w:rsid w:val="00B21F72"/>
    <w:rsid w:val="00B2274F"/>
    <w:rsid w:val="00B22C1C"/>
    <w:rsid w:val="00B23503"/>
    <w:rsid w:val="00B23C60"/>
    <w:rsid w:val="00B23C90"/>
    <w:rsid w:val="00B23CEE"/>
    <w:rsid w:val="00B24A61"/>
    <w:rsid w:val="00B2518F"/>
    <w:rsid w:val="00B252E3"/>
    <w:rsid w:val="00B2546A"/>
    <w:rsid w:val="00B25553"/>
    <w:rsid w:val="00B25884"/>
    <w:rsid w:val="00B25E25"/>
    <w:rsid w:val="00B25F7E"/>
    <w:rsid w:val="00B2651B"/>
    <w:rsid w:val="00B268B2"/>
    <w:rsid w:val="00B26C19"/>
    <w:rsid w:val="00B26D17"/>
    <w:rsid w:val="00B2701F"/>
    <w:rsid w:val="00B270E4"/>
    <w:rsid w:val="00B27853"/>
    <w:rsid w:val="00B27892"/>
    <w:rsid w:val="00B27B31"/>
    <w:rsid w:val="00B27C67"/>
    <w:rsid w:val="00B30117"/>
    <w:rsid w:val="00B302E5"/>
    <w:rsid w:val="00B304C1"/>
    <w:rsid w:val="00B305CA"/>
    <w:rsid w:val="00B308F7"/>
    <w:rsid w:val="00B30B64"/>
    <w:rsid w:val="00B30BAB"/>
    <w:rsid w:val="00B30DDD"/>
    <w:rsid w:val="00B30FDE"/>
    <w:rsid w:val="00B31530"/>
    <w:rsid w:val="00B3164D"/>
    <w:rsid w:val="00B31E81"/>
    <w:rsid w:val="00B31FF3"/>
    <w:rsid w:val="00B32BEB"/>
    <w:rsid w:val="00B3366C"/>
    <w:rsid w:val="00B3394E"/>
    <w:rsid w:val="00B33BD0"/>
    <w:rsid w:val="00B3422F"/>
    <w:rsid w:val="00B34927"/>
    <w:rsid w:val="00B34C38"/>
    <w:rsid w:val="00B34F55"/>
    <w:rsid w:val="00B35151"/>
    <w:rsid w:val="00B35C4B"/>
    <w:rsid w:val="00B36418"/>
    <w:rsid w:val="00B3646E"/>
    <w:rsid w:val="00B3657E"/>
    <w:rsid w:val="00B3685D"/>
    <w:rsid w:val="00B3712C"/>
    <w:rsid w:val="00B3754B"/>
    <w:rsid w:val="00B37E75"/>
    <w:rsid w:val="00B40162"/>
    <w:rsid w:val="00B403D7"/>
    <w:rsid w:val="00B404B2"/>
    <w:rsid w:val="00B404E6"/>
    <w:rsid w:val="00B40918"/>
    <w:rsid w:val="00B41077"/>
    <w:rsid w:val="00B41967"/>
    <w:rsid w:val="00B41EC7"/>
    <w:rsid w:val="00B42517"/>
    <w:rsid w:val="00B42827"/>
    <w:rsid w:val="00B429E4"/>
    <w:rsid w:val="00B431EF"/>
    <w:rsid w:val="00B4348D"/>
    <w:rsid w:val="00B43AC1"/>
    <w:rsid w:val="00B43EA7"/>
    <w:rsid w:val="00B44B09"/>
    <w:rsid w:val="00B450BA"/>
    <w:rsid w:val="00B45C2A"/>
    <w:rsid w:val="00B46320"/>
    <w:rsid w:val="00B47052"/>
    <w:rsid w:val="00B47232"/>
    <w:rsid w:val="00B47371"/>
    <w:rsid w:val="00B4755E"/>
    <w:rsid w:val="00B479AA"/>
    <w:rsid w:val="00B479AE"/>
    <w:rsid w:val="00B47B5A"/>
    <w:rsid w:val="00B47D0F"/>
    <w:rsid w:val="00B504B2"/>
    <w:rsid w:val="00B506DC"/>
    <w:rsid w:val="00B50E3F"/>
    <w:rsid w:val="00B50E75"/>
    <w:rsid w:val="00B50F3C"/>
    <w:rsid w:val="00B510FD"/>
    <w:rsid w:val="00B51130"/>
    <w:rsid w:val="00B51ADD"/>
    <w:rsid w:val="00B524CF"/>
    <w:rsid w:val="00B52518"/>
    <w:rsid w:val="00B526CA"/>
    <w:rsid w:val="00B5288B"/>
    <w:rsid w:val="00B53427"/>
    <w:rsid w:val="00B5343F"/>
    <w:rsid w:val="00B53C64"/>
    <w:rsid w:val="00B54949"/>
    <w:rsid w:val="00B54A21"/>
    <w:rsid w:val="00B54ADF"/>
    <w:rsid w:val="00B54BB3"/>
    <w:rsid w:val="00B55306"/>
    <w:rsid w:val="00B55A1A"/>
    <w:rsid w:val="00B55EC6"/>
    <w:rsid w:val="00B56189"/>
    <w:rsid w:val="00B56A84"/>
    <w:rsid w:val="00B56CCA"/>
    <w:rsid w:val="00B56D56"/>
    <w:rsid w:val="00B57690"/>
    <w:rsid w:val="00B57752"/>
    <w:rsid w:val="00B57B6B"/>
    <w:rsid w:val="00B57BF6"/>
    <w:rsid w:val="00B6123E"/>
    <w:rsid w:val="00B618FC"/>
    <w:rsid w:val="00B61B30"/>
    <w:rsid w:val="00B61C11"/>
    <w:rsid w:val="00B61D0A"/>
    <w:rsid w:val="00B61D80"/>
    <w:rsid w:val="00B61EA9"/>
    <w:rsid w:val="00B61FA8"/>
    <w:rsid w:val="00B62455"/>
    <w:rsid w:val="00B628B2"/>
    <w:rsid w:val="00B62D8B"/>
    <w:rsid w:val="00B62FD4"/>
    <w:rsid w:val="00B6311B"/>
    <w:rsid w:val="00B632BB"/>
    <w:rsid w:val="00B64A41"/>
    <w:rsid w:val="00B64DCF"/>
    <w:rsid w:val="00B64E08"/>
    <w:rsid w:val="00B64FBD"/>
    <w:rsid w:val="00B659DE"/>
    <w:rsid w:val="00B66450"/>
    <w:rsid w:val="00B665B8"/>
    <w:rsid w:val="00B6694F"/>
    <w:rsid w:val="00B6695B"/>
    <w:rsid w:val="00B67047"/>
    <w:rsid w:val="00B67851"/>
    <w:rsid w:val="00B67C01"/>
    <w:rsid w:val="00B70A27"/>
    <w:rsid w:val="00B70B30"/>
    <w:rsid w:val="00B70B48"/>
    <w:rsid w:val="00B714D2"/>
    <w:rsid w:val="00B71E08"/>
    <w:rsid w:val="00B71EA6"/>
    <w:rsid w:val="00B72336"/>
    <w:rsid w:val="00B72343"/>
    <w:rsid w:val="00B723A5"/>
    <w:rsid w:val="00B7240A"/>
    <w:rsid w:val="00B72DB4"/>
    <w:rsid w:val="00B7305D"/>
    <w:rsid w:val="00B73781"/>
    <w:rsid w:val="00B743A9"/>
    <w:rsid w:val="00B744AB"/>
    <w:rsid w:val="00B74515"/>
    <w:rsid w:val="00B7455D"/>
    <w:rsid w:val="00B74DF5"/>
    <w:rsid w:val="00B75228"/>
    <w:rsid w:val="00B7576D"/>
    <w:rsid w:val="00B760AD"/>
    <w:rsid w:val="00B7651E"/>
    <w:rsid w:val="00B76AC7"/>
    <w:rsid w:val="00B77290"/>
    <w:rsid w:val="00B7756D"/>
    <w:rsid w:val="00B778C7"/>
    <w:rsid w:val="00B77F27"/>
    <w:rsid w:val="00B80291"/>
    <w:rsid w:val="00B807AD"/>
    <w:rsid w:val="00B809F9"/>
    <w:rsid w:val="00B80F6D"/>
    <w:rsid w:val="00B81329"/>
    <w:rsid w:val="00B81988"/>
    <w:rsid w:val="00B81CA9"/>
    <w:rsid w:val="00B821D3"/>
    <w:rsid w:val="00B82393"/>
    <w:rsid w:val="00B826DF"/>
    <w:rsid w:val="00B8282C"/>
    <w:rsid w:val="00B828E2"/>
    <w:rsid w:val="00B82B13"/>
    <w:rsid w:val="00B830A6"/>
    <w:rsid w:val="00B838E1"/>
    <w:rsid w:val="00B83A45"/>
    <w:rsid w:val="00B8440A"/>
    <w:rsid w:val="00B84483"/>
    <w:rsid w:val="00B846FC"/>
    <w:rsid w:val="00B84B60"/>
    <w:rsid w:val="00B84D37"/>
    <w:rsid w:val="00B84E72"/>
    <w:rsid w:val="00B85213"/>
    <w:rsid w:val="00B85908"/>
    <w:rsid w:val="00B85EBB"/>
    <w:rsid w:val="00B85FCD"/>
    <w:rsid w:val="00B8602A"/>
    <w:rsid w:val="00B8633C"/>
    <w:rsid w:val="00B86981"/>
    <w:rsid w:val="00B86ADB"/>
    <w:rsid w:val="00B86CCC"/>
    <w:rsid w:val="00B86F2A"/>
    <w:rsid w:val="00B86FD9"/>
    <w:rsid w:val="00B871A6"/>
    <w:rsid w:val="00B873FF"/>
    <w:rsid w:val="00B87544"/>
    <w:rsid w:val="00B87BB4"/>
    <w:rsid w:val="00B87CB6"/>
    <w:rsid w:val="00B905C5"/>
    <w:rsid w:val="00B9074F"/>
    <w:rsid w:val="00B90FD3"/>
    <w:rsid w:val="00B91067"/>
    <w:rsid w:val="00B9107C"/>
    <w:rsid w:val="00B9113F"/>
    <w:rsid w:val="00B91E40"/>
    <w:rsid w:val="00B9207C"/>
    <w:rsid w:val="00B922E3"/>
    <w:rsid w:val="00B924E3"/>
    <w:rsid w:val="00B92AE5"/>
    <w:rsid w:val="00B92D30"/>
    <w:rsid w:val="00B930AB"/>
    <w:rsid w:val="00B93214"/>
    <w:rsid w:val="00B938B6"/>
    <w:rsid w:val="00B93CAC"/>
    <w:rsid w:val="00B9488E"/>
    <w:rsid w:val="00B949CE"/>
    <w:rsid w:val="00B95248"/>
    <w:rsid w:val="00B95802"/>
    <w:rsid w:val="00B95AA0"/>
    <w:rsid w:val="00B95C8B"/>
    <w:rsid w:val="00B96109"/>
    <w:rsid w:val="00B96219"/>
    <w:rsid w:val="00B962A9"/>
    <w:rsid w:val="00B96C4B"/>
    <w:rsid w:val="00B96F0E"/>
    <w:rsid w:val="00B9700A"/>
    <w:rsid w:val="00B976BD"/>
    <w:rsid w:val="00BA00EB"/>
    <w:rsid w:val="00BA0258"/>
    <w:rsid w:val="00BA03C7"/>
    <w:rsid w:val="00BA0601"/>
    <w:rsid w:val="00BA098F"/>
    <w:rsid w:val="00BA146F"/>
    <w:rsid w:val="00BA167F"/>
    <w:rsid w:val="00BA16B1"/>
    <w:rsid w:val="00BA17BD"/>
    <w:rsid w:val="00BA1B09"/>
    <w:rsid w:val="00BA1C79"/>
    <w:rsid w:val="00BA1C87"/>
    <w:rsid w:val="00BA24FB"/>
    <w:rsid w:val="00BA2880"/>
    <w:rsid w:val="00BA2956"/>
    <w:rsid w:val="00BA2AD0"/>
    <w:rsid w:val="00BA2B4E"/>
    <w:rsid w:val="00BA38C6"/>
    <w:rsid w:val="00BA3E1B"/>
    <w:rsid w:val="00BA452C"/>
    <w:rsid w:val="00BA496F"/>
    <w:rsid w:val="00BA52F0"/>
    <w:rsid w:val="00BA540D"/>
    <w:rsid w:val="00BA5564"/>
    <w:rsid w:val="00BA57B7"/>
    <w:rsid w:val="00BA60BB"/>
    <w:rsid w:val="00BA610A"/>
    <w:rsid w:val="00BA6231"/>
    <w:rsid w:val="00BA632A"/>
    <w:rsid w:val="00BA63F1"/>
    <w:rsid w:val="00BA65C9"/>
    <w:rsid w:val="00BA663A"/>
    <w:rsid w:val="00BA6A7D"/>
    <w:rsid w:val="00BA7201"/>
    <w:rsid w:val="00BA74F9"/>
    <w:rsid w:val="00BA75CF"/>
    <w:rsid w:val="00BA7694"/>
    <w:rsid w:val="00BA7917"/>
    <w:rsid w:val="00BA79B1"/>
    <w:rsid w:val="00BB079B"/>
    <w:rsid w:val="00BB0DD9"/>
    <w:rsid w:val="00BB1131"/>
    <w:rsid w:val="00BB1256"/>
    <w:rsid w:val="00BB15A7"/>
    <w:rsid w:val="00BB19C2"/>
    <w:rsid w:val="00BB1DBC"/>
    <w:rsid w:val="00BB1ED7"/>
    <w:rsid w:val="00BB1F11"/>
    <w:rsid w:val="00BB20F9"/>
    <w:rsid w:val="00BB2107"/>
    <w:rsid w:val="00BB2125"/>
    <w:rsid w:val="00BB25A2"/>
    <w:rsid w:val="00BB2A86"/>
    <w:rsid w:val="00BB2BEE"/>
    <w:rsid w:val="00BB374A"/>
    <w:rsid w:val="00BB391A"/>
    <w:rsid w:val="00BB44A4"/>
    <w:rsid w:val="00BB4690"/>
    <w:rsid w:val="00BB4882"/>
    <w:rsid w:val="00BB4E1C"/>
    <w:rsid w:val="00BB4EAC"/>
    <w:rsid w:val="00BB507E"/>
    <w:rsid w:val="00BB553A"/>
    <w:rsid w:val="00BB5840"/>
    <w:rsid w:val="00BB59B5"/>
    <w:rsid w:val="00BB61AE"/>
    <w:rsid w:val="00BB61D6"/>
    <w:rsid w:val="00BB65C4"/>
    <w:rsid w:val="00BB65E3"/>
    <w:rsid w:val="00BB6676"/>
    <w:rsid w:val="00BB669A"/>
    <w:rsid w:val="00BB678C"/>
    <w:rsid w:val="00BB6953"/>
    <w:rsid w:val="00BB7FAE"/>
    <w:rsid w:val="00BB7FB9"/>
    <w:rsid w:val="00BB7FE8"/>
    <w:rsid w:val="00BC0193"/>
    <w:rsid w:val="00BC06FA"/>
    <w:rsid w:val="00BC08BD"/>
    <w:rsid w:val="00BC08FB"/>
    <w:rsid w:val="00BC0BAF"/>
    <w:rsid w:val="00BC0BD8"/>
    <w:rsid w:val="00BC1218"/>
    <w:rsid w:val="00BC12A5"/>
    <w:rsid w:val="00BC18D9"/>
    <w:rsid w:val="00BC2001"/>
    <w:rsid w:val="00BC204E"/>
    <w:rsid w:val="00BC2512"/>
    <w:rsid w:val="00BC2C2F"/>
    <w:rsid w:val="00BC3017"/>
    <w:rsid w:val="00BC3168"/>
    <w:rsid w:val="00BC36E6"/>
    <w:rsid w:val="00BC3975"/>
    <w:rsid w:val="00BC3E89"/>
    <w:rsid w:val="00BC441B"/>
    <w:rsid w:val="00BC4B15"/>
    <w:rsid w:val="00BC5285"/>
    <w:rsid w:val="00BC5CC1"/>
    <w:rsid w:val="00BC5D8A"/>
    <w:rsid w:val="00BC62FA"/>
    <w:rsid w:val="00BC660D"/>
    <w:rsid w:val="00BC66A4"/>
    <w:rsid w:val="00BC6BB0"/>
    <w:rsid w:val="00BC6C4E"/>
    <w:rsid w:val="00BC77CB"/>
    <w:rsid w:val="00BC7A66"/>
    <w:rsid w:val="00BC7BE9"/>
    <w:rsid w:val="00BD02A0"/>
    <w:rsid w:val="00BD03DF"/>
    <w:rsid w:val="00BD0F36"/>
    <w:rsid w:val="00BD10B7"/>
    <w:rsid w:val="00BD11EE"/>
    <w:rsid w:val="00BD1424"/>
    <w:rsid w:val="00BD1D76"/>
    <w:rsid w:val="00BD2105"/>
    <w:rsid w:val="00BD236A"/>
    <w:rsid w:val="00BD2502"/>
    <w:rsid w:val="00BD25AF"/>
    <w:rsid w:val="00BD2A17"/>
    <w:rsid w:val="00BD337B"/>
    <w:rsid w:val="00BD379C"/>
    <w:rsid w:val="00BD3B77"/>
    <w:rsid w:val="00BD3E5C"/>
    <w:rsid w:val="00BD40AF"/>
    <w:rsid w:val="00BD424B"/>
    <w:rsid w:val="00BD46E4"/>
    <w:rsid w:val="00BD50CE"/>
    <w:rsid w:val="00BD516B"/>
    <w:rsid w:val="00BD55A4"/>
    <w:rsid w:val="00BD5A3E"/>
    <w:rsid w:val="00BD5D98"/>
    <w:rsid w:val="00BD62A6"/>
    <w:rsid w:val="00BD635A"/>
    <w:rsid w:val="00BD6492"/>
    <w:rsid w:val="00BD6E2E"/>
    <w:rsid w:val="00BD71A7"/>
    <w:rsid w:val="00BD7A77"/>
    <w:rsid w:val="00BD7F31"/>
    <w:rsid w:val="00BE005D"/>
    <w:rsid w:val="00BE083B"/>
    <w:rsid w:val="00BE0B78"/>
    <w:rsid w:val="00BE1A56"/>
    <w:rsid w:val="00BE1C76"/>
    <w:rsid w:val="00BE1CE2"/>
    <w:rsid w:val="00BE1D8D"/>
    <w:rsid w:val="00BE20E2"/>
    <w:rsid w:val="00BE2150"/>
    <w:rsid w:val="00BE2717"/>
    <w:rsid w:val="00BE2B1B"/>
    <w:rsid w:val="00BE2D3A"/>
    <w:rsid w:val="00BE2D77"/>
    <w:rsid w:val="00BE31C2"/>
    <w:rsid w:val="00BE34D8"/>
    <w:rsid w:val="00BE4091"/>
    <w:rsid w:val="00BE41CB"/>
    <w:rsid w:val="00BE4370"/>
    <w:rsid w:val="00BE47CE"/>
    <w:rsid w:val="00BE47D4"/>
    <w:rsid w:val="00BE4852"/>
    <w:rsid w:val="00BE4903"/>
    <w:rsid w:val="00BE5185"/>
    <w:rsid w:val="00BE54DC"/>
    <w:rsid w:val="00BE54F5"/>
    <w:rsid w:val="00BE5809"/>
    <w:rsid w:val="00BE5C3F"/>
    <w:rsid w:val="00BE5EE0"/>
    <w:rsid w:val="00BE5F8C"/>
    <w:rsid w:val="00BE6431"/>
    <w:rsid w:val="00BE64FF"/>
    <w:rsid w:val="00BE6625"/>
    <w:rsid w:val="00BE6EFF"/>
    <w:rsid w:val="00BE75CB"/>
    <w:rsid w:val="00BE7630"/>
    <w:rsid w:val="00BF039B"/>
    <w:rsid w:val="00BF087E"/>
    <w:rsid w:val="00BF0A40"/>
    <w:rsid w:val="00BF0D30"/>
    <w:rsid w:val="00BF159F"/>
    <w:rsid w:val="00BF1606"/>
    <w:rsid w:val="00BF196D"/>
    <w:rsid w:val="00BF1DD5"/>
    <w:rsid w:val="00BF1DEF"/>
    <w:rsid w:val="00BF1F80"/>
    <w:rsid w:val="00BF26BC"/>
    <w:rsid w:val="00BF2A66"/>
    <w:rsid w:val="00BF2C61"/>
    <w:rsid w:val="00BF2C8A"/>
    <w:rsid w:val="00BF310D"/>
    <w:rsid w:val="00BF3AC6"/>
    <w:rsid w:val="00BF3B13"/>
    <w:rsid w:val="00BF3D49"/>
    <w:rsid w:val="00BF4634"/>
    <w:rsid w:val="00BF4667"/>
    <w:rsid w:val="00BF4B1E"/>
    <w:rsid w:val="00BF50AA"/>
    <w:rsid w:val="00BF5211"/>
    <w:rsid w:val="00BF56F9"/>
    <w:rsid w:val="00BF5CDD"/>
    <w:rsid w:val="00BF614F"/>
    <w:rsid w:val="00BF6749"/>
    <w:rsid w:val="00BF679D"/>
    <w:rsid w:val="00BF6930"/>
    <w:rsid w:val="00BF6A2A"/>
    <w:rsid w:val="00BF712B"/>
    <w:rsid w:val="00BF7543"/>
    <w:rsid w:val="00BF7676"/>
    <w:rsid w:val="00BF79E7"/>
    <w:rsid w:val="00C002AC"/>
    <w:rsid w:val="00C002C0"/>
    <w:rsid w:val="00C0049F"/>
    <w:rsid w:val="00C0061A"/>
    <w:rsid w:val="00C0070B"/>
    <w:rsid w:val="00C00A9A"/>
    <w:rsid w:val="00C00B7D"/>
    <w:rsid w:val="00C00D3D"/>
    <w:rsid w:val="00C00F4F"/>
    <w:rsid w:val="00C0151C"/>
    <w:rsid w:val="00C01A14"/>
    <w:rsid w:val="00C01CFE"/>
    <w:rsid w:val="00C0239A"/>
    <w:rsid w:val="00C023C0"/>
    <w:rsid w:val="00C023ED"/>
    <w:rsid w:val="00C02B63"/>
    <w:rsid w:val="00C02FE4"/>
    <w:rsid w:val="00C03AA2"/>
    <w:rsid w:val="00C03E37"/>
    <w:rsid w:val="00C04C90"/>
    <w:rsid w:val="00C04ED6"/>
    <w:rsid w:val="00C04F1C"/>
    <w:rsid w:val="00C052E1"/>
    <w:rsid w:val="00C05675"/>
    <w:rsid w:val="00C05D5B"/>
    <w:rsid w:val="00C061DD"/>
    <w:rsid w:val="00C06454"/>
    <w:rsid w:val="00C065D2"/>
    <w:rsid w:val="00C0690C"/>
    <w:rsid w:val="00C06FCB"/>
    <w:rsid w:val="00C0704C"/>
    <w:rsid w:val="00C074C5"/>
    <w:rsid w:val="00C0775F"/>
    <w:rsid w:val="00C078F6"/>
    <w:rsid w:val="00C079F1"/>
    <w:rsid w:val="00C07F70"/>
    <w:rsid w:val="00C07FD3"/>
    <w:rsid w:val="00C104D6"/>
    <w:rsid w:val="00C10983"/>
    <w:rsid w:val="00C10CED"/>
    <w:rsid w:val="00C10EA9"/>
    <w:rsid w:val="00C10FE7"/>
    <w:rsid w:val="00C115B4"/>
    <w:rsid w:val="00C11A2B"/>
    <w:rsid w:val="00C11E15"/>
    <w:rsid w:val="00C11E73"/>
    <w:rsid w:val="00C11F20"/>
    <w:rsid w:val="00C11F27"/>
    <w:rsid w:val="00C121A5"/>
    <w:rsid w:val="00C1221F"/>
    <w:rsid w:val="00C1243A"/>
    <w:rsid w:val="00C13305"/>
    <w:rsid w:val="00C13866"/>
    <w:rsid w:val="00C13AA7"/>
    <w:rsid w:val="00C13E77"/>
    <w:rsid w:val="00C14003"/>
    <w:rsid w:val="00C142AA"/>
    <w:rsid w:val="00C144D8"/>
    <w:rsid w:val="00C1542F"/>
    <w:rsid w:val="00C155F9"/>
    <w:rsid w:val="00C156F8"/>
    <w:rsid w:val="00C158C1"/>
    <w:rsid w:val="00C15930"/>
    <w:rsid w:val="00C15A1B"/>
    <w:rsid w:val="00C15B6A"/>
    <w:rsid w:val="00C160B3"/>
    <w:rsid w:val="00C165EC"/>
    <w:rsid w:val="00C16706"/>
    <w:rsid w:val="00C1694F"/>
    <w:rsid w:val="00C16B28"/>
    <w:rsid w:val="00C16E20"/>
    <w:rsid w:val="00C16EC9"/>
    <w:rsid w:val="00C170F7"/>
    <w:rsid w:val="00C171F1"/>
    <w:rsid w:val="00C1799D"/>
    <w:rsid w:val="00C17E02"/>
    <w:rsid w:val="00C17F7E"/>
    <w:rsid w:val="00C201C3"/>
    <w:rsid w:val="00C2050B"/>
    <w:rsid w:val="00C20F1A"/>
    <w:rsid w:val="00C214FF"/>
    <w:rsid w:val="00C21660"/>
    <w:rsid w:val="00C21873"/>
    <w:rsid w:val="00C21AC4"/>
    <w:rsid w:val="00C222D4"/>
    <w:rsid w:val="00C22342"/>
    <w:rsid w:val="00C22B99"/>
    <w:rsid w:val="00C22EBD"/>
    <w:rsid w:val="00C230A8"/>
    <w:rsid w:val="00C2326F"/>
    <w:rsid w:val="00C2397A"/>
    <w:rsid w:val="00C23A30"/>
    <w:rsid w:val="00C23A4D"/>
    <w:rsid w:val="00C23D68"/>
    <w:rsid w:val="00C2425B"/>
    <w:rsid w:val="00C25044"/>
    <w:rsid w:val="00C254EA"/>
    <w:rsid w:val="00C25603"/>
    <w:rsid w:val="00C25DAA"/>
    <w:rsid w:val="00C262B5"/>
    <w:rsid w:val="00C263BC"/>
    <w:rsid w:val="00C2671E"/>
    <w:rsid w:val="00C26ADF"/>
    <w:rsid w:val="00C26EF3"/>
    <w:rsid w:val="00C26F09"/>
    <w:rsid w:val="00C271E3"/>
    <w:rsid w:val="00C271FE"/>
    <w:rsid w:val="00C27310"/>
    <w:rsid w:val="00C27592"/>
    <w:rsid w:val="00C277AB"/>
    <w:rsid w:val="00C2785C"/>
    <w:rsid w:val="00C278C7"/>
    <w:rsid w:val="00C27D76"/>
    <w:rsid w:val="00C27F74"/>
    <w:rsid w:val="00C301BC"/>
    <w:rsid w:val="00C302E3"/>
    <w:rsid w:val="00C30561"/>
    <w:rsid w:val="00C30F21"/>
    <w:rsid w:val="00C3121F"/>
    <w:rsid w:val="00C3141E"/>
    <w:rsid w:val="00C318B0"/>
    <w:rsid w:val="00C31F66"/>
    <w:rsid w:val="00C31FEA"/>
    <w:rsid w:val="00C32237"/>
    <w:rsid w:val="00C32935"/>
    <w:rsid w:val="00C32AE6"/>
    <w:rsid w:val="00C32B5E"/>
    <w:rsid w:val="00C32C52"/>
    <w:rsid w:val="00C32C81"/>
    <w:rsid w:val="00C33024"/>
    <w:rsid w:val="00C33405"/>
    <w:rsid w:val="00C33B1C"/>
    <w:rsid w:val="00C34190"/>
    <w:rsid w:val="00C34799"/>
    <w:rsid w:val="00C3490B"/>
    <w:rsid w:val="00C349B9"/>
    <w:rsid w:val="00C34B33"/>
    <w:rsid w:val="00C34D65"/>
    <w:rsid w:val="00C34E17"/>
    <w:rsid w:val="00C35147"/>
    <w:rsid w:val="00C357DA"/>
    <w:rsid w:val="00C3587C"/>
    <w:rsid w:val="00C35A78"/>
    <w:rsid w:val="00C3729A"/>
    <w:rsid w:val="00C407D0"/>
    <w:rsid w:val="00C407F5"/>
    <w:rsid w:val="00C40D74"/>
    <w:rsid w:val="00C40E85"/>
    <w:rsid w:val="00C412C2"/>
    <w:rsid w:val="00C414C5"/>
    <w:rsid w:val="00C41554"/>
    <w:rsid w:val="00C415AF"/>
    <w:rsid w:val="00C41774"/>
    <w:rsid w:val="00C417C4"/>
    <w:rsid w:val="00C42334"/>
    <w:rsid w:val="00C4251E"/>
    <w:rsid w:val="00C42742"/>
    <w:rsid w:val="00C42DA7"/>
    <w:rsid w:val="00C43066"/>
    <w:rsid w:val="00C43B66"/>
    <w:rsid w:val="00C43BFC"/>
    <w:rsid w:val="00C43EAA"/>
    <w:rsid w:val="00C4437D"/>
    <w:rsid w:val="00C445F2"/>
    <w:rsid w:val="00C44A27"/>
    <w:rsid w:val="00C44C54"/>
    <w:rsid w:val="00C45605"/>
    <w:rsid w:val="00C458AD"/>
    <w:rsid w:val="00C45920"/>
    <w:rsid w:val="00C45ADD"/>
    <w:rsid w:val="00C462E7"/>
    <w:rsid w:val="00C463FF"/>
    <w:rsid w:val="00C466A5"/>
    <w:rsid w:val="00C46E67"/>
    <w:rsid w:val="00C46FE5"/>
    <w:rsid w:val="00C472D7"/>
    <w:rsid w:val="00C4775C"/>
    <w:rsid w:val="00C47A67"/>
    <w:rsid w:val="00C50368"/>
    <w:rsid w:val="00C504DA"/>
    <w:rsid w:val="00C5051D"/>
    <w:rsid w:val="00C506E6"/>
    <w:rsid w:val="00C5082D"/>
    <w:rsid w:val="00C509D1"/>
    <w:rsid w:val="00C50A91"/>
    <w:rsid w:val="00C50D0C"/>
    <w:rsid w:val="00C50F08"/>
    <w:rsid w:val="00C50FD0"/>
    <w:rsid w:val="00C51142"/>
    <w:rsid w:val="00C514C9"/>
    <w:rsid w:val="00C5161E"/>
    <w:rsid w:val="00C51BEC"/>
    <w:rsid w:val="00C52315"/>
    <w:rsid w:val="00C525CF"/>
    <w:rsid w:val="00C52B6B"/>
    <w:rsid w:val="00C52B81"/>
    <w:rsid w:val="00C52FCF"/>
    <w:rsid w:val="00C5375E"/>
    <w:rsid w:val="00C537B7"/>
    <w:rsid w:val="00C5392F"/>
    <w:rsid w:val="00C53AF9"/>
    <w:rsid w:val="00C5423A"/>
    <w:rsid w:val="00C5469C"/>
    <w:rsid w:val="00C546F4"/>
    <w:rsid w:val="00C54DCA"/>
    <w:rsid w:val="00C54DE3"/>
    <w:rsid w:val="00C555D2"/>
    <w:rsid w:val="00C5566C"/>
    <w:rsid w:val="00C556AA"/>
    <w:rsid w:val="00C55808"/>
    <w:rsid w:val="00C5627A"/>
    <w:rsid w:val="00C56682"/>
    <w:rsid w:val="00C56ECD"/>
    <w:rsid w:val="00C57BC5"/>
    <w:rsid w:val="00C57C61"/>
    <w:rsid w:val="00C57EB5"/>
    <w:rsid w:val="00C6012E"/>
    <w:rsid w:val="00C6032B"/>
    <w:rsid w:val="00C60444"/>
    <w:rsid w:val="00C60463"/>
    <w:rsid w:val="00C607F0"/>
    <w:rsid w:val="00C608B9"/>
    <w:rsid w:val="00C60903"/>
    <w:rsid w:val="00C60D90"/>
    <w:rsid w:val="00C613FC"/>
    <w:rsid w:val="00C614DE"/>
    <w:rsid w:val="00C62B77"/>
    <w:rsid w:val="00C62E4E"/>
    <w:rsid w:val="00C63522"/>
    <w:rsid w:val="00C636B6"/>
    <w:rsid w:val="00C6398F"/>
    <w:rsid w:val="00C63D64"/>
    <w:rsid w:val="00C64341"/>
    <w:rsid w:val="00C647E9"/>
    <w:rsid w:val="00C648C6"/>
    <w:rsid w:val="00C64B08"/>
    <w:rsid w:val="00C6518F"/>
    <w:rsid w:val="00C6533E"/>
    <w:rsid w:val="00C65A87"/>
    <w:rsid w:val="00C65D04"/>
    <w:rsid w:val="00C661CF"/>
    <w:rsid w:val="00C662E5"/>
    <w:rsid w:val="00C67468"/>
    <w:rsid w:val="00C67E38"/>
    <w:rsid w:val="00C67F8F"/>
    <w:rsid w:val="00C701AC"/>
    <w:rsid w:val="00C709B0"/>
    <w:rsid w:val="00C709C4"/>
    <w:rsid w:val="00C71605"/>
    <w:rsid w:val="00C71C18"/>
    <w:rsid w:val="00C71DA4"/>
    <w:rsid w:val="00C72013"/>
    <w:rsid w:val="00C72AB7"/>
    <w:rsid w:val="00C72BD0"/>
    <w:rsid w:val="00C72E94"/>
    <w:rsid w:val="00C72F33"/>
    <w:rsid w:val="00C732AB"/>
    <w:rsid w:val="00C734C4"/>
    <w:rsid w:val="00C73E22"/>
    <w:rsid w:val="00C7413A"/>
    <w:rsid w:val="00C745B6"/>
    <w:rsid w:val="00C745E0"/>
    <w:rsid w:val="00C7474F"/>
    <w:rsid w:val="00C748B8"/>
    <w:rsid w:val="00C74CD3"/>
    <w:rsid w:val="00C74D1D"/>
    <w:rsid w:val="00C74DE6"/>
    <w:rsid w:val="00C75374"/>
    <w:rsid w:val="00C759C2"/>
    <w:rsid w:val="00C75A96"/>
    <w:rsid w:val="00C763C7"/>
    <w:rsid w:val="00C76514"/>
    <w:rsid w:val="00C76CCE"/>
    <w:rsid w:val="00C770F7"/>
    <w:rsid w:val="00C7776C"/>
    <w:rsid w:val="00C80695"/>
    <w:rsid w:val="00C80BA7"/>
    <w:rsid w:val="00C81725"/>
    <w:rsid w:val="00C81AFD"/>
    <w:rsid w:val="00C81F08"/>
    <w:rsid w:val="00C8209C"/>
    <w:rsid w:val="00C821D0"/>
    <w:rsid w:val="00C822C9"/>
    <w:rsid w:val="00C82569"/>
    <w:rsid w:val="00C8271A"/>
    <w:rsid w:val="00C82F21"/>
    <w:rsid w:val="00C83138"/>
    <w:rsid w:val="00C837CE"/>
    <w:rsid w:val="00C8411A"/>
    <w:rsid w:val="00C84A04"/>
    <w:rsid w:val="00C84BF0"/>
    <w:rsid w:val="00C84D9B"/>
    <w:rsid w:val="00C84E7D"/>
    <w:rsid w:val="00C84FBE"/>
    <w:rsid w:val="00C85042"/>
    <w:rsid w:val="00C85E7C"/>
    <w:rsid w:val="00C86F24"/>
    <w:rsid w:val="00C87F02"/>
    <w:rsid w:val="00C90E2C"/>
    <w:rsid w:val="00C912BB"/>
    <w:rsid w:val="00C915FE"/>
    <w:rsid w:val="00C91907"/>
    <w:rsid w:val="00C91F5B"/>
    <w:rsid w:val="00C92A33"/>
    <w:rsid w:val="00C93395"/>
    <w:rsid w:val="00C9388D"/>
    <w:rsid w:val="00C93F25"/>
    <w:rsid w:val="00C94067"/>
    <w:rsid w:val="00C945AD"/>
    <w:rsid w:val="00C94665"/>
    <w:rsid w:val="00C9481F"/>
    <w:rsid w:val="00C948B3"/>
    <w:rsid w:val="00C94FFE"/>
    <w:rsid w:val="00C952A6"/>
    <w:rsid w:val="00C95D53"/>
    <w:rsid w:val="00C96130"/>
    <w:rsid w:val="00C96775"/>
    <w:rsid w:val="00C967AC"/>
    <w:rsid w:val="00C97C37"/>
    <w:rsid w:val="00C97DDE"/>
    <w:rsid w:val="00C97F70"/>
    <w:rsid w:val="00CA0952"/>
    <w:rsid w:val="00CA0AAC"/>
    <w:rsid w:val="00CA11BC"/>
    <w:rsid w:val="00CA1AC0"/>
    <w:rsid w:val="00CA2996"/>
    <w:rsid w:val="00CA3CE0"/>
    <w:rsid w:val="00CA4105"/>
    <w:rsid w:val="00CA4514"/>
    <w:rsid w:val="00CA45D4"/>
    <w:rsid w:val="00CA487F"/>
    <w:rsid w:val="00CA4BDF"/>
    <w:rsid w:val="00CA4CB1"/>
    <w:rsid w:val="00CA4F74"/>
    <w:rsid w:val="00CA5240"/>
    <w:rsid w:val="00CA56F0"/>
    <w:rsid w:val="00CA57CB"/>
    <w:rsid w:val="00CA5AFA"/>
    <w:rsid w:val="00CA607E"/>
    <w:rsid w:val="00CA6161"/>
    <w:rsid w:val="00CA62C4"/>
    <w:rsid w:val="00CA6A3A"/>
    <w:rsid w:val="00CA7244"/>
    <w:rsid w:val="00CA7342"/>
    <w:rsid w:val="00CA7AFA"/>
    <w:rsid w:val="00CA7BE1"/>
    <w:rsid w:val="00CA7CAF"/>
    <w:rsid w:val="00CA7D87"/>
    <w:rsid w:val="00CA7E95"/>
    <w:rsid w:val="00CA7F09"/>
    <w:rsid w:val="00CA7F10"/>
    <w:rsid w:val="00CB07F0"/>
    <w:rsid w:val="00CB09D7"/>
    <w:rsid w:val="00CB0A04"/>
    <w:rsid w:val="00CB15C8"/>
    <w:rsid w:val="00CB15DC"/>
    <w:rsid w:val="00CB216D"/>
    <w:rsid w:val="00CB2198"/>
    <w:rsid w:val="00CB2673"/>
    <w:rsid w:val="00CB28A9"/>
    <w:rsid w:val="00CB28BC"/>
    <w:rsid w:val="00CB2AF4"/>
    <w:rsid w:val="00CB2DD8"/>
    <w:rsid w:val="00CB2E5A"/>
    <w:rsid w:val="00CB33EA"/>
    <w:rsid w:val="00CB3CEB"/>
    <w:rsid w:val="00CB3DD2"/>
    <w:rsid w:val="00CB4453"/>
    <w:rsid w:val="00CB4AAD"/>
    <w:rsid w:val="00CB4B56"/>
    <w:rsid w:val="00CB4BB6"/>
    <w:rsid w:val="00CB4F84"/>
    <w:rsid w:val="00CB53FE"/>
    <w:rsid w:val="00CB56BE"/>
    <w:rsid w:val="00CB5BD7"/>
    <w:rsid w:val="00CB5F14"/>
    <w:rsid w:val="00CB603B"/>
    <w:rsid w:val="00CB670F"/>
    <w:rsid w:val="00CB6F4E"/>
    <w:rsid w:val="00CB6FEF"/>
    <w:rsid w:val="00CB7055"/>
    <w:rsid w:val="00CB71A5"/>
    <w:rsid w:val="00CB71C2"/>
    <w:rsid w:val="00CB751B"/>
    <w:rsid w:val="00CB7B76"/>
    <w:rsid w:val="00CB7E78"/>
    <w:rsid w:val="00CB7FC8"/>
    <w:rsid w:val="00CC0049"/>
    <w:rsid w:val="00CC011F"/>
    <w:rsid w:val="00CC0499"/>
    <w:rsid w:val="00CC0869"/>
    <w:rsid w:val="00CC0DC1"/>
    <w:rsid w:val="00CC0EBF"/>
    <w:rsid w:val="00CC1446"/>
    <w:rsid w:val="00CC16BC"/>
    <w:rsid w:val="00CC1EC2"/>
    <w:rsid w:val="00CC1EC8"/>
    <w:rsid w:val="00CC1FE5"/>
    <w:rsid w:val="00CC20B8"/>
    <w:rsid w:val="00CC2222"/>
    <w:rsid w:val="00CC233C"/>
    <w:rsid w:val="00CC24C4"/>
    <w:rsid w:val="00CC26E1"/>
    <w:rsid w:val="00CC32A1"/>
    <w:rsid w:val="00CC32B5"/>
    <w:rsid w:val="00CC339A"/>
    <w:rsid w:val="00CC3419"/>
    <w:rsid w:val="00CC372C"/>
    <w:rsid w:val="00CC3AF3"/>
    <w:rsid w:val="00CC3CB7"/>
    <w:rsid w:val="00CC3DEC"/>
    <w:rsid w:val="00CC4292"/>
    <w:rsid w:val="00CC4B56"/>
    <w:rsid w:val="00CC502E"/>
    <w:rsid w:val="00CC5374"/>
    <w:rsid w:val="00CC54A1"/>
    <w:rsid w:val="00CC5737"/>
    <w:rsid w:val="00CC579E"/>
    <w:rsid w:val="00CC5C2B"/>
    <w:rsid w:val="00CC5C5E"/>
    <w:rsid w:val="00CC5E12"/>
    <w:rsid w:val="00CC5E4A"/>
    <w:rsid w:val="00CC5F3F"/>
    <w:rsid w:val="00CC6154"/>
    <w:rsid w:val="00CC6220"/>
    <w:rsid w:val="00CC6363"/>
    <w:rsid w:val="00CC63A2"/>
    <w:rsid w:val="00CC7360"/>
    <w:rsid w:val="00CC7B69"/>
    <w:rsid w:val="00CC7FAF"/>
    <w:rsid w:val="00CD0253"/>
    <w:rsid w:val="00CD0443"/>
    <w:rsid w:val="00CD04D7"/>
    <w:rsid w:val="00CD09E3"/>
    <w:rsid w:val="00CD0B11"/>
    <w:rsid w:val="00CD0D5E"/>
    <w:rsid w:val="00CD1652"/>
    <w:rsid w:val="00CD167E"/>
    <w:rsid w:val="00CD1887"/>
    <w:rsid w:val="00CD19A6"/>
    <w:rsid w:val="00CD2A7E"/>
    <w:rsid w:val="00CD2B1E"/>
    <w:rsid w:val="00CD2C65"/>
    <w:rsid w:val="00CD2D6C"/>
    <w:rsid w:val="00CD2E5D"/>
    <w:rsid w:val="00CD2E9D"/>
    <w:rsid w:val="00CD3412"/>
    <w:rsid w:val="00CD38DE"/>
    <w:rsid w:val="00CD3D88"/>
    <w:rsid w:val="00CD3E61"/>
    <w:rsid w:val="00CD3FEE"/>
    <w:rsid w:val="00CD4DA8"/>
    <w:rsid w:val="00CD5150"/>
    <w:rsid w:val="00CD53FF"/>
    <w:rsid w:val="00CD5508"/>
    <w:rsid w:val="00CD558B"/>
    <w:rsid w:val="00CD5705"/>
    <w:rsid w:val="00CD5EEF"/>
    <w:rsid w:val="00CD6824"/>
    <w:rsid w:val="00CD698A"/>
    <w:rsid w:val="00CD6B9B"/>
    <w:rsid w:val="00CD716C"/>
    <w:rsid w:val="00CD719E"/>
    <w:rsid w:val="00CD7304"/>
    <w:rsid w:val="00CD73BB"/>
    <w:rsid w:val="00CD778C"/>
    <w:rsid w:val="00CD778D"/>
    <w:rsid w:val="00CD7895"/>
    <w:rsid w:val="00CE00DA"/>
    <w:rsid w:val="00CE0963"/>
    <w:rsid w:val="00CE0B80"/>
    <w:rsid w:val="00CE0E19"/>
    <w:rsid w:val="00CE1B03"/>
    <w:rsid w:val="00CE1C63"/>
    <w:rsid w:val="00CE2697"/>
    <w:rsid w:val="00CE3126"/>
    <w:rsid w:val="00CE3233"/>
    <w:rsid w:val="00CE327F"/>
    <w:rsid w:val="00CE3673"/>
    <w:rsid w:val="00CE3C6D"/>
    <w:rsid w:val="00CE3DD5"/>
    <w:rsid w:val="00CE4084"/>
    <w:rsid w:val="00CE44E8"/>
    <w:rsid w:val="00CE45DB"/>
    <w:rsid w:val="00CE48C8"/>
    <w:rsid w:val="00CE4B0B"/>
    <w:rsid w:val="00CE4C78"/>
    <w:rsid w:val="00CE527F"/>
    <w:rsid w:val="00CE5BC8"/>
    <w:rsid w:val="00CE5F7B"/>
    <w:rsid w:val="00CE65FC"/>
    <w:rsid w:val="00CE6BD0"/>
    <w:rsid w:val="00CE709D"/>
    <w:rsid w:val="00CE724C"/>
    <w:rsid w:val="00CE7417"/>
    <w:rsid w:val="00CE743D"/>
    <w:rsid w:val="00CF0434"/>
    <w:rsid w:val="00CF15F7"/>
    <w:rsid w:val="00CF1979"/>
    <w:rsid w:val="00CF1982"/>
    <w:rsid w:val="00CF1CEC"/>
    <w:rsid w:val="00CF1FAD"/>
    <w:rsid w:val="00CF2091"/>
    <w:rsid w:val="00CF282A"/>
    <w:rsid w:val="00CF2F99"/>
    <w:rsid w:val="00CF3C59"/>
    <w:rsid w:val="00CF3F26"/>
    <w:rsid w:val="00CF4626"/>
    <w:rsid w:val="00CF46C3"/>
    <w:rsid w:val="00CF4DB7"/>
    <w:rsid w:val="00CF52BC"/>
    <w:rsid w:val="00CF52C7"/>
    <w:rsid w:val="00CF5734"/>
    <w:rsid w:val="00CF5A83"/>
    <w:rsid w:val="00CF6179"/>
    <w:rsid w:val="00CF644E"/>
    <w:rsid w:val="00CF6D3B"/>
    <w:rsid w:val="00CF6F15"/>
    <w:rsid w:val="00CF705E"/>
    <w:rsid w:val="00CF71B7"/>
    <w:rsid w:val="00CF7D47"/>
    <w:rsid w:val="00D00021"/>
    <w:rsid w:val="00D0011A"/>
    <w:rsid w:val="00D0082E"/>
    <w:rsid w:val="00D00FCB"/>
    <w:rsid w:val="00D01343"/>
    <w:rsid w:val="00D01A64"/>
    <w:rsid w:val="00D01D47"/>
    <w:rsid w:val="00D0225E"/>
    <w:rsid w:val="00D02845"/>
    <w:rsid w:val="00D02A43"/>
    <w:rsid w:val="00D02AA4"/>
    <w:rsid w:val="00D02E33"/>
    <w:rsid w:val="00D034AD"/>
    <w:rsid w:val="00D039DB"/>
    <w:rsid w:val="00D03CBA"/>
    <w:rsid w:val="00D03DAB"/>
    <w:rsid w:val="00D04251"/>
    <w:rsid w:val="00D04333"/>
    <w:rsid w:val="00D0447D"/>
    <w:rsid w:val="00D044D4"/>
    <w:rsid w:val="00D0468E"/>
    <w:rsid w:val="00D0497F"/>
    <w:rsid w:val="00D057BA"/>
    <w:rsid w:val="00D057CA"/>
    <w:rsid w:val="00D05964"/>
    <w:rsid w:val="00D05E2A"/>
    <w:rsid w:val="00D05FE0"/>
    <w:rsid w:val="00D06325"/>
    <w:rsid w:val="00D06448"/>
    <w:rsid w:val="00D064E3"/>
    <w:rsid w:val="00D0677A"/>
    <w:rsid w:val="00D06CD4"/>
    <w:rsid w:val="00D06D0C"/>
    <w:rsid w:val="00D06E69"/>
    <w:rsid w:val="00D07110"/>
    <w:rsid w:val="00D07BC2"/>
    <w:rsid w:val="00D07E91"/>
    <w:rsid w:val="00D07F37"/>
    <w:rsid w:val="00D10155"/>
    <w:rsid w:val="00D10196"/>
    <w:rsid w:val="00D103C8"/>
    <w:rsid w:val="00D10431"/>
    <w:rsid w:val="00D104A7"/>
    <w:rsid w:val="00D10558"/>
    <w:rsid w:val="00D10722"/>
    <w:rsid w:val="00D1161A"/>
    <w:rsid w:val="00D118FD"/>
    <w:rsid w:val="00D1198C"/>
    <w:rsid w:val="00D11A78"/>
    <w:rsid w:val="00D11CB5"/>
    <w:rsid w:val="00D120EC"/>
    <w:rsid w:val="00D121DD"/>
    <w:rsid w:val="00D12207"/>
    <w:rsid w:val="00D123D9"/>
    <w:rsid w:val="00D12A17"/>
    <w:rsid w:val="00D135E9"/>
    <w:rsid w:val="00D13918"/>
    <w:rsid w:val="00D14681"/>
    <w:rsid w:val="00D149F2"/>
    <w:rsid w:val="00D14DA0"/>
    <w:rsid w:val="00D14FF4"/>
    <w:rsid w:val="00D1515F"/>
    <w:rsid w:val="00D151FA"/>
    <w:rsid w:val="00D15497"/>
    <w:rsid w:val="00D15C36"/>
    <w:rsid w:val="00D160E2"/>
    <w:rsid w:val="00D16AC8"/>
    <w:rsid w:val="00D17C91"/>
    <w:rsid w:val="00D20105"/>
    <w:rsid w:val="00D20137"/>
    <w:rsid w:val="00D20459"/>
    <w:rsid w:val="00D20878"/>
    <w:rsid w:val="00D20AEA"/>
    <w:rsid w:val="00D20C45"/>
    <w:rsid w:val="00D20FDC"/>
    <w:rsid w:val="00D21607"/>
    <w:rsid w:val="00D21698"/>
    <w:rsid w:val="00D218BF"/>
    <w:rsid w:val="00D21A7D"/>
    <w:rsid w:val="00D2200E"/>
    <w:rsid w:val="00D220E8"/>
    <w:rsid w:val="00D22305"/>
    <w:rsid w:val="00D225FB"/>
    <w:rsid w:val="00D22828"/>
    <w:rsid w:val="00D22B96"/>
    <w:rsid w:val="00D23186"/>
    <w:rsid w:val="00D232C1"/>
    <w:rsid w:val="00D23A78"/>
    <w:rsid w:val="00D23F28"/>
    <w:rsid w:val="00D24001"/>
    <w:rsid w:val="00D240FE"/>
    <w:rsid w:val="00D24517"/>
    <w:rsid w:val="00D2455B"/>
    <w:rsid w:val="00D247E6"/>
    <w:rsid w:val="00D24D43"/>
    <w:rsid w:val="00D252C1"/>
    <w:rsid w:val="00D25755"/>
    <w:rsid w:val="00D25F82"/>
    <w:rsid w:val="00D261DC"/>
    <w:rsid w:val="00D26654"/>
    <w:rsid w:val="00D26B08"/>
    <w:rsid w:val="00D2701E"/>
    <w:rsid w:val="00D275F9"/>
    <w:rsid w:val="00D2791F"/>
    <w:rsid w:val="00D279EF"/>
    <w:rsid w:val="00D27C4D"/>
    <w:rsid w:val="00D27F87"/>
    <w:rsid w:val="00D30613"/>
    <w:rsid w:val="00D30D1B"/>
    <w:rsid w:val="00D3103F"/>
    <w:rsid w:val="00D31052"/>
    <w:rsid w:val="00D313D3"/>
    <w:rsid w:val="00D316DC"/>
    <w:rsid w:val="00D322E1"/>
    <w:rsid w:val="00D3230C"/>
    <w:rsid w:val="00D3237E"/>
    <w:rsid w:val="00D331AC"/>
    <w:rsid w:val="00D332CD"/>
    <w:rsid w:val="00D339B6"/>
    <w:rsid w:val="00D33A87"/>
    <w:rsid w:val="00D341B8"/>
    <w:rsid w:val="00D3436F"/>
    <w:rsid w:val="00D3469B"/>
    <w:rsid w:val="00D34BE8"/>
    <w:rsid w:val="00D34EA9"/>
    <w:rsid w:val="00D350F7"/>
    <w:rsid w:val="00D35ACD"/>
    <w:rsid w:val="00D360DD"/>
    <w:rsid w:val="00D36762"/>
    <w:rsid w:val="00D3682B"/>
    <w:rsid w:val="00D36863"/>
    <w:rsid w:val="00D36D84"/>
    <w:rsid w:val="00D36E8B"/>
    <w:rsid w:val="00D36EF5"/>
    <w:rsid w:val="00D370FE"/>
    <w:rsid w:val="00D37209"/>
    <w:rsid w:val="00D37945"/>
    <w:rsid w:val="00D37D70"/>
    <w:rsid w:val="00D37DA8"/>
    <w:rsid w:val="00D4008B"/>
    <w:rsid w:val="00D40692"/>
    <w:rsid w:val="00D406A4"/>
    <w:rsid w:val="00D407A1"/>
    <w:rsid w:val="00D40E1E"/>
    <w:rsid w:val="00D40E34"/>
    <w:rsid w:val="00D40F3F"/>
    <w:rsid w:val="00D41A11"/>
    <w:rsid w:val="00D420AE"/>
    <w:rsid w:val="00D42398"/>
    <w:rsid w:val="00D426A7"/>
    <w:rsid w:val="00D42A4D"/>
    <w:rsid w:val="00D42BEA"/>
    <w:rsid w:val="00D42BF0"/>
    <w:rsid w:val="00D430B6"/>
    <w:rsid w:val="00D43756"/>
    <w:rsid w:val="00D438BA"/>
    <w:rsid w:val="00D43CD3"/>
    <w:rsid w:val="00D45286"/>
    <w:rsid w:val="00D4535F"/>
    <w:rsid w:val="00D45370"/>
    <w:rsid w:val="00D46951"/>
    <w:rsid w:val="00D46A35"/>
    <w:rsid w:val="00D46A4F"/>
    <w:rsid w:val="00D472EB"/>
    <w:rsid w:val="00D4731C"/>
    <w:rsid w:val="00D4759B"/>
    <w:rsid w:val="00D475A0"/>
    <w:rsid w:val="00D475C6"/>
    <w:rsid w:val="00D47798"/>
    <w:rsid w:val="00D47D56"/>
    <w:rsid w:val="00D47E9B"/>
    <w:rsid w:val="00D5007E"/>
    <w:rsid w:val="00D5018B"/>
    <w:rsid w:val="00D50218"/>
    <w:rsid w:val="00D5068F"/>
    <w:rsid w:val="00D507BC"/>
    <w:rsid w:val="00D509DA"/>
    <w:rsid w:val="00D50CD7"/>
    <w:rsid w:val="00D51466"/>
    <w:rsid w:val="00D514AC"/>
    <w:rsid w:val="00D5198A"/>
    <w:rsid w:val="00D51AB2"/>
    <w:rsid w:val="00D51B3F"/>
    <w:rsid w:val="00D51F71"/>
    <w:rsid w:val="00D52141"/>
    <w:rsid w:val="00D521D1"/>
    <w:rsid w:val="00D524EB"/>
    <w:rsid w:val="00D529E9"/>
    <w:rsid w:val="00D532EC"/>
    <w:rsid w:val="00D53398"/>
    <w:rsid w:val="00D53CA8"/>
    <w:rsid w:val="00D54161"/>
    <w:rsid w:val="00D5435B"/>
    <w:rsid w:val="00D544A9"/>
    <w:rsid w:val="00D54BA9"/>
    <w:rsid w:val="00D5508F"/>
    <w:rsid w:val="00D553F0"/>
    <w:rsid w:val="00D5568A"/>
    <w:rsid w:val="00D56234"/>
    <w:rsid w:val="00D564DE"/>
    <w:rsid w:val="00D568F5"/>
    <w:rsid w:val="00D56B9C"/>
    <w:rsid w:val="00D57520"/>
    <w:rsid w:val="00D577AA"/>
    <w:rsid w:val="00D57DDA"/>
    <w:rsid w:val="00D57E4D"/>
    <w:rsid w:val="00D61547"/>
    <w:rsid w:val="00D6168B"/>
    <w:rsid w:val="00D61BFD"/>
    <w:rsid w:val="00D61E02"/>
    <w:rsid w:val="00D61F5C"/>
    <w:rsid w:val="00D62022"/>
    <w:rsid w:val="00D62664"/>
    <w:rsid w:val="00D62991"/>
    <w:rsid w:val="00D62CD7"/>
    <w:rsid w:val="00D62F49"/>
    <w:rsid w:val="00D62F50"/>
    <w:rsid w:val="00D62F8A"/>
    <w:rsid w:val="00D63750"/>
    <w:rsid w:val="00D63BB6"/>
    <w:rsid w:val="00D63D25"/>
    <w:rsid w:val="00D64398"/>
    <w:rsid w:val="00D6471D"/>
    <w:rsid w:val="00D6499B"/>
    <w:rsid w:val="00D65080"/>
    <w:rsid w:val="00D65259"/>
    <w:rsid w:val="00D652EB"/>
    <w:rsid w:val="00D65701"/>
    <w:rsid w:val="00D65767"/>
    <w:rsid w:val="00D659FE"/>
    <w:rsid w:val="00D65AA2"/>
    <w:rsid w:val="00D65D94"/>
    <w:rsid w:val="00D65F68"/>
    <w:rsid w:val="00D6624C"/>
    <w:rsid w:val="00D66DAE"/>
    <w:rsid w:val="00D66E8C"/>
    <w:rsid w:val="00D675E5"/>
    <w:rsid w:val="00D6774C"/>
    <w:rsid w:val="00D67E6A"/>
    <w:rsid w:val="00D701BE"/>
    <w:rsid w:val="00D7046F"/>
    <w:rsid w:val="00D71C19"/>
    <w:rsid w:val="00D72237"/>
    <w:rsid w:val="00D737EC"/>
    <w:rsid w:val="00D7398B"/>
    <w:rsid w:val="00D73DBE"/>
    <w:rsid w:val="00D73F8E"/>
    <w:rsid w:val="00D7410C"/>
    <w:rsid w:val="00D741C0"/>
    <w:rsid w:val="00D742E9"/>
    <w:rsid w:val="00D744B5"/>
    <w:rsid w:val="00D74BBF"/>
    <w:rsid w:val="00D753F0"/>
    <w:rsid w:val="00D7604C"/>
    <w:rsid w:val="00D7624A"/>
    <w:rsid w:val="00D76875"/>
    <w:rsid w:val="00D76D8E"/>
    <w:rsid w:val="00D7705E"/>
    <w:rsid w:val="00D770BB"/>
    <w:rsid w:val="00D7735F"/>
    <w:rsid w:val="00D774CE"/>
    <w:rsid w:val="00D77739"/>
    <w:rsid w:val="00D77A83"/>
    <w:rsid w:val="00D77BE8"/>
    <w:rsid w:val="00D801AB"/>
    <w:rsid w:val="00D81878"/>
    <w:rsid w:val="00D81BC4"/>
    <w:rsid w:val="00D81FE9"/>
    <w:rsid w:val="00D826C8"/>
    <w:rsid w:val="00D82DC3"/>
    <w:rsid w:val="00D83234"/>
    <w:rsid w:val="00D83595"/>
    <w:rsid w:val="00D835A8"/>
    <w:rsid w:val="00D837C2"/>
    <w:rsid w:val="00D839DB"/>
    <w:rsid w:val="00D84138"/>
    <w:rsid w:val="00D842C7"/>
    <w:rsid w:val="00D84997"/>
    <w:rsid w:val="00D84A0F"/>
    <w:rsid w:val="00D84B49"/>
    <w:rsid w:val="00D84BC5"/>
    <w:rsid w:val="00D84F3A"/>
    <w:rsid w:val="00D85EAE"/>
    <w:rsid w:val="00D8602A"/>
    <w:rsid w:val="00D8643B"/>
    <w:rsid w:val="00D86887"/>
    <w:rsid w:val="00D86DCA"/>
    <w:rsid w:val="00D872F0"/>
    <w:rsid w:val="00D87342"/>
    <w:rsid w:val="00D876EE"/>
    <w:rsid w:val="00D87AE7"/>
    <w:rsid w:val="00D87E78"/>
    <w:rsid w:val="00D903CA"/>
    <w:rsid w:val="00D906D3"/>
    <w:rsid w:val="00D90C3C"/>
    <w:rsid w:val="00D90F10"/>
    <w:rsid w:val="00D922FD"/>
    <w:rsid w:val="00D92326"/>
    <w:rsid w:val="00D92B38"/>
    <w:rsid w:val="00D92CC0"/>
    <w:rsid w:val="00D92DC0"/>
    <w:rsid w:val="00D9343B"/>
    <w:rsid w:val="00D9427D"/>
    <w:rsid w:val="00D946CD"/>
    <w:rsid w:val="00D94E8E"/>
    <w:rsid w:val="00D959F2"/>
    <w:rsid w:val="00D95D4C"/>
    <w:rsid w:val="00D95F09"/>
    <w:rsid w:val="00D95F56"/>
    <w:rsid w:val="00D96117"/>
    <w:rsid w:val="00D96182"/>
    <w:rsid w:val="00D964AD"/>
    <w:rsid w:val="00D969A6"/>
    <w:rsid w:val="00D969EF"/>
    <w:rsid w:val="00D96D74"/>
    <w:rsid w:val="00D96F39"/>
    <w:rsid w:val="00D96FAB"/>
    <w:rsid w:val="00D97FC5"/>
    <w:rsid w:val="00DA0088"/>
    <w:rsid w:val="00DA061A"/>
    <w:rsid w:val="00DA06FA"/>
    <w:rsid w:val="00DA09BB"/>
    <w:rsid w:val="00DA121C"/>
    <w:rsid w:val="00DA1241"/>
    <w:rsid w:val="00DA15A8"/>
    <w:rsid w:val="00DA1610"/>
    <w:rsid w:val="00DA1B09"/>
    <w:rsid w:val="00DA1D4A"/>
    <w:rsid w:val="00DA1E04"/>
    <w:rsid w:val="00DA223E"/>
    <w:rsid w:val="00DA2250"/>
    <w:rsid w:val="00DA2331"/>
    <w:rsid w:val="00DA241F"/>
    <w:rsid w:val="00DA294D"/>
    <w:rsid w:val="00DA2A12"/>
    <w:rsid w:val="00DA34E8"/>
    <w:rsid w:val="00DA36D7"/>
    <w:rsid w:val="00DA37A2"/>
    <w:rsid w:val="00DA37F8"/>
    <w:rsid w:val="00DA3BEA"/>
    <w:rsid w:val="00DA477A"/>
    <w:rsid w:val="00DA4C2E"/>
    <w:rsid w:val="00DA4C9B"/>
    <w:rsid w:val="00DA4D18"/>
    <w:rsid w:val="00DA4D43"/>
    <w:rsid w:val="00DA4F27"/>
    <w:rsid w:val="00DA52D5"/>
    <w:rsid w:val="00DA55EE"/>
    <w:rsid w:val="00DA5747"/>
    <w:rsid w:val="00DA5EA8"/>
    <w:rsid w:val="00DA5FE2"/>
    <w:rsid w:val="00DA6197"/>
    <w:rsid w:val="00DA6415"/>
    <w:rsid w:val="00DA64AA"/>
    <w:rsid w:val="00DA6AAB"/>
    <w:rsid w:val="00DA713E"/>
    <w:rsid w:val="00DA734A"/>
    <w:rsid w:val="00DA735D"/>
    <w:rsid w:val="00DA7CD1"/>
    <w:rsid w:val="00DA7FA3"/>
    <w:rsid w:val="00DB028D"/>
    <w:rsid w:val="00DB052E"/>
    <w:rsid w:val="00DB05EB"/>
    <w:rsid w:val="00DB0661"/>
    <w:rsid w:val="00DB06CC"/>
    <w:rsid w:val="00DB07D5"/>
    <w:rsid w:val="00DB0C2D"/>
    <w:rsid w:val="00DB0D36"/>
    <w:rsid w:val="00DB1170"/>
    <w:rsid w:val="00DB16AD"/>
    <w:rsid w:val="00DB1821"/>
    <w:rsid w:val="00DB1EA3"/>
    <w:rsid w:val="00DB24AF"/>
    <w:rsid w:val="00DB2569"/>
    <w:rsid w:val="00DB29DA"/>
    <w:rsid w:val="00DB2C03"/>
    <w:rsid w:val="00DB2C5E"/>
    <w:rsid w:val="00DB2FFD"/>
    <w:rsid w:val="00DB33C2"/>
    <w:rsid w:val="00DB37F2"/>
    <w:rsid w:val="00DB3D9A"/>
    <w:rsid w:val="00DB43A4"/>
    <w:rsid w:val="00DB47BB"/>
    <w:rsid w:val="00DB507A"/>
    <w:rsid w:val="00DB511A"/>
    <w:rsid w:val="00DB51B8"/>
    <w:rsid w:val="00DB5A58"/>
    <w:rsid w:val="00DB5DBB"/>
    <w:rsid w:val="00DB5FFF"/>
    <w:rsid w:val="00DB600A"/>
    <w:rsid w:val="00DB68F6"/>
    <w:rsid w:val="00DB6913"/>
    <w:rsid w:val="00DB69DD"/>
    <w:rsid w:val="00DB701B"/>
    <w:rsid w:val="00DB70C9"/>
    <w:rsid w:val="00DB71A9"/>
    <w:rsid w:val="00DB721C"/>
    <w:rsid w:val="00DB767E"/>
    <w:rsid w:val="00DB770D"/>
    <w:rsid w:val="00DB78CB"/>
    <w:rsid w:val="00DC0FF4"/>
    <w:rsid w:val="00DC16AA"/>
    <w:rsid w:val="00DC1B44"/>
    <w:rsid w:val="00DC1D15"/>
    <w:rsid w:val="00DC26BC"/>
    <w:rsid w:val="00DC2751"/>
    <w:rsid w:val="00DC2963"/>
    <w:rsid w:val="00DC2D6A"/>
    <w:rsid w:val="00DC2DE5"/>
    <w:rsid w:val="00DC32A7"/>
    <w:rsid w:val="00DC35DA"/>
    <w:rsid w:val="00DC37C3"/>
    <w:rsid w:val="00DC3ACD"/>
    <w:rsid w:val="00DC3C84"/>
    <w:rsid w:val="00DC3F15"/>
    <w:rsid w:val="00DC4611"/>
    <w:rsid w:val="00DC4E88"/>
    <w:rsid w:val="00DC4E8F"/>
    <w:rsid w:val="00DC4EB7"/>
    <w:rsid w:val="00DC4EF2"/>
    <w:rsid w:val="00DC5601"/>
    <w:rsid w:val="00DC61DA"/>
    <w:rsid w:val="00DC6327"/>
    <w:rsid w:val="00DC642D"/>
    <w:rsid w:val="00DC6B24"/>
    <w:rsid w:val="00DC6CDF"/>
    <w:rsid w:val="00DC73DB"/>
    <w:rsid w:val="00DC7D12"/>
    <w:rsid w:val="00DD0338"/>
    <w:rsid w:val="00DD0906"/>
    <w:rsid w:val="00DD0B64"/>
    <w:rsid w:val="00DD10CF"/>
    <w:rsid w:val="00DD1477"/>
    <w:rsid w:val="00DD2336"/>
    <w:rsid w:val="00DD2428"/>
    <w:rsid w:val="00DD24A9"/>
    <w:rsid w:val="00DD2872"/>
    <w:rsid w:val="00DD30F4"/>
    <w:rsid w:val="00DD3F5A"/>
    <w:rsid w:val="00DD3FE3"/>
    <w:rsid w:val="00DD41C6"/>
    <w:rsid w:val="00DD4535"/>
    <w:rsid w:val="00DD4568"/>
    <w:rsid w:val="00DD48E6"/>
    <w:rsid w:val="00DD4917"/>
    <w:rsid w:val="00DD4A29"/>
    <w:rsid w:val="00DD5258"/>
    <w:rsid w:val="00DD53E2"/>
    <w:rsid w:val="00DD567A"/>
    <w:rsid w:val="00DD5BC3"/>
    <w:rsid w:val="00DD5D72"/>
    <w:rsid w:val="00DD77BB"/>
    <w:rsid w:val="00DD7CE6"/>
    <w:rsid w:val="00DE054D"/>
    <w:rsid w:val="00DE0564"/>
    <w:rsid w:val="00DE07EF"/>
    <w:rsid w:val="00DE10BB"/>
    <w:rsid w:val="00DE1AA5"/>
    <w:rsid w:val="00DE1AD8"/>
    <w:rsid w:val="00DE1CC8"/>
    <w:rsid w:val="00DE24EB"/>
    <w:rsid w:val="00DE2B50"/>
    <w:rsid w:val="00DE3006"/>
    <w:rsid w:val="00DE312A"/>
    <w:rsid w:val="00DE3353"/>
    <w:rsid w:val="00DE3584"/>
    <w:rsid w:val="00DE398D"/>
    <w:rsid w:val="00DE40BD"/>
    <w:rsid w:val="00DE42EA"/>
    <w:rsid w:val="00DE482D"/>
    <w:rsid w:val="00DE4F9F"/>
    <w:rsid w:val="00DE4FF0"/>
    <w:rsid w:val="00DE50FF"/>
    <w:rsid w:val="00DE5760"/>
    <w:rsid w:val="00DE5D3C"/>
    <w:rsid w:val="00DE6BF8"/>
    <w:rsid w:val="00DE7071"/>
    <w:rsid w:val="00DE7555"/>
    <w:rsid w:val="00DE766E"/>
    <w:rsid w:val="00DE79C0"/>
    <w:rsid w:val="00DE7E6D"/>
    <w:rsid w:val="00DF0289"/>
    <w:rsid w:val="00DF04FF"/>
    <w:rsid w:val="00DF050E"/>
    <w:rsid w:val="00DF0884"/>
    <w:rsid w:val="00DF0C9C"/>
    <w:rsid w:val="00DF10EB"/>
    <w:rsid w:val="00DF1163"/>
    <w:rsid w:val="00DF1B9D"/>
    <w:rsid w:val="00DF1FF1"/>
    <w:rsid w:val="00DF21A0"/>
    <w:rsid w:val="00DF2442"/>
    <w:rsid w:val="00DF2974"/>
    <w:rsid w:val="00DF2B69"/>
    <w:rsid w:val="00DF2D90"/>
    <w:rsid w:val="00DF3120"/>
    <w:rsid w:val="00DF3CBA"/>
    <w:rsid w:val="00DF43C4"/>
    <w:rsid w:val="00DF44D8"/>
    <w:rsid w:val="00DF4738"/>
    <w:rsid w:val="00DF483E"/>
    <w:rsid w:val="00DF4F12"/>
    <w:rsid w:val="00DF4F69"/>
    <w:rsid w:val="00DF5285"/>
    <w:rsid w:val="00DF5605"/>
    <w:rsid w:val="00DF5A5A"/>
    <w:rsid w:val="00DF5CEE"/>
    <w:rsid w:val="00DF5EDC"/>
    <w:rsid w:val="00DF655C"/>
    <w:rsid w:val="00DF6BE2"/>
    <w:rsid w:val="00DF6E63"/>
    <w:rsid w:val="00DF73C4"/>
    <w:rsid w:val="00E006BB"/>
    <w:rsid w:val="00E0097A"/>
    <w:rsid w:val="00E01147"/>
    <w:rsid w:val="00E015FA"/>
    <w:rsid w:val="00E01BB4"/>
    <w:rsid w:val="00E01D87"/>
    <w:rsid w:val="00E01EE5"/>
    <w:rsid w:val="00E02537"/>
    <w:rsid w:val="00E02E5F"/>
    <w:rsid w:val="00E0364C"/>
    <w:rsid w:val="00E03752"/>
    <w:rsid w:val="00E03A8E"/>
    <w:rsid w:val="00E043B9"/>
    <w:rsid w:val="00E0450C"/>
    <w:rsid w:val="00E0460E"/>
    <w:rsid w:val="00E046F6"/>
    <w:rsid w:val="00E04D7A"/>
    <w:rsid w:val="00E053E0"/>
    <w:rsid w:val="00E05402"/>
    <w:rsid w:val="00E057F2"/>
    <w:rsid w:val="00E05C0E"/>
    <w:rsid w:val="00E060F7"/>
    <w:rsid w:val="00E0627B"/>
    <w:rsid w:val="00E062F6"/>
    <w:rsid w:val="00E06353"/>
    <w:rsid w:val="00E06C6D"/>
    <w:rsid w:val="00E078D0"/>
    <w:rsid w:val="00E10123"/>
    <w:rsid w:val="00E1033B"/>
    <w:rsid w:val="00E10717"/>
    <w:rsid w:val="00E10DB6"/>
    <w:rsid w:val="00E10FCF"/>
    <w:rsid w:val="00E11094"/>
    <w:rsid w:val="00E11CD4"/>
    <w:rsid w:val="00E12057"/>
    <w:rsid w:val="00E120BF"/>
    <w:rsid w:val="00E121C6"/>
    <w:rsid w:val="00E12687"/>
    <w:rsid w:val="00E137DF"/>
    <w:rsid w:val="00E138E1"/>
    <w:rsid w:val="00E1392D"/>
    <w:rsid w:val="00E1403E"/>
    <w:rsid w:val="00E140FD"/>
    <w:rsid w:val="00E14468"/>
    <w:rsid w:val="00E1477F"/>
    <w:rsid w:val="00E1535E"/>
    <w:rsid w:val="00E15383"/>
    <w:rsid w:val="00E15406"/>
    <w:rsid w:val="00E15E02"/>
    <w:rsid w:val="00E15F2A"/>
    <w:rsid w:val="00E16008"/>
    <w:rsid w:val="00E16CD3"/>
    <w:rsid w:val="00E172B2"/>
    <w:rsid w:val="00E176C1"/>
    <w:rsid w:val="00E17FE2"/>
    <w:rsid w:val="00E20192"/>
    <w:rsid w:val="00E20935"/>
    <w:rsid w:val="00E20EAC"/>
    <w:rsid w:val="00E20F50"/>
    <w:rsid w:val="00E212AB"/>
    <w:rsid w:val="00E2145E"/>
    <w:rsid w:val="00E21577"/>
    <w:rsid w:val="00E215F3"/>
    <w:rsid w:val="00E22709"/>
    <w:rsid w:val="00E22E63"/>
    <w:rsid w:val="00E2322D"/>
    <w:rsid w:val="00E2441D"/>
    <w:rsid w:val="00E24551"/>
    <w:rsid w:val="00E24802"/>
    <w:rsid w:val="00E24861"/>
    <w:rsid w:val="00E2572F"/>
    <w:rsid w:val="00E26176"/>
    <w:rsid w:val="00E26420"/>
    <w:rsid w:val="00E268F9"/>
    <w:rsid w:val="00E26F55"/>
    <w:rsid w:val="00E26F65"/>
    <w:rsid w:val="00E2702A"/>
    <w:rsid w:val="00E273EE"/>
    <w:rsid w:val="00E278BF"/>
    <w:rsid w:val="00E301BC"/>
    <w:rsid w:val="00E322FF"/>
    <w:rsid w:val="00E32658"/>
    <w:rsid w:val="00E3294F"/>
    <w:rsid w:val="00E32B99"/>
    <w:rsid w:val="00E32CB6"/>
    <w:rsid w:val="00E32E7F"/>
    <w:rsid w:val="00E32FE0"/>
    <w:rsid w:val="00E33380"/>
    <w:rsid w:val="00E337B0"/>
    <w:rsid w:val="00E33C7F"/>
    <w:rsid w:val="00E342BB"/>
    <w:rsid w:val="00E3528E"/>
    <w:rsid w:val="00E353B6"/>
    <w:rsid w:val="00E354E8"/>
    <w:rsid w:val="00E358FE"/>
    <w:rsid w:val="00E35C9C"/>
    <w:rsid w:val="00E35D2C"/>
    <w:rsid w:val="00E35D52"/>
    <w:rsid w:val="00E361EC"/>
    <w:rsid w:val="00E36AFD"/>
    <w:rsid w:val="00E36D28"/>
    <w:rsid w:val="00E37084"/>
    <w:rsid w:val="00E3708B"/>
    <w:rsid w:val="00E37B30"/>
    <w:rsid w:val="00E37C54"/>
    <w:rsid w:val="00E4018A"/>
    <w:rsid w:val="00E403B1"/>
    <w:rsid w:val="00E4088D"/>
    <w:rsid w:val="00E40B15"/>
    <w:rsid w:val="00E40E84"/>
    <w:rsid w:val="00E418E0"/>
    <w:rsid w:val="00E4209B"/>
    <w:rsid w:val="00E42BF5"/>
    <w:rsid w:val="00E42C49"/>
    <w:rsid w:val="00E432D3"/>
    <w:rsid w:val="00E4363E"/>
    <w:rsid w:val="00E43BAB"/>
    <w:rsid w:val="00E43D07"/>
    <w:rsid w:val="00E44383"/>
    <w:rsid w:val="00E45246"/>
    <w:rsid w:val="00E45307"/>
    <w:rsid w:val="00E454C6"/>
    <w:rsid w:val="00E4572E"/>
    <w:rsid w:val="00E45B6B"/>
    <w:rsid w:val="00E45CA9"/>
    <w:rsid w:val="00E45CEB"/>
    <w:rsid w:val="00E45D76"/>
    <w:rsid w:val="00E46187"/>
    <w:rsid w:val="00E46790"/>
    <w:rsid w:val="00E4681E"/>
    <w:rsid w:val="00E46868"/>
    <w:rsid w:val="00E47042"/>
    <w:rsid w:val="00E472AE"/>
    <w:rsid w:val="00E5019C"/>
    <w:rsid w:val="00E5059E"/>
    <w:rsid w:val="00E50858"/>
    <w:rsid w:val="00E509A2"/>
    <w:rsid w:val="00E50F2E"/>
    <w:rsid w:val="00E513A5"/>
    <w:rsid w:val="00E51618"/>
    <w:rsid w:val="00E517F8"/>
    <w:rsid w:val="00E51946"/>
    <w:rsid w:val="00E51AC1"/>
    <w:rsid w:val="00E51D94"/>
    <w:rsid w:val="00E51F21"/>
    <w:rsid w:val="00E52376"/>
    <w:rsid w:val="00E52432"/>
    <w:rsid w:val="00E52628"/>
    <w:rsid w:val="00E52636"/>
    <w:rsid w:val="00E52666"/>
    <w:rsid w:val="00E52BE2"/>
    <w:rsid w:val="00E52F00"/>
    <w:rsid w:val="00E5330E"/>
    <w:rsid w:val="00E53527"/>
    <w:rsid w:val="00E53662"/>
    <w:rsid w:val="00E536C1"/>
    <w:rsid w:val="00E53790"/>
    <w:rsid w:val="00E53830"/>
    <w:rsid w:val="00E53C06"/>
    <w:rsid w:val="00E53DAA"/>
    <w:rsid w:val="00E53E93"/>
    <w:rsid w:val="00E54375"/>
    <w:rsid w:val="00E54439"/>
    <w:rsid w:val="00E54480"/>
    <w:rsid w:val="00E54602"/>
    <w:rsid w:val="00E546E8"/>
    <w:rsid w:val="00E54BB9"/>
    <w:rsid w:val="00E54E5C"/>
    <w:rsid w:val="00E54F42"/>
    <w:rsid w:val="00E5520A"/>
    <w:rsid w:val="00E552F9"/>
    <w:rsid w:val="00E556A3"/>
    <w:rsid w:val="00E56098"/>
    <w:rsid w:val="00E56222"/>
    <w:rsid w:val="00E56DC4"/>
    <w:rsid w:val="00E56FE6"/>
    <w:rsid w:val="00E57151"/>
    <w:rsid w:val="00E573D6"/>
    <w:rsid w:val="00E57902"/>
    <w:rsid w:val="00E57EB3"/>
    <w:rsid w:val="00E57F0A"/>
    <w:rsid w:val="00E60263"/>
    <w:rsid w:val="00E6039B"/>
    <w:rsid w:val="00E60435"/>
    <w:rsid w:val="00E6075A"/>
    <w:rsid w:val="00E60B1D"/>
    <w:rsid w:val="00E60E63"/>
    <w:rsid w:val="00E612C7"/>
    <w:rsid w:val="00E61396"/>
    <w:rsid w:val="00E6155B"/>
    <w:rsid w:val="00E616DF"/>
    <w:rsid w:val="00E61E84"/>
    <w:rsid w:val="00E62577"/>
    <w:rsid w:val="00E62C94"/>
    <w:rsid w:val="00E62E4D"/>
    <w:rsid w:val="00E62E7A"/>
    <w:rsid w:val="00E63033"/>
    <w:rsid w:val="00E63491"/>
    <w:rsid w:val="00E637DF"/>
    <w:rsid w:val="00E638B1"/>
    <w:rsid w:val="00E6489C"/>
    <w:rsid w:val="00E649DC"/>
    <w:rsid w:val="00E64E86"/>
    <w:rsid w:val="00E64EAB"/>
    <w:rsid w:val="00E6500E"/>
    <w:rsid w:val="00E6520D"/>
    <w:rsid w:val="00E652C5"/>
    <w:rsid w:val="00E65801"/>
    <w:rsid w:val="00E66168"/>
    <w:rsid w:val="00E66205"/>
    <w:rsid w:val="00E6637D"/>
    <w:rsid w:val="00E664CC"/>
    <w:rsid w:val="00E6671D"/>
    <w:rsid w:val="00E6677F"/>
    <w:rsid w:val="00E667AA"/>
    <w:rsid w:val="00E66911"/>
    <w:rsid w:val="00E66DBE"/>
    <w:rsid w:val="00E671D1"/>
    <w:rsid w:val="00E6783D"/>
    <w:rsid w:val="00E67A57"/>
    <w:rsid w:val="00E67CA6"/>
    <w:rsid w:val="00E67DAB"/>
    <w:rsid w:val="00E70338"/>
    <w:rsid w:val="00E70710"/>
    <w:rsid w:val="00E70AAB"/>
    <w:rsid w:val="00E71FCD"/>
    <w:rsid w:val="00E720A9"/>
    <w:rsid w:val="00E722A4"/>
    <w:rsid w:val="00E72592"/>
    <w:rsid w:val="00E72964"/>
    <w:rsid w:val="00E72BF5"/>
    <w:rsid w:val="00E72D63"/>
    <w:rsid w:val="00E72E2C"/>
    <w:rsid w:val="00E72FEF"/>
    <w:rsid w:val="00E738D9"/>
    <w:rsid w:val="00E73BB4"/>
    <w:rsid w:val="00E73E96"/>
    <w:rsid w:val="00E73F79"/>
    <w:rsid w:val="00E74598"/>
    <w:rsid w:val="00E74820"/>
    <w:rsid w:val="00E74B52"/>
    <w:rsid w:val="00E751E2"/>
    <w:rsid w:val="00E7555C"/>
    <w:rsid w:val="00E756F9"/>
    <w:rsid w:val="00E75A85"/>
    <w:rsid w:val="00E75FE9"/>
    <w:rsid w:val="00E76282"/>
    <w:rsid w:val="00E764DE"/>
    <w:rsid w:val="00E7680D"/>
    <w:rsid w:val="00E7688F"/>
    <w:rsid w:val="00E76D17"/>
    <w:rsid w:val="00E76D47"/>
    <w:rsid w:val="00E76EA0"/>
    <w:rsid w:val="00E7754C"/>
    <w:rsid w:val="00E7795B"/>
    <w:rsid w:val="00E77ACA"/>
    <w:rsid w:val="00E77F90"/>
    <w:rsid w:val="00E80772"/>
    <w:rsid w:val="00E8097F"/>
    <w:rsid w:val="00E80A8C"/>
    <w:rsid w:val="00E80AB4"/>
    <w:rsid w:val="00E8152D"/>
    <w:rsid w:val="00E83D75"/>
    <w:rsid w:val="00E8405D"/>
    <w:rsid w:val="00E84452"/>
    <w:rsid w:val="00E84521"/>
    <w:rsid w:val="00E84BD0"/>
    <w:rsid w:val="00E84D15"/>
    <w:rsid w:val="00E84D80"/>
    <w:rsid w:val="00E84DB3"/>
    <w:rsid w:val="00E84F6B"/>
    <w:rsid w:val="00E85A88"/>
    <w:rsid w:val="00E85EFE"/>
    <w:rsid w:val="00E861AA"/>
    <w:rsid w:val="00E869B2"/>
    <w:rsid w:val="00E86E2D"/>
    <w:rsid w:val="00E86FA4"/>
    <w:rsid w:val="00E87AAA"/>
    <w:rsid w:val="00E87B14"/>
    <w:rsid w:val="00E87C10"/>
    <w:rsid w:val="00E87D87"/>
    <w:rsid w:val="00E903DF"/>
    <w:rsid w:val="00E90BD1"/>
    <w:rsid w:val="00E912E8"/>
    <w:rsid w:val="00E91409"/>
    <w:rsid w:val="00E91872"/>
    <w:rsid w:val="00E918C6"/>
    <w:rsid w:val="00E91DFD"/>
    <w:rsid w:val="00E91E31"/>
    <w:rsid w:val="00E92214"/>
    <w:rsid w:val="00E9233B"/>
    <w:rsid w:val="00E923D4"/>
    <w:rsid w:val="00E92462"/>
    <w:rsid w:val="00E927AB"/>
    <w:rsid w:val="00E92A60"/>
    <w:rsid w:val="00E931EE"/>
    <w:rsid w:val="00E9327C"/>
    <w:rsid w:val="00E93AD3"/>
    <w:rsid w:val="00E93F49"/>
    <w:rsid w:val="00E94146"/>
    <w:rsid w:val="00E94796"/>
    <w:rsid w:val="00E947E4"/>
    <w:rsid w:val="00E94A0A"/>
    <w:rsid w:val="00E94CEE"/>
    <w:rsid w:val="00E951A7"/>
    <w:rsid w:val="00E95466"/>
    <w:rsid w:val="00E95516"/>
    <w:rsid w:val="00E956C4"/>
    <w:rsid w:val="00E95C8D"/>
    <w:rsid w:val="00E96BA5"/>
    <w:rsid w:val="00E96E3F"/>
    <w:rsid w:val="00E96F5B"/>
    <w:rsid w:val="00E96FF0"/>
    <w:rsid w:val="00E97023"/>
    <w:rsid w:val="00E97153"/>
    <w:rsid w:val="00E974FF"/>
    <w:rsid w:val="00E9774B"/>
    <w:rsid w:val="00E97F50"/>
    <w:rsid w:val="00EA0104"/>
    <w:rsid w:val="00EA0A21"/>
    <w:rsid w:val="00EA0ADF"/>
    <w:rsid w:val="00EA0DA8"/>
    <w:rsid w:val="00EA0F46"/>
    <w:rsid w:val="00EA1175"/>
    <w:rsid w:val="00EA11A4"/>
    <w:rsid w:val="00EA1692"/>
    <w:rsid w:val="00EA176B"/>
    <w:rsid w:val="00EA1890"/>
    <w:rsid w:val="00EA1934"/>
    <w:rsid w:val="00EA1BA3"/>
    <w:rsid w:val="00EA222F"/>
    <w:rsid w:val="00EA2876"/>
    <w:rsid w:val="00EA2C70"/>
    <w:rsid w:val="00EA3623"/>
    <w:rsid w:val="00EA3CA7"/>
    <w:rsid w:val="00EA3D6C"/>
    <w:rsid w:val="00EA3D6D"/>
    <w:rsid w:val="00EA49C4"/>
    <w:rsid w:val="00EA4A31"/>
    <w:rsid w:val="00EA4B87"/>
    <w:rsid w:val="00EA50FB"/>
    <w:rsid w:val="00EA55A5"/>
    <w:rsid w:val="00EA57FC"/>
    <w:rsid w:val="00EA5A68"/>
    <w:rsid w:val="00EA5EA4"/>
    <w:rsid w:val="00EA5EBC"/>
    <w:rsid w:val="00EA61B0"/>
    <w:rsid w:val="00EA6287"/>
    <w:rsid w:val="00EA6647"/>
    <w:rsid w:val="00EA67F9"/>
    <w:rsid w:val="00EA6AA6"/>
    <w:rsid w:val="00EA6B1F"/>
    <w:rsid w:val="00EA6C9C"/>
    <w:rsid w:val="00EA7ADA"/>
    <w:rsid w:val="00EA7E89"/>
    <w:rsid w:val="00EB03F9"/>
    <w:rsid w:val="00EB0B24"/>
    <w:rsid w:val="00EB0C1C"/>
    <w:rsid w:val="00EB0E64"/>
    <w:rsid w:val="00EB0EB8"/>
    <w:rsid w:val="00EB0EC4"/>
    <w:rsid w:val="00EB0FA1"/>
    <w:rsid w:val="00EB1605"/>
    <w:rsid w:val="00EB177C"/>
    <w:rsid w:val="00EB1CCB"/>
    <w:rsid w:val="00EB224D"/>
    <w:rsid w:val="00EB329C"/>
    <w:rsid w:val="00EB45B8"/>
    <w:rsid w:val="00EB464F"/>
    <w:rsid w:val="00EB46F3"/>
    <w:rsid w:val="00EB4C02"/>
    <w:rsid w:val="00EB4E07"/>
    <w:rsid w:val="00EB4E24"/>
    <w:rsid w:val="00EB522E"/>
    <w:rsid w:val="00EB543B"/>
    <w:rsid w:val="00EB5753"/>
    <w:rsid w:val="00EB5797"/>
    <w:rsid w:val="00EB5805"/>
    <w:rsid w:val="00EB5A77"/>
    <w:rsid w:val="00EB5D48"/>
    <w:rsid w:val="00EB64F8"/>
    <w:rsid w:val="00EB6B21"/>
    <w:rsid w:val="00EB703F"/>
    <w:rsid w:val="00EB720F"/>
    <w:rsid w:val="00EB757A"/>
    <w:rsid w:val="00EB7587"/>
    <w:rsid w:val="00EC0816"/>
    <w:rsid w:val="00EC0AC3"/>
    <w:rsid w:val="00EC0F4A"/>
    <w:rsid w:val="00EC17A7"/>
    <w:rsid w:val="00EC19B0"/>
    <w:rsid w:val="00EC20F6"/>
    <w:rsid w:val="00EC22F4"/>
    <w:rsid w:val="00EC292E"/>
    <w:rsid w:val="00EC2B3D"/>
    <w:rsid w:val="00EC2CA2"/>
    <w:rsid w:val="00EC384D"/>
    <w:rsid w:val="00EC40DC"/>
    <w:rsid w:val="00EC441D"/>
    <w:rsid w:val="00EC485A"/>
    <w:rsid w:val="00EC4958"/>
    <w:rsid w:val="00EC536E"/>
    <w:rsid w:val="00EC538C"/>
    <w:rsid w:val="00EC54A1"/>
    <w:rsid w:val="00EC557E"/>
    <w:rsid w:val="00EC574C"/>
    <w:rsid w:val="00EC58A1"/>
    <w:rsid w:val="00EC60C9"/>
    <w:rsid w:val="00EC6165"/>
    <w:rsid w:val="00EC61CB"/>
    <w:rsid w:val="00EC64F6"/>
    <w:rsid w:val="00EC6A94"/>
    <w:rsid w:val="00EC6B5E"/>
    <w:rsid w:val="00EC6CAF"/>
    <w:rsid w:val="00EC70A2"/>
    <w:rsid w:val="00EC71BB"/>
    <w:rsid w:val="00EC72C2"/>
    <w:rsid w:val="00EC73DB"/>
    <w:rsid w:val="00EC754B"/>
    <w:rsid w:val="00EC759A"/>
    <w:rsid w:val="00ED0298"/>
    <w:rsid w:val="00ED040E"/>
    <w:rsid w:val="00ED062B"/>
    <w:rsid w:val="00ED0BA3"/>
    <w:rsid w:val="00ED0C16"/>
    <w:rsid w:val="00ED13E0"/>
    <w:rsid w:val="00ED1682"/>
    <w:rsid w:val="00ED1D9E"/>
    <w:rsid w:val="00ED1EDA"/>
    <w:rsid w:val="00ED2191"/>
    <w:rsid w:val="00ED2210"/>
    <w:rsid w:val="00ED226F"/>
    <w:rsid w:val="00ED269D"/>
    <w:rsid w:val="00ED2710"/>
    <w:rsid w:val="00ED296E"/>
    <w:rsid w:val="00ED2A53"/>
    <w:rsid w:val="00ED2AFF"/>
    <w:rsid w:val="00ED2B3A"/>
    <w:rsid w:val="00ED2C62"/>
    <w:rsid w:val="00ED2C6C"/>
    <w:rsid w:val="00ED2F1A"/>
    <w:rsid w:val="00ED2F6C"/>
    <w:rsid w:val="00ED303B"/>
    <w:rsid w:val="00ED3185"/>
    <w:rsid w:val="00ED3765"/>
    <w:rsid w:val="00ED4233"/>
    <w:rsid w:val="00ED4789"/>
    <w:rsid w:val="00ED4BF0"/>
    <w:rsid w:val="00ED532F"/>
    <w:rsid w:val="00ED5B04"/>
    <w:rsid w:val="00ED5C42"/>
    <w:rsid w:val="00ED5EA3"/>
    <w:rsid w:val="00ED605C"/>
    <w:rsid w:val="00ED60BE"/>
    <w:rsid w:val="00ED60F9"/>
    <w:rsid w:val="00ED61EC"/>
    <w:rsid w:val="00ED63F5"/>
    <w:rsid w:val="00ED63FE"/>
    <w:rsid w:val="00ED68D9"/>
    <w:rsid w:val="00ED6AD0"/>
    <w:rsid w:val="00ED7249"/>
    <w:rsid w:val="00ED73CC"/>
    <w:rsid w:val="00ED757D"/>
    <w:rsid w:val="00ED7A37"/>
    <w:rsid w:val="00ED7FB0"/>
    <w:rsid w:val="00EE0569"/>
    <w:rsid w:val="00EE0784"/>
    <w:rsid w:val="00EE0804"/>
    <w:rsid w:val="00EE1125"/>
    <w:rsid w:val="00EE13A6"/>
    <w:rsid w:val="00EE169D"/>
    <w:rsid w:val="00EE1B4A"/>
    <w:rsid w:val="00EE201A"/>
    <w:rsid w:val="00EE2A3F"/>
    <w:rsid w:val="00EE2CF5"/>
    <w:rsid w:val="00EE2DD0"/>
    <w:rsid w:val="00EE2E17"/>
    <w:rsid w:val="00EE2EBB"/>
    <w:rsid w:val="00EE3446"/>
    <w:rsid w:val="00EE3628"/>
    <w:rsid w:val="00EE3F67"/>
    <w:rsid w:val="00EE494C"/>
    <w:rsid w:val="00EE4A41"/>
    <w:rsid w:val="00EE4B44"/>
    <w:rsid w:val="00EE4F92"/>
    <w:rsid w:val="00EE5023"/>
    <w:rsid w:val="00EE50DA"/>
    <w:rsid w:val="00EE5408"/>
    <w:rsid w:val="00EE5637"/>
    <w:rsid w:val="00EE5948"/>
    <w:rsid w:val="00EE5A2F"/>
    <w:rsid w:val="00EE5A77"/>
    <w:rsid w:val="00EE5EAB"/>
    <w:rsid w:val="00EE6212"/>
    <w:rsid w:val="00EE6443"/>
    <w:rsid w:val="00EE68B4"/>
    <w:rsid w:val="00EE74B1"/>
    <w:rsid w:val="00EE7AFB"/>
    <w:rsid w:val="00EE7AFD"/>
    <w:rsid w:val="00EF0869"/>
    <w:rsid w:val="00EF0B2E"/>
    <w:rsid w:val="00EF1237"/>
    <w:rsid w:val="00EF1C1F"/>
    <w:rsid w:val="00EF207A"/>
    <w:rsid w:val="00EF2A23"/>
    <w:rsid w:val="00EF33CD"/>
    <w:rsid w:val="00EF3635"/>
    <w:rsid w:val="00EF3E40"/>
    <w:rsid w:val="00EF4053"/>
    <w:rsid w:val="00EF4141"/>
    <w:rsid w:val="00EF469C"/>
    <w:rsid w:val="00EF47BC"/>
    <w:rsid w:val="00EF4B69"/>
    <w:rsid w:val="00EF5646"/>
    <w:rsid w:val="00EF56B5"/>
    <w:rsid w:val="00EF589B"/>
    <w:rsid w:val="00EF5D1E"/>
    <w:rsid w:val="00EF60EB"/>
    <w:rsid w:val="00EF6216"/>
    <w:rsid w:val="00EF6452"/>
    <w:rsid w:val="00EF6E1D"/>
    <w:rsid w:val="00EF74BD"/>
    <w:rsid w:val="00EF74EB"/>
    <w:rsid w:val="00EF77B8"/>
    <w:rsid w:val="00EF7845"/>
    <w:rsid w:val="00EF78AD"/>
    <w:rsid w:val="00EF7A4C"/>
    <w:rsid w:val="00EF7D90"/>
    <w:rsid w:val="00F004BE"/>
    <w:rsid w:val="00F0087E"/>
    <w:rsid w:val="00F01B7F"/>
    <w:rsid w:val="00F01FFC"/>
    <w:rsid w:val="00F02251"/>
    <w:rsid w:val="00F022A7"/>
    <w:rsid w:val="00F02398"/>
    <w:rsid w:val="00F023D5"/>
    <w:rsid w:val="00F0273C"/>
    <w:rsid w:val="00F028D8"/>
    <w:rsid w:val="00F02CD2"/>
    <w:rsid w:val="00F03251"/>
    <w:rsid w:val="00F03B9B"/>
    <w:rsid w:val="00F03D9E"/>
    <w:rsid w:val="00F03DF0"/>
    <w:rsid w:val="00F03F22"/>
    <w:rsid w:val="00F03FFE"/>
    <w:rsid w:val="00F046C1"/>
    <w:rsid w:val="00F0477E"/>
    <w:rsid w:val="00F05030"/>
    <w:rsid w:val="00F057F1"/>
    <w:rsid w:val="00F05F31"/>
    <w:rsid w:val="00F06B6C"/>
    <w:rsid w:val="00F071B7"/>
    <w:rsid w:val="00F074A1"/>
    <w:rsid w:val="00F10469"/>
    <w:rsid w:val="00F10A4B"/>
    <w:rsid w:val="00F118EA"/>
    <w:rsid w:val="00F11C32"/>
    <w:rsid w:val="00F123A2"/>
    <w:rsid w:val="00F123CD"/>
    <w:rsid w:val="00F123EF"/>
    <w:rsid w:val="00F12497"/>
    <w:rsid w:val="00F12B0B"/>
    <w:rsid w:val="00F1314B"/>
    <w:rsid w:val="00F131E6"/>
    <w:rsid w:val="00F135B5"/>
    <w:rsid w:val="00F136DD"/>
    <w:rsid w:val="00F13A12"/>
    <w:rsid w:val="00F13C71"/>
    <w:rsid w:val="00F13D0E"/>
    <w:rsid w:val="00F1421E"/>
    <w:rsid w:val="00F145F1"/>
    <w:rsid w:val="00F14BA2"/>
    <w:rsid w:val="00F153FF"/>
    <w:rsid w:val="00F158EB"/>
    <w:rsid w:val="00F159A8"/>
    <w:rsid w:val="00F15C19"/>
    <w:rsid w:val="00F16548"/>
    <w:rsid w:val="00F1680A"/>
    <w:rsid w:val="00F168E4"/>
    <w:rsid w:val="00F16D1F"/>
    <w:rsid w:val="00F16E73"/>
    <w:rsid w:val="00F171F0"/>
    <w:rsid w:val="00F17658"/>
    <w:rsid w:val="00F179BA"/>
    <w:rsid w:val="00F17EE0"/>
    <w:rsid w:val="00F2005F"/>
    <w:rsid w:val="00F20260"/>
    <w:rsid w:val="00F2040B"/>
    <w:rsid w:val="00F206CE"/>
    <w:rsid w:val="00F20A02"/>
    <w:rsid w:val="00F20B33"/>
    <w:rsid w:val="00F20BF8"/>
    <w:rsid w:val="00F20C20"/>
    <w:rsid w:val="00F21369"/>
    <w:rsid w:val="00F21A51"/>
    <w:rsid w:val="00F21B6C"/>
    <w:rsid w:val="00F22330"/>
    <w:rsid w:val="00F22622"/>
    <w:rsid w:val="00F22688"/>
    <w:rsid w:val="00F227A9"/>
    <w:rsid w:val="00F22BE2"/>
    <w:rsid w:val="00F22C52"/>
    <w:rsid w:val="00F2301B"/>
    <w:rsid w:val="00F23444"/>
    <w:rsid w:val="00F2353F"/>
    <w:rsid w:val="00F23CAF"/>
    <w:rsid w:val="00F23D8A"/>
    <w:rsid w:val="00F23D9B"/>
    <w:rsid w:val="00F240DC"/>
    <w:rsid w:val="00F2431C"/>
    <w:rsid w:val="00F245E5"/>
    <w:rsid w:val="00F24655"/>
    <w:rsid w:val="00F248A3"/>
    <w:rsid w:val="00F24E56"/>
    <w:rsid w:val="00F25834"/>
    <w:rsid w:val="00F25CC5"/>
    <w:rsid w:val="00F26422"/>
    <w:rsid w:val="00F2657A"/>
    <w:rsid w:val="00F265EF"/>
    <w:rsid w:val="00F26697"/>
    <w:rsid w:val="00F26BC0"/>
    <w:rsid w:val="00F26C5F"/>
    <w:rsid w:val="00F26FAE"/>
    <w:rsid w:val="00F27395"/>
    <w:rsid w:val="00F273DE"/>
    <w:rsid w:val="00F2751D"/>
    <w:rsid w:val="00F3041C"/>
    <w:rsid w:val="00F30688"/>
    <w:rsid w:val="00F306E4"/>
    <w:rsid w:val="00F309A6"/>
    <w:rsid w:val="00F309BD"/>
    <w:rsid w:val="00F30AD6"/>
    <w:rsid w:val="00F30B4A"/>
    <w:rsid w:val="00F31116"/>
    <w:rsid w:val="00F3139C"/>
    <w:rsid w:val="00F321D8"/>
    <w:rsid w:val="00F3252D"/>
    <w:rsid w:val="00F32614"/>
    <w:rsid w:val="00F3285C"/>
    <w:rsid w:val="00F329F4"/>
    <w:rsid w:val="00F32C0A"/>
    <w:rsid w:val="00F3347D"/>
    <w:rsid w:val="00F33981"/>
    <w:rsid w:val="00F33A8E"/>
    <w:rsid w:val="00F33FA8"/>
    <w:rsid w:val="00F34E26"/>
    <w:rsid w:val="00F3528C"/>
    <w:rsid w:val="00F35456"/>
    <w:rsid w:val="00F35AA1"/>
    <w:rsid w:val="00F35C65"/>
    <w:rsid w:val="00F35DF7"/>
    <w:rsid w:val="00F35E3C"/>
    <w:rsid w:val="00F365B6"/>
    <w:rsid w:val="00F365E0"/>
    <w:rsid w:val="00F36F4E"/>
    <w:rsid w:val="00F371D5"/>
    <w:rsid w:val="00F375B2"/>
    <w:rsid w:val="00F3781D"/>
    <w:rsid w:val="00F37A98"/>
    <w:rsid w:val="00F37ABC"/>
    <w:rsid w:val="00F37B18"/>
    <w:rsid w:val="00F37ED4"/>
    <w:rsid w:val="00F4002E"/>
    <w:rsid w:val="00F408DF"/>
    <w:rsid w:val="00F40A50"/>
    <w:rsid w:val="00F41B80"/>
    <w:rsid w:val="00F42432"/>
    <w:rsid w:val="00F4276B"/>
    <w:rsid w:val="00F42E8E"/>
    <w:rsid w:val="00F4332F"/>
    <w:rsid w:val="00F43422"/>
    <w:rsid w:val="00F434AC"/>
    <w:rsid w:val="00F4350E"/>
    <w:rsid w:val="00F44254"/>
    <w:rsid w:val="00F447A1"/>
    <w:rsid w:val="00F44824"/>
    <w:rsid w:val="00F4482E"/>
    <w:rsid w:val="00F4499B"/>
    <w:rsid w:val="00F44BA1"/>
    <w:rsid w:val="00F4534E"/>
    <w:rsid w:val="00F45764"/>
    <w:rsid w:val="00F45C83"/>
    <w:rsid w:val="00F46553"/>
    <w:rsid w:val="00F46E3D"/>
    <w:rsid w:val="00F47005"/>
    <w:rsid w:val="00F477FF"/>
    <w:rsid w:val="00F47F39"/>
    <w:rsid w:val="00F501C8"/>
    <w:rsid w:val="00F508CB"/>
    <w:rsid w:val="00F50CFE"/>
    <w:rsid w:val="00F50F70"/>
    <w:rsid w:val="00F513A4"/>
    <w:rsid w:val="00F51864"/>
    <w:rsid w:val="00F5212D"/>
    <w:rsid w:val="00F5221D"/>
    <w:rsid w:val="00F52595"/>
    <w:rsid w:val="00F5287B"/>
    <w:rsid w:val="00F52998"/>
    <w:rsid w:val="00F52EC9"/>
    <w:rsid w:val="00F53138"/>
    <w:rsid w:val="00F5354A"/>
    <w:rsid w:val="00F535A4"/>
    <w:rsid w:val="00F5415D"/>
    <w:rsid w:val="00F54281"/>
    <w:rsid w:val="00F54371"/>
    <w:rsid w:val="00F54616"/>
    <w:rsid w:val="00F54C52"/>
    <w:rsid w:val="00F54CE2"/>
    <w:rsid w:val="00F54E0D"/>
    <w:rsid w:val="00F55765"/>
    <w:rsid w:val="00F55D84"/>
    <w:rsid w:val="00F55DBC"/>
    <w:rsid w:val="00F55DF3"/>
    <w:rsid w:val="00F56128"/>
    <w:rsid w:val="00F5693A"/>
    <w:rsid w:val="00F56A1E"/>
    <w:rsid w:val="00F56B64"/>
    <w:rsid w:val="00F56D7B"/>
    <w:rsid w:val="00F57367"/>
    <w:rsid w:val="00F60A60"/>
    <w:rsid w:val="00F60A86"/>
    <w:rsid w:val="00F60DE1"/>
    <w:rsid w:val="00F612D9"/>
    <w:rsid w:val="00F616BD"/>
    <w:rsid w:val="00F61D2A"/>
    <w:rsid w:val="00F623F1"/>
    <w:rsid w:val="00F62711"/>
    <w:rsid w:val="00F629A3"/>
    <w:rsid w:val="00F6352E"/>
    <w:rsid w:val="00F639D3"/>
    <w:rsid w:val="00F63AC0"/>
    <w:rsid w:val="00F63DB8"/>
    <w:rsid w:val="00F63EAA"/>
    <w:rsid w:val="00F6400F"/>
    <w:rsid w:val="00F6477F"/>
    <w:rsid w:val="00F64902"/>
    <w:rsid w:val="00F64F6E"/>
    <w:rsid w:val="00F6531A"/>
    <w:rsid w:val="00F65501"/>
    <w:rsid w:val="00F65860"/>
    <w:rsid w:val="00F65D98"/>
    <w:rsid w:val="00F6612D"/>
    <w:rsid w:val="00F664EF"/>
    <w:rsid w:val="00F665A3"/>
    <w:rsid w:val="00F66A74"/>
    <w:rsid w:val="00F66ADF"/>
    <w:rsid w:val="00F66ECC"/>
    <w:rsid w:val="00F6709E"/>
    <w:rsid w:val="00F67845"/>
    <w:rsid w:val="00F67A06"/>
    <w:rsid w:val="00F70378"/>
    <w:rsid w:val="00F70409"/>
    <w:rsid w:val="00F70C9F"/>
    <w:rsid w:val="00F70D97"/>
    <w:rsid w:val="00F712BA"/>
    <w:rsid w:val="00F71DFA"/>
    <w:rsid w:val="00F720E2"/>
    <w:rsid w:val="00F7247B"/>
    <w:rsid w:val="00F73191"/>
    <w:rsid w:val="00F732E1"/>
    <w:rsid w:val="00F7335D"/>
    <w:rsid w:val="00F73819"/>
    <w:rsid w:val="00F739E3"/>
    <w:rsid w:val="00F73A79"/>
    <w:rsid w:val="00F745AE"/>
    <w:rsid w:val="00F74F2C"/>
    <w:rsid w:val="00F75107"/>
    <w:rsid w:val="00F75419"/>
    <w:rsid w:val="00F766D9"/>
    <w:rsid w:val="00F769C4"/>
    <w:rsid w:val="00F76A20"/>
    <w:rsid w:val="00F77250"/>
    <w:rsid w:val="00F77604"/>
    <w:rsid w:val="00F77A52"/>
    <w:rsid w:val="00F77BB8"/>
    <w:rsid w:val="00F77DD3"/>
    <w:rsid w:val="00F77E36"/>
    <w:rsid w:val="00F800DC"/>
    <w:rsid w:val="00F80471"/>
    <w:rsid w:val="00F80476"/>
    <w:rsid w:val="00F804EC"/>
    <w:rsid w:val="00F81207"/>
    <w:rsid w:val="00F81708"/>
    <w:rsid w:val="00F81C74"/>
    <w:rsid w:val="00F81D3E"/>
    <w:rsid w:val="00F81F7C"/>
    <w:rsid w:val="00F826B4"/>
    <w:rsid w:val="00F82E07"/>
    <w:rsid w:val="00F83434"/>
    <w:rsid w:val="00F83D32"/>
    <w:rsid w:val="00F83F37"/>
    <w:rsid w:val="00F842A6"/>
    <w:rsid w:val="00F8430E"/>
    <w:rsid w:val="00F8456B"/>
    <w:rsid w:val="00F848BB"/>
    <w:rsid w:val="00F85144"/>
    <w:rsid w:val="00F8533E"/>
    <w:rsid w:val="00F853F1"/>
    <w:rsid w:val="00F85C01"/>
    <w:rsid w:val="00F86421"/>
    <w:rsid w:val="00F8650E"/>
    <w:rsid w:val="00F87204"/>
    <w:rsid w:val="00F8739F"/>
    <w:rsid w:val="00F87C39"/>
    <w:rsid w:val="00F87E32"/>
    <w:rsid w:val="00F87E43"/>
    <w:rsid w:val="00F90020"/>
    <w:rsid w:val="00F90C0B"/>
    <w:rsid w:val="00F90C80"/>
    <w:rsid w:val="00F90D1F"/>
    <w:rsid w:val="00F90D5F"/>
    <w:rsid w:val="00F90FF5"/>
    <w:rsid w:val="00F91050"/>
    <w:rsid w:val="00F911C4"/>
    <w:rsid w:val="00F912AA"/>
    <w:rsid w:val="00F92250"/>
    <w:rsid w:val="00F922F3"/>
    <w:rsid w:val="00F9264A"/>
    <w:rsid w:val="00F92651"/>
    <w:rsid w:val="00F92702"/>
    <w:rsid w:val="00F9287F"/>
    <w:rsid w:val="00F928B7"/>
    <w:rsid w:val="00F92C86"/>
    <w:rsid w:val="00F92F9D"/>
    <w:rsid w:val="00F93745"/>
    <w:rsid w:val="00F93A4F"/>
    <w:rsid w:val="00F93EEA"/>
    <w:rsid w:val="00F94250"/>
    <w:rsid w:val="00F94BCC"/>
    <w:rsid w:val="00F94BD0"/>
    <w:rsid w:val="00F94C73"/>
    <w:rsid w:val="00F94FE0"/>
    <w:rsid w:val="00F95210"/>
    <w:rsid w:val="00F95A5B"/>
    <w:rsid w:val="00F95DDF"/>
    <w:rsid w:val="00F96AA1"/>
    <w:rsid w:val="00F96D46"/>
    <w:rsid w:val="00F97199"/>
    <w:rsid w:val="00F97876"/>
    <w:rsid w:val="00FA002C"/>
    <w:rsid w:val="00FA0D6B"/>
    <w:rsid w:val="00FA0DED"/>
    <w:rsid w:val="00FA0E39"/>
    <w:rsid w:val="00FA197B"/>
    <w:rsid w:val="00FA1F5B"/>
    <w:rsid w:val="00FA20D7"/>
    <w:rsid w:val="00FA2199"/>
    <w:rsid w:val="00FA21D8"/>
    <w:rsid w:val="00FA27BC"/>
    <w:rsid w:val="00FA289D"/>
    <w:rsid w:val="00FA297D"/>
    <w:rsid w:val="00FA2A53"/>
    <w:rsid w:val="00FA2AC0"/>
    <w:rsid w:val="00FA2EDB"/>
    <w:rsid w:val="00FA324F"/>
    <w:rsid w:val="00FA35B3"/>
    <w:rsid w:val="00FA38C8"/>
    <w:rsid w:val="00FA3AD0"/>
    <w:rsid w:val="00FA4908"/>
    <w:rsid w:val="00FA4A85"/>
    <w:rsid w:val="00FA53E0"/>
    <w:rsid w:val="00FA5A15"/>
    <w:rsid w:val="00FA5AA2"/>
    <w:rsid w:val="00FA5AEA"/>
    <w:rsid w:val="00FA6745"/>
    <w:rsid w:val="00FA6E4B"/>
    <w:rsid w:val="00FA7273"/>
    <w:rsid w:val="00FB0106"/>
    <w:rsid w:val="00FB0302"/>
    <w:rsid w:val="00FB057E"/>
    <w:rsid w:val="00FB0F0D"/>
    <w:rsid w:val="00FB10D4"/>
    <w:rsid w:val="00FB10DC"/>
    <w:rsid w:val="00FB13A0"/>
    <w:rsid w:val="00FB19EE"/>
    <w:rsid w:val="00FB1ACB"/>
    <w:rsid w:val="00FB1B61"/>
    <w:rsid w:val="00FB1EB3"/>
    <w:rsid w:val="00FB2024"/>
    <w:rsid w:val="00FB21FF"/>
    <w:rsid w:val="00FB2281"/>
    <w:rsid w:val="00FB2570"/>
    <w:rsid w:val="00FB26FC"/>
    <w:rsid w:val="00FB2CB8"/>
    <w:rsid w:val="00FB3149"/>
    <w:rsid w:val="00FB34A3"/>
    <w:rsid w:val="00FB34D7"/>
    <w:rsid w:val="00FB34DF"/>
    <w:rsid w:val="00FB377A"/>
    <w:rsid w:val="00FB3BFD"/>
    <w:rsid w:val="00FB4030"/>
    <w:rsid w:val="00FB4423"/>
    <w:rsid w:val="00FB4433"/>
    <w:rsid w:val="00FB491C"/>
    <w:rsid w:val="00FB52BB"/>
    <w:rsid w:val="00FB5778"/>
    <w:rsid w:val="00FB5A34"/>
    <w:rsid w:val="00FB5D17"/>
    <w:rsid w:val="00FB60A6"/>
    <w:rsid w:val="00FB68A6"/>
    <w:rsid w:val="00FB6971"/>
    <w:rsid w:val="00FB69DC"/>
    <w:rsid w:val="00FB6AAA"/>
    <w:rsid w:val="00FB6F60"/>
    <w:rsid w:val="00FB7097"/>
    <w:rsid w:val="00FB73FE"/>
    <w:rsid w:val="00FB74A8"/>
    <w:rsid w:val="00FB7BFD"/>
    <w:rsid w:val="00FC0259"/>
    <w:rsid w:val="00FC06BE"/>
    <w:rsid w:val="00FC135D"/>
    <w:rsid w:val="00FC18D7"/>
    <w:rsid w:val="00FC19ED"/>
    <w:rsid w:val="00FC1BDC"/>
    <w:rsid w:val="00FC22DF"/>
    <w:rsid w:val="00FC23EB"/>
    <w:rsid w:val="00FC2E14"/>
    <w:rsid w:val="00FC2FC1"/>
    <w:rsid w:val="00FC304D"/>
    <w:rsid w:val="00FC31D6"/>
    <w:rsid w:val="00FC3240"/>
    <w:rsid w:val="00FC32AB"/>
    <w:rsid w:val="00FC47D5"/>
    <w:rsid w:val="00FC4998"/>
    <w:rsid w:val="00FC4A79"/>
    <w:rsid w:val="00FC4FF8"/>
    <w:rsid w:val="00FC500D"/>
    <w:rsid w:val="00FC50B2"/>
    <w:rsid w:val="00FC5213"/>
    <w:rsid w:val="00FC544F"/>
    <w:rsid w:val="00FC5608"/>
    <w:rsid w:val="00FC5CAC"/>
    <w:rsid w:val="00FC5DFE"/>
    <w:rsid w:val="00FC5E34"/>
    <w:rsid w:val="00FC6001"/>
    <w:rsid w:val="00FC633A"/>
    <w:rsid w:val="00FC64EA"/>
    <w:rsid w:val="00FC72BA"/>
    <w:rsid w:val="00FC7750"/>
    <w:rsid w:val="00FC7C8A"/>
    <w:rsid w:val="00FD084A"/>
    <w:rsid w:val="00FD0F20"/>
    <w:rsid w:val="00FD1443"/>
    <w:rsid w:val="00FD1D9A"/>
    <w:rsid w:val="00FD2016"/>
    <w:rsid w:val="00FD257C"/>
    <w:rsid w:val="00FD296E"/>
    <w:rsid w:val="00FD2A25"/>
    <w:rsid w:val="00FD2A61"/>
    <w:rsid w:val="00FD2E5B"/>
    <w:rsid w:val="00FD2F04"/>
    <w:rsid w:val="00FD2FCA"/>
    <w:rsid w:val="00FD33F8"/>
    <w:rsid w:val="00FD357A"/>
    <w:rsid w:val="00FD3793"/>
    <w:rsid w:val="00FD3A36"/>
    <w:rsid w:val="00FD3ABC"/>
    <w:rsid w:val="00FD3C31"/>
    <w:rsid w:val="00FD45B1"/>
    <w:rsid w:val="00FD47C7"/>
    <w:rsid w:val="00FD4EF1"/>
    <w:rsid w:val="00FD5155"/>
    <w:rsid w:val="00FD546D"/>
    <w:rsid w:val="00FD5686"/>
    <w:rsid w:val="00FD5995"/>
    <w:rsid w:val="00FD6008"/>
    <w:rsid w:val="00FD6261"/>
    <w:rsid w:val="00FD6402"/>
    <w:rsid w:val="00FD65A1"/>
    <w:rsid w:val="00FD67B8"/>
    <w:rsid w:val="00FD72C6"/>
    <w:rsid w:val="00FD7AAA"/>
    <w:rsid w:val="00FD7CBA"/>
    <w:rsid w:val="00FE05FA"/>
    <w:rsid w:val="00FE0657"/>
    <w:rsid w:val="00FE08BC"/>
    <w:rsid w:val="00FE0B75"/>
    <w:rsid w:val="00FE148B"/>
    <w:rsid w:val="00FE1768"/>
    <w:rsid w:val="00FE1776"/>
    <w:rsid w:val="00FE194E"/>
    <w:rsid w:val="00FE1B04"/>
    <w:rsid w:val="00FE1EC3"/>
    <w:rsid w:val="00FE241D"/>
    <w:rsid w:val="00FE3C18"/>
    <w:rsid w:val="00FE3E15"/>
    <w:rsid w:val="00FE417B"/>
    <w:rsid w:val="00FE463D"/>
    <w:rsid w:val="00FE49CB"/>
    <w:rsid w:val="00FE4A53"/>
    <w:rsid w:val="00FE4E48"/>
    <w:rsid w:val="00FE61C9"/>
    <w:rsid w:val="00FE6313"/>
    <w:rsid w:val="00FE63B8"/>
    <w:rsid w:val="00FE63DE"/>
    <w:rsid w:val="00FE6622"/>
    <w:rsid w:val="00FE6CBB"/>
    <w:rsid w:val="00FE6FA4"/>
    <w:rsid w:val="00FE74A9"/>
    <w:rsid w:val="00FE76D8"/>
    <w:rsid w:val="00FE7B38"/>
    <w:rsid w:val="00FE7D36"/>
    <w:rsid w:val="00FE7D44"/>
    <w:rsid w:val="00FE7F82"/>
    <w:rsid w:val="00FF0099"/>
    <w:rsid w:val="00FF04B4"/>
    <w:rsid w:val="00FF0710"/>
    <w:rsid w:val="00FF072D"/>
    <w:rsid w:val="00FF101F"/>
    <w:rsid w:val="00FF12C8"/>
    <w:rsid w:val="00FF1954"/>
    <w:rsid w:val="00FF1958"/>
    <w:rsid w:val="00FF1DE2"/>
    <w:rsid w:val="00FF1DFA"/>
    <w:rsid w:val="00FF209A"/>
    <w:rsid w:val="00FF2107"/>
    <w:rsid w:val="00FF28C2"/>
    <w:rsid w:val="00FF2B92"/>
    <w:rsid w:val="00FF3B8F"/>
    <w:rsid w:val="00FF3D1E"/>
    <w:rsid w:val="00FF3FA8"/>
    <w:rsid w:val="00FF3FAB"/>
    <w:rsid w:val="00FF431A"/>
    <w:rsid w:val="00FF445B"/>
    <w:rsid w:val="00FF448F"/>
    <w:rsid w:val="00FF497B"/>
    <w:rsid w:val="00FF4BA0"/>
    <w:rsid w:val="00FF52E1"/>
    <w:rsid w:val="00FF54CF"/>
    <w:rsid w:val="00FF5840"/>
    <w:rsid w:val="00FF586D"/>
    <w:rsid w:val="00FF59E5"/>
    <w:rsid w:val="00FF5A47"/>
    <w:rsid w:val="00FF5A7D"/>
    <w:rsid w:val="00FF5CBF"/>
    <w:rsid w:val="00FF6093"/>
    <w:rsid w:val="00FF64AB"/>
    <w:rsid w:val="00FF6601"/>
    <w:rsid w:val="00FF6A72"/>
    <w:rsid w:val="00FF6D7A"/>
    <w:rsid w:val="00FF6E66"/>
    <w:rsid w:val="00FF6EC9"/>
    <w:rsid w:val="00FF7178"/>
    <w:rsid w:val="00FF764F"/>
    <w:rsid w:val="00FF7650"/>
    <w:rsid w:val="010E0EB8"/>
    <w:rsid w:val="0196325B"/>
    <w:rsid w:val="019C7BFA"/>
    <w:rsid w:val="019D2EA2"/>
    <w:rsid w:val="01BB118D"/>
    <w:rsid w:val="027C0B94"/>
    <w:rsid w:val="02C87679"/>
    <w:rsid w:val="02E5694A"/>
    <w:rsid w:val="03BC1313"/>
    <w:rsid w:val="03E308A9"/>
    <w:rsid w:val="04242D4E"/>
    <w:rsid w:val="04A92DDD"/>
    <w:rsid w:val="04AD584D"/>
    <w:rsid w:val="04CE3C07"/>
    <w:rsid w:val="04E06F31"/>
    <w:rsid w:val="04E20157"/>
    <w:rsid w:val="058368B9"/>
    <w:rsid w:val="05D84FEE"/>
    <w:rsid w:val="06BE4BE6"/>
    <w:rsid w:val="06F44B2A"/>
    <w:rsid w:val="079F3815"/>
    <w:rsid w:val="07D82CD5"/>
    <w:rsid w:val="08240DF7"/>
    <w:rsid w:val="08C76234"/>
    <w:rsid w:val="08E13755"/>
    <w:rsid w:val="0A153203"/>
    <w:rsid w:val="0AB7234C"/>
    <w:rsid w:val="0B197564"/>
    <w:rsid w:val="0BB750B6"/>
    <w:rsid w:val="0BE8157B"/>
    <w:rsid w:val="0BED7FC7"/>
    <w:rsid w:val="0BFF63AA"/>
    <w:rsid w:val="0CF512F8"/>
    <w:rsid w:val="0CF53329"/>
    <w:rsid w:val="0D0A71D7"/>
    <w:rsid w:val="0E5D278D"/>
    <w:rsid w:val="0EDD40AA"/>
    <w:rsid w:val="0EE20A4B"/>
    <w:rsid w:val="0F8C20C1"/>
    <w:rsid w:val="10275ED3"/>
    <w:rsid w:val="10AD2CE1"/>
    <w:rsid w:val="11424F94"/>
    <w:rsid w:val="1186670D"/>
    <w:rsid w:val="121F76A2"/>
    <w:rsid w:val="12555DD5"/>
    <w:rsid w:val="12F10CE7"/>
    <w:rsid w:val="12FB243F"/>
    <w:rsid w:val="13EC12FB"/>
    <w:rsid w:val="14DD62D9"/>
    <w:rsid w:val="15656A69"/>
    <w:rsid w:val="15DE76D2"/>
    <w:rsid w:val="175961EF"/>
    <w:rsid w:val="17F122DA"/>
    <w:rsid w:val="183F20ED"/>
    <w:rsid w:val="188C6BE9"/>
    <w:rsid w:val="18B46E1A"/>
    <w:rsid w:val="18C4357E"/>
    <w:rsid w:val="18E46CB6"/>
    <w:rsid w:val="196411C0"/>
    <w:rsid w:val="198A28DD"/>
    <w:rsid w:val="19944B33"/>
    <w:rsid w:val="19990665"/>
    <w:rsid w:val="1A102DC0"/>
    <w:rsid w:val="1AAC61C2"/>
    <w:rsid w:val="1AD05C5C"/>
    <w:rsid w:val="1B2E6B10"/>
    <w:rsid w:val="1B68209C"/>
    <w:rsid w:val="1BC509F3"/>
    <w:rsid w:val="1C681B30"/>
    <w:rsid w:val="1D4604A0"/>
    <w:rsid w:val="1DC048D2"/>
    <w:rsid w:val="1E4B179A"/>
    <w:rsid w:val="1E7B742D"/>
    <w:rsid w:val="1E907B4E"/>
    <w:rsid w:val="1F0716F3"/>
    <w:rsid w:val="1F1C096C"/>
    <w:rsid w:val="1F710D6F"/>
    <w:rsid w:val="1FB32F28"/>
    <w:rsid w:val="202D259E"/>
    <w:rsid w:val="20C52DE7"/>
    <w:rsid w:val="210F7A57"/>
    <w:rsid w:val="21481919"/>
    <w:rsid w:val="222F71B1"/>
    <w:rsid w:val="22327F88"/>
    <w:rsid w:val="22367A33"/>
    <w:rsid w:val="227D721A"/>
    <w:rsid w:val="22F923BA"/>
    <w:rsid w:val="23284718"/>
    <w:rsid w:val="23F92E8D"/>
    <w:rsid w:val="240A30B3"/>
    <w:rsid w:val="246041EE"/>
    <w:rsid w:val="25237A16"/>
    <w:rsid w:val="25714CCA"/>
    <w:rsid w:val="257238E5"/>
    <w:rsid w:val="25F15282"/>
    <w:rsid w:val="26067012"/>
    <w:rsid w:val="263607CD"/>
    <w:rsid w:val="266F2663"/>
    <w:rsid w:val="26E6253D"/>
    <w:rsid w:val="27166AB0"/>
    <w:rsid w:val="274D7F70"/>
    <w:rsid w:val="276A14AC"/>
    <w:rsid w:val="27F04175"/>
    <w:rsid w:val="28031A83"/>
    <w:rsid w:val="28035F7B"/>
    <w:rsid w:val="28F16093"/>
    <w:rsid w:val="29211379"/>
    <w:rsid w:val="297F4101"/>
    <w:rsid w:val="298D48F4"/>
    <w:rsid w:val="2A434632"/>
    <w:rsid w:val="2A68697E"/>
    <w:rsid w:val="2B36723A"/>
    <w:rsid w:val="2B393CB9"/>
    <w:rsid w:val="2C6B01D2"/>
    <w:rsid w:val="2D5A3F7D"/>
    <w:rsid w:val="2E285362"/>
    <w:rsid w:val="2E4F7766"/>
    <w:rsid w:val="2E6D6BEF"/>
    <w:rsid w:val="2E73518F"/>
    <w:rsid w:val="2F6938DF"/>
    <w:rsid w:val="2F7C1363"/>
    <w:rsid w:val="2FAE77A1"/>
    <w:rsid w:val="2FBE1B7B"/>
    <w:rsid w:val="2FC43B47"/>
    <w:rsid w:val="302D01FE"/>
    <w:rsid w:val="304B1B0A"/>
    <w:rsid w:val="305544C9"/>
    <w:rsid w:val="306C33E3"/>
    <w:rsid w:val="307564E3"/>
    <w:rsid w:val="30D75753"/>
    <w:rsid w:val="316527D1"/>
    <w:rsid w:val="318E18BE"/>
    <w:rsid w:val="31F91132"/>
    <w:rsid w:val="32A34F05"/>
    <w:rsid w:val="32E11E71"/>
    <w:rsid w:val="33071FE9"/>
    <w:rsid w:val="33976912"/>
    <w:rsid w:val="33AF4CFB"/>
    <w:rsid w:val="347413AB"/>
    <w:rsid w:val="34801834"/>
    <w:rsid w:val="34A81CDA"/>
    <w:rsid w:val="34C87F69"/>
    <w:rsid w:val="34EF1BDC"/>
    <w:rsid w:val="34F868BC"/>
    <w:rsid w:val="35EB1115"/>
    <w:rsid w:val="36050C7B"/>
    <w:rsid w:val="3647243F"/>
    <w:rsid w:val="36FF18B4"/>
    <w:rsid w:val="371468A0"/>
    <w:rsid w:val="375F353C"/>
    <w:rsid w:val="37745271"/>
    <w:rsid w:val="37BA1CE6"/>
    <w:rsid w:val="37F53071"/>
    <w:rsid w:val="385658DB"/>
    <w:rsid w:val="385953ED"/>
    <w:rsid w:val="38693ABD"/>
    <w:rsid w:val="38DC53C6"/>
    <w:rsid w:val="3A18136C"/>
    <w:rsid w:val="3A8B7B06"/>
    <w:rsid w:val="3A9E62E3"/>
    <w:rsid w:val="3AB51ED3"/>
    <w:rsid w:val="3B88760D"/>
    <w:rsid w:val="3BCB53A0"/>
    <w:rsid w:val="3BDC04F9"/>
    <w:rsid w:val="3D7A126D"/>
    <w:rsid w:val="3DB026D5"/>
    <w:rsid w:val="3DD551FD"/>
    <w:rsid w:val="3EA15AA0"/>
    <w:rsid w:val="3EA7755F"/>
    <w:rsid w:val="3EB677CD"/>
    <w:rsid w:val="3EC314F9"/>
    <w:rsid w:val="3ED06981"/>
    <w:rsid w:val="3FDF66AB"/>
    <w:rsid w:val="402A0CC4"/>
    <w:rsid w:val="404B163B"/>
    <w:rsid w:val="40EB0B31"/>
    <w:rsid w:val="40EC676D"/>
    <w:rsid w:val="41A16C3C"/>
    <w:rsid w:val="423901F0"/>
    <w:rsid w:val="42834835"/>
    <w:rsid w:val="428E5C47"/>
    <w:rsid w:val="444C3D3F"/>
    <w:rsid w:val="44B37D1A"/>
    <w:rsid w:val="44E977E0"/>
    <w:rsid w:val="451250B2"/>
    <w:rsid w:val="455C3F4B"/>
    <w:rsid w:val="46074858"/>
    <w:rsid w:val="464213FF"/>
    <w:rsid w:val="46BF5C62"/>
    <w:rsid w:val="476125AB"/>
    <w:rsid w:val="481A3EB7"/>
    <w:rsid w:val="48C10B23"/>
    <w:rsid w:val="48C43B88"/>
    <w:rsid w:val="493B5FD4"/>
    <w:rsid w:val="496E1E5E"/>
    <w:rsid w:val="4A58742F"/>
    <w:rsid w:val="4AAA24FC"/>
    <w:rsid w:val="4B8F1BD2"/>
    <w:rsid w:val="4BD15E73"/>
    <w:rsid w:val="4BF62764"/>
    <w:rsid w:val="4C1E377F"/>
    <w:rsid w:val="4C27340A"/>
    <w:rsid w:val="4C6450C6"/>
    <w:rsid w:val="4CC023F7"/>
    <w:rsid w:val="4CEC2F02"/>
    <w:rsid w:val="4D13545D"/>
    <w:rsid w:val="4D4F2212"/>
    <w:rsid w:val="4D6403BD"/>
    <w:rsid w:val="4DF61BE2"/>
    <w:rsid w:val="4EA0638B"/>
    <w:rsid w:val="4EA611D2"/>
    <w:rsid w:val="4F0661F3"/>
    <w:rsid w:val="4F502F35"/>
    <w:rsid w:val="4F741779"/>
    <w:rsid w:val="4FB00903"/>
    <w:rsid w:val="50066E17"/>
    <w:rsid w:val="502B30E0"/>
    <w:rsid w:val="502E0524"/>
    <w:rsid w:val="50371927"/>
    <w:rsid w:val="503D38B7"/>
    <w:rsid w:val="51B744D3"/>
    <w:rsid w:val="51DE616C"/>
    <w:rsid w:val="51E15B3D"/>
    <w:rsid w:val="51FE786E"/>
    <w:rsid w:val="52201F48"/>
    <w:rsid w:val="522F0988"/>
    <w:rsid w:val="530A7EE2"/>
    <w:rsid w:val="53F31A30"/>
    <w:rsid w:val="541234FA"/>
    <w:rsid w:val="541907E6"/>
    <w:rsid w:val="542134BD"/>
    <w:rsid w:val="54B501BD"/>
    <w:rsid w:val="54E347E3"/>
    <w:rsid w:val="54F71C35"/>
    <w:rsid w:val="55141803"/>
    <w:rsid w:val="551C5AFB"/>
    <w:rsid w:val="554B067B"/>
    <w:rsid w:val="55621AB0"/>
    <w:rsid w:val="557E5B25"/>
    <w:rsid w:val="55C72810"/>
    <w:rsid w:val="562C729B"/>
    <w:rsid w:val="5642255E"/>
    <w:rsid w:val="572A2ACD"/>
    <w:rsid w:val="57997E41"/>
    <w:rsid w:val="57B466B3"/>
    <w:rsid w:val="58304C5A"/>
    <w:rsid w:val="58564D34"/>
    <w:rsid w:val="58DA32D4"/>
    <w:rsid w:val="592E4490"/>
    <w:rsid w:val="5947414B"/>
    <w:rsid w:val="5A0D427E"/>
    <w:rsid w:val="5A493D44"/>
    <w:rsid w:val="5A6757AF"/>
    <w:rsid w:val="5A8456B9"/>
    <w:rsid w:val="5B2B4733"/>
    <w:rsid w:val="5BA23678"/>
    <w:rsid w:val="5BD819C6"/>
    <w:rsid w:val="5CA6634C"/>
    <w:rsid w:val="5CD51845"/>
    <w:rsid w:val="5CD8733D"/>
    <w:rsid w:val="5D4F0BD2"/>
    <w:rsid w:val="5D815FCE"/>
    <w:rsid w:val="5D95006A"/>
    <w:rsid w:val="5DA52A04"/>
    <w:rsid w:val="5E08408E"/>
    <w:rsid w:val="5EBF6F84"/>
    <w:rsid w:val="5F0124C6"/>
    <w:rsid w:val="5F0D52C8"/>
    <w:rsid w:val="5F2C739D"/>
    <w:rsid w:val="5F751E6F"/>
    <w:rsid w:val="5FCD74CF"/>
    <w:rsid w:val="5FDD1429"/>
    <w:rsid w:val="606A76E7"/>
    <w:rsid w:val="61BD3525"/>
    <w:rsid w:val="61CD7E65"/>
    <w:rsid w:val="61D2680D"/>
    <w:rsid w:val="61DD640E"/>
    <w:rsid w:val="626B50A6"/>
    <w:rsid w:val="626F05DF"/>
    <w:rsid w:val="627B1B70"/>
    <w:rsid w:val="62AE3E79"/>
    <w:rsid w:val="633921E0"/>
    <w:rsid w:val="6356109F"/>
    <w:rsid w:val="635C1D37"/>
    <w:rsid w:val="636522DF"/>
    <w:rsid w:val="637612B5"/>
    <w:rsid w:val="63BF4DDD"/>
    <w:rsid w:val="64022237"/>
    <w:rsid w:val="64237204"/>
    <w:rsid w:val="646F1911"/>
    <w:rsid w:val="648F1CB6"/>
    <w:rsid w:val="64A22D12"/>
    <w:rsid w:val="65083D0B"/>
    <w:rsid w:val="65597F73"/>
    <w:rsid w:val="65C377E3"/>
    <w:rsid w:val="65CA4423"/>
    <w:rsid w:val="66475658"/>
    <w:rsid w:val="666D1F4F"/>
    <w:rsid w:val="681339CD"/>
    <w:rsid w:val="68AA5567"/>
    <w:rsid w:val="69025639"/>
    <w:rsid w:val="69C604D0"/>
    <w:rsid w:val="69EC51A5"/>
    <w:rsid w:val="6A1B1D47"/>
    <w:rsid w:val="6A3A3640"/>
    <w:rsid w:val="6A7277EE"/>
    <w:rsid w:val="6AEF1AF8"/>
    <w:rsid w:val="6B860FFD"/>
    <w:rsid w:val="6BB71AF7"/>
    <w:rsid w:val="6C0F4C42"/>
    <w:rsid w:val="6C433EA4"/>
    <w:rsid w:val="6C47510B"/>
    <w:rsid w:val="6C8926A4"/>
    <w:rsid w:val="6CA4333C"/>
    <w:rsid w:val="6CDB1C0E"/>
    <w:rsid w:val="6D4C7164"/>
    <w:rsid w:val="6D5F1410"/>
    <w:rsid w:val="6DA34A43"/>
    <w:rsid w:val="6DC4340F"/>
    <w:rsid w:val="6DDF0087"/>
    <w:rsid w:val="6E050618"/>
    <w:rsid w:val="6E0A5EE3"/>
    <w:rsid w:val="6E0F0203"/>
    <w:rsid w:val="6ECD6D87"/>
    <w:rsid w:val="6FAE0F3F"/>
    <w:rsid w:val="6FE87B5F"/>
    <w:rsid w:val="70751A0F"/>
    <w:rsid w:val="70A22AE2"/>
    <w:rsid w:val="70B81E7A"/>
    <w:rsid w:val="70E15C21"/>
    <w:rsid w:val="71005939"/>
    <w:rsid w:val="71202947"/>
    <w:rsid w:val="71654DEF"/>
    <w:rsid w:val="71E107D6"/>
    <w:rsid w:val="71E67793"/>
    <w:rsid w:val="72273665"/>
    <w:rsid w:val="72C02ED2"/>
    <w:rsid w:val="732656A1"/>
    <w:rsid w:val="73302373"/>
    <w:rsid w:val="73875879"/>
    <w:rsid w:val="747C3FDD"/>
    <w:rsid w:val="749060A4"/>
    <w:rsid w:val="75475ECF"/>
    <w:rsid w:val="75502C4F"/>
    <w:rsid w:val="757A187C"/>
    <w:rsid w:val="757C7C1D"/>
    <w:rsid w:val="75FC461E"/>
    <w:rsid w:val="761D6A9C"/>
    <w:rsid w:val="766E2892"/>
    <w:rsid w:val="76BB7D03"/>
    <w:rsid w:val="76FC3321"/>
    <w:rsid w:val="77205161"/>
    <w:rsid w:val="78051860"/>
    <w:rsid w:val="78A71869"/>
    <w:rsid w:val="793C4D81"/>
    <w:rsid w:val="7A065E90"/>
    <w:rsid w:val="7A0C6F08"/>
    <w:rsid w:val="7A162FFD"/>
    <w:rsid w:val="7A8D10D3"/>
    <w:rsid w:val="7AA9754F"/>
    <w:rsid w:val="7AE72585"/>
    <w:rsid w:val="7AF776DE"/>
    <w:rsid w:val="7B747428"/>
    <w:rsid w:val="7C1D2412"/>
    <w:rsid w:val="7C60268F"/>
    <w:rsid w:val="7CC258BB"/>
    <w:rsid w:val="7D320132"/>
    <w:rsid w:val="7D700F19"/>
    <w:rsid w:val="7D9118FB"/>
    <w:rsid w:val="7DD837AC"/>
    <w:rsid w:val="7DE63E7D"/>
    <w:rsid w:val="7E060725"/>
    <w:rsid w:val="7E7A2288"/>
    <w:rsid w:val="7ECE41C9"/>
    <w:rsid w:val="7F0E790A"/>
    <w:rsid w:val="7FCC06DC"/>
    <w:rsid w:val="7FFB70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semiHidden="1" w:uiPriority="9" w:qFormat="1"/>
    <w:lsdException w:name="heading 7" w:uiPriority="0" w:unhideWhenUsed="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qFormat="1"/>
    <w:lsdException w:name="Body Text First Indent" w:uiPriority="0" w:unhideWhenUsed="0" w:qFormat="1"/>
    <w:lsdException w:name="Body Text First Indent 2" w:semiHidden="1"/>
    <w:lsdException w:name="Note Heading" w:semiHidden="1"/>
    <w:lsdException w:name="Body Text 2" w:uiPriority="0" w:qFormat="1"/>
    <w:lsdException w:name="Body Text 3" w:uiPriority="0" w:qFormat="1"/>
    <w:lsdException w:name="Body Text Indent 2" w:uiPriority="0" w:unhideWhenUsed="0" w:qFormat="1"/>
    <w:lsdException w:name="Body Text Indent 3" w:uiPriority="0" w:unhideWhenUsed="0" w:qFormat="1"/>
    <w:lsdException w:name="Block Text" w:uiPriority="0" w:unhideWhenUsed="0" w:qFormat="1"/>
    <w:lsdException w:name="Hyperlink" w:qFormat="1"/>
    <w:lsdException w:name="FollowedHyperlink" w:uiPriority="0" w:unhideWhenUsed="0"/>
    <w:lsdException w:name="Strong" w:uiPriority="0" w:unhideWhenUsed="0" w:qFormat="1"/>
    <w:lsdException w:name="Emphasis" w:uiPriority="0" w:unhideWhenUsed="0" w:qFormat="1"/>
    <w:lsdException w:name="Document Map" w:uiPriority="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0" w:unhideWhenUsed="0" w:qFormat="1"/>
    <w:lsdException w:name="Table Theme" w:semiHidden="1"/>
    <w:lsdException w:name="Placeholder Text" w:semiHidden="1" w:unhideWhenUsed="0"/>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jc w:val="center"/>
      <w:outlineLvl w:val="0"/>
    </w:pPr>
    <w:rPr>
      <w:b/>
      <w:bCs/>
      <w:kern w:val="44"/>
      <w:sz w:val="36"/>
      <w:szCs w:val="44"/>
    </w:rPr>
  </w:style>
  <w:style w:type="paragraph" w:styleId="2">
    <w:name w:val="heading 2"/>
    <w:basedOn w:val="a"/>
    <w:next w:val="a0"/>
    <w:link w:val="2Char"/>
    <w:qFormat/>
    <w:pPr>
      <w:keepNext/>
      <w:keepLines/>
      <w:suppressAutoHyphens/>
      <w:wordWrap w:val="0"/>
      <w:topLinePunct/>
      <w:adjustRightInd w:val="0"/>
      <w:snapToGrid w:val="0"/>
      <w:spacing w:before="400" w:line="480" w:lineRule="atLeast"/>
      <w:ind w:firstLineChars="200" w:firstLine="562"/>
      <w:jc w:val="left"/>
      <w:outlineLvl w:val="1"/>
    </w:pPr>
    <w:rPr>
      <w:rFonts w:eastAsia="黑体"/>
      <w:b/>
      <w:bCs/>
      <w:sz w:val="28"/>
      <w:szCs w:val="30"/>
    </w:rPr>
  </w:style>
  <w:style w:type="paragraph" w:styleId="3">
    <w:name w:val="heading 3"/>
    <w:basedOn w:val="a"/>
    <w:next w:val="a"/>
    <w:link w:val="3Char"/>
    <w:qFormat/>
    <w:pPr>
      <w:keepNext/>
      <w:keepLines/>
      <w:spacing w:before="260" w:after="260" w:line="360" w:lineRule="auto"/>
      <w:outlineLvl w:val="2"/>
    </w:pPr>
    <w:rPr>
      <w:b/>
      <w:bCs/>
      <w:sz w:val="24"/>
      <w:szCs w:val="32"/>
    </w:rPr>
  </w:style>
  <w:style w:type="paragraph" w:styleId="4">
    <w:name w:val="heading 4"/>
    <w:basedOn w:val="a"/>
    <w:next w:val="a"/>
    <w:link w:val="4Char2"/>
    <w:qFormat/>
    <w:pPr>
      <w:keepNext/>
      <w:spacing w:line="240" w:lineRule="exact"/>
      <w:jc w:val="center"/>
      <w:outlineLvl w:val="3"/>
    </w:pPr>
    <w:rPr>
      <w:rFonts w:ascii="宋体" w:hAnsi="宋体"/>
      <w:b/>
      <w:bCs/>
      <w:szCs w:val="20"/>
    </w:rPr>
  </w:style>
  <w:style w:type="paragraph" w:styleId="5">
    <w:name w:val="heading 5"/>
    <w:basedOn w:val="a"/>
    <w:next w:val="a"/>
    <w:link w:val="5Char"/>
    <w:qFormat/>
    <w:pPr>
      <w:keepNext/>
      <w:keepLines/>
      <w:spacing w:before="280" w:after="290" w:line="376" w:lineRule="auto"/>
      <w:outlineLvl w:val="4"/>
    </w:pPr>
    <w:rPr>
      <w:b/>
      <w:bCs/>
      <w:sz w:val="28"/>
      <w:szCs w:val="28"/>
    </w:rPr>
  </w:style>
  <w:style w:type="paragraph" w:styleId="7">
    <w:name w:val="heading 7"/>
    <w:basedOn w:val="a"/>
    <w:next w:val="a"/>
    <w:link w:val="7Char"/>
    <w:qFormat/>
    <w:pPr>
      <w:keepNext/>
      <w:keepLines/>
      <w:spacing w:before="240" w:after="64" w:line="320" w:lineRule="auto"/>
      <w:outlineLvl w:val="6"/>
    </w:pPr>
    <w:rPr>
      <w:b/>
      <w:b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
    <w:link w:val="Char"/>
    <w:qFormat/>
    <w:pPr>
      <w:ind w:firstLineChars="100" w:firstLine="420"/>
    </w:pPr>
  </w:style>
  <w:style w:type="paragraph" w:styleId="70">
    <w:name w:val="toc 7"/>
    <w:basedOn w:val="a"/>
    <w:next w:val="a"/>
    <w:uiPriority w:val="39"/>
    <w:unhideWhenUsed/>
    <w:qFormat/>
    <w:pPr>
      <w:ind w:left="1260"/>
      <w:jc w:val="left"/>
    </w:pPr>
    <w:rPr>
      <w:rFonts w:ascii="Calibri" w:hAnsi="Calibri"/>
      <w:sz w:val="18"/>
      <w:szCs w:val="18"/>
    </w:rPr>
  </w:style>
  <w:style w:type="paragraph" w:styleId="a4">
    <w:name w:val="Normal Indent"/>
    <w:basedOn w:val="a"/>
    <w:link w:val="Char0"/>
    <w:unhideWhenUsed/>
    <w:qFormat/>
    <w:pPr>
      <w:ind w:firstLine="420"/>
    </w:pPr>
    <w:rPr>
      <w:rFonts w:eastAsia="华文中宋"/>
      <w:sz w:val="44"/>
      <w:szCs w:val="20"/>
    </w:rPr>
  </w:style>
  <w:style w:type="paragraph" w:styleId="a5">
    <w:name w:val="Document Map"/>
    <w:basedOn w:val="a"/>
    <w:link w:val="Char1"/>
    <w:unhideWhenUsed/>
    <w:qFormat/>
    <w:rPr>
      <w:rFonts w:ascii="宋体"/>
      <w:sz w:val="18"/>
      <w:szCs w:val="18"/>
    </w:rPr>
  </w:style>
  <w:style w:type="paragraph" w:styleId="a6">
    <w:name w:val="annotation text"/>
    <w:basedOn w:val="a"/>
    <w:link w:val="Char2"/>
    <w:uiPriority w:val="99"/>
    <w:unhideWhenUsed/>
    <w:pPr>
      <w:jc w:val="left"/>
    </w:pPr>
  </w:style>
  <w:style w:type="paragraph" w:styleId="30">
    <w:name w:val="Body Text 3"/>
    <w:basedOn w:val="a"/>
    <w:link w:val="3Char0"/>
    <w:unhideWhenUsed/>
    <w:qFormat/>
    <w:pPr>
      <w:spacing w:after="120"/>
    </w:pPr>
    <w:rPr>
      <w:sz w:val="16"/>
      <w:szCs w:val="16"/>
    </w:rPr>
  </w:style>
  <w:style w:type="paragraph" w:styleId="a7">
    <w:name w:val="Body Text"/>
    <w:basedOn w:val="a"/>
    <w:link w:val="Char3"/>
    <w:uiPriority w:val="99"/>
    <w:unhideWhenUsed/>
    <w:qFormat/>
    <w:pPr>
      <w:spacing w:after="120"/>
    </w:pPr>
  </w:style>
  <w:style w:type="paragraph" w:styleId="a8">
    <w:name w:val="Body Text Indent"/>
    <w:basedOn w:val="a"/>
    <w:link w:val="Char4"/>
    <w:qFormat/>
    <w:pPr>
      <w:spacing w:after="120"/>
      <w:ind w:leftChars="200" w:left="420"/>
    </w:pPr>
  </w:style>
  <w:style w:type="paragraph" w:styleId="a9">
    <w:name w:val="Block Text"/>
    <w:basedOn w:val="a"/>
    <w:qFormat/>
    <w:pPr>
      <w:spacing w:line="320" w:lineRule="exact"/>
      <w:ind w:leftChars="-50" w:left="-105" w:rightChars="-50" w:right="-105"/>
      <w:jc w:val="center"/>
    </w:pPr>
    <w:rPr>
      <w:rFonts w:ascii="宋体" w:hAnsi="宋体"/>
      <w:sz w:val="24"/>
      <w:szCs w:val="21"/>
    </w:rPr>
  </w:style>
  <w:style w:type="paragraph" w:styleId="50">
    <w:name w:val="toc 5"/>
    <w:basedOn w:val="a"/>
    <w:next w:val="a"/>
    <w:uiPriority w:val="39"/>
    <w:unhideWhenUsed/>
    <w:qFormat/>
    <w:pPr>
      <w:ind w:left="840"/>
      <w:jc w:val="left"/>
    </w:pPr>
    <w:rPr>
      <w:rFonts w:ascii="Calibri" w:hAnsi="Calibri"/>
      <w:sz w:val="18"/>
      <w:szCs w:val="18"/>
    </w:rPr>
  </w:style>
  <w:style w:type="paragraph" w:styleId="31">
    <w:name w:val="toc 3"/>
    <w:basedOn w:val="a"/>
    <w:next w:val="a"/>
    <w:uiPriority w:val="39"/>
    <w:unhideWhenUsed/>
    <w:qFormat/>
    <w:pPr>
      <w:ind w:leftChars="400" w:left="840"/>
    </w:pPr>
  </w:style>
  <w:style w:type="paragraph" w:styleId="aa">
    <w:name w:val="Plain Text"/>
    <w:basedOn w:val="a"/>
    <w:link w:val="Char5"/>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b">
    <w:name w:val="Date"/>
    <w:basedOn w:val="a"/>
    <w:next w:val="a"/>
    <w:link w:val="Char6"/>
    <w:autoRedefine/>
    <w:unhideWhenUsed/>
    <w:qFormat/>
    <w:pPr>
      <w:ind w:leftChars="2500" w:left="100"/>
    </w:pPr>
  </w:style>
  <w:style w:type="paragraph" w:styleId="20">
    <w:name w:val="Body Text Indent 2"/>
    <w:basedOn w:val="a"/>
    <w:link w:val="2Char0"/>
    <w:qFormat/>
    <w:pPr>
      <w:spacing w:line="360" w:lineRule="auto"/>
      <w:ind w:firstLineChars="200" w:firstLine="480"/>
    </w:pPr>
    <w:rPr>
      <w:rFonts w:ascii="宋体" w:hAnsi="宋体"/>
      <w:sz w:val="24"/>
    </w:rPr>
  </w:style>
  <w:style w:type="paragraph" w:styleId="ac">
    <w:name w:val="Balloon Text"/>
    <w:basedOn w:val="a"/>
    <w:link w:val="Char7"/>
    <w:unhideWhenUsed/>
    <w:qFormat/>
    <w:rPr>
      <w:sz w:val="18"/>
      <w:szCs w:val="18"/>
    </w:rPr>
  </w:style>
  <w:style w:type="paragraph" w:styleId="ad">
    <w:name w:val="footer"/>
    <w:link w:val="Char8"/>
    <w:autoRedefine/>
    <w:uiPriority w:val="99"/>
    <w:unhideWhenUsed/>
    <w:qFormat/>
    <w:pPr>
      <w:tabs>
        <w:tab w:val="center" w:pos="4153"/>
        <w:tab w:val="right" w:pos="8306"/>
      </w:tabs>
      <w:snapToGrid w:val="0"/>
      <w:jc w:val="right"/>
    </w:pPr>
    <w:rPr>
      <w:kern w:val="2"/>
      <w:sz w:val="18"/>
      <w:szCs w:val="18"/>
    </w:rPr>
  </w:style>
  <w:style w:type="paragraph" w:styleId="ae">
    <w:name w:val="header"/>
    <w:basedOn w:val="a"/>
    <w:link w:val="Char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spacing w:line="360" w:lineRule="auto"/>
      <w:jc w:val="center"/>
    </w:pPr>
    <w:rPr>
      <w:rFonts w:ascii="黑体" w:eastAsia="黑体" w:hAnsi="黑体"/>
      <w:b/>
      <w:sz w:val="28"/>
    </w:rPr>
  </w:style>
  <w:style w:type="paragraph" w:styleId="40">
    <w:name w:val="toc 4"/>
    <w:basedOn w:val="a"/>
    <w:next w:val="a"/>
    <w:uiPriority w:val="39"/>
    <w:unhideWhenUsed/>
    <w:qFormat/>
    <w:pPr>
      <w:tabs>
        <w:tab w:val="right" w:leader="middleDot" w:pos="8495"/>
      </w:tabs>
      <w:spacing w:line="480" w:lineRule="exact"/>
      <w:ind w:leftChars="100" w:left="210"/>
      <w:jc w:val="left"/>
    </w:pPr>
    <w:rPr>
      <w:rFonts w:ascii="Calibri" w:eastAsia="楷体_GB2312" w:hAnsi="Calibri"/>
      <w:sz w:val="24"/>
      <w:szCs w:val="18"/>
    </w:rPr>
  </w:style>
  <w:style w:type="paragraph" w:styleId="6">
    <w:name w:val="toc 6"/>
    <w:basedOn w:val="a"/>
    <w:next w:val="a"/>
    <w:uiPriority w:val="39"/>
    <w:unhideWhenUsed/>
    <w:qFormat/>
    <w:pPr>
      <w:ind w:left="1050"/>
      <w:jc w:val="left"/>
    </w:pPr>
    <w:rPr>
      <w:rFonts w:ascii="Calibri" w:hAnsi="Calibri"/>
      <w:sz w:val="18"/>
      <w:szCs w:val="18"/>
    </w:rPr>
  </w:style>
  <w:style w:type="paragraph" w:styleId="32">
    <w:name w:val="Body Text Indent 3"/>
    <w:basedOn w:val="a"/>
    <w:link w:val="3Char1"/>
    <w:qFormat/>
    <w:pPr>
      <w:spacing w:line="520" w:lineRule="exact"/>
      <w:ind w:firstLineChars="200" w:firstLine="560"/>
    </w:pPr>
    <w:rPr>
      <w:kern w:val="0"/>
      <w:sz w:val="28"/>
    </w:rPr>
  </w:style>
  <w:style w:type="paragraph" w:styleId="21">
    <w:name w:val="toc 2"/>
    <w:basedOn w:val="a"/>
    <w:next w:val="a"/>
    <w:uiPriority w:val="39"/>
    <w:unhideWhenUsed/>
    <w:qFormat/>
    <w:pPr>
      <w:spacing w:line="360" w:lineRule="auto"/>
      <w:ind w:leftChars="200" w:left="420"/>
    </w:pPr>
    <w:rPr>
      <w:sz w:val="24"/>
    </w:rPr>
  </w:style>
  <w:style w:type="paragraph" w:styleId="9">
    <w:name w:val="toc 9"/>
    <w:basedOn w:val="a"/>
    <w:next w:val="a"/>
    <w:uiPriority w:val="39"/>
    <w:unhideWhenUsed/>
    <w:qFormat/>
    <w:pPr>
      <w:ind w:left="1680"/>
      <w:jc w:val="left"/>
    </w:pPr>
    <w:rPr>
      <w:rFonts w:ascii="Calibri" w:hAnsi="Calibri"/>
      <w:sz w:val="18"/>
      <w:szCs w:val="18"/>
    </w:rPr>
  </w:style>
  <w:style w:type="paragraph" w:styleId="22">
    <w:name w:val="Body Text 2"/>
    <w:basedOn w:val="a"/>
    <w:link w:val="2Char1"/>
    <w:unhideWhenUsed/>
    <w:qFormat/>
    <w:pPr>
      <w:spacing w:after="120" w:line="480" w:lineRule="auto"/>
    </w:pPr>
  </w:style>
  <w:style w:type="paragraph" w:styleId="af">
    <w:name w:val="Normal (Web)"/>
    <w:basedOn w:val="a"/>
    <w:uiPriority w:val="99"/>
    <w:qFormat/>
    <w:pPr>
      <w:widowControl/>
      <w:spacing w:before="207" w:after="207" w:line="323" w:lineRule="atLeast"/>
      <w:jc w:val="left"/>
    </w:pPr>
    <w:rPr>
      <w:rFonts w:ascii="宋体" w:hAnsi="宋体" w:cs="宋体"/>
      <w:kern w:val="0"/>
      <w:sz w:val="17"/>
      <w:szCs w:val="17"/>
    </w:rPr>
  </w:style>
  <w:style w:type="paragraph" w:styleId="af0">
    <w:name w:val="Title"/>
    <w:next w:val="a"/>
    <w:link w:val="Chara"/>
    <w:autoRedefine/>
    <w:uiPriority w:val="10"/>
    <w:qFormat/>
    <w:pPr>
      <w:spacing w:line="580" w:lineRule="exact"/>
      <w:ind w:firstLineChars="200" w:firstLine="200"/>
      <w:outlineLvl w:val="2"/>
    </w:pPr>
    <w:rPr>
      <w:rFonts w:ascii="Cambria" w:eastAsia="黑体" w:hAnsi="Cambria"/>
      <w:b/>
      <w:bCs/>
      <w:kern w:val="2"/>
      <w:sz w:val="28"/>
      <w:szCs w:val="32"/>
    </w:rPr>
  </w:style>
  <w:style w:type="paragraph" w:styleId="af1">
    <w:name w:val="annotation subject"/>
    <w:basedOn w:val="a6"/>
    <w:next w:val="a6"/>
    <w:link w:val="Charb"/>
    <w:uiPriority w:val="99"/>
    <w:unhideWhenUsed/>
    <w:rPr>
      <w:b/>
      <w:bCs/>
    </w:rPr>
  </w:style>
  <w:style w:type="table" w:styleId="af2">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Strong"/>
    <w:autoRedefine/>
    <w:qFormat/>
    <w:rPr>
      <w:b/>
      <w:bCs/>
    </w:rPr>
  </w:style>
  <w:style w:type="character" w:styleId="af4">
    <w:name w:val="page number"/>
    <w:basedOn w:val="a1"/>
    <w:qFormat/>
  </w:style>
  <w:style w:type="character" w:styleId="af5">
    <w:name w:val="FollowedHyperlink"/>
    <w:rPr>
      <w:color w:val="800080"/>
      <w:u w:val="single"/>
    </w:rPr>
  </w:style>
  <w:style w:type="character" w:styleId="af6">
    <w:name w:val="Emphasis"/>
    <w:qFormat/>
    <w:rPr>
      <w:rFonts w:ascii="Times New Roman" w:eastAsia="黑体" w:hAnsi="Times New Roman"/>
      <w:b/>
      <w:iCs/>
      <w:sz w:val="24"/>
    </w:rPr>
  </w:style>
  <w:style w:type="character" w:styleId="af7">
    <w:name w:val="Hyperlink"/>
    <w:uiPriority w:val="99"/>
    <w:unhideWhenUsed/>
    <w:qFormat/>
    <w:rPr>
      <w:color w:val="0000FF"/>
      <w:u w:val="single"/>
    </w:rPr>
  </w:style>
  <w:style w:type="character" w:styleId="af8">
    <w:name w:val="annotation reference"/>
    <w:uiPriority w:val="99"/>
    <w:unhideWhenUsed/>
    <w:rPr>
      <w:sz w:val="21"/>
      <w:szCs w:val="21"/>
    </w:rPr>
  </w:style>
  <w:style w:type="character" w:customStyle="1" w:styleId="Char">
    <w:name w:val="正文首行缩进 Char"/>
    <w:link w:val="a0"/>
    <w:qFormat/>
    <w:rPr>
      <w:rFonts w:ascii="Times New Roman" w:eastAsia="宋体" w:hAnsi="Times New Roman"/>
      <w:kern w:val="2"/>
      <w:sz w:val="21"/>
      <w:szCs w:val="24"/>
    </w:rPr>
  </w:style>
  <w:style w:type="character" w:customStyle="1" w:styleId="1Char">
    <w:name w:val="标题 1 Char"/>
    <w:link w:val="1"/>
    <w:qFormat/>
    <w:rPr>
      <w:rFonts w:ascii="Times New Roman" w:eastAsia="宋体" w:hAnsi="Times New Roman"/>
      <w:b/>
      <w:bCs/>
      <w:kern w:val="44"/>
      <w:sz w:val="36"/>
      <w:szCs w:val="44"/>
    </w:rPr>
  </w:style>
  <w:style w:type="character" w:customStyle="1" w:styleId="2Char">
    <w:name w:val="标题 2 Char"/>
    <w:link w:val="2"/>
    <w:qFormat/>
    <w:rPr>
      <w:rFonts w:eastAsia="黑体"/>
      <w:b/>
      <w:bCs/>
      <w:kern w:val="2"/>
      <w:sz w:val="28"/>
      <w:szCs w:val="30"/>
    </w:rPr>
  </w:style>
  <w:style w:type="character" w:customStyle="1" w:styleId="3Char">
    <w:name w:val="标题 3 Char"/>
    <w:link w:val="3"/>
    <w:qFormat/>
    <w:rPr>
      <w:rFonts w:ascii="Times New Roman" w:eastAsia="宋体" w:hAnsi="Times New Roman"/>
      <w:b/>
      <w:bCs/>
      <w:kern w:val="2"/>
      <w:sz w:val="24"/>
      <w:szCs w:val="32"/>
    </w:rPr>
  </w:style>
  <w:style w:type="character" w:customStyle="1" w:styleId="4Char2">
    <w:name w:val="标题 4 Char2"/>
    <w:link w:val="4"/>
    <w:qFormat/>
    <w:rPr>
      <w:rFonts w:ascii="宋体" w:eastAsia="宋体" w:hAnsi="宋体"/>
      <w:b/>
      <w:bCs/>
      <w:kern w:val="2"/>
      <w:sz w:val="21"/>
    </w:rPr>
  </w:style>
  <w:style w:type="character" w:customStyle="1" w:styleId="5Char">
    <w:name w:val="标题 5 Char"/>
    <w:link w:val="5"/>
    <w:qFormat/>
    <w:rPr>
      <w:rFonts w:ascii="Times New Roman" w:eastAsia="宋体" w:hAnsi="Times New Roman"/>
      <w:b/>
      <w:bCs/>
      <w:kern w:val="2"/>
      <w:sz w:val="28"/>
      <w:szCs w:val="28"/>
    </w:rPr>
  </w:style>
  <w:style w:type="character" w:customStyle="1" w:styleId="7Char">
    <w:name w:val="标题 7 Char"/>
    <w:link w:val="7"/>
    <w:qFormat/>
    <w:rPr>
      <w:rFonts w:ascii="Times New Roman" w:eastAsia="宋体" w:hAnsi="Times New Roman"/>
      <w:b/>
      <w:bCs/>
      <w:kern w:val="2"/>
      <w:sz w:val="24"/>
    </w:rPr>
  </w:style>
  <w:style w:type="character" w:customStyle="1" w:styleId="111Char">
    <w:name w:val="1.1.1 Char"/>
    <w:link w:val="111"/>
    <w:qFormat/>
    <w:rPr>
      <w:rFonts w:ascii="黑体" w:eastAsia="黑体" w:hAnsi="Times New Roman"/>
      <w:b/>
      <w:color w:val="FF0000"/>
      <w:kern w:val="2"/>
      <w:sz w:val="24"/>
      <w:szCs w:val="24"/>
      <w:lang w:bidi="ar-SA"/>
    </w:rPr>
  </w:style>
  <w:style w:type="paragraph" w:customStyle="1" w:styleId="111">
    <w:name w:val="1.1.1"/>
    <w:basedOn w:val="5-"/>
    <w:link w:val="111Char"/>
    <w:qFormat/>
    <w:pPr>
      <w:ind w:firstLine="200"/>
      <w:outlineLvl w:val="2"/>
    </w:pPr>
    <w:rPr>
      <w:rFonts w:ascii="黑体" w:eastAsia="黑体"/>
      <w:b/>
    </w:rPr>
  </w:style>
  <w:style w:type="paragraph" w:customStyle="1" w:styleId="5-">
    <w:name w:val="5-正文"/>
    <w:basedOn w:val="a"/>
    <w:link w:val="5-Char"/>
    <w:qFormat/>
    <w:pPr>
      <w:spacing w:line="480" w:lineRule="exact"/>
      <w:ind w:firstLineChars="200" w:firstLine="480"/>
    </w:pPr>
    <w:rPr>
      <w:color w:val="FF0000"/>
      <w:sz w:val="24"/>
    </w:rPr>
  </w:style>
  <w:style w:type="character" w:customStyle="1" w:styleId="5-Char">
    <w:name w:val="5-正文 Char"/>
    <w:link w:val="5-"/>
    <w:qFormat/>
    <w:rPr>
      <w:rFonts w:ascii="Times New Roman" w:eastAsia="宋体" w:hAnsi="Times New Roman"/>
      <w:color w:val="FF0000"/>
      <w:kern w:val="2"/>
      <w:sz w:val="24"/>
      <w:szCs w:val="24"/>
      <w:lang w:bidi="ar-SA"/>
    </w:rPr>
  </w:style>
  <w:style w:type="character" w:customStyle="1" w:styleId="2Char2">
    <w:name w:val="2 Char"/>
    <w:link w:val="23"/>
    <w:qFormat/>
    <w:rPr>
      <w:rFonts w:ascii="黑体" w:eastAsia="黑体" w:hAnsi="Times New Roman"/>
      <w:b/>
      <w:bCs/>
      <w:sz w:val="24"/>
      <w:szCs w:val="24"/>
      <w:lang w:val="zh-CN"/>
    </w:rPr>
  </w:style>
  <w:style w:type="paragraph" w:customStyle="1" w:styleId="23">
    <w:name w:val="2"/>
    <w:basedOn w:val="a"/>
    <w:link w:val="2Char2"/>
    <w:qFormat/>
    <w:pPr>
      <w:spacing w:line="480" w:lineRule="exact"/>
      <w:ind w:firstLineChars="200" w:firstLine="482"/>
      <w:outlineLvl w:val="1"/>
    </w:pPr>
    <w:rPr>
      <w:rFonts w:ascii="黑体" w:eastAsia="黑体"/>
      <w:b/>
      <w:bCs/>
      <w:kern w:val="0"/>
      <w:sz w:val="24"/>
      <w:lang w:val="zh-CN"/>
    </w:rPr>
  </w:style>
  <w:style w:type="character" w:customStyle="1" w:styleId="4-Char">
    <w:name w:val="4-正文 Char"/>
    <w:link w:val="4-"/>
    <w:qFormat/>
    <w:rPr>
      <w:rFonts w:eastAsia="宋体"/>
      <w:color w:val="000000"/>
      <w:kern w:val="2"/>
      <w:sz w:val="24"/>
      <w:szCs w:val="24"/>
    </w:rPr>
  </w:style>
  <w:style w:type="paragraph" w:customStyle="1" w:styleId="4-">
    <w:name w:val="4-正文"/>
    <w:basedOn w:val="a"/>
    <w:link w:val="4-Char"/>
    <w:qFormat/>
    <w:pPr>
      <w:spacing w:line="480" w:lineRule="exact"/>
      <w:ind w:firstLineChars="200" w:firstLine="480"/>
    </w:pPr>
    <w:rPr>
      <w:color w:val="000000"/>
      <w:sz w:val="24"/>
    </w:rPr>
  </w:style>
  <w:style w:type="character" w:customStyle="1" w:styleId="CharChar21">
    <w:name w:val="Char Char21"/>
    <w:qFormat/>
    <w:rPr>
      <w:rFonts w:ascii="Times New Roman" w:eastAsia="宋体" w:hAnsi="Times New Roman"/>
      <w:b/>
      <w:bCs/>
      <w:kern w:val="44"/>
      <w:sz w:val="36"/>
      <w:szCs w:val="44"/>
    </w:rPr>
  </w:style>
  <w:style w:type="character" w:customStyle="1" w:styleId="Headerorfooter">
    <w:name w:val="Header or footer_"/>
    <w:link w:val="Headerorfooter0"/>
    <w:rPr>
      <w:rFonts w:ascii="MingLiU" w:eastAsia="MingLiU" w:hAnsi="MingLiU" w:cs="MingLiU"/>
      <w:spacing w:val="-20"/>
      <w:sz w:val="25"/>
      <w:szCs w:val="25"/>
      <w:shd w:val="clear" w:color="auto" w:fill="FFFFFF"/>
    </w:rPr>
  </w:style>
  <w:style w:type="paragraph" w:customStyle="1" w:styleId="Headerorfooter0">
    <w:name w:val="Header or footer"/>
    <w:basedOn w:val="a"/>
    <w:link w:val="Headerorfooter"/>
    <w:pPr>
      <w:shd w:val="clear" w:color="auto" w:fill="FFFFFF"/>
      <w:spacing w:line="0" w:lineRule="atLeast"/>
      <w:jc w:val="distribute"/>
    </w:pPr>
    <w:rPr>
      <w:rFonts w:ascii="MingLiU" w:eastAsia="MingLiU" w:hAnsi="MingLiU"/>
      <w:spacing w:val="-20"/>
      <w:kern w:val="0"/>
      <w:sz w:val="25"/>
      <w:szCs w:val="25"/>
    </w:rPr>
  </w:style>
  <w:style w:type="character" w:customStyle="1" w:styleId="Char9">
    <w:name w:val="页眉 Char"/>
    <w:link w:val="ae"/>
    <w:qFormat/>
    <w:rPr>
      <w:rFonts w:ascii="Times New Roman" w:eastAsia="宋体" w:hAnsi="Times New Roman"/>
      <w:kern w:val="2"/>
      <w:sz w:val="18"/>
      <w:szCs w:val="18"/>
    </w:rPr>
  </w:style>
  <w:style w:type="character" w:customStyle="1" w:styleId="03Char">
    <w:name w:val="03 Char"/>
    <w:link w:val="03"/>
    <w:qFormat/>
    <w:rPr>
      <w:rFonts w:ascii="宋体" w:eastAsia="宋体" w:hAnsi="宋体"/>
      <w:bCs/>
      <w:color w:val="000000"/>
      <w:kern w:val="2"/>
      <w:sz w:val="28"/>
      <w:szCs w:val="28"/>
    </w:rPr>
  </w:style>
  <w:style w:type="paragraph" w:customStyle="1" w:styleId="03">
    <w:name w:val="03"/>
    <w:basedOn w:val="a"/>
    <w:link w:val="03Char"/>
    <w:qFormat/>
    <w:pPr>
      <w:spacing w:line="560" w:lineRule="exact"/>
      <w:ind w:firstLineChars="200" w:firstLine="560"/>
      <w:jc w:val="left"/>
    </w:pPr>
    <w:rPr>
      <w:rFonts w:ascii="宋体" w:hAnsi="宋体"/>
      <w:bCs/>
      <w:color w:val="000000"/>
      <w:sz w:val="28"/>
      <w:szCs w:val="28"/>
    </w:rPr>
  </w:style>
  <w:style w:type="character" w:customStyle="1" w:styleId="Charc">
    <w:name w:val="文 Char"/>
    <w:link w:val="af9"/>
    <w:autoRedefine/>
    <w:qFormat/>
    <w:rPr>
      <w:rFonts w:ascii="Times New Roman" w:eastAsia="宋体" w:hAnsi="Times New Roman"/>
      <w:sz w:val="30"/>
    </w:rPr>
  </w:style>
  <w:style w:type="paragraph" w:customStyle="1" w:styleId="af9">
    <w:name w:val="文"/>
    <w:basedOn w:val="a8"/>
    <w:link w:val="Charc"/>
    <w:qFormat/>
    <w:pPr>
      <w:spacing w:beforeLines="50" w:afterLines="50" w:line="360" w:lineRule="auto"/>
      <w:ind w:leftChars="0" w:left="0" w:firstLineChars="200" w:firstLine="600"/>
    </w:pPr>
    <w:rPr>
      <w:kern w:val="0"/>
      <w:sz w:val="30"/>
      <w:szCs w:val="20"/>
    </w:rPr>
  </w:style>
  <w:style w:type="character" w:customStyle="1" w:styleId="Char4">
    <w:name w:val="正文文本缩进 Char"/>
    <w:link w:val="a8"/>
    <w:autoRedefine/>
    <w:qFormat/>
    <w:rPr>
      <w:rFonts w:ascii="Times New Roman" w:eastAsia="宋体" w:hAnsi="Times New Roman"/>
      <w:kern w:val="2"/>
      <w:sz w:val="21"/>
      <w:szCs w:val="24"/>
    </w:rPr>
  </w:style>
  <w:style w:type="character" w:customStyle="1" w:styleId="11Char">
    <w:name w:val="1.1 Char"/>
    <w:link w:val="11"/>
    <w:qFormat/>
    <w:rPr>
      <w:rFonts w:ascii="黑体" w:eastAsia="黑体" w:hAnsi="Times New Roman"/>
      <w:b/>
      <w:color w:val="FF0000"/>
      <w:kern w:val="2"/>
      <w:sz w:val="24"/>
      <w:szCs w:val="24"/>
      <w:lang w:bidi="ar-SA"/>
    </w:rPr>
  </w:style>
  <w:style w:type="paragraph" w:customStyle="1" w:styleId="11">
    <w:name w:val="1.1"/>
    <w:basedOn w:val="5-"/>
    <w:link w:val="11Char"/>
    <w:autoRedefine/>
    <w:qFormat/>
    <w:pPr>
      <w:outlineLvl w:val="1"/>
    </w:pPr>
    <w:rPr>
      <w:rFonts w:ascii="黑体" w:eastAsia="黑体"/>
      <w:b/>
    </w:rPr>
  </w:style>
  <w:style w:type="character" w:customStyle="1" w:styleId="01Char">
    <w:name w:val="01 Char"/>
    <w:link w:val="01"/>
    <w:autoRedefine/>
    <w:qFormat/>
    <w:rPr>
      <w:rFonts w:ascii="黑体" w:eastAsia="黑体" w:hAnsi="Times New Roman"/>
      <w:kern w:val="2"/>
      <w:sz w:val="30"/>
      <w:szCs w:val="30"/>
    </w:rPr>
  </w:style>
  <w:style w:type="paragraph" w:customStyle="1" w:styleId="01">
    <w:name w:val="01"/>
    <w:basedOn w:val="a"/>
    <w:link w:val="01Char"/>
    <w:qFormat/>
    <w:pPr>
      <w:jc w:val="center"/>
    </w:pPr>
    <w:rPr>
      <w:rFonts w:ascii="黑体" w:eastAsia="黑体"/>
      <w:sz w:val="30"/>
      <w:szCs w:val="30"/>
    </w:rPr>
  </w:style>
  <w:style w:type="character" w:customStyle="1" w:styleId="1Char0">
    <w:name w:val="表头1 Char"/>
    <w:link w:val="12"/>
    <w:rPr>
      <w:rFonts w:ascii="楷体_GB2312" w:eastAsia="楷体_GB2312" w:hAnsi="宋体"/>
      <w:kern w:val="2"/>
      <w:sz w:val="24"/>
      <w:szCs w:val="24"/>
    </w:rPr>
  </w:style>
  <w:style w:type="paragraph" w:customStyle="1" w:styleId="12">
    <w:name w:val="表头1"/>
    <w:basedOn w:val="a"/>
    <w:link w:val="1Char0"/>
    <w:qFormat/>
    <w:pPr>
      <w:spacing w:line="480" w:lineRule="exact"/>
      <w:ind w:firstLineChars="250" w:firstLine="250"/>
      <w:jc w:val="center"/>
    </w:pPr>
    <w:rPr>
      <w:rFonts w:ascii="楷体_GB2312" w:eastAsia="楷体_GB2312" w:hAnsi="宋体"/>
      <w:sz w:val="24"/>
    </w:rPr>
  </w:style>
  <w:style w:type="character" w:customStyle="1" w:styleId="A-CharChar">
    <w:name w:val="A-表格 Char Char"/>
    <w:rPr>
      <w:rFonts w:ascii="Times New Roman" w:eastAsia="楷体_GB2312" w:hAnsi="Times New Roman" w:cs="Times New Roman"/>
      <w:sz w:val="18"/>
      <w:szCs w:val="18"/>
      <w:lang w:val="zh-CN"/>
    </w:rPr>
  </w:style>
  <w:style w:type="character" w:customStyle="1" w:styleId="2Char3">
    <w:name w:val="样式2 Char"/>
    <w:link w:val="24"/>
    <w:qFormat/>
    <w:rPr>
      <w:rFonts w:ascii="黑体" w:eastAsia="黑体" w:hAnsi="Times New Roman"/>
      <w:b/>
      <w:bCs/>
      <w:sz w:val="28"/>
      <w:szCs w:val="28"/>
      <w:lang w:val="zh-CN"/>
    </w:rPr>
  </w:style>
  <w:style w:type="paragraph" w:customStyle="1" w:styleId="24">
    <w:name w:val="样式2"/>
    <w:basedOn w:val="23"/>
    <w:link w:val="2Char3"/>
    <w:qFormat/>
    <w:pPr>
      <w:spacing w:line="560" w:lineRule="exact"/>
      <w:ind w:firstLineChars="0" w:firstLine="0"/>
    </w:pPr>
    <w:rPr>
      <w:sz w:val="28"/>
      <w:szCs w:val="28"/>
    </w:rPr>
  </w:style>
  <w:style w:type="character" w:customStyle="1" w:styleId="A-Char">
    <w:name w:val="A-节标题（黑体四号一级大纲） Char"/>
    <w:link w:val="A-"/>
    <w:rPr>
      <w:rFonts w:ascii="黑体" w:eastAsia="黑体" w:hAnsi="宋体"/>
      <w:b/>
      <w:kern w:val="2"/>
      <w:sz w:val="24"/>
      <w:szCs w:val="24"/>
    </w:rPr>
  </w:style>
  <w:style w:type="paragraph" w:customStyle="1" w:styleId="A-">
    <w:name w:val="A-节标题（黑体四号一级大纲）"/>
    <w:basedOn w:val="a"/>
    <w:link w:val="A-Char"/>
    <w:pPr>
      <w:spacing w:line="480" w:lineRule="exact"/>
      <w:ind w:firstLineChars="200" w:firstLine="200"/>
      <w:outlineLvl w:val="0"/>
    </w:pPr>
    <w:rPr>
      <w:rFonts w:ascii="黑体" w:eastAsia="黑体" w:hAnsi="宋体"/>
      <w:b/>
      <w:sz w:val="24"/>
    </w:rPr>
  </w:style>
  <w:style w:type="character" w:customStyle="1" w:styleId="Char6">
    <w:name w:val="日期 Char"/>
    <w:link w:val="ab"/>
    <w:qFormat/>
    <w:rPr>
      <w:rFonts w:ascii="Times New Roman" w:eastAsia="宋体" w:hAnsi="Times New Roman"/>
      <w:kern w:val="2"/>
      <w:sz w:val="21"/>
      <w:szCs w:val="24"/>
    </w:rPr>
  </w:style>
  <w:style w:type="character" w:customStyle="1" w:styleId="11Char0">
    <w:name w:val="表格（小五）11 Char"/>
    <w:link w:val="110"/>
    <w:qFormat/>
    <w:rPr>
      <w:rFonts w:ascii="宋体" w:hAnsi="宋体" w:cs="Arial"/>
      <w:sz w:val="18"/>
      <w:szCs w:val="18"/>
      <w:lang w:val="zh-CN"/>
    </w:rPr>
  </w:style>
  <w:style w:type="paragraph" w:customStyle="1" w:styleId="110">
    <w:name w:val="表格（小五）11"/>
    <w:basedOn w:val="afa"/>
    <w:link w:val="11Char0"/>
    <w:qFormat/>
  </w:style>
  <w:style w:type="paragraph" w:customStyle="1" w:styleId="afa">
    <w:name w:val="表格（小五）"/>
    <w:basedOn w:val="120"/>
    <w:link w:val="Chard"/>
    <w:autoRedefine/>
    <w:qFormat/>
    <w:rPr>
      <w:szCs w:val="18"/>
      <w:lang w:val="zh-CN"/>
    </w:rPr>
  </w:style>
  <w:style w:type="paragraph" w:customStyle="1" w:styleId="120">
    <w:name w:val="表格（小五12）"/>
    <w:basedOn w:val="a"/>
    <w:link w:val="12Char"/>
    <w:autoRedefine/>
    <w:qFormat/>
    <w:pPr>
      <w:spacing w:line="220" w:lineRule="exact"/>
      <w:jc w:val="center"/>
    </w:pPr>
    <w:rPr>
      <w:rFonts w:ascii="宋体" w:hAnsi="宋体"/>
      <w:kern w:val="0"/>
      <w:sz w:val="18"/>
      <w:szCs w:val="21"/>
    </w:rPr>
  </w:style>
  <w:style w:type="character" w:customStyle="1" w:styleId="12Char">
    <w:name w:val="表格（小五12） Char"/>
    <w:link w:val="120"/>
    <w:autoRedefine/>
    <w:qFormat/>
    <w:rPr>
      <w:rFonts w:ascii="宋体" w:hAnsi="宋体" w:cs="Arial"/>
      <w:sz w:val="18"/>
      <w:szCs w:val="21"/>
    </w:rPr>
  </w:style>
  <w:style w:type="character" w:customStyle="1" w:styleId="Chard">
    <w:name w:val="表格（小五） Char"/>
    <w:link w:val="afa"/>
    <w:qFormat/>
    <w:rPr>
      <w:rFonts w:ascii="宋体" w:hAnsi="宋体" w:cs="Arial"/>
      <w:sz w:val="18"/>
      <w:szCs w:val="18"/>
      <w:lang w:val="zh-CN"/>
    </w:rPr>
  </w:style>
  <w:style w:type="character" w:customStyle="1" w:styleId="A-Char0">
    <w:name w:val="A-表头 Char"/>
    <w:link w:val="A-0"/>
    <w:qFormat/>
    <w:rPr>
      <w:rFonts w:ascii="楷体_GB2312" w:eastAsia="楷体_GB2312" w:hAnsi="Times New Roman"/>
      <w:kern w:val="2"/>
      <w:sz w:val="24"/>
      <w:szCs w:val="24"/>
    </w:rPr>
  </w:style>
  <w:style w:type="paragraph" w:customStyle="1" w:styleId="A-0">
    <w:name w:val="A-表头"/>
    <w:basedOn w:val="a"/>
    <w:link w:val="A-Char0"/>
    <w:qFormat/>
    <w:pPr>
      <w:snapToGrid w:val="0"/>
      <w:spacing w:line="480" w:lineRule="exact"/>
      <w:jc w:val="center"/>
    </w:pPr>
    <w:rPr>
      <w:rFonts w:ascii="楷体_GB2312" w:eastAsia="楷体_GB2312"/>
      <w:sz w:val="24"/>
    </w:rPr>
  </w:style>
  <w:style w:type="character" w:customStyle="1" w:styleId="Heading2Spacing-2pt">
    <w:name w:val="Heading #2 + Spacing -2 pt"/>
    <w:autoRedefine/>
    <w:qFormat/>
    <w:rPr>
      <w:rFonts w:ascii="MingLiU" w:eastAsia="MingLiU" w:hAnsi="MingLiU" w:cs="MingLiU"/>
      <w:color w:val="000000"/>
      <w:spacing w:val="-50"/>
      <w:w w:val="100"/>
      <w:position w:val="0"/>
      <w:sz w:val="30"/>
      <w:szCs w:val="30"/>
      <w:u w:val="none"/>
      <w:shd w:val="clear" w:color="auto" w:fill="FFFFFF"/>
      <w:lang w:val="zh-TW"/>
    </w:rPr>
  </w:style>
  <w:style w:type="character" w:customStyle="1" w:styleId="CharChar1">
    <w:name w:val="Char Char1"/>
    <w:link w:val="Chare"/>
    <w:rPr>
      <w:rFonts w:ascii="Times New Roman" w:eastAsia="宋体" w:hAnsi="Times New Roman"/>
      <w:kern w:val="2"/>
      <w:sz w:val="21"/>
      <w:szCs w:val="24"/>
    </w:rPr>
  </w:style>
  <w:style w:type="paragraph" w:customStyle="1" w:styleId="Chare">
    <w:name w:val="Char"/>
    <w:basedOn w:val="a"/>
    <w:link w:val="CharChar1"/>
    <w:pPr>
      <w:ind w:left="-48"/>
    </w:pPr>
  </w:style>
  <w:style w:type="character" w:customStyle="1" w:styleId="Char1">
    <w:name w:val="文档结构图 Char"/>
    <w:link w:val="a5"/>
    <w:semiHidden/>
    <w:qFormat/>
    <w:rPr>
      <w:rFonts w:ascii="宋体" w:eastAsia="宋体" w:hAnsi="Times New Roman"/>
      <w:kern w:val="2"/>
      <w:sz w:val="18"/>
      <w:szCs w:val="18"/>
    </w:rPr>
  </w:style>
  <w:style w:type="character" w:customStyle="1" w:styleId="Bodytext">
    <w:name w:val="Body text_"/>
    <w:link w:val="13"/>
    <w:autoRedefine/>
    <w:rPr>
      <w:rFonts w:ascii="Arial Unicode MS" w:eastAsia="Arial Unicode MS" w:hAnsi="Arial Unicode MS" w:cs="Arial Unicode MS"/>
      <w:sz w:val="23"/>
      <w:szCs w:val="23"/>
      <w:shd w:val="clear" w:color="auto" w:fill="FFFFFF"/>
    </w:rPr>
  </w:style>
  <w:style w:type="paragraph" w:customStyle="1" w:styleId="13">
    <w:name w:val="正文文本1"/>
    <w:basedOn w:val="a"/>
    <w:link w:val="Bodytext"/>
    <w:pPr>
      <w:shd w:val="clear" w:color="auto" w:fill="FFFFFF"/>
      <w:spacing w:line="480" w:lineRule="exact"/>
      <w:jc w:val="distribute"/>
    </w:pPr>
    <w:rPr>
      <w:rFonts w:ascii="Arial Unicode MS" w:eastAsia="Arial Unicode MS" w:hAnsi="Arial Unicode MS"/>
      <w:kern w:val="0"/>
      <w:sz w:val="23"/>
      <w:szCs w:val="23"/>
    </w:rPr>
  </w:style>
  <w:style w:type="character" w:customStyle="1" w:styleId="3Char1">
    <w:name w:val="正文文本缩进 3 Char"/>
    <w:link w:val="32"/>
    <w:qFormat/>
    <w:rPr>
      <w:rFonts w:ascii="Times New Roman" w:eastAsia="宋体" w:hAnsi="Times New Roman"/>
      <w:sz w:val="28"/>
      <w:szCs w:val="24"/>
    </w:rPr>
  </w:style>
  <w:style w:type="character" w:customStyle="1" w:styleId="3Char2">
    <w:name w:val="样式3 Char"/>
    <w:link w:val="33"/>
    <w:autoRedefine/>
    <w:qFormat/>
    <w:rPr>
      <w:rFonts w:ascii="黑体" w:eastAsia="黑体" w:hAnsi="Times New Roman"/>
      <w:sz w:val="28"/>
      <w:szCs w:val="28"/>
    </w:rPr>
  </w:style>
  <w:style w:type="paragraph" w:customStyle="1" w:styleId="33">
    <w:name w:val="样式3"/>
    <w:basedOn w:val="a"/>
    <w:link w:val="3Char2"/>
    <w:qFormat/>
    <w:pPr>
      <w:spacing w:line="560" w:lineRule="exact"/>
      <w:jc w:val="left"/>
    </w:pPr>
    <w:rPr>
      <w:rFonts w:ascii="黑体" w:eastAsia="黑体"/>
      <w:kern w:val="0"/>
      <w:sz w:val="28"/>
      <w:szCs w:val="28"/>
    </w:rPr>
  </w:style>
  <w:style w:type="character" w:customStyle="1" w:styleId="4Char1">
    <w:name w:val="标题 4 Char1"/>
    <w:qFormat/>
    <w:rPr>
      <w:rFonts w:ascii="Arial" w:eastAsia="黑体" w:hAnsi="Arial" w:cs="Times New Roman"/>
      <w:b/>
      <w:bCs/>
      <w:sz w:val="28"/>
      <w:szCs w:val="28"/>
    </w:rPr>
  </w:style>
  <w:style w:type="character" w:customStyle="1" w:styleId="Chara">
    <w:name w:val="标题 Char"/>
    <w:link w:val="af0"/>
    <w:autoRedefine/>
    <w:uiPriority w:val="10"/>
    <w:qFormat/>
    <w:rPr>
      <w:rFonts w:ascii="Cambria" w:eastAsia="黑体" w:hAnsi="Cambria"/>
      <w:b/>
      <w:bCs/>
      <w:kern w:val="2"/>
      <w:sz w:val="28"/>
      <w:szCs w:val="32"/>
      <w:lang w:val="en-US" w:eastAsia="zh-CN" w:bidi="ar-SA"/>
    </w:rPr>
  </w:style>
  <w:style w:type="character" w:customStyle="1" w:styleId="Char2">
    <w:name w:val="批注文字 Char"/>
    <w:link w:val="a6"/>
    <w:uiPriority w:val="99"/>
    <w:semiHidden/>
    <w:rPr>
      <w:rFonts w:ascii="Times New Roman" w:eastAsia="宋体" w:hAnsi="Times New Roman"/>
      <w:kern w:val="2"/>
      <w:sz w:val="21"/>
      <w:szCs w:val="24"/>
    </w:rPr>
  </w:style>
  <w:style w:type="character" w:customStyle="1" w:styleId="Char8">
    <w:name w:val="页脚 Char"/>
    <w:link w:val="ad"/>
    <w:autoRedefine/>
    <w:uiPriority w:val="99"/>
    <w:qFormat/>
    <w:rPr>
      <w:kern w:val="2"/>
      <w:sz w:val="18"/>
      <w:szCs w:val="18"/>
      <w:lang w:val="en-US" w:eastAsia="zh-CN" w:bidi="ar-SA"/>
    </w:rPr>
  </w:style>
  <w:style w:type="character" w:customStyle="1" w:styleId="4Char">
    <w:name w:val="样式4 Char"/>
    <w:link w:val="41"/>
    <w:autoRedefine/>
    <w:qFormat/>
    <w:rPr>
      <w:rFonts w:ascii="黑体" w:eastAsia="黑体" w:hAnsi="宋体"/>
      <w:b/>
      <w:sz w:val="28"/>
      <w:szCs w:val="28"/>
      <w:lang w:val="zh-CN"/>
    </w:rPr>
  </w:style>
  <w:style w:type="paragraph" w:customStyle="1" w:styleId="41">
    <w:name w:val="样式4"/>
    <w:basedOn w:val="34"/>
    <w:link w:val="4Char"/>
    <w:qFormat/>
    <w:pPr>
      <w:spacing w:line="560" w:lineRule="exact"/>
      <w:ind w:firstLine="560"/>
    </w:pPr>
    <w:rPr>
      <w:sz w:val="28"/>
      <w:szCs w:val="28"/>
    </w:rPr>
  </w:style>
  <w:style w:type="paragraph" w:customStyle="1" w:styleId="34">
    <w:name w:val="3"/>
    <w:basedOn w:val="a"/>
    <w:link w:val="3Char3"/>
    <w:qFormat/>
    <w:pPr>
      <w:autoSpaceDE w:val="0"/>
      <w:autoSpaceDN w:val="0"/>
      <w:adjustRightInd w:val="0"/>
      <w:spacing w:line="480" w:lineRule="exact"/>
      <w:ind w:firstLineChars="200" w:firstLine="482"/>
      <w:outlineLvl w:val="2"/>
    </w:pPr>
    <w:rPr>
      <w:rFonts w:ascii="黑体" w:eastAsia="黑体" w:hAnsi="宋体"/>
      <w:b/>
      <w:kern w:val="0"/>
      <w:sz w:val="24"/>
      <w:lang w:val="zh-CN"/>
    </w:rPr>
  </w:style>
  <w:style w:type="character" w:customStyle="1" w:styleId="3Char3">
    <w:name w:val="3 Char"/>
    <w:link w:val="34"/>
    <w:qFormat/>
    <w:rPr>
      <w:rFonts w:ascii="黑体" w:eastAsia="黑体" w:hAnsi="宋体"/>
      <w:b/>
      <w:sz w:val="24"/>
      <w:szCs w:val="24"/>
      <w:lang w:val="zh-CN"/>
    </w:rPr>
  </w:style>
  <w:style w:type="character" w:customStyle="1" w:styleId="Char5">
    <w:name w:val="纯文本 Char"/>
    <w:link w:val="aa"/>
    <w:rPr>
      <w:rFonts w:ascii="宋体" w:eastAsia="宋体" w:hAnsi="Courier New"/>
      <w:kern w:val="2"/>
      <w:sz w:val="21"/>
      <w:szCs w:val="21"/>
    </w:rPr>
  </w:style>
  <w:style w:type="character" w:customStyle="1" w:styleId="Charf">
    <w:name w:val="节节节 Char"/>
    <w:link w:val="afb"/>
    <w:rPr>
      <w:rFonts w:ascii="Times New Roman" w:eastAsia="黑体" w:hAnsi="Times New Roman"/>
      <w:b/>
      <w:bCs/>
      <w:kern w:val="2"/>
      <w:sz w:val="28"/>
      <w:szCs w:val="30"/>
    </w:rPr>
  </w:style>
  <w:style w:type="paragraph" w:customStyle="1" w:styleId="afb">
    <w:name w:val="节节节"/>
    <w:basedOn w:val="2"/>
    <w:link w:val="Charf"/>
    <w:qFormat/>
  </w:style>
  <w:style w:type="character" w:customStyle="1" w:styleId="2CharChar">
    <w:name w:val="样式 正文 + 首行缩进:  2 字符 Char Char"/>
    <w:link w:val="25"/>
    <w:rPr>
      <w:rFonts w:ascii="宋体" w:hAnsi="宋体"/>
      <w:kern w:val="2"/>
      <w:sz w:val="30"/>
      <w:lang w:bidi="ar-SA"/>
    </w:rPr>
  </w:style>
  <w:style w:type="paragraph" w:customStyle="1" w:styleId="25">
    <w:name w:val="样式 正文 + 首行缩进:  2 字符"/>
    <w:basedOn w:val="a"/>
    <w:link w:val="2CharChar"/>
    <w:pPr>
      <w:ind w:firstLineChars="200" w:firstLine="600"/>
      <w:jc w:val="left"/>
    </w:pPr>
    <w:rPr>
      <w:rFonts w:ascii="宋体" w:hAnsi="宋体"/>
      <w:sz w:val="30"/>
      <w:szCs w:val="20"/>
    </w:rPr>
  </w:style>
  <w:style w:type="character" w:customStyle="1" w:styleId="A-CharChar0">
    <w:name w:val="A-正文 Char Char"/>
    <w:rPr>
      <w:rFonts w:ascii="宋体" w:hAnsi="宋体"/>
      <w:kern w:val="2"/>
      <w:sz w:val="24"/>
      <w:szCs w:val="24"/>
    </w:rPr>
  </w:style>
  <w:style w:type="character" w:customStyle="1" w:styleId="Charf0">
    <w:name w:val="项以下 Char"/>
    <w:link w:val="afc"/>
    <w:rPr>
      <w:rFonts w:ascii="Times New Roman" w:eastAsia="仿宋_GB2312" w:hAnsi="Times New Roman"/>
      <w:kern w:val="2"/>
      <w:sz w:val="24"/>
      <w:szCs w:val="24"/>
    </w:rPr>
  </w:style>
  <w:style w:type="paragraph" w:customStyle="1" w:styleId="afc">
    <w:name w:val="项以下"/>
    <w:basedOn w:val="a"/>
    <w:link w:val="Charf0"/>
    <w:qFormat/>
    <w:pPr>
      <w:spacing w:line="520" w:lineRule="exact"/>
      <w:ind w:firstLineChars="200" w:firstLine="480"/>
      <w:jc w:val="left"/>
    </w:pPr>
    <w:rPr>
      <w:rFonts w:eastAsia="仿宋_GB2312"/>
      <w:sz w:val="24"/>
    </w:rPr>
  </w:style>
  <w:style w:type="character" w:customStyle="1" w:styleId="Char7">
    <w:name w:val="批注框文本 Char"/>
    <w:link w:val="ac"/>
    <w:qFormat/>
    <w:rPr>
      <w:rFonts w:ascii="Times New Roman" w:eastAsia="宋体" w:hAnsi="Times New Roman"/>
      <w:kern w:val="2"/>
      <w:sz w:val="18"/>
      <w:szCs w:val="18"/>
    </w:rPr>
  </w:style>
  <w:style w:type="character" w:customStyle="1" w:styleId="003Char">
    <w:name w:val="003 Char"/>
    <w:link w:val="003"/>
    <w:qFormat/>
    <w:rPr>
      <w:rFonts w:ascii="宋体" w:eastAsia="宋体" w:hAnsi="宋体"/>
      <w:kern w:val="2"/>
      <w:sz w:val="24"/>
      <w:szCs w:val="24"/>
    </w:rPr>
  </w:style>
  <w:style w:type="paragraph" w:customStyle="1" w:styleId="003">
    <w:name w:val="003"/>
    <w:basedOn w:val="a"/>
    <w:link w:val="003Char"/>
    <w:qFormat/>
    <w:pPr>
      <w:spacing w:line="480" w:lineRule="exact"/>
      <w:ind w:firstLineChars="186" w:firstLine="446"/>
    </w:pPr>
    <w:rPr>
      <w:rFonts w:ascii="宋体" w:hAnsi="宋体"/>
      <w:sz w:val="24"/>
    </w:rPr>
  </w:style>
  <w:style w:type="character" w:customStyle="1" w:styleId="Char3">
    <w:name w:val="正文文本 Char"/>
    <w:link w:val="a7"/>
    <w:uiPriority w:val="99"/>
    <w:qFormat/>
    <w:rPr>
      <w:rFonts w:ascii="Times New Roman" w:eastAsia="宋体" w:hAnsi="Times New Roman"/>
      <w:kern w:val="2"/>
      <w:sz w:val="21"/>
      <w:szCs w:val="24"/>
    </w:rPr>
  </w:style>
  <w:style w:type="character" w:customStyle="1" w:styleId="5Char0">
    <w:name w:val="样式5 Char"/>
    <w:link w:val="51"/>
    <w:qFormat/>
    <w:rPr>
      <w:rFonts w:ascii="宋体" w:eastAsia="宋体" w:hAnsi="宋体"/>
      <w:b/>
      <w:sz w:val="28"/>
      <w:szCs w:val="28"/>
      <w:lang w:val="zh-CN"/>
    </w:rPr>
  </w:style>
  <w:style w:type="paragraph" w:customStyle="1" w:styleId="51">
    <w:name w:val="样式5"/>
    <w:basedOn w:val="41"/>
    <w:next w:val="41"/>
    <w:link w:val="5Char0"/>
    <w:qFormat/>
    <w:rPr>
      <w:rFonts w:ascii="宋体" w:eastAsia="宋体"/>
    </w:rPr>
  </w:style>
  <w:style w:type="character" w:customStyle="1" w:styleId="Tablecaption4">
    <w:name w:val="Table caption (4)_"/>
    <w:link w:val="Tablecaption40"/>
    <w:rPr>
      <w:rFonts w:ascii="MingLiU" w:eastAsia="MingLiU" w:hAnsi="MingLiU" w:cs="MingLiU"/>
      <w:spacing w:val="-10"/>
      <w:sz w:val="21"/>
      <w:szCs w:val="21"/>
      <w:shd w:val="clear" w:color="auto" w:fill="FFFFFF"/>
    </w:rPr>
  </w:style>
  <w:style w:type="paragraph" w:customStyle="1" w:styleId="Tablecaption40">
    <w:name w:val="Table caption (4)"/>
    <w:basedOn w:val="a"/>
    <w:link w:val="Tablecaption4"/>
    <w:pPr>
      <w:shd w:val="clear" w:color="auto" w:fill="FFFFFF"/>
      <w:spacing w:line="0" w:lineRule="atLeast"/>
      <w:jc w:val="distribute"/>
    </w:pPr>
    <w:rPr>
      <w:rFonts w:ascii="MingLiU" w:eastAsia="MingLiU" w:hAnsi="MingLiU"/>
      <w:spacing w:val="-10"/>
      <w:kern w:val="0"/>
      <w:szCs w:val="21"/>
    </w:rPr>
  </w:style>
  <w:style w:type="character" w:customStyle="1" w:styleId="1111Char">
    <w:name w:val="1.1.1.1 Char"/>
    <w:link w:val="1111"/>
    <w:qFormat/>
    <w:rPr>
      <w:rFonts w:ascii="黑体" w:eastAsia="黑体" w:hAnsi="Times New Roman"/>
      <w:b/>
      <w:kern w:val="2"/>
      <w:sz w:val="24"/>
    </w:rPr>
  </w:style>
  <w:style w:type="paragraph" w:customStyle="1" w:styleId="1111">
    <w:name w:val="1.1.1.1"/>
    <w:basedOn w:val="a"/>
    <w:link w:val="1111Char"/>
    <w:qFormat/>
    <w:pPr>
      <w:spacing w:line="480" w:lineRule="exact"/>
      <w:ind w:firstLineChars="200" w:firstLine="200"/>
    </w:pPr>
    <w:rPr>
      <w:rFonts w:ascii="黑体" w:eastAsia="黑体"/>
      <w:b/>
      <w:sz w:val="24"/>
      <w:szCs w:val="20"/>
    </w:rPr>
  </w:style>
  <w:style w:type="character" w:customStyle="1" w:styleId="Heading2">
    <w:name w:val="Heading #2_"/>
    <w:link w:val="Heading20"/>
    <w:rPr>
      <w:rFonts w:ascii="MingLiU" w:eastAsia="MingLiU" w:hAnsi="MingLiU" w:cs="MingLiU"/>
      <w:b/>
      <w:bCs/>
      <w:spacing w:val="-20"/>
      <w:sz w:val="30"/>
      <w:szCs w:val="30"/>
      <w:shd w:val="clear" w:color="auto" w:fill="FFFFFF"/>
    </w:rPr>
  </w:style>
  <w:style w:type="paragraph" w:customStyle="1" w:styleId="Heading20">
    <w:name w:val="Heading #2"/>
    <w:basedOn w:val="a"/>
    <w:link w:val="Heading2"/>
    <w:pPr>
      <w:shd w:val="clear" w:color="auto" w:fill="FFFFFF"/>
      <w:spacing w:before="180" w:after="60" w:line="0" w:lineRule="atLeast"/>
      <w:jc w:val="left"/>
      <w:outlineLvl w:val="1"/>
    </w:pPr>
    <w:rPr>
      <w:rFonts w:ascii="MingLiU" w:eastAsia="MingLiU" w:hAnsi="MingLiU"/>
      <w:b/>
      <w:bCs/>
      <w:spacing w:val="-20"/>
      <w:kern w:val="0"/>
      <w:sz w:val="30"/>
      <w:szCs w:val="30"/>
    </w:rPr>
  </w:style>
  <w:style w:type="character" w:customStyle="1" w:styleId="Bodytext11pt">
    <w:name w:val="Body text + 11 pt"/>
    <w:rPr>
      <w:rFonts w:ascii="Arial Unicode MS" w:eastAsia="Arial Unicode MS" w:hAnsi="Arial Unicode MS" w:cs="Arial Unicode MS"/>
      <w:color w:val="000000"/>
      <w:spacing w:val="-30"/>
      <w:w w:val="100"/>
      <w:position w:val="0"/>
      <w:sz w:val="22"/>
      <w:szCs w:val="22"/>
      <w:shd w:val="clear" w:color="auto" w:fill="FFFFFF"/>
    </w:rPr>
  </w:style>
  <w:style w:type="character" w:customStyle="1" w:styleId="Char0">
    <w:name w:val="正文缩进 Char"/>
    <w:link w:val="a4"/>
    <w:rPr>
      <w:rFonts w:ascii="Times New Roman" w:eastAsia="华文中宋" w:hAnsi="Times New Roman"/>
      <w:kern w:val="2"/>
      <w:sz w:val="44"/>
    </w:rPr>
  </w:style>
  <w:style w:type="character" w:customStyle="1" w:styleId="5-CharChar">
    <w:name w:val="5-正文 Char Char"/>
    <w:rPr>
      <w:rFonts w:ascii="Times New Roman" w:eastAsia="宋体" w:hAnsi="Times New Roman" w:cs="Times New Roman"/>
      <w:color w:val="FF0000"/>
      <w:sz w:val="24"/>
      <w:szCs w:val="24"/>
    </w:rPr>
  </w:style>
  <w:style w:type="character" w:customStyle="1" w:styleId="6Char">
    <w:name w:val="样式6 Char"/>
    <w:link w:val="60"/>
    <w:qFormat/>
    <w:rPr>
      <w:rFonts w:ascii="黑体" w:eastAsia="黑体" w:hAnsi="Times New Roman"/>
      <w:kern w:val="2"/>
      <w:sz w:val="30"/>
      <w:szCs w:val="30"/>
    </w:rPr>
  </w:style>
  <w:style w:type="paragraph" w:customStyle="1" w:styleId="60">
    <w:name w:val="样式6"/>
    <w:basedOn w:val="01"/>
    <w:link w:val="6Char"/>
    <w:qFormat/>
    <w:pPr>
      <w:spacing w:line="480" w:lineRule="exact"/>
    </w:pPr>
  </w:style>
  <w:style w:type="character" w:customStyle="1" w:styleId="shui">
    <w:name w:val="shui"/>
    <w:basedOn w:val="a1"/>
  </w:style>
  <w:style w:type="character" w:customStyle="1" w:styleId="24Char">
    <w:name w:val="表头（楷体小四24） Char"/>
    <w:link w:val="240"/>
    <w:qFormat/>
    <w:rPr>
      <w:rFonts w:ascii="楷体_GB2312" w:eastAsia="楷体_GB2312" w:hAnsi="Times New Roman"/>
      <w:sz w:val="24"/>
      <w:szCs w:val="24"/>
    </w:rPr>
  </w:style>
  <w:style w:type="paragraph" w:customStyle="1" w:styleId="240">
    <w:name w:val="表头（楷体小四24）"/>
    <w:basedOn w:val="14"/>
    <w:link w:val="24Char"/>
    <w:qFormat/>
    <w:pPr>
      <w:snapToGrid w:val="0"/>
      <w:spacing w:line="480" w:lineRule="exact"/>
      <w:ind w:firstLine="0"/>
      <w:jc w:val="center"/>
    </w:pPr>
    <w:rPr>
      <w:rFonts w:ascii="楷体_GB2312" w:eastAsia="楷体_GB2312"/>
      <w:sz w:val="24"/>
      <w:szCs w:val="24"/>
    </w:rPr>
  </w:style>
  <w:style w:type="paragraph" w:customStyle="1" w:styleId="14">
    <w:name w:val="正文缩进1"/>
    <w:basedOn w:val="a"/>
    <w:link w:val="1Char1"/>
    <w:qFormat/>
    <w:pPr>
      <w:ind w:firstLine="420"/>
    </w:pPr>
    <w:rPr>
      <w:kern w:val="0"/>
      <w:sz w:val="20"/>
      <w:szCs w:val="20"/>
    </w:rPr>
  </w:style>
  <w:style w:type="character" w:customStyle="1" w:styleId="1Char1">
    <w:name w:val="正文缩进1 Char"/>
    <w:link w:val="14"/>
    <w:qFormat/>
    <w:rPr>
      <w:rFonts w:ascii="Times New Roman" w:eastAsia="宋体" w:hAnsi="Times New Roman"/>
    </w:rPr>
  </w:style>
  <w:style w:type="character" w:customStyle="1" w:styleId="1Char2">
    <w:name w:val="样式1 Char"/>
    <w:link w:val="15"/>
    <w:qFormat/>
    <w:rPr>
      <w:rFonts w:ascii="黑体" w:eastAsia="黑体" w:hAnsi="宋体"/>
      <w:b/>
      <w:kern w:val="2"/>
      <w:sz w:val="30"/>
      <w:szCs w:val="30"/>
    </w:rPr>
  </w:style>
  <w:style w:type="paragraph" w:customStyle="1" w:styleId="15">
    <w:name w:val="样式1"/>
    <w:basedOn w:val="16"/>
    <w:link w:val="1Char2"/>
    <w:qFormat/>
    <w:pPr>
      <w:spacing w:line="480" w:lineRule="exact"/>
      <w:ind w:firstLineChars="0" w:firstLine="0"/>
      <w:outlineLvl w:val="0"/>
    </w:pPr>
    <w:rPr>
      <w:rFonts w:ascii="黑体" w:hAnsi="宋体"/>
      <w:szCs w:val="30"/>
    </w:rPr>
  </w:style>
  <w:style w:type="paragraph" w:customStyle="1" w:styleId="16">
    <w:name w:val="1"/>
    <w:basedOn w:val="a"/>
    <w:next w:val="a8"/>
    <w:link w:val="1Char3"/>
    <w:qFormat/>
    <w:pPr>
      <w:ind w:firstLineChars="200" w:firstLine="200"/>
      <w:jc w:val="center"/>
    </w:pPr>
    <w:rPr>
      <w:rFonts w:eastAsia="黑体"/>
      <w:b/>
      <w:sz w:val="30"/>
      <w:szCs w:val="20"/>
    </w:rPr>
  </w:style>
  <w:style w:type="character" w:customStyle="1" w:styleId="1Char3">
    <w:name w:val="1 Char"/>
    <w:link w:val="16"/>
    <w:qFormat/>
    <w:rPr>
      <w:rFonts w:ascii="Times New Roman" w:eastAsia="黑体" w:hAnsi="Times New Roman"/>
      <w:b/>
      <w:kern w:val="2"/>
      <w:sz w:val="30"/>
    </w:rPr>
  </w:style>
  <w:style w:type="character" w:customStyle="1" w:styleId="24Char0">
    <w:name w:val="正文（宋小四24） Char"/>
    <w:link w:val="241"/>
    <w:qFormat/>
    <w:rPr>
      <w:rFonts w:ascii="宋体" w:eastAsia="宋体" w:hAnsi="宋体"/>
      <w:sz w:val="24"/>
    </w:rPr>
  </w:style>
  <w:style w:type="paragraph" w:customStyle="1" w:styleId="241">
    <w:name w:val="正文（宋小四24）"/>
    <w:basedOn w:val="20"/>
    <w:link w:val="24Char0"/>
    <w:qFormat/>
    <w:pPr>
      <w:spacing w:line="480" w:lineRule="exact"/>
    </w:pPr>
    <w:rPr>
      <w:kern w:val="0"/>
      <w:szCs w:val="20"/>
    </w:rPr>
  </w:style>
  <w:style w:type="character" w:customStyle="1" w:styleId="2Char0">
    <w:name w:val="正文文本缩进 2 Char"/>
    <w:link w:val="20"/>
    <w:qFormat/>
    <w:rPr>
      <w:rFonts w:ascii="宋体" w:eastAsia="宋体" w:hAnsi="宋体" w:cs="Times New Roman"/>
      <w:kern w:val="2"/>
      <w:sz w:val="24"/>
      <w:szCs w:val="24"/>
    </w:rPr>
  </w:style>
  <w:style w:type="character" w:customStyle="1" w:styleId="BodytextSegoeUI">
    <w:name w:val="Body text + Segoe UI"/>
    <w:rPr>
      <w:rFonts w:ascii="Segoe UI" w:eastAsia="Segoe UI" w:hAnsi="Segoe UI" w:cs="Segoe UI"/>
      <w:color w:val="000000"/>
      <w:spacing w:val="-10"/>
      <w:w w:val="100"/>
      <w:position w:val="0"/>
      <w:sz w:val="23"/>
      <w:szCs w:val="23"/>
      <w:shd w:val="clear" w:color="auto" w:fill="FFFFFF"/>
      <w:lang w:val="zh-CN"/>
    </w:rPr>
  </w:style>
  <w:style w:type="character" w:customStyle="1" w:styleId="BodytextSpacing-2pt">
    <w:name w:val="Body text + Spacing -2 pt"/>
    <w:rPr>
      <w:rFonts w:ascii="Arial Unicode MS" w:eastAsia="Arial Unicode MS" w:hAnsi="Arial Unicode MS" w:cs="Arial Unicode MS"/>
      <w:color w:val="000000"/>
      <w:spacing w:val="-40"/>
      <w:w w:val="100"/>
      <w:position w:val="0"/>
      <w:sz w:val="28"/>
      <w:szCs w:val="28"/>
      <w:u w:val="none"/>
      <w:shd w:val="clear" w:color="auto" w:fill="FFFFFF"/>
      <w:lang w:val="zh-TW"/>
    </w:rPr>
  </w:style>
  <w:style w:type="character" w:customStyle="1" w:styleId="Bodytext8">
    <w:name w:val="Body text (8)_"/>
    <w:link w:val="Bodytext80"/>
    <w:rPr>
      <w:rFonts w:ascii="MingLiU" w:eastAsia="MingLiU" w:hAnsi="MingLiU" w:cs="MingLiU"/>
      <w:spacing w:val="-10"/>
      <w:sz w:val="21"/>
      <w:szCs w:val="21"/>
      <w:shd w:val="clear" w:color="auto" w:fill="FFFFFF"/>
    </w:rPr>
  </w:style>
  <w:style w:type="paragraph" w:customStyle="1" w:styleId="Bodytext80">
    <w:name w:val="Body text (8)"/>
    <w:basedOn w:val="a"/>
    <w:link w:val="Bodytext8"/>
    <w:pPr>
      <w:shd w:val="clear" w:color="auto" w:fill="FFFFFF"/>
      <w:spacing w:before="2100" w:after="960" w:line="0" w:lineRule="atLeast"/>
      <w:jc w:val="left"/>
    </w:pPr>
    <w:rPr>
      <w:rFonts w:ascii="MingLiU" w:eastAsia="MingLiU" w:hAnsi="MingLiU"/>
      <w:spacing w:val="-10"/>
      <w:kern w:val="0"/>
      <w:szCs w:val="21"/>
    </w:rPr>
  </w:style>
  <w:style w:type="character" w:customStyle="1" w:styleId="11Char1">
    <w:name w:val="1。1 Char"/>
    <w:link w:val="112"/>
    <w:qFormat/>
    <w:rPr>
      <w:rFonts w:ascii="黑体" w:eastAsia="黑体" w:hAnsi="Times New Roman"/>
      <w:b/>
      <w:bCs/>
      <w:sz w:val="24"/>
      <w:szCs w:val="24"/>
      <w:lang w:val="zh-CN"/>
    </w:rPr>
  </w:style>
  <w:style w:type="paragraph" w:customStyle="1" w:styleId="112">
    <w:name w:val="1。1"/>
    <w:basedOn w:val="02"/>
    <w:link w:val="11Char1"/>
    <w:qFormat/>
    <w:pPr>
      <w:spacing w:line="480" w:lineRule="exact"/>
      <w:ind w:firstLineChars="200" w:firstLine="482"/>
    </w:pPr>
    <w:rPr>
      <w:sz w:val="24"/>
      <w:szCs w:val="24"/>
    </w:rPr>
  </w:style>
  <w:style w:type="paragraph" w:customStyle="1" w:styleId="02">
    <w:name w:val="02"/>
    <w:basedOn w:val="a"/>
    <w:link w:val="02Char"/>
    <w:qFormat/>
    <w:pPr>
      <w:spacing w:line="560" w:lineRule="exact"/>
      <w:outlineLvl w:val="1"/>
    </w:pPr>
    <w:rPr>
      <w:rFonts w:ascii="黑体" w:eastAsia="黑体"/>
      <w:b/>
      <w:bCs/>
      <w:kern w:val="0"/>
      <w:sz w:val="28"/>
      <w:szCs w:val="28"/>
      <w:lang w:val="zh-CN"/>
    </w:rPr>
  </w:style>
  <w:style w:type="character" w:customStyle="1" w:styleId="02Char">
    <w:name w:val="02 Char"/>
    <w:link w:val="02"/>
    <w:qFormat/>
    <w:rPr>
      <w:rFonts w:ascii="黑体" w:eastAsia="黑体"/>
      <w:b/>
      <w:bCs/>
      <w:sz w:val="28"/>
      <w:szCs w:val="28"/>
      <w:lang w:val="zh-CN"/>
    </w:rPr>
  </w:style>
  <w:style w:type="character" w:customStyle="1" w:styleId="11Char2">
    <w:name w:val="标题1.1 Char"/>
    <w:link w:val="113"/>
    <w:rPr>
      <w:rFonts w:ascii="黑体" w:eastAsia="宋体"/>
      <w:b/>
      <w:color w:val="000000"/>
      <w:sz w:val="30"/>
      <w:szCs w:val="30"/>
      <w:lang w:eastAsia="en-US" w:bidi="en-US"/>
    </w:rPr>
  </w:style>
  <w:style w:type="paragraph" w:customStyle="1" w:styleId="113">
    <w:name w:val="标题1.1"/>
    <w:basedOn w:val="a"/>
    <w:link w:val="11Char2"/>
    <w:pPr>
      <w:widowControl/>
      <w:spacing w:beforeLines="50" w:afterLines="20" w:line="500" w:lineRule="atLeast"/>
      <w:jc w:val="left"/>
      <w:outlineLvl w:val="1"/>
    </w:pPr>
    <w:rPr>
      <w:rFonts w:ascii="黑体"/>
      <w:b/>
      <w:color w:val="000000"/>
      <w:kern w:val="0"/>
      <w:sz w:val="30"/>
      <w:szCs w:val="30"/>
      <w:lang w:eastAsia="en-US" w:bidi="en-US"/>
    </w:rPr>
  </w:style>
  <w:style w:type="character" w:customStyle="1" w:styleId="NormalIndentChar">
    <w:name w:val="Normal Indent Char"/>
    <w:locked/>
    <w:rPr>
      <w:rFonts w:ascii="Times New Roman" w:eastAsia="华文中宋" w:hAnsi="Times New Roman"/>
      <w:kern w:val="2"/>
      <w:sz w:val="44"/>
    </w:rPr>
  </w:style>
  <w:style w:type="character" w:customStyle="1" w:styleId="2Char1">
    <w:name w:val="正文文本 2 Char"/>
    <w:link w:val="22"/>
    <w:qFormat/>
    <w:rPr>
      <w:rFonts w:ascii="Times New Roman" w:eastAsia="宋体" w:hAnsi="Times New Roman"/>
      <w:kern w:val="2"/>
      <w:sz w:val="21"/>
      <w:szCs w:val="24"/>
    </w:rPr>
  </w:style>
  <w:style w:type="character" w:customStyle="1" w:styleId="Charf1">
    <w:name w:val="章 Char"/>
    <w:link w:val="afd"/>
    <w:rPr>
      <w:rFonts w:ascii="Times New Roman" w:eastAsia="黑体" w:hAnsi="Times New Roman"/>
      <w:b/>
      <w:bCs/>
      <w:kern w:val="44"/>
      <w:sz w:val="32"/>
      <w:szCs w:val="32"/>
    </w:rPr>
  </w:style>
  <w:style w:type="paragraph" w:customStyle="1" w:styleId="afd">
    <w:name w:val="章"/>
    <w:basedOn w:val="1"/>
    <w:link w:val="Charf1"/>
    <w:qFormat/>
    <w:pPr>
      <w:spacing w:line="360" w:lineRule="auto"/>
    </w:pPr>
    <w:rPr>
      <w:rFonts w:eastAsia="黑体"/>
      <w:sz w:val="32"/>
      <w:szCs w:val="32"/>
    </w:rPr>
  </w:style>
  <w:style w:type="character" w:customStyle="1" w:styleId="Bodytext8Spacing0pt">
    <w:name w:val="Body text (8) + Spacing 0 pt"/>
    <w:rPr>
      <w:rFonts w:ascii="MingLiU" w:eastAsia="MingLiU" w:hAnsi="MingLiU" w:cs="MingLiU"/>
      <w:color w:val="000000"/>
      <w:spacing w:val="10"/>
      <w:w w:val="100"/>
      <w:position w:val="0"/>
      <w:sz w:val="21"/>
      <w:szCs w:val="21"/>
      <w:shd w:val="clear" w:color="auto" w:fill="FFFFFF"/>
      <w:lang w:val="zh-TW"/>
    </w:rPr>
  </w:style>
  <w:style w:type="character" w:customStyle="1" w:styleId="2-Char">
    <w:name w:val="2-正文 Char"/>
    <w:link w:val="2-"/>
    <w:qFormat/>
    <w:rPr>
      <w:rFonts w:ascii="宋体" w:eastAsia="宋体" w:hAnsi="宋体"/>
      <w:sz w:val="24"/>
      <w:szCs w:val="24"/>
    </w:rPr>
  </w:style>
  <w:style w:type="paragraph" w:customStyle="1" w:styleId="2-">
    <w:name w:val="2-正文"/>
    <w:basedOn w:val="a"/>
    <w:link w:val="2-Char"/>
    <w:qFormat/>
    <w:pPr>
      <w:spacing w:line="480" w:lineRule="exact"/>
      <w:ind w:firstLineChars="200" w:firstLine="480"/>
    </w:pPr>
    <w:rPr>
      <w:rFonts w:ascii="宋体" w:hAnsi="宋体"/>
      <w:kern w:val="0"/>
      <w:sz w:val="24"/>
    </w:rPr>
  </w:style>
  <w:style w:type="character" w:customStyle="1" w:styleId="Bodytext85pt">
    <w:name w:val="Body text + 8.5 pt"/>
    <w:rPr>
      <w:rFonts w:ascii="Arial Unicode MS" w:eastAsia="Arial Unicode MS" w:hAnsi="Arial Unicode MS" w:cs="Arial Unicode MS"/>
      <w:color w:val="000000"/>
      <w:spacing w:val="0"/>
      <w:w w:val="80"/>
      <w:position w:val="0"/>
      <w:sz w:val="17"/>
      <w:szCs w:val="17"/>
      <w:shd w:val="clear" w:color="auto" w:fill="FFFFFF"/>
      <w:lang w:val="zh-CN"/>
    </w:rPr>
  </w:style>
  <w:style w:type="character" w:customStyle="1" w:styleId="Charf2">
    <w:name w:val="条 Char"/>
    <w:link w:val="afe"/>
    <w:rPr>
      <w:rFonts w:ascii="Times New Roman" w:eastAsia="黑体" w:hAnsi="Times New Roman"/>
      <w:b/>
      <w:bCs/>
      <w:kern w:val="2"/>
      <w:sz w:val="28"/>
      <w:szCs w:val="28"/>
    </w:rPr>
  </w:style>
  <w:style w:type="paragraph" w:customStyle="1" w:styleId="afe">
    <w:name w:val="条"/>
    <w:basedOn w:val="3"/>
    <w:link w:val="Charf2"/>
    <w:qFormat/>
    <w:rPr>
      <w:rFonts w:eastAsia="黑体"/>
      <w:sz w:val="28"/>
      <w:szCs w:val="28"/>
    </w:rPr>
  </w:style>
  <w:style w:type="character" w:customStyle="1" w:styleId="1111-Char">
    <w:name w:val="1.1.1.1- Char"/>
    <w:link w:val="1111-"/>
    <w:qFormat/>
    <w:rPr>
      <w:rFonts w:ascii="黑体" w:eastAsia="黑体" w:hAnsi="Times New Roman"/>
      <w:b/>
      <w:kern w:val="2"/>
      <w:sz w:val="24"/>
      <w:szCs w:val="24"/>
    </w:rPr>
  </w:style>
  <w:style w:type="paragraph" w:customStyle="1" w:styleId="1111-">
    <w:name w:val="1.1.1.1-"/>
    <w:basedOn w:val="a"/>
    <w:link w:val="1111-Char"/>
    <w:qFormat/>
    <w:pPr>
      <w:spacing w:line="480" w:lineRule="exact"/>
      <w:ind w:firstLineChars="200" w:firstLine="482"/>
      <w:outlineLvl w:val="3"/>
    </w:pPr>
    <w:rPr>
      <w:rFonts w:ascii="黑体" w:eastAsia="黑体"/>
      <w:b/>
      <w:sz w:val="24"/>
    </w:rPr>
  </w:style>
  <w:style w:type="character" w:customStyle="1" w:styleId="Heading22">
    <w:name w:val="Heading #2 (2)_"/>
    <w:link w:val="Heading220"/>
    <w:rPr>
      <w:rFonts w:ascii="Arial Unicode MS" w:eastAsia="Arial Unicode MS" w:hAnsi="Arial Unicode MS" w:cs="Arial Unicode MS"/>
      <w:sz w:val="28"/>
      <w:szCs w:val="28"/>
      <w:shd w:val="clear" w:color="auto" w:fill="FFFFFF"/>
    </w:rPr>
  </w:style>
  <w:style w:type="paragraph" w:customStyle="1" w:styleId="Heading220">
    <w:name w:val="Heading #2 (2)"/>
    <w:basedOn w:val="a"/>
    <w:link w:val="Heading22"/>
    <w:pPr>
      <w:shd w:val="clear" w:color="auto" w:fill="FFFFFF"/>
      <w:spacing w:before="480" w:after="480" w:line="0" w:lineRule="atLeast"/>
      <w:jc w:val="distribute"/>
      <w:outlineLvl w:val="1"/>
    </w:pPr>
    <w:rPr>
      <w:rFonts w:ascii="Arial Unicode MS" w:eastAsia="Arial Unicode MS" w:hAnsi="Arial Unicode MS"/>
      <w:kern w:val="0"/>
      <w:sz w:val="28"/>
      <w:szCs w:val="28"/>
    </w:rPr>
  </w:style>
  <w:style w:type="character" w:customStyle="1" w:styleId="6-Char">
    <w:name w:val="6-章标 Char"/>
    <w:link w:val="6-"/>
    <w:qFormat/>
    <w:rPr>
      <w:rFonts w:ascii="黑体" w:eastAsia="黑体" w:hAnsi="Times New Roman"/>
      <w:sz w:val="30"/>
      <w:szCs w:val="30"/>
    </w:rPr>
  </w:style>
  <w:style w:type="paragraph" w:customStyle="1" w:styleId="6-">
    <w:name w:val="6-章标"/>
    <w:basedOn w:val="a"/>
    <w:link w:val="6-Char"/>
    <w:qFormat/>
    <w:pPr>
      <w:spacing w:line="480" w:lineRule="exact"/>
      <w:jc w:val="center"/>
      <w:outlineLvl w:val="0"/>
    </w:pPr>
    <w:rPr>
      <w:rFonts w:ascii="黑体" w:eastAsia="黑体"/>
      <w:kern w:val="0"/>
      <w:sz w:val="30"/>
      <w:szCs w:val="30"/>
    </w:rPr>
  </w:style>
  <w:style w:type="character" w:customStyle="1" w:styleId="ttitle1">
    <w:name w:val="ttitle1"/>
    <w:qFormat/>
    <w:rPr>
      <w:spacing w:val="120"/>
      <w:sz w:val="21"/>
      <w:szCs w:val="21"/>
    </w:rPr>
  </w:style>
  <w:style w:type="character" w:customStyle="1" w:styleId="Picturecaption2">
    <w:name w:val="Picture caption (2)_"/>
    <w:link w:val="Picturecaption20"/>
    <w:rPr>
      <w:rFonts w:ascii="MingLiU" w:eastAsia="MingLiU" w:hAnsi="MingLiU" w:cs="MingLiU"/>
      <w:sz w:val="23"/>
      <w:szCs w:val="23"/>
      <w:shd w:val="clear" w:color="auto" w:fill="FFFFFF"/>
    </w:rPr>
  </w:style>
  <w:style w:type="paragraph" w:customStyle="1" w:styleId="Picturecaption20">
    <w:name w:val="Picture caption (2)"/>
    <w:basedOn w:val="a"/>
    <w:link w:val="Picturecaption2"/>
    <w:pPr>
      <w:shd w:val="clear" w:color="auto" w:fill="FFFFFF"/>
      <w:spacing w:line="0" w:lineRule="atLeast"/>
      <w:jc w:val="distribute"/>
    </w:pPr>
    <w:rPr>
      <w:rFonts w:ascii="MingLiU" w:eastAsia="MingLiU" w:hAnsi="MingLiU"/>
      <w:kern w:val="0"/>
      <w:sz w:val="23"/>
      <w:szCs w:val="23"/>
    </w:rPr>
  </w:style>
  <w:style w:type="character" w:customStyle="1" w:styleId="A-CharChar1">
    <w:name w:val="A-表头 Char Char"/>
    <w:rPr>
      <w:rFonts w:ascii="Times New Roman" w:eastAsia="宋体" w:hAnsi="Times New Roman" w:cs="Times New Roman"/>
      <w:szCs w:val="20"/>
    </w:rPr>
  </w:style>
  <w:style w:type="character" w:customStyle="1" w:styleId="3Char10">
    <w:name w:val="正文文本缩进 3 Char1"/>
    <w:uiPriority w:val="99"/>
    <w:semiHidden/>
    <w:rPr>
      <w:rFonts w:ascii="Times New Roman" w:eastAsia="宋体" w:hAnsi="Times New Roman"/>
      <w:kern w:val="2"/>
      <w:sz w:val="16"/>
      <w:szCs w:val="16"/>
    </w:rPr>
  </w:style>
  <w:style w:type="character" w:customStyle="1" w:styleId="BodytextTimesNewRoman">
    <w:name w:val="Body text + Times New Roman"/>
    <w:rPr>
      <w:rFonts w:ascii="Times New Roman" w:eastAsia="Times New Roman" w:hAnsi="Times New Roman" w:cs="Times New Roman"/>
      <w:i/>
      <w:iCs/>
      <w:color w:val="000000"/>
      <w:spacing w:val="20"/>
      <w:w w:val="100"/>
      <w:position w:val="0"/>
      <w:sz w:val="16"/>
      <w:szCs w:val="16"/>
      <w:shd w:val="clear" w:color="auto" w:fill="FFFFFF"/>
      <w:lang w:val="zh-CN"/>
    </w:rPr>
  </w:style>
  <w:style w:type="character" w:customStyle="1" w:styleId="Charb">
    <w:name w:val="批注主题 Char"/>
    <w:link w:val="af1"/>
    <w:uiPriority w:val="99"/>
    <w:semiHidden/>
    <w:rPr>
      <w:rFonts w:ascii="Times New Roman" w:eastAsia="宋体" w:hAnsi="Times New Roman"/>
      <w:b/>
      <w:bCs/>
      <w:kern w:val="2"/>
      <w:sz w:val="21"/>
      <w:szCs w:val="24"/>
    </w:rPr>
  </w:style>
  <w:style w:type="character" w:styleId="aff">
    <w:name w:val="Placeholder Text"/>
    <w:uiPriority w:val="99"/>
    <w:semiHidden/>
    <w:rPr>
      <w:color w:val="808080"/>
    </w:rPr>
  </w:style>
  <w:style w:type="character" w:customStyle="1" w:styleId="A-Char1">
    <w:name w:val="A-表格 Char"/>
    <w:link w:val="A-1"/>
    <w:qFormat/>
    <w:rPr>
      <w:rFonts w:ascii="Times New Roman" w:eastAsia="楷体_GB2312" w:hAnsi="Times New Roman"/>
      <w:kern w:val="2"/>
      <w:sz w:val="18"/>
      <w:szCs w:val="18"/>
      <w:lang w:val="zh-CN"/>
    </w:rPr>
  </w:style>
  <w:style w:type="paragraph" w:customStyle="1" w:styleId="A-1">
    <w:name w:val="A-表格"/>
    <w:basedOn w:val="a"/>
    <w:link w:val="A-Char1"/>
    <w:qFormat/>
    <w:pPr>
      <w:spacing w:line="220" w:lineRule="exact"/>
      <w:jc w:val="center"/>
    </w:pPr>
    <w:rPr>
      <w:rFonts w:eastAsia="楷体_GB2312"/>
      <w:sz w:val="18"/>
      <w:szCs w:val="18"/>
      <w:lang w:val="zh-CN"/>
    </w:rPr>
  </w:style>
  <w:style w:type="character" w:customStyle="1" w:styleId="Picturecaption2MSMincho">
    <w:name w:val="Picture caption (2) + MS Mincho"/>
    <w:rPr>
      <w:rFonts w:ascii="MS Mincho" w:eastAsia="MS Mincho" w:hAnsi="MS Mincho" w:cs="MS Mincho"/>
      <w:color w:val="000000"/>
      <w:spacing w:val="0"/>
      <w:w w:val="100"/>
      <w:position w:val="0"/>
      <w:sz w:val="25"/>
      <w:szCs w:val="25"/>
      <w:shd w:val="clear" w:color="auto" w:fill="FFFFFF"/>
      <w:lang w:val="en-US"/>
    </w:rPr>
  </w:style>
  <w:style w:type="character" w:customStyle="1" w:styleId="3Char0">
    <w:name w:val="正文文本 3 Char"/>
    <w:link w:val="30"/>
    <w:qFormat/>
    <w:rPr>
      <w:rFonts w:ascii="Times New Roman" w:eastAsia="宋体" w:hAnsi="Times New Roman"/>
      <w:kern w:val="2"/>
      <w:sz w:val="16"/>
      <w:szCs w:val="16"/>
    </w:rPr>
  </w:style>
  <w:style w:type="character" w:customStyle="1" w:styleId="11-Char">
    <w:name w:val="1.1- Char"/>
    <w:link w:val="11-"/>
    <w:qFormat/>
    <w:rPr>
      <w:rFonts w:ascii="黑体" w:eastAsia="黑体" w:hAnsi="Times New Roman"/>
      <w:b/>
      <w:bCs/>
      <w:kern w:val="2"/>
      <w:sz w:val="24"/>
      <w:szCs w:val="24"/>
    </w:rPr>
  </w:style>
  <w:style w:type="paragraph" w:customStyle="1" w:styleId="11-">
    <w:name w:val="1.1-"/>
    <w:basedOn w:val="2"/>
    <w:next w:val="02"/>
    <w:link w:val="11-Char"/>
    <w:qFormat/>
    <w:pPr>
      <w:spacing w:before="0" w:line="480" w:lineRule="exact"/>
      <w:ind w:firstLine="482"/>
      <w:jc w:val="both"/>
    </w:pPr>
    <w:rPr>
      <w:rFonts w:ascii="黑体"/>
      <w:sz w:val="24"/>
      <w:szCs w:val="24"/>
    </w:rPr>
  </w:style>
  <w:style w:type="character" w:customStyle="1" w:styleId="px14">
    <w:name w:val="px14"/>
    <w:basedOn w:val="a1"/>
    <w:qFormat/>
  </w:style>
  <w:style w:type="character" w:customStyle="1" w:styleId="111CharChar">
    <w:name w:val="1.1.1 Char Char"/>
    <w:rPr>
      <w:rFonts w:ascii="黑体" w:eastAsia="黑体" w:hAnsi="Times New Roman" w:cs="Times New Roman"/>
      <w:b/>
      <w:color w:val="FF0000"/>
      <w:kern w:val="2"/>
      <w:sz w:val="24"/>
      <w:szCs w:val="24"/>
    </w:rPr>
  </w:style>
  <w:style w:type="character" w:customStyle="1" w:styleId="A-Char2">
    <w:name w:val="A-节标 Char"/>
    <w:link w:val="A-2"/>
    <w:qFormat/>
    <w:rPr>
      <w:rFonts w:ascii="黑体" w:eastAsia="黑体" w:hAnsi="宋体"/>
      <w:b/>
      <w:sz w:val="24"/>
      <w:szCs w:val="24"/>
    </w:rPr>
  </w:style>
  <w:style w:type="paragraph" w:customStyle="1" w:styleId="A-2">
    <w:name w:val="A-节标"/>
    <w:basedOn w:val="a"/>
    <w:link w:val="A-Char2"/>
    <w:qFormat/>
    <w:pPr>
      <w:spacing w:line="480" w:lineRule="exact"/>
      <w:ind w:firstLineChars="200" w:firstLine="200"/>
      <w:outlineLvl w:val="0"/>
    </w:pPr>
    <w:rPr>
      <w:rFonts w:ascii="黑体" w:eastAsia="黑体" w:hAnsi="宋体"/>
      <w:b/>
      <w:kern w:val="0"/>
      <w:sz w:val="24"/>
    </w:rPr>
  </w:style>
  <w:style w:type="character" w:customStyle="1" w:styleId="BodytextSpacing1pt">
    <w:name w:val="Body text + Spacing 1 pt"/>
    <w:rPr>
      <w:rFonts w:ascii="Arial Unicode MS" w:eastAsia="Arial Unicode MS" w:hAnsi="Arial Unicode MS" w:cs="Arial Unicode MS"/>
      <w:color w:val="000000"/>
      <w:spacing w:val="30"/>
      <w:w w:val="100"/>
      <w:position w:val="0"/>
      <w:sz w:val="28"/>
      <w:szCs w:val="28"/>
      <w:u w:val="none"/>
      <w:shd w:val="clear" w:color="auto" w:fill="FFFFFF"/>
      <w:lang w:val="zh-TW"/>
    </w:rPr>
  </w:style>
  <w:style w:type="character" w:customStyle="1" w:styleId="17">
    <w:name w:val="样式 宋体 四号1"/>
    <w:rPr>
      <w:rFonts w:ascii="宋体" w:hAnsi="宋体"/>
      <w:sz w:val="28"/>
    </w:rPr>
  </w:style>
  <w:style w:type="character" w:customStyle="1" w:styleId="Bodytext2">
    <w:name w:val="Body text (2)_"/>
    <w:link w:val="Bodytext20"/>
    <w:rPr>
      <w:rFonts w:ascii="MingLiU" w:eastAsia="MingLiU" w:hAnsi="MingLiU" w:cs="MingLiU"/>
      <w:b/>
      <w:bCs/>
      <w:spacing w:val="-20"/>
      <w:sz w:val="30"/>
      <w:szCs w:val="30"/>
      <w:shd w:val="clear" w:color="auto" w:fill="FFFFFF"/>
    </w:rPr>
  </w:style>
  <w:style w:type="paragraph" w:customStyle="1" w:styleId="Bodytext20">
    <w:name w:val="Body text (2)"/>
    <w:basedOn w:val="a"/>
    <w:link w:val="Bodytext2"/>
    <w:pPr>
      <w:shd w:val="clear" w:color="auto" w:fill="FFFFFF"/>
      <w:spacing w:line="547" w:lineRule="exact"/>
      <w:jc w:val="left"/>
    </w:pPr>
    <w:rPr>
      <w:rFonts w:ascii="MingLiU" w:eastAsia="MingLiU" w:hAnsi="MingLiU"/>
      <w:b/>
      <w:bCs/>
      <w:spacing w:val="-20"/>
      <w:kern w:val="0"/>
      <w:sz w:val="30"/>
      <w:szCs w:val="30"/>
    </w:rPr>
  </w:style>
  <w:style w:type="character" w:customStyle="1" w:styleId="A-Char3">
    <w:name w:val="A-正文 Char"/>
    <w:link w:val="A-3"/>
    <w:qFormat/>
    <w:rPr>
      <w:rFonts w:ascii="宋体" w:eastAsia="宋体" w:hAnsi="宋体"/>
      <w:kern w:val="2"/>
      <w:sz w:val="24"/>
      <w:szCs w:val="24"/>
    </w:rPr>
  </w:style>
  <w:style w:type="paragraph" w:customStyle="1" w:styleId="A-3">
    <w:name w:val="A-正文"/>
    <w:basedOn w:val="a"/>
    <w:link w:val="A-Char3"/>
    <w:qFormat/>
    <w:pPr>
      <w:spacing w:line="480" w:lineRule="exact"/>
      <w:ind w:firstLineChars="200" w:firstLine="480"/>
    </w:pPr>
    <w:rPr>
      <w:rFonts w:ascii="宋体" w:hAnsi="宋体"/>
      <w:sz w:val="24"/>
    </w:rPr>
  </w:style>
  <w:style w:type="character" w:customStyle="1" w:styleId="4Char0">
    <w:name w:val="标题 4 Char"/>
    <w:rPr>
      <w:rFonts w:ascii="Arial" w:eastAsia="黑体" w:hAnsi="Arial"/>
      <w:b/>
      <w:bCs/>
      <w:sz w:val="28"/>
      <w:szCs w:val="28"/>
      <w:lang w:val="en-US" w:eastAsia="zh-CN" w:bidi="ar-SA"/>
    </w:rPr>
  </w:style>
  <w:style w:type="character" w:customStyle="1" w:styleId="18">
    <w:name w:val="默认段落字体1"/>
    <w:semiHidden/>
  </w:style>
  <w:style w:type="paragraph" w:customStyle="1" w:styleId="font0">
    <w:name w:val="font0"/>
    <w:basedOn w:val="a"/>
    <w:qFormat/>
    <w:pPr>
      <w:widowControl/>
      <w:spacing w:before="100" w:beforeAutospacing="1" w:after="100" w:afterAutospacing="1"/>
      <w:jc w:val="left"/>
    </w:pPr>
    <w:rPr>
      <w:rFonts w:ascii="宋体" w:hAnsi="宋体" w:cs="BankGothic Lt BT" w:hint="eastAsia"/>
      <w:kern w:val="0"/>
      <w:sz w:val="24"/>
    </w:rPr>
  </w:style>
  <w:style w:type="paragraph" w:customStyle="1" w:styleId="xl42">
    <w:name w:val="xl42"/>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xl41">
    <w:name w:val="xl41"/>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p15">
    <w:name w:val="p15"/>
    <w:basedOn w:val="a"/>
    <w:qFormat/>
    <w:pPr>
      <w:widowControl/>
      <w:spacing w:line="480" w:lineRule="atLeast"/>
      <w:ind w:firstLine="420"/>
    </w:pPr>
    <w:rPr>
      <w:color w:val="FF0000"/>
      <w:kern w:val="0"/>
      <w:sz w:val="24"/>
    </w:rPr>
  </w:style>
  <w:style w:type="paragraph" w:customStyle="1" w:styleId="xl43">
    <w:name w:val="xl4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BankGothic Lt BT"/>
      <w:kern w:val="0"/>
      <w:sz w:val="22"/>
      <w:szCs w:val="22"/>
    </w:rPr>
  </w:style>
  <w:style w:type="paragraph" w:customStyle="1" w:styleId="reader-word-layerreader-word-s40-7">
    <w:name w:val="reader-word-layer reader-word-s40-7"/>
    <w:basedOn w:val="a"/>
    <w:pPr>
      <w:widowControl/>
      <w:spacing w:before="100" w:beforeAutospacing="1" w:after="100" w:afterAutospacing="1"/>
      <w:jc w:val="left"/>
    </w:pPr>
    <w:rPr>
      <w:rFonts w:ascii="宋体" w:hAnsi="宋体" w:cs="宋体"/>
      <w:kern w:val="0"/>
      <w:sz w:val="24"/>
    </w:rPr>
  </w:style>
  <w:style w:type="paragraph" w:customStyle="1" w:styleId="aff0">
    <w:name w:val="自正文"/>
    <w:basedOn w:val="a"/>
    <w:qFormat/>
    <w:pPr>
      <w:spacing w:line="500" w:lineRule="exact"/>
      <w:ind w:firstLineChars="200" w:firstLine="200"/>
    </w:pPr>
    <w:rPr>
      <w:kern w:val="0"/>
      <w:sz w:val="24"/>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eastAsia="Arial Unicode MS"/>
      <w:kern w:val="0"/>
      <w:sz w:val="22"/>
      <w:szCs w:val="22"/>
    </w:rPr>
  </w:style>
  <w:style w:type="paragraph" w:customStyle="1" w:styleId="xl46">
    <w:name w:val="xl46"/>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BankGothic Lt BT"/>
      <w:kern w:val="0"/>
      <w:sz w:val="22"/>
      <w:szCs w:val="22"/>
    </w:rPr>
  </w:style>
  <w:style w:type="paragraph" w:customStyle="1" w:styleId="CharChar1Char">
    <w:name w:val="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xl24">
    <w:name w:val="xl24"/>
    <w:basedOn w:val="a"/>
    <w:qFormat/>
    <w:pPr>
      <w:widowControl/>
      <w:pBdr>
        <w:bottom w:val="single" w:sz="4" w:space="0" w:color="auto"/>
        <w:right w:val="single" w:sz="4" w:space="0" w:color="auto"/>
      </w:pBdr>
      <w:spacing w:beforeAutospacing="1" w:afterAutospacing="1"/>
      <w:textAlignment w:val="top"/>
    </w:pPr>
    <w:rPr>
      <w:rFonts w:ascii="Arial Unicode MS" w:eastAsia="Arial Unicode MS" w:hAnsi="Arial Unicode MS"/>
      <w:kern w:val="0"/>
      <w:sz w:val="18"/>
      <w:szCs w:val="20"/>
    </w:rPr>
  </w:style>
  <w:style w:type="paragraph" w:customStyle="1" w:styleId="xl62">
    <w:name w:val="xl6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xl49">
    <w:name w:val="xl49"/>
    <w:basedOn w:val="a"/>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xl54">
    <w:name w:val="xl54"/>
    <w:basedOn w:val="a"/>
    <w:autoRedefine/>
    <w:qFormat/>
    <w:pPr>
      <w:widowControl/>
      <w:pBdr>
        <w:left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26">
    <w:name w:val="正文文本2"/>
    <w:basedOn w:val="a"/>
    <w:pPr>
      <w:shd w:val="clear" w:color="auto" w:fill="FFFFFF"/>
      <w:spacing w:line="480" w:lineRule="exact"/>
      <w:jc w:val="distribute"/>
    </w:pPr>
    <w:rPr>
      <w:rFonts w:ascii="Arial Unicode MS" w:eastAsia="Arial Unicode MS" w:hAnsi="Arial Unicode MS" w:cs="Arial Unicode MS"/>
      <w:kern w:val="0"/>
      <w:sz w:val="23"/>
      <w:szCs w:val="23"/>
    </w:rPr>
  </w:style>
  <w:style w:type="paragraph" w:customStyle="1" w:styleId="19">
    <w:name w:val="列出段落1"/>
    <w:basedOn w:val="a"/>
    <w:uiPriority w:val="34"/>
    <w:qFormat/>
    <w:pPr>
      <w:ind w:firstLineChars="200" w:firstLine="420"/>
    </w:pPr>
    <w:rPr>
      <w:szCs w:val="20"/>
    </w:rPr>
  </w:style>
  <w:style w:type="paragraph" w:customStyle="1" w:styleId="xl48">
    <w:name w:val="xl48"/>
    <w:basedOn w:val="a"/>
    <w:qFormat/>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aff1">
    <w:name w:val="表格文字"/>
    <w:basedOn w:val="a"/>
    <w:pPr>
      <w:spacing w:line="320" w:lineRule="exact"/>
      <w:jc w:val="center"/>
    </w:pPr>
    <w:rPr>
      <w:rFonts w:ascii="仿宋_GB2312" w:eastAsia="仿宋_GB2312" w:hAnsi="宋体"/>
      <w:sz w:val="18"/>
    </w:rPr>
  </w:style>
  <w:style w:type="paragraph" w:customStyle="1" w:styleId="xl40">
    <w:name w:val="xl40"/>
    <w:basedOn w:val="a"/>
    <w:qFormat/>
    <w:pPr>
      <w:widowControl/>
      <w:spacing w:before="100" w:beforeAutospacing="1" w:after="100" w:afterAutospacing="1"/>
      <w:jc w:val="center"/>
    </w:pPr>
    <w:rPr>
      <w:rFonts w:ascii="Arial Unicode MS" w:eastAsia="Arial Unicode MS" w:hAnsi="Arial Unicode MS" w:cs="Arial Unicode MS"/>
      <w:b/>
      <w:bCs/>
      <w:kern w:val="0"/>
      <w:sz w:val="32"/>
      <w:szCs w:val="32"/>
    </w:rPr>
  </w:style>
  <w:style w:type="paragraph" w:customStyle="1" w:styleId="xl38">
    <w:name w:val="xl38"/>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2"/>
      <w:szCs w:val="22"/>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aff2">
    <w:name w:val="报告正文"/>
    <w:basedOn w:val="a"/>
    <w:qFormat/>
    <w:pPr>
      <w:keepNext/>
      <w:spacing w:line="360" w:lineRule="auto"/>
      <w:ind w:firstLineChars="200" w:firstLine="562"/>
    </w:pPr>
    <w:rPr>
      <w:rFonts w:eastAsia="仿宋_GB2312"/>
      <w:bCs/>
      <w:sz w:val="28"/>
      <w:szCs w:val="20"/>
    </w:rPr>
  </w:style>
  <w:style w:type="paragraph" w:customStyle="1" w:styleId="1a">
    <w:name w:val="正文文本缩进1"/>
    <w:basedOn w:val="a"/>
    <w:pPr>
      <w:ind w:firstLineChars="200" w:firstLine="600"/>
    </w:pPr>
    <w:rPr>
      <w:kern w:val="0"/>
      <w:sz w:val="30"/>
    </w:rPr>
  </w:style>
  <w:style w:type="paragraph" w:customStyle="1" w:styleId="xl58">
    <w:name w:val="xl58"/>
    <w:basedOn w:val="a"/>
    <w:qFormat/>
    <w:pPr>
      <w:widowControl/>
      <w:pBdr>
        <w:left w:val="single" w:sz="4" w:space="0" w:color="auto"/>
        <w:bottom w:val="single" w:sz="4"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xl44">
    <w:name w:val="xl4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xl59">
    <w:name w:val="xl59"/>
    <w:basedOn w:val="a"/>
    <w:qFormat/>
    <w:pPr>
      <w:widowControl/>
      <w:pBdr>
        <w:top w:val="single" w:sz="4" w:space="0" w:color="auto"/>
        <w:left w:val="single" w:sz="4"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4"/>
    </w:rPr>
  </w:style>
  <w:style w:type="paragraph" w:customStyle="1" w:styleId="aff3">
    <w:name w:val="表格"/>
    <w:basedOn w:val="a"/>
    <w:qFormat/>
    <w:pPr>
      <w:spacing w:line="320" w:lineRule="atLeast"/>
      <w:jc w:val="center"/>
    </w:pPr>
    <w:rPr>
      <w:rFonts w:eastAsia="仿宋_GB2312"/>
      <w:szCs w:val="20"/>
    </w:rPr>
  </w:style>
  <w:style w:type="paragraph" w:customStyle="1" w:styleId="TableParagraph">
    <w:name w:val="Table Paragraph"/>
    <w:basedOn w:val="a"/>
    <w:uiPriority w:val="1"/>
    <w:qFormat/>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style>
  <w:style w:type="paragraph" w:customStyle="1" w:styleId="0085">
    <w:name w:val="样式 左侧:  0 厘米 首行缩进:  0.85 厘米"/>
    <w:basedOn w:val="a"/>
    <w:pPr>
      <w:ind w:firstLine="480"/>
    </w:pPr>
    <w:rPr>
      <w:rFonts w:eastAsia="仿宋_GB2312"/>
      <w:sz w:val="24"/>
      <w:szCs w:val="2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pPr>
    <w:rPr>
      <w:rFonts w:eastAsia="Arial Unicode MS"/>
      <w:kern w:val="0"/>
      <w:szCs w:val="21"/>
    </w:rPr>
  </w:style>
  <w:style w:type="paragraph" w:customStyle="1" w:styleId="42">
    <w:name w:val="4"/>
    <w:basedOn w:val="a"/>
    <w:qFormat/>
    <w:pPr>
      <w:autoSpaceDE w:val="0"/>
      <w:autoSpaceDN w:val="0"/>
      <w:adjustRightInd w:val="0"/>
      <w:spacing w:line="480" w:lineRule="exact"/>
      <w:ind w:firstLineChars="200" w:firstLine="482"/>
      <w:outlineLvl w:val="3"/>
    </w:pPr>
    <w:rPr>
      <w:rFonts w:ascii="黑体" w:eastAsia="黑体"/>
      <w:b/>
      <w:bCs/>
      <w:sz w:val="24"/>
      <w:lang w:val="zh-CN"/>
    </w:rPr>
  </w:style>
  <w:style w:type="paragraph" w:customStyle="1" w:styleId="font6">
    <w:name w:val="font6"/>
    <w:basedOn w:val="a"/>
    <w:qFormat/>
    <w:pPr>
      <w:widowControl/>
      <w:spacing w:before="100" w:beforeAutospacing="1" w:after="100" w:afterAutospacing="1"/>
      <w:jc w:val="left"/>
    </w:pPr>
    <w:rPr>
      <w:rFonts w:eastAsia="Arial Unicode MS"/>
      <w:kern w:val="0"/>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4"/>
    </w:rPr>
  </w:style>
  <w:style w:type="paragraph" w:customStyle="1" w:styleId="xl45">
    <w:name w:val="xl4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Web">
    <w:name w:val="普通 (Web)"/>
    <w:basedOn w:val="a"/>
    <w:qFormat/>
    <w:pPr>
      <w:widowControl/>
      <w:spacing w:before="100" w:beforeAutospacing="1" w:after="100" w:afterAutospacing="1"/>
      <w:jc w:val="left"/>
    </w:pPr>
    <w:rPr>
      <w:rFonts w:ascii="宋体" w:hAnsi="宋体"/>
      <w:kern w:val="0"/>
      <w:sz w:val="24"/>
    </w:rPr>
  </w:style>
  <w:style w:type="paragraph" w:customStyle="1" w:styleId="114">
    <w:name w:val="正文文本缩进11"/>
    <w:basedOn w:val="a"/>
    <w:pPr>
      <w:ind w:firstLineChars="200" w:firstLine="600"/>
    </w:pPr>
    <w:rPr>
      <w:kern w:val="0"/>
      <w:sz w:val="30"/>
    </w:rPr>
  </w:style>
  <w:style w:type="paragraph" w:customStyle="1" w:styleId="xl47">
    <w:name w:val="xl47"/>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BankGothic Lt BT"/>
      <w:kern w:val="0"/>
      <w:sz w:val="22"/>
      <w:szCs w:val="22"/>
    </w:rPr>
  </w:style>
  <w:style w:type="paragraph" w:customStyle="1" w:styleId="4-0">
    <w:name w:val="4-表格"/>
    <w:basedOn w:val="110"/>
    <w:qFormat/>
    <w:rPr>
      <w:rFonts w:ascii="Times New Roman" w:eastAsia="楷体_GB2312" w:hAnsi="Times New Roman"/>
      <w:kern w:val="2"/>
      <w:sz w:val="20"/>
    </w:rPr>
  </w:style>
  <w:style w:type="paragraph" w:customStyle="1" w:styleId="CharChar1Char1">
    <w:name w:val="Char Char1 Char1"/>
    <w:basedOn w:val="a"/>
    <w:pPr>
      <w:widowControl/>
      <w:spacing w:after="160" w:line="240" w:lineRule="exact"/>
      <w:jc w:val="left"/>
    </w:pPr>
    <w:rPr>
      <w:rFonts w:ascii="Verdana" w:eastAsia="仿宋_GB2312" w:hAnsi="Verdana"/>
      <w:kern w:val="0"/>
      <w:sz w:val="24"/>
      <w:szCs w:val="20"/>
      <w:lang w:eastAsia="en-US"/>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xl39">
    <w:name w:val="xl39"/>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7-">
    <w:name w:val="7-表格"/>
    <w:basedOn w:val="110"/>
    <w:qFormat/>
    <w:rPr>
      <w:rFonts w:ascii="Times New Roman" w:eastAsia="楷体_GB2312" w:hAnsi="Times New Roman"/>
      <w:kern w:val="2"/>
    </w:rPr>
  </w:style>
  <w:style w:type="paragraph" w:customStyle="1" w:styleId="xl37">
    <w:name w:val="xl37"/>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2"/>
      <w:szCs w:val="22"/>
    </w:rPr>
  </w:style>
  <w:style w:type="paragraph" w:customStyle="1" w:styleId="CharCharCharCharCharCharCharCharChar">
    <w:name w:val="Char Char Char Char Char Char Char Char Char"/>
    <w:basedOn w:val="a"/>
    <w:rPr>
      <w:szCs w:val="20"/>
    </w:rPr>
  </w:style>
  <w:style w:type="paragraph" w:customStyle="1" w:styleId="reader-word-layerreader-word-s43-7">
    <w:name w:val="reader-word-layer reader-word-s43-7"/>
    <w:basedOn w:val="a"/>
    <w:pPr>
      <w:widowControl/>
      <w:spacing w:before="100" w:beforeAutospacing="1" w:after="100" w:afterAutospacing="1"/>
      <w:jc w:val="left"/>
    </w:pPr>
    <w:rPr>
      <w:rFonts w:ascii="宋体" w:hAnsi="宋体" w:cs="宋体"/>
      <w:kern w:val="0"/>
      <w:sz w:val="24"/>
    </w:rPr>
  </w:style>
  <w:style w:type="paragraph" w:customStyle="1" w:styleId="reader-word-layerreader-word-s48-14">
    <w:name w:val="reader-word-layer reader-word-s48-14"/>
    <w:basedOn w:val="a"/>
    <w:pPr>
      <w:widowControl/>
      <w:spacing w:before="100" w:beforeAutospacing="1" w:after="100" w:afterAutospacing="1"/>
      <w:jc w:val="left"/>
    </w:pPr>
    <w:rPr>
      <w:rFonts w:ascii="宋体" w:hAnsi="宋体" w:cs="宋体"/>
      <w:kern w:val="0"/>
      <w:sz w:val="24"/>
    </w:rPr>
  </w:style>
  <w:style w:type="paragraph" w:customStyle="1" w:styleId="reader-word-layerreader-word-s42-6">
    <w:name w:val="reader-word-layer reader-word-s42-6"/>
    <w:basedOn w:val="a"/>
    <w:pPr>
      <w:widowControl/>
      <w:spacing w:before="100" w:beforeAutospacing="1" w:after="100" w:afterAutospacing="1"/>
      <w:jc w:val="left"/>
    </w:pPr>
    <w:rPr>
      <w:rFonts w:ascii="宋体" w:hAnsi="宋体" w:cs="宋体"/>
      <w:kern w:val="0"/>
      <w:sz w:val="24"/>
    </w:rPr>
  </w:style>
  <w:style w:type="paragraph" w:customStyle="1" w:styleId="aff4">
    <w:name w:val="章标题"/>
    <w:next w:val="a"/>
    <w:qFormat/>
    <w:pPr>
      <w:tabs>
        <w:tab w:val="left" w:pos="567"/>
      </w:tabs>
      <w:spacing w:beforeLines="50" w:afterLines="50"/>
      <w:ind w:left="567" w:hanging="567"/>
      <w:jc w:val="both"/>
      <w:outlineLvl w:val="1"/>
    </w:pPr>
    <w:rPr>
      <w:rFonts w:ascii="黑体" w:eastAsia="黑体"/>
      <w:sz w:val="21"/>
    </w:rPr>
  </w:style>
  <w:style w:type="paragraph" w:customStyle="1" w:styleId="35">
    <w:name w:val="正文文本3"/>
    <w:basedOn w:val="a"/>
    <w:pPr>
      <w:shd w:val="clear" w:color="auto" w:fill="FFFFFF"/>
      <w:spacing w:before="8340" w:line="0" w:lineRule="atLeast"/>
      <w:jc w:val="center"/>
    </w:pPr>
    <w:rPr>
      <w:rFonts w:ascii="MingLiU" w:eastAsia="MingLiU" w:hAnsi="MingLiU" w:cs="MingLiU"/>
      <w:kern w:val="0"/>
      <w:sz w:val="28"/>
      <w:szCs w:val="28"/>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4"/>
    </w:rPr>
  </w:style>
  <w:style w:type="paragraph" w:customStyle="1" w:styleId="font8">
    <w:name w:val="font8"/>
    <w:basedOn w:val="a"/>
    <w:qFormat/>
    <w:pPr>
      <w:widowControl/>
      <w:spacing w:before="100" w:beforeAutospacing="1" w:after="100" w:afterAutospacing="1"/>
      <w:jc w:val="left"/>
    </w:pPr>
    <w:rPr>
      <w:kern w:val="0"/>
      <w:sz w:val="24"/>
    </w:rPr>
  </w:style>
  <w:style w:type="paragraph" w:customStyle="1" w:styleId="CharCharCharCharCharCharCharCharCharCharCharCharCharCharCharChar">
    <w:name w:val="Char Char Char Char Char Char Char Char Char Char Char Char Char Char Char Char"/>
    <w:basedOn w:val="a"/>
    <w:qFormat/>
  </w:style>
  <w:style w:type="paragraph" w:customStyle="1" w:styleId="Char10">
    <w:name w:val="Char1"/>
    <w:basedOn w:val="a"/>
    <w:link w:val="CharChar11"/>
    <w:pPr>
      <w:ind w:left="-48"/>
    </w:pPr>
  </w:style>
  <w:style w:type="character" w:customStyle="1" w:styleId="CharChar11">
    <w:name w:val="Char Char11"/>
    <w:basedOn w:val="a1"/>
    <w:link w:val="Char10"/>
    <w:rPr>
      <w:kern w:val="2"/>
      <w:sz w:val="21"/>
      <w:szCs w:val="24"/>
    </w:rPr>
  </w:style>
  <w:style w:type="paragraph" w:customStyle="1" w:styleId="xl51">
    <w:name w:val="xl51"/>
    <w:basedOn w:val="a"/>
    <w:qFormat/>
    <w:pPr>
      <w:widowControl/>
      <w:pBdr>
        <w:left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styleId="aff5">
    <w:name w:val="List Paragraph"/>
    <w:basedOn w:val="a"/>
    <w:uiPriority w:val="34"/>
    <w:qFormat/>
    <w:pPr>
      <w:ind w:firstLineChars="200" w:firstLine="420"/>
    </w:pPr>
  </w:style>
  <w:style w:type="paragraph" w:customStyle="1" w:styleId="xl29">
    <w:name w:val="xl29"/>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0"/>
    </w:rPr>
  </w:style>
  <w:style w:type="paragraph" w:customStyle="1" w:styleId="aff6">
    <w:name w:val="一级无标题条"/>
    <w:basedOn w:val="a"/>
    <w:qFormat/>
    <w:rPr>
      <w:szCs w:val="20"/>
    </w:rPr>
  </w:style>
  <w:style w:type="paragraph" w:customStyle="1" w:styleId="xl63">
    <w:name w:val="xl63"/>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p0">
    <w:name w:val="p0"/>
    <w:basedOn w:val="a"/>
    <w:qFormat/>
    <w:pPr>
      <w:widowControl/>
    </w:pPr>
    <w:rPr>
      <w:kern w:val="0"/>
      <w:szCs w:val="21"/>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reader-word-layerreader-word-s43-4">
    <w:name w:val="reader-word-layer reader-word-s43-4"/>
    <w:basedOn w:val="a"/>
    <w:pPr>
      <w:widowControl/>
      <w:spacing w:before="100" w:beforeAutospacing="1" w:after="100" w:afterAutospacing="1"/>
      <w:jc w:val="left"/>
    </w:pPr>
    <w:rPr>
      <w:rFonts w:ascii="宋体" w:hAnsi="宋体" w:cs="宋体"/>
      <w:kern w:val="0"/>
      <w:sz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4"/>
    </w:rPr>
  </w:style>
  <w:style w:type="paragraph" w:customStyle="1" w:styleId="aff7">
    <w:name w:val="表头"/>
    <w:basedOn w:val="a"/>
    <w:next w:val="aff3"/>
    <w:qFormat/>
    <w:pPr>
      <w:spacing w:line="540" w:lineRule="exact"/>
      <w:ind w:firstLineChars="200" w:firstLine="200"/>
      <w:jc w:val="left"/>
      <w:outlineLvl w:val="2"/>
    </w:pPr>
    <w:rPr>
      <w:rFonts w:eastAsia="黑体"/>
      <w:sz w:val="28"/>
      <w:szCs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4"/>
    </w:rPr>
  </w:style>
  <w:style w:type="paragraph" w:customStyle="1" w:styleId="xl57">
    <w:name w:val="xl57"/>
    <w:basedOn w:val="a"/>
    <w:qFormat/>
    <w:pPr>
      <w:widowControl/>
      <w:pBdr>
        <w:left w:val="single" w:sz="4"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reader-word-layerreader-word-s42-8">
    <w:name w:val="reader-word-layer reader-word-s42-8"/>
    <w:basedOn w:val="a"/>
    <w:pPr>
      <w:widowControl/>
      <w:spacing w:before="100" w:beforeAutospacing="1" w:after="100" w:afterAutospacing="1"/>
      <w:jc w:val="left"/>
    </w:pPr>
    <w:rPr>
      <w:rFonts w:ascii="宋体" w:hAnsi="宋体" w:cs="宋体"/>
      <w:kern w:val="0"/>
      <w:sz w:val="24"/>
    </w:rPr>
  </w:style>
  <w:style w:type="paragraph" w:customStyle="1" w:styleId="1b">
    <w:name w:val="修订1"/>
    <w:uiPriority w:val="99"/>
    <w:semiHidden/>
    <w:rPr>
      <w:kern w:val="2"/>
      <w:sz w:val="21"/>
      <w:szCs w:val="24"/>
    </w:rPr>
  </w:style>
  <w:style w:type="paragraph" w:customStyle="1" w:styleId="font7">
    <w:name w:val="font7"/>
    <w:basedOn w:val="a"/>
    <w:qFormat/>
    <w:pPr>
      <w:widowControl/>
      <w:spacing w:before="100" w:beforeAutospacing="1" w:after="100" w:afterAutospacing="1"/>
      <w:jc w:val="left"/>
    </w:pPr>
    <w:rPr>
      <w:rFonts w:eastAsia="Arial Unicode MS"/>
      <w:kern w:val="0"/>
      <w:sz w:val="22"/>
      <w:szCs w:val="22"/>
    </w:rPr>
  </w:style>
  <w:style w:type="paragraph" w:customStyle="1" w:styleId="xl50">
    <w:name w:val="xl5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aff8">
    <w:name w:val="样式"/>
    <w:qFormat/>
    <w:pPr>
      <w:widowControl w:val="0"/>
      <w:autoSpaceDE w:val="0"/>
      <w:autoSpaceDN w:val="0"/>
      <w:adjustRightInd w:val="0"/>
    </w:pPr>
    <w:rPr>
      <w:sz w:val="24"/>
      <w:szCs w:val="24"/>
    </w:rPr>
  </w:style>
  <w:style w:type="paragraph" w:customStyle="1" w:styleId="xl55">
    <w:name w:val="xl55"/>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aff9">
    <w:name w:val="段"/>
    <w:qFormat/>
    <w:pPr>
      <w:autoSpaceDE w:val="0"/>
      <w:autoSpaceDN w:val="0"/>
      <w:ind w:firstLineChars="200" w:firstLine="200"/>
      <w:jc w:val="both"/>
    </w:pPr>
    <w:rPr>
      <w:rFonts w:ascii="宋体"/>
      <w:sz w:val="21"/>
      <w:szCs w:val="22"/>
    </w:rPr>
  </w:style>
  <w:style w:type="paragraph" w:customStyle="1" w:styleId="xl56">
    <w:name w:val="xl56"/>
    <w:basedOn w:val="a"/>
    <w:qFormat/>
    <w:pPr>
      <w:widowControl/>
      <w:pBdr>
        <w:top w:val="single" w:sz="4" w:space="0" w:color="auto"/>
        <w:left w:val="single" w:sz="4"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xl34">
    <w:name w:val="xl34"/>
    <w:basedOn w:val="a"/>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CharChar1CharCharCharChar">
    <w:name w:val="Char Char1 Char Char Char Char"/>
    <w:basedOn w:val="a"/>
    <w:qFormat/>
    <w:pPr>
      <w:snapToGrid w:val="0"/>
      <w:spacing w:line="360" w:lineRule="auto"/>
      <w:ind w:firstLineChars="200" w:firstLine="200"/>
    </w:pPr>
    <w:rPr>
      <w:rFonts w:eastAsia="仿宋_GB2312"/>
      <w:sz w:val="24"/>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2"/>
      <w:szCs w:val="22"/>
    </w:rPr>
  </w:style>
  <w:style w:type="paragraph" w:customStyle="1" w:styleId="xl61">
    <w:name w:val="xl61"/>
    <w:basedOn w:val="a"/>
    <w:qFormat/>
    <w:pPr>
      <w:widowControl/>
      <w:pBdr>
        <w:left w:val="single" w:sz="4" w:space="0" w:color="auto"/>
        <w:bottom w:val="single" w:sz="8"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font5">
    <w:name w:val="font5"/>
    <w:basedOn w:val="a"/>
    <w:qFormat/>
    <w:pPr>
      <w:widowControl/>
      <w:spacing w:before="100" w:beforeAutospacing="1" w:after="100" w:afterAutospacing="1"/>
      <w:jc w:val="left"/>
    </w:pPr>
    <w:rPr>
      <w:rFonts w:ascii="宋体" w:hAnsi="宋体" w:cs="BankGothic Lt BT" w:hint="eastAsia"/>
      <w:kern w:val="0"/>
      <w:sz w:val="18"/>
      <w:szCs w:val="18"/>
    </w:rPr>
  </w:style>
  <w:style w:type="paragraph" w:customStyle="1" w:styleId="xl60">
    <w:name w:val="xl60"/>
    <w:basedOn w:val="a"/>
    <w:qFormat/>
    <w:pPr>
      <w:widowControl/>
      <w:pBdr>
        <w:left w:val="single" w:sz="4"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xl36">
    <w:name w:val="xl36"/>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2"/>
      <w:szCs w:val="22"/>
    </w:rPr>
  </w:style>
  <w:style w:type="paragraph" w:customStyle="1" w:styleId="Default">
    <w:name w:val="Default"/>
    <w:pPr>
      <w:widowControl w:val="0"/>
      <w:autoSpaceDE w:val="0"/>
      <w:autoSpaceDN w:val="0"/>
      <w:adjustRightInd w:val="0"/>
    </w:pPr>
    <w:rPr>
      <w:rFonts w:ascii="黑体" w:eastAsia="黑体" w:hAnsi="Calibri" w:cs="黑体"/>
      <w:color w:val="000000"/>
      <w:sz w:val="24"/>
      <w:szCs w:val="24"/>
    </w:rPr>
  </w:style>
  <w:style w:type="character" w:customStyle="1" w:styleId="UnresolvedMention">
    <w:name w:val="Unresolved Mention"/>
    <w:basedOn w:val="a1"/>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uiPriority="0" w:unhideWhenUsed="0" w:qFormat="1"/>
    <w:lsdException w:name="heading 5" w:uiPriority="0" w:unhideWhenUsed="0" w:qFormat="1"/>
    <w:lsdException w:name="heading 6" w:semiHidden="1" w:uiPriority="9" w:qFormat="1"/>
    <w:lsdException w:name="heading 7" w:uiPriority="0" w:unhideWhenUsed="0"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qFormat="1"/>
    <w:lsdException w:name="Body Text First Indent" w:uiPriority="0" w:unhideWhenUsed="0" w:qFormat="1"/>
    <w:lsdException w:name="Body Text First Indent 2" w:semiHidden="1"/>
    <w:lsdException w:name="Note Heading" w:semiHidden="1"/>
    <w:lsdException w:name="Body Text 2" w:uiPriority="0" w:qFormat="1"/>
    <w:lsdException w:name="Body Text 3" w:uiPriority="0" w:qFormat="1"/>
    <w:lsdException w:name="Body Text Indent 2" w:uiPriority="0" w:unhideWhenUsed="0" w:qFormat="1"/>
    <w:lsdException w:name="Body Text Indent 3" w:uiPriority="0" w:unhideWhenUsed="0" w:qFormat="1"/>
    <w:lsdException w:name="Block Text" w:uiPriority="0" w:unhideWhenUsed="0" w:qFormat="1"/>
    <w:lsdException w:name="Hyperlink" w:qFormat="1"/>
    <w:lsdException w:name="FollowedHyperlink" w:uiPriority="0" w:unhideWhenUsed="0"/>
    <w:lsdException w:name="Strong" w:uiPriority="0" w:unhideWhenUsed="0" w:qFormat="1"/>
    <w:lsdException w:name="Emphasis" w:uiPriority="0" w:unhideWhenUsed="0" w:qFormat="1"/>
    <w:lsdException w:name="Document Map" w:uiPriority="0" w:qFormat="1"/>
    <w:lsdException w:name="Plain Text" w:uiPriority="0" w:unhideWhenUsed="0" w:qFormat="1"/>
    <w:lsdException w:name="E-mail Signature" w:semiHidden="1"/>
    <w:lsdException w:name="HTML Top of Form" w:semiHidden="1"/>
    <w:lsdException w:name="HTML Bottom of Form" w:semiHidden="1"/>
    <w:lsdException w:name="Normal (Web)"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0" w:unhideWhenUsed="0" w:qFormat="1"/>
    <w:lsdException w:name="Table Theme" w:semiHidden="1"/>
    <w:lsdException w:name="Placeholder Text" w:semiHidden="1" w:unhideWhenUsed="0"/>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jc w:val="center"/>
      <w:outlineLvl w:val="0"/>
    </w:pPr>
    <w:rPr>
      <w:b/>
      <w:bCs/>
      <w:kern w:val="44"/>
      <w:sz w:val="36"/>
      <w:szCs w:val="44"/>
    </w:rPr>
  </w:style>
  <w:style w:type="paragraph" w:styleId="2">
    <w:name w:val="heading 2"/>
    <w:basedOn w:val="a"/>
    <w:next w:val="a0"/>
    <w:link w:val="2Char"/>
    <w:qFormat/>
    <w:pPr>
      <w:keepNext/>
      <w:keepLines/>
      <w:suppressAutoHyphens/>
      <w:wordWrap w:val="0"/>
      <w:topLinePunct/>
      <w:adjustRightInd w:val="0"/>
      <w:snapToGrid w:val="0"/>
      <w:spacing w:before="400" w:line="480" w:lineRule="atLeast"/>
      <w:ind w:firstLineChars="200" w:firstLine="562"/>
      <w:jc w:val="left"/>
      <w:outlineLvl w:val="1"/>
    </w:pPr>
    <w:rPr>
      <w:rFonts w:eastAsia="黑体"/>
      <w:b/>
      <w:bCs/>
      <w:sz w:val="28"/>
      <w:szCs w:val="30"/>
    </w:rPr>
  </w:style>
  <w:style w:type="paragraph" w:styleId="3">
    <w:name w:val="heading 3"/>
    <w:basedOn w:val="a"/>
    <w:next w:val="a"/>
    <w:link w:val="3Char"/>
    <w:qFormat/>
    <w:pPr>
      <w:keepNext/>
      <w:keepLines/>
      <w:spacing w:before="260" w:after="260" w:line="360" w:lineRule="auto"/>
      <w:outlineLvl w:val="2"/>
    </w:pPr>
    <w:rPr>
      <w:b/>
      <w:bCs/>
      <w:sz w:val="24"/>
      <w:szCs w:val="32"/>
    </w:rPr>
  </w:style>
  <w:style w:type="paragraph" w:styleId="4">
    <w:name w:val="heading 4"/>
    <w:basedOn w:val="a"/>
    <w:next w:val="a"/>
    <w:link w:val="4Char2"/>
    <w:qFormat/>
    <w:pPr>
      <w:keepNext/>
      <w:spacing w:line="240" w:lineRule="exact"/>
      <w:jc w:val="center"/>
      <w:outlineLvl w:val="3"/>
    </w:pPr>
    <w:rPr>
      <w:rFonts w:ascii="宋体" w:hAnsi="宋体"/>
      <w:b/>
      <w:bCs/>
      <w:szCs w:val="20"/>
    </w:rPr>
  </w:style>
  <w:style w:type="paragraph" w:styleId="5">
    <w:name w:val="heading 5"/>
    <w:basedOn w:val="a"/>
    <w:next w:val="a"/>
    <w:link w:val="5Char"/>
    <w:qFormat/>
    <w:pPr>
      <w:keepNext/>
      <w:keepLines/>
      <w:spacing w:before="280" w:after="290" w:line="376" w:lineRule="auto"/>
      <w:outlineLvl w:val="4"/>
    </w:pPr>
    <w:rPr>
      <w:b/>
      <w:bCs/>
      <w:sz w:val="28"/>
      <w:szCs w:val="28"/>
    </w:rPr>
  </w:style>
  <w:style w:type="paragraph" w:styleId="7">
    <w:name w:val="heading 7"/>
    <w:basedOn w:val="a"/>
    <w:next w:val="a"/>
    <w:link w:val="7Char"/>
    <w:qFormat/>
    <w:pPr>
      <w:keepNext/>
      <w:keepLines/>
      <w:spacing w:before="240" w:after="64" w:line="320" w:lineRule="auto"/>
      <w:outlineLvl w:val="6"/>
    </w:pPr>
    <w:rPr>
      <w:b/>
      <w:b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
    <w:link w:val="Char"/>
    <w:qFormat/>
    <w:pPr>
      <w:ind w:firstLineChars="100" w:firstLine="420"/>
    </w:pPr>
  </w:style>
  <w:style w:type="paragraph" w:styleId="70">
    <w:name w:val="toc 7"/>
    <w:basedOn w:val="a"/>
    <w:next w:val="a"/>
    <w:uiPriority w:val="39"/>
    <w:unhideWhenUsed/>
    <w:qFormat/>
    <w:pPr>
      <w:ind w:left="1260"/>
      <w:jc w:val="left"/>
    </w:pPr>
    <w:rPr>
      <w:rFonts w:ascii="Calibri" w:hAnsi="Calibri"/>
      <w:sz w:val="18"/>
      <w:szCs w:val="18"/>
    </w:rPr>
  </w:style>
  <w:style w:type="paragraph" w:styleId="a4">
    <w:name w:val="Normal Indent"/>
    <w:basedOn w:val="a"/>
    <w:link w:val="Char0"/>
    <w:unhideWhenUsed/>
    <w:qFormat/>
    <w:pPr>
      <w:ind w:firstLine="420"/>
    </w:pPr>
    <w:rPr>
      <w:rFonts w:eastAsia="华文中宋"/>
      <w:sz w:val="44"/>
      <w:szCs w:val="20"/>
    </w:rPr>
  </w:style>
  <w:style w:type="paragraph" w:styleId="a5">
    <w:name w:val="Document Map"/>
    <w:basedOn w:val="a"/>
    <w:link w:val="Char1"/>
    <w:unhideWhenUsed/>
    <w:qFormat/>
    <w:rPr>
      <w:rFonts w:ascii="宋体"/>
      <w:sz w:val="18"/>
      <w:szCs w:val="18"/>
    </w:rPr>
  </w:style>
  <w:style w:type="paragraph" w:styleId="a6">
    <w:name w:val="annotation text"/>
    <w:basedOn w:val="a"/>
    <w:link w:val="Char2"/>
    <w:uiPriority w:val="99"/>
    <w:unhideWhenUsed/>
    <w:pPr>
      <w:jc w:val="left"/>
    </w:pPr>
  </w:style>
  <w:style w:type="paragraph" w:styleId="30">
    <w:name w:val="Body Text 3"/>
    <w:basedOn w:val="a"/>
    <w:link w:val="3Char0"/>
    <w:unhideWhenUsed/>
    <w:qFormat/>
    <w:pPr>
      <w:spacing w:after="120"/>
    </w:pPr>
    <w:rPr>
      <w:sz w:val="16"/>
      <w:szCs w:val="16"/>
    </w:rPr>
  </w:style>
  <w:style w:type="paragraph" w:styleId="a7">
    <w:name w:val="Body Text"/>
    <w:basedOn w:val="a"/>
    <w:link w:val="Char3"/>
    <w:uiPriority w:val="99"/>
    <w:unhideWhenUsed/>
    <w:qFormat/>
    <w:pPr>
      <w:spacing w:after="120"/>
    </w:pPr>
  </w:style>
  <w:style w:type="paragraph" w:styleId="a8">
    <w:name w:val="Body Text Indent"/>
    <w:basedOn w:val="a"/>
    <w:link w:val="Char4"/>
    <w:qFormat/>
    <w:pPr>
      <w:spacing w:after="120"/>
      <w:ind w:leftChars="200" w:left="420"/>
    </w:pPr>
  </w:style>
  <w:style w:type="paragraph" w:styleId="a9">
    <w:name w:val="Block Text"/>
    <w:basedOn w:val="a"/>
    <w:qFormat/>
    <w:pPr>
      <w:spacing w:line="320" w:lineRule="exact"/>
      <w:ind w:leftChars="-50" w:left="-105" w:rightChars="-50" w:right="-105"/>
      <w:jc w:val="center"/>
    </w:pPr>
    <w:rPr>
      <w:rFonts w:ascii="宋体" w:hAnsi="宋体"/>
      <w:sz w:val="24"/>
      <w:szCs w:val="21"/>
    </w:rPr>
  </w:style>
  <w:style w:type="paragraph" w:styleId="50">
    <w:name w:val="toc 5"/>
    <w:basedOn w:val="a"/>
    <w:next w:val="a"/>
    <w:uiPriority w:val="39"/>
    <w:unhideWhenUsed/>
    <w:qFormat/>
    <w:pPr>
      <w:ind w:left="840"/>
      <w:jc w:val="left"/>
    </w:pPr>
    <w:rPr>
      <w:rFonts w:ascii="Calibri" w:hAnsi="Calibri"/>
      <w:sz w:val="18"/>
      <w:szCs w:val="18"/>
    </w:rPr>
  </w:style>
  <w:style w:type="paragraph" w:styleId="31">
    <w:name w:val="toc 3"/>
    <w:basedOn w:val="a"/>
    <w:next w:val="a"/>
    <w:uiPriority w:val="39"/>
    <w:unhideWhenUsed/>
    <w:qFormat/>
    <w:pPr>
      <w:ind w:leftChars="400" w:left="840"/>
    </w:pPr>
  </w:style>
  <w:style w:type="paragraph" w:styleId="aa">
    <w:name w:val="Plain Text"/>
    <w:basedOn w:val="a"/>
    <w:link w:val="Char5"/>
    <w:qFormat/>
    <w:rPr>
      <w:rFonts w:ascii="宋体" w:hAnsi="Courier New"/>
      <w:szCs w:val="21"/>
    </w:rPr>
  </w:style>
  <w:style w:type="paragraph" w:styleId="8">
    <w:name w:val="toc 8"/>
    <w:basedOn w:val="a"/>
    <w:next w:val="a"/>
    <w:uiPriority w:val="39"/>
    <w:unhideWhenUsed/>
    <w:qFormat/>
    <w:pPr>
      <w:ind w:left="1470"/>
      <w:jc w:val="left"/>
    </w:pPr>
    <w:rPr>
      <w:rFonts w:ascii="Calibri" w:hAnsi="Calibri"/>
      <w:sz w:val="18"/>
      <w:szCs w:val="18"/>
    </w:rPr>
  </w:style>
  <w:style w:type="paragraph" w:styleId="ab">
    <w:name w:val="Date"/>
    <w:basedOn w:val="a"/>
    <w:next w:val="a"/>
    <w:link w:val="Char6"/>
    <w:autoRedefine/>
    <w:unhideWhenUsed/>
    <w:qFormat/>
    <w:pPr>
      <w:ind w:leftChars="2500" w:left="100"/>
    </w:pPr>
  </w:style>
  <w:style w:type="paragraph" w:styleId="20">
    <w:name w:val="Body Text Indent 2"/>
    <w:basedOn w:val="a"/>
    <w:link w:val="2Char0"/>
    <w:qFormat/>
    <w:pPr>
      <w:spacing w:line="360" w:lineRule="auto"/>
      <w:ind w:firstLineChars="200" w:firstLine="480"/>
    </w:pPr>
    <w:rPr>
      <w:rFonts w:ascii="宋体" w:hAnsi="宋体"/>
      <w:sz w:val="24"/>
    </w:rPr>
  </w:style>
  <w:style w:type="paragraph" w:styleId="ac">
    <w:name w:val="Balloon Text"/>
    <w:basedOn w:val="a"/>
    <w:link w:val="Char7"/>
    <w:unhideWhenUsed/>
    <w:qFormat/>
    <w:rPr>
      <w:sz w:val="18"/>
      <w:szCs w:val="18"/>
    </w:rPr>
  </w:style>
  <w:style w:type="paragraph" w:styleId="ad">
    <w:name w:val="footer"/>
    <w:link w:val="Char8"/>
    <w:autoRedefine/>
    <w:uiPriority w:val="99"/>
    <w:unhideWhenUsed/>
    <w:qFormat/>
    <w:pPr>
      <w:tabs>
        <w:tab w:val="center" w:pos="4153"/>
        <w:tab w:val="right" w:pos="8306"/>
      </w:tabs>
      <w:snapToGrid w:val="0"/>
      <w:jc w:val="right"/>
    </w:pPr>
    <w:rPr>
      <w:kern w:val="2"/>
      <w:sz w:val="18"/>
      <w:szCs w:val="18"/>
    </w:rPr>
  </w:style>
  <w:style w:type="paragraph" w:styleId="ae">
    <w:name w:val="header"/>
    <w:basedOn w:val="a"/>
    <w:link w:val="Char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tabs>
        <w:tab w:val="right" w:leader="dot" w:pos="8296"/>
      </w:tabs>
      <w:spacing w:line="360" w:lineRule="auto"/>
      <w:jc w:val="center"/>
    </w:pPr>
    <w:rPr>
      <w:rFonts w:ascii="黑体" w:eastAsia="黑体" w:hAnsi="黑体"/>
      <w:b/>
      <w:sz w:val="28"/>
    </w:rPr>
  </w:style>
  <w:style w:type="paragraph" w:styleId="40">
    <w:name w:val="toc 4"/>
    <w:basedOn w:val="a"/>
    <w:next w:val="a"/>
    <w:uiPriority w:val="39"/>
    <w:unhideWhenUsed/>
    <w:qFormat/>
    <w:pPr>
      <w:tabs>
        <w:tab w:val="right" w:leader="middleDot" w:pos="8495"/>
      </w:tabs>
      <w:spacing w:line="480" w:lineRule="exact"/>
      <w:ind w:leftChars="100" w:left="210"/>
      <w:jc w:val="left"/>
    </w:pPr>
    <w:rPr>
      <w:rFonts w:ascii="Calibri" w:eastAsia="楷体_GB2312" w:hAnsi="Calibri"/>
      <w:sz w:val="24"/>
      <w:szCs w:val="18"/>
    </w:rPr>
  </w:style>
  <w:style w:type="paragraph" w:styleId="6">
    <w:name w:val="toc 6"/>
    <w:basedOn w:val="a"/>
    <w:next w:val="a"/>
    <w:uiPriority w:val="39"/>
    <w:unhideWhenUsed/>
    <w:qFormat/>
    <w:pPr>
      <w:ind w:left="1050"/>
      <w:jc w:val="left"/>
    </w:pPr>
    <w:rPr>
      <w:rFonts w:ascii="Calibri" w:hAnsi="Calibri"/>
      <w:sz w:val="18"/>
      <w:szCs w:val="18"/>
    </w:rPr>
  </w:style>
  <w:style w:type="paragraph" w:styleId="32">
    <w:name w:val="Body Text Indent 3"/>
    <w:basedOn w:val="a"/>
    <w:link w:val="3Char1"/>
    <w:qFormat/>
    <w:pPr>
      <w:spacing w:line="520" w:lineRule="exact"/>
      <w:ind w:firstLineChars="200" w:firstLine="560"/>
    </w:pPr>
    <w:rPr>
      <w:kern w:val="0"/>
      <w:sz w:val="28"/>
    </w:rPr>
  </w:style>
  <w:style w:type="paragraph" w:styleId="21">
    <w:name w:val="toc 2"/>
    <w:basedOn w:val="a"/>
    <w:next w:val="a"/>
    <w:uiPriority w:val="39"/>
    <w:unhideWhenUsed/>
    <w:qFormat/>
    <w:pPr>
      <w:spacing w:line="360" w:lineRule="auto"/>
      <w:ind w:leftChars="200" w:left="420"/>
    </w:pPr>
    <w:rPr>
      <w:sz w:val="24"/>
    </w:rPr>
  </w:style>
  <w:style w:type="paragraph" w:styleId="9">
    <w:name w:val="toc 9"/>
    <w:basedOn w:val="a"/>
    <w:next w:val="a"/>
    <w:uiPriority w:val="39"/>
    <w:unhideWhenUsed/>
    <w:qFormat/>
    <w:pPr>
      <w:ind w:left="1680"/>
      <w:jc w:val="left"/>
    </w:pPr>
    <w:rPr>
      <w:rFonts w:ascii="Calibri" w:hAnsi="Calibri"/>
      <w:sz w:val="18"/>
      <w:szCs w:val="18"/>
    </w:rPr>
  </w:style>
  <w:style w:type="paragraph" w:styleId="22">
    <w:name w:val="Body Text 2"/>
    <w:basedOn w:val="a"/>
    <w:link w:val="2Char1"/>
    <w:unhideWhenUsed/>
    <w:qFormat/>
    <w:pPr>
      <w:spacing w:after="120" w:line="480" w:lineRule="auto"/>
    </w:pPr>
  </w:style>
  <w:style w:type="paragraph" w:styleId="af">
    <w:name w:val="Normal (Web)"/>
    <w:basedOn w:val="a"/>
    <w:uiPriority w:val="99"/>
    <w:qFormat/>
    <w:pPr>
      <w:widowControl/>
      <w:spacing w:before="207" w:after="207" w:line="323" w:lineRule="atLeast"/>
      <w:jc w:val="left"/>
    </w:pPr>
    <w:rPr>
      <w:rFonts w:ascii="宋体" w:hAnsi="宋体" w:cs="宋体"/>
      <w:kern w:val="0"/>
      <w:sz w:val="17"/>
      <w:szCs w:val="17"/>
    </w:rPr>
  </w:style>
  <w:style w:type="paragraph" w:styleId="af0">
    <w:name w:val="Title"/>
    <w:next w:val="a"/>
    <w:link w:val="Chara"/>
    <w:autoRedefine/>
    <w:uiPriority w:val="10"/>
    <w:qFormat/>
    <w:pPr>
      <w:spacing w:line="580" w:lineRule="exact"/>
      <w:ind w:firstLineChars="200" w:firstLine="200"/>
      <w:outlineLvl w:val="2"/>
    </w:pPr>
    <w:rPr>
      <w:rFonts w:ascii="Cambria" w:eastAsia="黑体" w:hAnsi="Cambria"/>
      <w:b/>
      <w:bCs/>
      <w:kern w:val="2"/>
      <w:sz w:val="28"/>
      <w:szCs w:val="32"/>
    </w:rPr>
  </w:style>
  <w:style w:type="paragraph" w:styleId="af1">
    <w:name w:val="annotation subject"/>
    <w:basedOn w:val="a6"/>
    <w:next w:val="a6"/>
    <w:link w:val="Charb"/>
    <w:uiPriority w:val="99"/>
    <w:unhideWhenUsed/>
    <w:rPr>
      <w:b/>
      <w:bCs/>
    </w:rPr>
  </w:style>
  <w:style w:type="table" w:styleId="af2">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3">
    <w:name w:val="Strong"/>
    <w:autoRedefine/>
    <w:qFormat/>
    <w:rPr>
      <w:b/>
      <w:bCs/>
    </w:rPr>
  </w:style>
  <w:style w:type="character" w:styleId="af4">
    <w:name w:val="page number"/>
    <w:basedOn w:val="a1"/>
    <w:qFormat/>
  </w:style>
  <w:style w:type="character" w:styleId="af5">
    <w:name w:val="FollowedHyperlink"/>
    <w:rPr>
      <w:color w:val="800080"/>
      <w:u w:val="single"/>
    </w:rPr>
  </w:style>
  <w:style w:type="character" w:styleId="af6">
    <w:name w:val="Emphasis"/>
    <w:qFormat/>
    <w:rPr>
      <w:rFonts w:ascii="Times New Roman" w:eastAsia="黑体" w:hAnsi="Times New Roman"/>
      <w:b/>
      <w:iCs/>
      <w:sz w:val="24"/>
    </w:rPr>
  </w:style>
  <w:style w:type="character" w:styleId="af7">
    <w:name w:val="Hyperlink"/>
    <w:uiPriority w:val="99"/>
    <w:unhideWhenUsed/>
    <w:qFormat/>
    <w:rPr>
      <w:color w:val="0000FF"/>
      <w:u w:val="single"/>
    </w:rPr>
  </w:style>
  <w:style w:type="character" w:styleId="af8">
    <w:name w:val="annotation reference"/>
    <w:uiPriority w:val="99"/>
    <w:unhideWhenUsed/>
    <w:rPr>
      <w:sz w:val="21"/>
      <w:szCs w:val="21"/>
    </w:rPr>
  </w:style>
  <w:style w:type="character" w:customStyle="1" w:styleId="Char">
    <w:name w:val="正文首行缩进 Char"/>
    <w:link w:val="a0"/>
    <w:qFormat/>
    <w:rPr>
      <w:rFonts w:ascii="Times New Roman" w:eastAsia="宋体" w:hAnsi="Times New Roman"/>
      <w:kern w:val="2"/>
      <w:sz w:val="21"/>
      <w:szCs w:val="24"/>
    </w:rPr>
  </w:style>
  <w:style w:type="character" w:customStyle="1" w:styleId="1Char">
    <w:name w:val="标题 1 Char"/>
    <w:link w:val="1"/>
    <w:qFormat/>
    <w:rPr>
      <w:rFonts w:ascii="Times New Roman" w:eastAsia="宋体" w:hAnsi="Times New Roman"/>
      <w:b/>
      <w:bCs/>
      <w:kern w:val="44"/>
      <w:sz w:val="36"/>
      <w:szCs w:val="44"/>
    </w:rPr>
  </w:style>
  <w:style w:type="character" w:customStyle="1" w:styleId="2Char">
    <w:name w:val="标题 2 Char"/>
    <w:link w:val="2"/>
    <w:qFormat/>
    <w:rPr>
      <w:rFonts w:eastAsia="黑体"/>
      <w:b/>
      <w:bCs/>
      <w:kern w:val="2"/>
      <w:sz w:val="28"/>
      <w:szCs w:val="30"/>
    </w:rPr>
  </w:style>
  <w:style w:type="character" w:customStyle="1" w:styleId="3Char">
    <w:name w:val="标题 3 Char"/>
    <w:link w:val="3"/>
    <w:qFormat/>
    <w:rPr>
      <w:rFonts w:ascii="Times New Roman" w:eastAsia="宋体" w:hAnsi="Times New Roman"/>
      <w:b/>
      <w:bCs/>
      <w:kern w:val="2"/>
      <w:sz w:val="24"/>
      <w:szCs w:val="32"/>
    </w:rPr>
  </w:style>
  <w:style w:type="character" w:customStyle="1" w:styleId="4Char2">
    <w:name w:val="标题 4 Char2"/>
    <w:link w:val="4"/>
    <w:qFormat/>
    <w:rPr>
      <w:rFonts w:ascii="宋体" w:eastAsia="宋体" w:hAnsi="宋体"/>
      <w:b/>
      <w:bCs/>
      <w:kern w:val="2"/>
      <w:sz w:val="21"/>
    </w:rPr>
  </w:style>
  <w:style w:type="character" w:customStyle="1" w:styleId="5Char">
    <w:name w:val="标题 5 Char"/>
    <w:link w:val="5"/>
    <w:qFormat/>
    <w:rPr>
      <w:rFonts w:ascii="Times New Roman" w:eastAsia="宋体" w:hAnsi="Times New Roman"/>
      <w:b/>
      <w:bCs/>
      <w:kern w:val="2"/>
      <w:sz w:val="28"/>
      <w:szCs w:val="28"/>
    </w:rPr>
  </w:style>
  <w:style w:type="character" w:customStyle="1" w:styleId="7Char">
    <w:name w:val="标题 7 Char"/>
    <w:link w:val="7"/>
    <w:qFormat/>
    <w:rPr>
      <w:rFonts w:ascii="Times New Roman" w:eastAsia="宋体" w:hAnsi="Times New Roman"/>
      <w:b/>
      <w:bCs/>
      <w:kern w:val="2"/>
      <w:sz w:val="24"/>
    </w:rPr>
  </w:style>
  <w:style w:type="character" w:customStyle="1" w:styleId="111Char">
    <w:name w:val="1.1.1 Char"/>
    <w:link w:val="111"/>
    <w:qFormat/>
    <w:rPr>
      <w:rFonts w:ascii="黑体" w:eastAsia="黑体" w:hAnsi="Times New Roman"/>
      <w:b/>
      <w:color w:val="FF0000"/>
      <w:kern w:val="2"/>
      <w:sz w:val="24"/>
      <w:szCs w:val="24"/>
      <w:lang w:bidi="ar-SA"/>
    </w:rPr>
  </w:style>
  <w:style w:type="paragraph" w:customStyle="1" w:styleId="111">
    <w:name w:val="1.1.1"/>
    <w:basedOn w:val="5-"/>
    <w:link w:val="111Char"/>
    <w:qFormat/>
    <w:pPr>
      <w:ind w:firstLine="200"/>
      <w:outlineLvl w:val="2"/>
    </w:pPr>
    <w:rPr>
      <w:rFonts w:ascii="黑体" w:eastAsia="黑体"/>
      <w:b/>
    </w:rPr>
  </w:style>
  <w:style w:type="paragraph" w:customStyle="1" w:styleId="5-">
    <w:name w:val="5-正文"/>
    <w:basedOn w:val="a"/>
    <w:link w:val="5-Char"/>
    <w:qFormat/>
    <w:pPr>
      <w:spacing w:line="480" w:lineRule="exact"/>
      <w:ind w:firstLineChars="200" w:firstLine="480"/>
    </w:pPr>
    <w:rPr>
      <w:color w:val="FF0000"/>
      <w:sz w:val="24"/>
    </w:rPr>
  </w:style>
  <w:style w:type="character" w:customStyle="1" w:styleId="5-Char">
    <w:name w:val="5-正文 Char"/>
    <w:link w:val="5-"/>
    <w:qFormat/>
    <w:rPr>
      <w:rFonts w:ascii="Times New Roman" w:eastAsia="宋体" w:hAnsi="Times New Roman"/>
      <w:color w:val="FF0000"/>
      <w:kern w:val="2"/>
      <w:sz w:val="24"/>
      <w:szCs w:val="24"/>
      <w:lang w:bidi="ar-SA"/>
    </w:rPr>
  </w:style>
  <w:style w:type="character" w:customStyle="1" w:styleId="2Char2">
    <w:name w:val="2 Char"/>
    <w:link w:val="23"/>
    <w:qFormat/>
    <w:rPr>
      <w:rFonts w:ascii="黑体" w:eastAsia="黑体" w:hAnsi="Times New Roman"/>
      <w:b/>
      <w:bCs/>
      <w:sz w:val="24"/>
      <w:szCs w:val="24"/>
      <w:lang w:val="zh-CN"/>
    </w:rPr>
  </w:style>
  <w:style w:type="paragraph" w:customStyle="1" w:styleId="23">
    <w:name w:val="2"/>
    <w:basedOn w:val="a"/>
    <w:link w:val="2Char2"/>
    <w:qFormat/>
    <w:pPr>
      <w:spacing w:line="480" w:lineRule="exact"/>
      <w:ind w:firstLineChars="200" w:firstLine="482"/>
      <w:outlineLvl w:val="1"/>
    </w:pPr>
    <w:rPr>
      <w:rFonts w:ascii="黑体" w:eastAsia="黑体"/>
      <w:b/>
      <w:bCs/>
      <w:kern w:val="0"/>
      <w:sz w:val="24"/>
      <w:lang w:val="zh-CN"/>
    </w:rPr>
  </w:style>
  <w:style w:type="character" w:customStyle="1" w:styleId="4-Char">
    <w:name w:val="4-正文 Char"/>
    <w:link w:val="4-"/>
    <w:qFormat/>
    <w:rPr>
      <w:rFonts w:eastAsia="宋体"/>
      <w:color w:val="000000"/>
      <w:kern w:val="2"/>
      <w:sz w:val="24"/>
      <w:szCs w:val="24"/>
    </w:rPr>
  </w:style>
  <w:style w:type="paragraph" w:customStyle="1" w:styleId="4-">
    <w:name w:val="4-正文"/>
    <w:basedOn w:val="a"/>
    <w:link w:val="4-Char"/>
    <w:qFormat/>
    <w:pPr>
      <w:spacing w:line="480" w:lineRule="exact"/>
      <w:ind w:firstLineChars="200" w:firstLine="480"/>
    </w:pPr>
    <w:rPr>
      <w:color w:val="000000"/>
      <w:sz w:val="24"/>
    </w:rPr>
  </w:style>
  <w:style w:type="character" w:customStyle="1" w:styleId="CharChar21">
    <w:name w:val="Char Char21"/>
    <w:qFormat/>
    <w:rPr>
      <w:rFonts w:ascii="Times New Roman" w:eastAsia="宋体" w:hAnsi="Times New Roman"/>
      <w:b/>
      <w:bCs/>
      <w:kern w:val="44"/>
      <w:sz w:val="36"/>
      <w:szCs w:val="44"/>
    </w:rPr>
  </w:style>
  <w:style w:type="character" w:customStyle="1" w:styleId="Headerorfooter">
    <w:name w:val="Header or footer_"/>
    <w:link w:val="Headerorfooter0"/>
    <w:rPr>
      <w:rFonts w:ascii="MingLiU" w:eastAsia="MingLiU" w:hAnsi="MingLiU" w:cs="MingLiU"/>
      <w:spacing w:val="-20"/>
      <w:sz w:val="25"/>
      <w:szCs w:val="25"/>
      <w:shd w:val="clear" w:color="auto" w:fill="FFFFFF"/>
    </w:rPr>
  </w:style>
  <w:style w:type="paragraph" w:customStyle="1" w:styleId="Headerorfooter0">
    <w:name w:val="Header or footer"/>
    <w:basedOn w:val="a"/>
    <w:link w:val="Headerorfooter"/>
    <w:pPr>
      <w:shd w:val="clear" w:color="auto" w:fill="FFFFFF"/>
      <w:spacing w:line="0" w:lineRule="atLeast"/>
      <w:jc w:val="distribute"/>
    </w:pPr>
    <w:rPr>
      <w:rFonts w:ascii="MingLiU" w:eastAsia="MingLiU" w:hAnsi="MingLiU"/>
      <w:spacing w:val="-20"/>
      <w:kern w:val="0"/>
      <w:sz w:val="25"/>
      <w:szCs w:val="25"/>
    </w:rPr>
  </w:style>
  <w:style w:type="character" w:customStyle="1" w:styleId="Char9">
    <w:name w:val="页眉 Char"/>
    <w:link w:val="ae"/>
    <w:qFormat/>
    <w:rPr>
      <w:rFonts w:ascii="Times New Roman" w:eastAsia="宋体" w:hAnsi="Times New Roman"/>
      <w:kern w:val="2"/>
      <w:sz w:val="18"/>
      <w:szCs w:val="18"/>
    </w:rPr>
  </w:style>
  <w:style w:type="character" w:customStyle="1" w:styleId="03Char">
    <w:name w:val="03 Char"/>
    <w:link w:val="03"/>
    <w:qFormat/>
    <w:rPr>
      <w:rFonts w:ascii="宋体" w:eastAsia="宋体" w:hAnsi="宋体"/>
      <w:bCs/>
      <w:color w:val="000000"/>
      <w:kern w:val="2"/>
      <w:sz w:val="28"/>
      <w:szCs w:val="28"/>
    </w:rPr>
  </w:style>
  <w:style w:type="paragraph" w:customStyle="1" w:styleId="03">
    <w:name w:val="03"/>
    <w:basedOn w:val="a"/>
    <w:link w:val="03Char"/>
    <w:qFormat/>
    <w:pPr>
      <w:spacing w:line="560" w:lineRule="exact"/>
      <w:ind w:firstLineChars="200" w:firstLine="560"/>
      <w:jc w:val="left"/>
    </w:pPr>
    <w:rPr>
      <w:rFonts w:ascii="宋体" w:hAnsi="宋体"/>
      <w:bCs/>
      <w:color w:val="000000"/>
      <w:sz w:val="28"/>
      <w:szCs w:val="28"/>
    </w:rPr>
  </w:style>
  <w:style w:type="character" w:customStyle="1" w:styleId="Charc">
    <w:name w:val="文 Char"/>
    <w:link w:val="af9"/>
    <w:autoRedefine/>
    <w:qFormat/>
    <w:rPr>
      <w:rFonts w:ascii="Times New Roman" w:eastAsia="宋体" w:hAnsi="Times New Roman"/>
      <w:sz w:val="30"/>
    </w:rPr>
  </w:style>
  <w:style w:type="paragraph" w:customStyle="1" w:styleId="af9">
    <w:name w:val="文"/>
    <w:basedOn w:val="a8"/>
    <w:link w:val="Charc"/>
    <w:qFormat/>
    <w:pPr>
      <w:spacing w:beforeLines="50" w:afterLines="50" w:line="360" w:lineRule="auto"/>
      <w:ind w:leftChars="0" w:left="0" w:firstLineChars="200" w:firstLine="600"/>
    </w:pPr>
    <w:rPr>
      <w:kern w:val="0"/>
      <w:sz w:val="30"/>
      <w:szCs w:val="20"/>
    </w:rPr>
  </w:style>
  <w:style w:type="character" w:customStyle="1" w:styleId="Char4">
    <w:name w:val="正文文本缩进 Char"/>
    <w:link w:val="a8"/>
    <w:autoRedefine/>
    <w:qFormat/>
    <w:rPr>
      <w:rFonts w:ascii="Times New Roman" w:eastAsia="宋体" w:hAnsi="Times New Roman"/>
      <w:kern w:val="2"/>
      <w:sz w:val="21"/>
      <w:szCs w:val="24"/>
    </w:rPr>
  </w:style>
  <w:style w:type="character" w:customStyle="1" w:styleId="11Char">
    <w:name w:val="1.1 Char"/>
    <w:link w:val="11"/>
    <w:qFormat/>
    <w:rPr>
      <w:rFonts w:ascii="黑体" w:eastAsia="黑体" w:hAnsi="Times New Roman"/>
      <w:b/>
      <w:color w:val="FF0000"/>
      <w:kern w:val="2"/>
      <w:sz w:val="24"/>
      <w:szCs w:val="24"/>
      <w:lang w:bidi="ar-SA"/>
    </w:rPr>
  </w:style>
  <w:style w:type="paragraph" w:customStyle="1" w:styleId="11">
    <w:name w:val="1.1"/>
    <w:basedOn w:val="5-"/>
    <w:link w:val="11Char"/>
    <w:autoRedefine/>
    <w:qFormat/>
    <w:pPr>
      <w:outlineLvl w:val="1"/>
    </w:pPr>
    <w:rPr>
      <w:rFonts w:ascii="黑体" w:eastAsia="黑体"/>
      <w:b/>
    </w:rPr>
  </w:style>
  <w:style w:type="character" w:customStyle="1" w:styleId="01Char">
    <w:name w:val="01 Char"/>
    <w:link w:val="01"/>
    <w:autoRedefine/>
    <w:qFormat/>
    <w:rPr>
      <w:rFonts w:ascii="黑体" w:eastAsia="黑体" w:hAnsi="Times New Roman"/>
      <w:kern w:val="2"/>
      <w:sz w:val="30"/>
      <w:szCs w:val="30"/>
    </w:rPr>
  </w:style>
  <w:style w:type="paragraph" w:customStyle="1" w:styleId="01">
    <w:name w:val="01"/>
    <w:basedOn w:val="a"/>
    <w:link w:val="01Char"/>
    <w:qFormat/>
    <w:pPr>
      <w:jc w:val="center"/>
    </w:pPr>
    <w:rPr>
      <w:rFonts w:ascii="黑体" w:eastAsia="黑体"/>
      <w:sz w:val="30"/>
      <w:szCs w:val="30"/>
    </w:rPr>
  </w:style>
  <w:style w:type="character" w:customStyle="1" w:styleId="1Char0">
    <w:name w:val="表头1 Char"/>
    <w:link w:val="12"/>
    <w:rPr>
      <w:rFonts w:ascii="楷体_GB2312" w:eastAsia="楷体_GB2312" w:hAnsi="宋体"/>
      <w:kern w:val="2"/>
      <w:sz w:val="24"/>
      <w:szCs w:val="24"/>
    </w:rPr>
  </w:style>
  <w:style w:type="paragraph" w:customStyle="1" w:styleId="12">
    <w:name w:val="表头1"/>
    <w:basedOn w:val="a"/>
    <w:link w:val="1Char0"/>
    <w:qFormat/>
    <w:pPr>
      <w:spacing w:line="480" w:lineRule="exact"/>
      <w:ind w:firstLineChars="250" w:firstLine="250"/>
      <w:jc w:val="center"/>
    </w:pPr>
    <w:rPr>
      <w:rFonts w:ascii="楷体_GB2312" w:eastAsia="楷体_GB2312" w:hAnsi="宋体"/>
      <w:sz w:val="24"/>
    </w:rPr>
  </w:style>
  <w:style w:type="character" w:customStyle="1" w:styleId="A-CharChar">
    <w:name w:val="A-表格 Char Char"/>
    <w:rPr>
      <w:rFonts w:ascii="Times New Roman" w:eastAsia="楷体_GB2312" w:hAnsi="Times New Roman" w:cs="Times New Roman"/>
      <w:sz w:val="18"/>
      <w:szCs w:val="18"/>
      <w:lang w:val="zh-CN"/>
    </w:rPr>
  </w:style>
  <w:style w:type="character" w:customStyle="1" w:styleId="2Char3">
    <w:name w:val="样式2 Char"/>
    <w:link w:val="24"/>
    <w:qFormat/>
    <w:rPr>
      <w:rFonts w:ascii="黑体" w:eastAsia="黑体" w:hAnsi="Times New Roman"/>
      <w:b/>
      <w:bCs/>
      <w:sz w:val="28"/>
      <w:szCs w:val="28"/>
      <w:lang w:val="zh-CN"/>
    </w:rPr>
  </w:style>
  <w:style w:type="paragraph" w:customStyle="1" w:styleId="24">
    <w:name w:val="样式2"/>
    <w:basedOn w:val="23"/>
    <w:link w:val="2Char3"/>
    <w:qFormat/>
    <w:pPr>
      <w:spacing w:line="560" w:lineRule="exact"/>
      <w:ind w:firstLineChars="0" w:firstLine="0"/>
    </w:pPr>
    <w:rPr>
      <w:sz w:val="28"/>
      <w:szCs w:val="28"/>
    </w:rPr>
  </w:style>
  <w:style w:type="character" w:customStyle="1" w:styleId="A-Char">
    <w:name w:val="A-节标题（黑体四号一级大纲） Char"/>
    <w:link w:val="A-"/>
    <w:rPr>
      <w:rFonts w:ascii="黑体" w:eastAsia="黑体" w:hAnsi="宋体"/>
      <w:b/>
      <w:kern w:val="2"/>
      <w:sz w:val="24"/>
      <w:szCs w:val="24"/>
    </w:rPr>
  </w:style>
  <w:style w:type="paragraph" w:customStyle="1" w:styleId="A-">
    <w:name w:val="A-节标题（黑体四号一级大纲）"/>
    <w:basedOn w:val="a"/>
    <w:link w:val="A-Char"/>
    <w:pPr>
      <w:spacing w:line="480" w:lineRule="exact"/>
      <w:ind w:firstLineChars="200" w:firstLine="200"/>
      <w:outlineLvl w:val="0"/>
    </w:pPr>
    <w:rPr>
      <w:rFonts w:ascii="黑体" w:eastAsia="黑体" w:hAnsi="宋体"/>
      <w:b/>
      <w:sz w:val="24"/>
    </w:rPr>
  </w:style>
  <w:style w:type="character" w:customStyle="1" w:styleId="Char6">
    <w:name w:val="日期 Char"/>
    <w:link w:val="ab"/>
    <w:qFormat/>
    <w:rPr>
      <w:rFonts w:ascii="Times New Roman" w:eastAsia="宋体" w:hAnsi="Times New Roman"/>
      <w:kern w:val="2"/>
      <w:sz w:val="21"/>
      <w:szCs w:val="24"/>
    </w:rPr>
  </w:style>
  <w:style w:type="character" w:customStyle="1" w:styleId="11Char0">
    <w:name w:val="表格（小五）11 Char"/>
    <w:link w:val="110"/>
    <w:qFormat/>
    <w:rPr>
      <w:rFonts w:ascii="宋体" w:hAnsi="宋体" w:cs="Arial"/>
      <w:sz w:val="18"/>
      <w:szCs w:val="18"/>
      <w:lang w:val="zh-CN"/>
    </w:rPr>
  </w:style>
  <w:style w:type="paragraph" w:customStyle="1" w:styleId="110">
    <w:name w:val="表格（小五）11"/>
    <w:basedOn w:val="afa"/>
    <w:link w:val="11Char0"/>
    <w:qFormat/>
  </w:style>
  <w:style w:type="paragraph" w:customStyle="1" w:styleId="afa">
    <w:name w:val="表格（小五）"/>
    <w:basedOn w:val="120"/>
    <w:link w:val="Chard"/>
    <w:autoRedefine/>
    <w:qFormat/>
    <w:rPr>
      <w:szCs w:val="18"/>
      <w:lang w:val="zh-CN"/>
    </w:rPr>
  </w:style>
  <w:style w:type="paragraph" w:customStyle="1" w:styleId="120">
    <w:name w:val="表格（小五12）"/>
    <w:basedOn w:val="a"/>
    <w:link w:val="12Char"/>
    <w:autoRedefine/>
    <w:qFormat/>
    <w:pPr>
      <w:spacing w:line="220" w:lineRule="exact"/>
      <w:jc w:val="center"/>
    </w:pPr>
    <w:rPr>
      <w:rFonts w:ascii="宋体" w:hAnsi="宋体"/>
      <w:kern w:val="0"/>
      <w:sz w:val="18"/>
      <w:szCs w:val="21"/>
    </w:rPr>
  </w:style>
  <w:style w:type="character" w:customStyle="1" w:styleId="12Char">
    <w:name w:val="表格（小五12） Char"/>
    <w:link w:val="120"/>
    <w:autoRedefine/>
    <w:qFormat/>
    <w:rPr>
      <w:rFonts w:ascii="宋体" w:hAnsi="宋体" w:cs="Arial"/>
      <w:sz w:val="18"/>
      <w:szCs w:val="21"/>
    </w:rPr>
  </w:style>
  <w:style w:type="character" w:customStyle="1" w:styleId="Chard">
    <w:name w:val="表格（小五） Char"/>
    <w:link w:val="afa"/>
    <w:qFormat/>
    <w:rPr>
      <w:rFonts w:ascii="宋体" w:hAnsi="宋体" w:cs="Arial"/>
      <w:sz w:val="18"/>
      <w:szCs w:val="18"/>
      <w:lang w:val="zh-CN"/>
    </w:rPr>
  </w:style>
  <w:style w:type="character" w:customStyle="1" w:styleId="A-Char0">
    <w:name w:val="A-表头 Char"/>
    <w:link w:val="A-0"/>
    <w:qFormat/>
    <w:rPr>
      <w:rFonts w:ascii="楷体_GB2312" w:eastAsia="楷体_GB2312" w:hAnsi="Times New Roman"/>
      <w:kern w:val="2"/>
      <w:sz w:val="24"/>
      <w:szCs w:val="24"/>
    </w:rPr>
  </w:style>
  <w:style w:type="paragraph" w:customStyle="1" w:styleId="A-0">
    <w:name w:val="A-表头"/>
    <w:basedOn w:val="a"/>
    <w:link w:val="A-Char0"/>
    <w:qFormat/>
    <w:pPr>
      <w:snapToGrid w:val="0"/>
      <w:spacing w:line="480" w:lineRule="exact"/>
      <w:jc w:val="center"/>
    </w:pPr>
    <w:rPr>
      <w:rFonts w:ascii="楷体_GB2312" w:eastAsia="楷体_GB2312"/>
      <w:sz w:val="24"/>
    </w:rPr>
  </w:style>
  <w:style w:type="character" w:customStyle="1" w:styleId="Heading2Spacing-2pt">
    <w:name w:val="Heading #2 + Spacing -2 pt"/>
    <w:autoRedefine/>
    <w:qFormat/>
    <w:rPr>
      <w:rFonts w:ascii="MingLiU" w:eastAsia="MingLiU" w:hAnsi="MingLiU" w:cs="MingLiU"/>
      <w:color w:val="000000"/>
      <w:spacing w:val="-50"/>
      <w:w w:val="100"/>
      <w:position w:val="0"/>
      <w:sz w:val="30"/>
      <w:szCs w:val="30"/>
      <w:u w:val="none"/>
      <w:shd w:val="clear" w:color="auto" w:fill="FFFFFF"/>
      <w:lang w:val="zh-TW"/>
    </w:rPr>
  </w:style>
  <w:style w:type="character" w:customStyle="1" w:styleId="CharChar1">
    <w:name w:val="Char Char1"/>
    <w:link w:val="Chare"/>
    <w:rPr>
      <w:rFonts w:ascii="Times New Roman" w:eastAsia="宋体" w:hAnsi="Times New Roman"/>
      <w:kern w:val="2"/>
      <w:sz w:val="21"/>
      <w:szCs w:val="24"/>
    </w:rPr>
  </w:style>
  <w:style w:type="paragraph" w:customStyle="1" w:styleId="Chare">
    <w:name w:val="Char"/>
    <w:basedOn w:val="a"/>
    <w:link w:val="CharChar1"/>
    <w:pPr>
      <w:ind w:left="-48"/>
    </w:pPr>
  </w:style>
  <w:style w:type="character" w:customStyle="1" w:styleId="Char1">
    <w:name w:val="文档结构图 Char"/>
    <w:link w:val="a5"/>
    <w:semiHidden/>
    <w:qFormat/>
    <w:rPr>
      <w:rFonts w:ascii="宋体" w:eastAsia="宋体" w:hAnsi="Times New Roman"/>
      <w:kern w:val="2"/>
      <w:sz w:val="18"/>
      <w:szCs w:val="18"/>
    </w:rPr>
  </w:style>
  <w:style w:type="character" w:customStyle="1" w:styleId="Bodytext">
    <w:name w:val="Body text_"/>
    <w:link w:val="13"/>
    <w:autoRedefine/>
    <w:rPr>
      <w:rFonts w:ascii="Arial Unicode MS" w:eastAsia="Arial Unicode MS" w:hAnsi="Arial Unicode MS" w:cs="Arial Unicode MS"/>
      <w:sz w:val="23"/>
      <w:szCs w:val="23"/>
      <w:shd w:val="clear" w:color="auto" w:fill="FFFFFF"/>
    </w:rPr>
  </w:style>
  <w:style w:type="paragraph" w:customStyle="1" w:styleId="13">
    <w:name w:val="正文文本1"/>
    <w:basedOn w:val="a"/>
    <w:link w:val="Bodytext"/>
    <w:pPr>
      <w:shd w:val="clear" w:color="auto" w:fill="FFFFFF"/>
      <w:spacing w:line="480" w:lineRule="exact"/>
      <w:jc w:val="distribute"/>
    </w:pPr>
    <w:rPr>
      <w:rFonts w:ascii="Arial Unicode MS" w:eastAsia="Arial Unicode MS" w:hAnsi="Arial Unicode MS"/>
      <w:kern w:val="0"/>
      <w:sz w:val="23"/>
      <w:szCs w:val="23"/>
    </w:rPr>
  </w:style>
  <w:style w:type="character" w:customStyle="1" w:styleId="3Char1">
    <w:name w:val="正文文本缩进 3 Char"/>
    <w:link w:val="32"/>
    <w:qFormat/>
    <w:rPr>
      <w:rFonts w:ascii="Times New Roman" w:eastAsia="宋体" w:hAnsi="Times New Roman"/>
      <w:sz w:val="28"/>
      <w:szCs w:val="24"/>
    </w:rPr>
  </w:style>
  <w:style w:type="character" w:customStyle="1" w:styleId="3Char2">
    <w:name w:val="样式3 Char"/>
    <w:link w:val="33"/>
    <w:autoRedefine/>
    <w:qFormat/>
    <w:rPr>
      <w:rFonts w:ascii="黑体" w:eastAsia="黑体" w:hAnsi="Times New Roman"/>
      <w:sz w:val="28"/>
      <w:szCs w:val="28"/>
    </w:rPr>
  </w:style>
  <w:style w:type="paragraph" w:customStyle="1" w:styleId="33">
    <w:name w:val="样式3"/>
    <w:basedOn w:val="a"/>
    <w:link w:val="3Char2"/>
    <w:qFormat/>
    <w:pPr>
      <w:spacing w:line="560" w:lineRule="exact"/>
      <w:jc w:val="left"/>
    </w:pPr>
    <w:rPr>
      <w:rFonts w:ascii="黑体" w:eastAsia="黑体"/>
      <w:kern w:val="0"/>
      <w:sz w:val="28"/>
      <w:szCs w:val="28"/>
    </w:rPr>
  </w:style>
  <w:style w:type="character" w:customStyle="1" w:styleId="4Char1">
    <w:name w:val="标题 4 Char1"/>
    <w:qFormat/>
    <w:rPr>
      <w:rFonts w:ascii="Arial" w:eastAsia="黑体" w:hAnsi="Arial" w:cs="Times New Roman"/>
      <w:b/>
      <w:bCs/>
      <w:sz w:val="28"/>
      <w:szCs w:val="28"/>
    </w:rPr>
  </w:style>
  <w:style w:type="character" w:customStyle="1" w:styleId="Chara">
    <w:name w:val="标题 Char"/>
    <w:link w:val="af0"/>
    <w:autoRedefine/>
    <w:uiPriority w:val="10"/>
    <w:qFormat/>
    <w:rPr>
      <w:rFonts w:ascii="Cambria" w:eastAsia="黑体" w:hAnsi="Cambria"/>
      <w:b/>
      <w:bCs/>
      <w:kern w:val="2"/>
      <w:sz w:val="28"/>
      <w:szCs w:val="32"/>
      <w:lang w:val="en-US" w:eastAsia="zh-CN" w:bidi="ar-SA"/>
    </w:rPr>
  </w:style>
  <w:style w:type="character" w:customStyle="1" w:styleId="Char2">
    <w:name w:val="批注文字 Char"/>
    <w:link w:val="a6"/>
    <w:uiPriority w:val="99"/>
    <w:semiHidden/>
    <w:rPr>
      <w:rFonts w:ascii="Times New Roman" w:eastAsia="宋体" w:hAnsi="Times New Roman"/>
      <w:kern w:val="2"/>
      <w:sz w:val="21"/>
      <w:szCs w:val="24"/>
    </w:rPr>
  </w:style>
  <w:style w:type="character" w:customStyle="1" w:styleId="Char8">
    <w:name w:val="页脚 Char"/>
    <w:link w:val="ad"/>
    <w:autoRedefine/>
    <w:uiPriority w:val="99"/>
    <w:qFormat/>
    <w:rPr>
      <w:kern w:val="2"/>
      <w:sz w:val="18"/>
      <w:szCs w:val="18"/>
      <w:lang w:val="en-US" w:eastAsia="zh-CN" w:bidi="ar-SA"/>
    </w:rPr>
  </w:style>
  <w:style w:type="character" w:customStyle="1" w:styleId="4Char">
    <w:name w:val="样式4 Char"/>
    <w:link w:val="41"/>
    <w:autoRedefine/>
    <w:qFormat/>
    <w:rPr>
      <w:rFonts w:ascii="黑体" w:eastAsia="黑体" w:hAnsi="宋体"/>
      <w:b/>
      <w:sz w:val="28"/>
      <w:szCs w:val="28"/>
      <w:lang w:val="zh-CN"/>
    </w:rPr>
  </w:style>
  <w:style w:type="paragraph" w:customStyle="1" w:styleId="41">
    <w:name w:val="样式4"/>
    <w:basedOn w:val="34"/>
    <w:link w:val="4Char"/>
    <w:qFormat/>
    <w:pPr>
      <w:spacing w:line="560" w:lineRule="exact"/>
      <w:ind w:firstLine="560"/>
    </w:pPr>
    <w:rPr>
      <w:sz w:val="28"/>
      <w:szCs w:val="28"/>
    </w:rPr>
  </w:style>
  <w:style w:type="paragraph" w:customStyle="1" w:styleId="34">
    <w:name w:val="3"/>
    <w:basedOn w:val="a"/>
    <w:link w:val="3Char3"/>
    <w:qFormat/>
    <w:pPr>
      <w:autoSpaceDE w:val="0"/>
      <w:autoSpaceDN w:val="0"/>
      <w:adjustRightInd w:val="0"/>
      <w:spacing w:line="480" w:lineRule="exact"/>
      <w:ind w:firstLineChars="200" w:firstLine="482"/>
      <w:outlineLvl w:val="2"/>
    </w:pPr>
    <w:rPr>
      <w:rFonts w:ascii="黑体" w:eastAsia="黑体" w:hAnsi="宋体"/>
      <w:b/>
      <w:kern w:val="0"/>
      <w:sz w:val="24"/>
      <w:lang w:val="zh-CN"/>
    </w:rPr>
  </w:style>
  <w:style w:type="character" w:customStyle="1" w:styleId="3Char3">
    <w:name w:val="3 Char"/>
    <w:link w:val="34"/>
    <w:qFormat/>
    <w:rPr>
      <w:rFonts w:ascii="黑体" w:eastAsia="黑体" w:hAnsi="宋体"/>
      <w:b/>
      <w:sz w:val="24"/>
      <w:szCs w:val="24"/>
      <w:lang w:val="zh-CN"/>
    </w:rPr>
  </w:style>
  <w:style w:type="character" w:customStyle="1" w:styleId="Char5">
    <w:name w:val="纯文本 Char"/>
    <w:link w:val="aa"/>
    <w:rPr>
      <w:rFonts w:ascii="宋体" w:eastAsia="宋体" w:hAnsi="Courier New"/>
      <w:kern w:val="2"/>
      <w:sz w:val="21"/>
      <w:szCs w:val="21"/>
    </w:rPr>
  </w:style>
  <w:style w:type="character" w:customStyle="1" w:styleId="Charf">
    <w:name w:val="节节节 Char"/>
    <w:link w:val="afb"/>
    <w:rPr>
      <w:rFonts w:ascii="Times New Roman" w:eastAsia="黑体" w:hAnsi="Times New Roman"/>
      <w:b/>
      <w:bCs/>
      <w:kern w:val="2"/>
      <w:sz w:val="28"/>
      <w:szCs w:val="30"/>
    </w:rPr>
  </w:style>
  <w:style w:type="paragraph" w:customStyle="1" w:styleId="afb">
    <w:name w:val="节节节"/>
    <w:basedOn w:val="2"/>
    <w:link w:val="Charf"/>
    <w:qFormat/>
  </w:style>
  <w:style w:type="character" w:customStyle="1" w:styleId="2CharChar">
    <w:name w:val="样式 正文 + 首行缩进:  2 字符 Char Char"/>
    <w:link w:val="25"/>
    <w:rPr>
      <w:rFonts w:ascii="宋体" w:hAnsi="宋体"/>
      <w:kern w:val="2"/>
      <w:sz w:val="30"/>
      <w:lang w:bidi="ar-SA"/>
    </w:rPr>
  </w:style>
  <w:style w:type="paragraph" w:customStyle="1" w:styleId="25">
    <w:name w:val="样式 正文 + 首行缩进:  2 字符"/>
    <w:basedOn w:val="a"/>
    <w:link w:val="2CharChar"/>
    <w:pPr>
      <w:ind w:firstLineChars="200" w:firstLine="600"/>
      <w:jc w:val="left"/>
    </w:pPr>
    <w:rPr>
      <w:rFonts w:ascii="宋体" w:hAnsi="宋体"/>
      <w:sz w:val="30"/>
      <w:szCs w:val="20"/>
    </w:rPr>
  </w:style>
  <w:style w:type="character" w:customStyle="1" w:styleId="A-CharChar0">
    <w:name w:val="A-正文 Char Char"/>
    <w:rPr>
      <w:rFonts w:ascii="宋体" w:hAnsi="宋体"/>
      <w:kern w:val="2"/>
      <w:sz w:val="24"/>
      <w:szCs w:val="24"/>
    </w:rPr>
  </w:style>
  <w:style w:type="character" w:customStyle="1" w:styleId="Charf0">
    <w:name w:val="项以下 Char"/>
    <w:link w:val="afc"/>
    <w:rPr>
      <w:rFonts w:ascii="Times New Roman" w:eastAsia="仿宋_GB2312" w:hAnsi="Times New Roman"/>
      <w:kern w:val="2"/>
      <w:sz w:val="24"/>
      <w:szCs w:val="24"/>
    </w:rPr>
  </w:style>
  <w:style w:type="paragraph" w:customStyle="1" w:styleId="afc">
    <w:name w:val="项以下"/>
    <w:basedOn w:val="a"/>
    <w:link w:val="Charf0"/>
    <w:qFormat/>
    <w:pPr>
      <w:spacing w:line="520" w:lineRule="exact"/>
      <w:ind w:firstLineChars="200" w:firstLine="480"/>
      <w:jc w:val="left"/>
    </w:pPr>
    <w:rPr>
      <w:rFonts w:eastAsia="仿宋_GB2312"/>
      <w:sz w:val="24"/>
    </w:rPr>
  </w:style>
  <w:style w:type="character" w:customStyle="1" w:styleId="Char7">
    <w:name w:val="批注框文本 Char"/>
    <w:link w:val="ac"/>
    <w:qFormat/>
    <w:rPr>
      <w:rFonts w:ascii="Times New Roman" w:eastAsia="宋体" w:hAnsi="Times New Roman"/>
      <w:kern w:val="2"/>
      <w:sz w:val="18"/>
      <w:szCs w:val="18"/>
    </w:rPr>
  </w:style>
  <w:style w:type="character" w:customStyle="1" w:styleId="003Char">
    <w:name w:val="003 Char"/>
    <w:link w:val="003"/>
    <w:qFormat/>
    <w:rPr>
      <w:rFonts w:ascii="宋体" w:eastAsia="宋体" w:hAnsi="宋体"/>
      <w:kern w:val="2"/>
      <w:sz w:val="24"/>
      <w:szCs w:val="24"/>
    </w:rPr>
  </w:style>
  <w:style w:type="paragraph" w:customStyle="1" w:styleId="003">
    <w:name w:val="003"/>
    <w:basedOn w:val="a"/>
    <w:link w:val="003Char"/>
    <w:qFormat/>
    <w:pPr>
      <w:spacing w:line="480" w:lineRule="exact"/>
      <w:ind w:firstLineChars="186" w:firstLine="446"/>
    </w:pPr>
    <w:rPr>
      <w:rFonts w:ascii="宋体" w:hAnsi="宋体"/>
      <w:sz w:val="24"/>
    </w:rPr>
  </w:style>
  <w:style w:type="character" w:customStyle="1" w:styleId="Char3">
    <w:name w:val="正文文本 Char"/>
    <w:link w:val="a7"/>
    <w:uiPriority w:val="99"/>
    <w:qFormat/>
    <w:rPr>
      <w:rFonts w:ascii="Times New Roman" w:eastAsia="宋体" w:hAnsi="Times New Roman"/>
      <w:kern w:val="2"/>
      <w:sz w:val="21"/>
      <w:szCs w:val="24"/>
    </w:rPr>
  </w:style>
  <w:style w:type="character" w:customStyle="1" w:styleId="5Char0">
    <w:name w:val="样式5 Char"/>
    <w:link w:val="51"/>
    <w:qFormat/>
    <w:rPr>
      <w:rFonts w:ascii="宋体" w:eastAsia="宋体" w:hAnsi="宋体"/>
      <w:b/>
      <w:sz w:val="28"/>
      <w:szCs w:val="28"/>
      <w:lang w:val="zh-CN"/>
    </w:rPr>
  </w:style>
  <w:style w:type="paragraph" w:customStyle="1" w:styleId="51">
    <w:name w:val="样式5"/>
    <w:basedOn w:val="41"/>
    <w:next w:val="41"/>
    <w:link w:val="5Char0"/>
    <w:qFormat/>
    <w:rPr>
      <w:rFonts w:ascii="宋体" w:eastAsia="宋体"/>
    </w:rPr>
  </w:style>
  <w:style w:type="character" w:customStyle="1" w:styleId="Tablecaption4">
    <w:name w:val="Table caption (4)_"/>
    <w:link w:val="Tablecaption40"/>
    <w:rPr>
      <w:rFonts w:ascii="MingLiU" w:eastAsia="MingLiU" w:hAnsi="MingLiU" w:cs="MingLiU"/>
      <w:spacing w:val="-10"/>
      <w:sz w:val="21"/>
      <w:szCs w:val="21"/>
      <w:shd w:val="clear" w:color="auto" w:fill="FFFFFF"/>
    </w:rPr>
  </w:style>
  <w:style w:type="paragraph" w:customStyle="1" w:styleId="Tablecaption40">
    <w:name w:val="Table caption (4)"/>
    <w:basedOn w:val="a"/>
    <w:link w:val="Tablecaption4"/>
    <w:pPr>
      <w:shd w:val="clear" w:color="auto" w:fill="FFFFFF"/>
      <w:spacing w:line="0" w:lineRule="atLeast"/>
      <w:jc w:val="distribute"/>
    </w:pPr>
    <w:rPr>
      <w:rFonts w:ascii="MingLiU" w:eastAsia="MingLiU" w:hAnsi="MingLiU"/>
      <w:spacing w:val="-10"/>
      <w:kern w:val="0"/>
      <w:szCs w:val="21"/>
    </w:rPr>
  </w:style>
  <w:style w:type="character" w:customStyle="1" w:styleId="1111Char">
    <w:name w:val="1.1.1.1 Char"/>
    <w:link w:val="1111"/>
    <w:qFormat/>
    <w:rPr>
      <w:rFonts w:ascii="黑体" w:eastAsia="黑体" w:hAnsi="Times New Roman"/>
      <w:b/>
      <w:kern w:val="2"/>
      <w:sz w:val="24"/>
    </w:rPr>
  </w:style>
  <w:style w:type="paragraph" w:customStyle="1" w:styleId="1111">
    <w:name w:val="1.1.1.1"/>
    <w:basedOn w:val="a"/>
    <w:link w:val="1111Char"/>
    <w:qFormat/>
    <w:pPr>
      <w:spacing w:line="480" w:lineRule="exact"/>
      <w:ind w:firstLineChars="200" w:firstLine="200"/>
    </w:pPr>
    <w:rPr>
      <w:rFonts w:ascii="黑体" w:eastAsia="黑体"/>
      <w:b/>
      <w:sz w:val="24"/>
      <w:szCs w:val="20"/>
    </w:rPr>
  </w:style>
  <w:style w:type="character" w:customStyle="1" w:styleId="Heading2">
    <w:name w:val="Heading #2_"/>
    <w:link w:val="Heading20"/>
    <w:rPr>
      <w:rFonts w:ascii="MingLiU" w:eastAsia="MingLiU" w:hAnsi="MingLiU" w:cs="MingLiU"/>
      <w:b/>
      <w:bCs/>
      <w:spacing w:val="-20"/>
      <w:sz w:val="30"/>
      <w:szCs w:val="30"/>
      <w:shd w:val="clear" w:color="auto" w:fill="FFFFFF"/>
    </w:rPr>
  </w:style>
  <w:style w:type="paragraph" w:customStyle="1" w:styleId="Heading20">
    <w:name w:val="Heading #2"/>
    <w:basedOn w:val="a"/>
    <w:link w:val="Heading2"/>
    <w:pPr>
      <w:shd w:val="clear" w:color="auto" w:fill="FFFFFF"/>
      <w:spacing w:before="180" w:after="60" w:line="0" w:lineRule="atLeast"/>
      <w:jc w:val="left"/>
      <w:outlineLvl w:val="1"/>
    </w:pPr>
    <w:rPr>
      <w:rFonts w:ascii="MingLiU" w:eastAsia="MingLiU" w:hAnsi="MingLiU"/>
      <w:b/>
      <w:bCs/>
      <w:spacing w:val="-20"/>
      <w:kern w:val="0"/>
      <w:sz w:val="30"/>
      <w:szCs w:val="30"/>
    </w:rPr>
  </w:style>
  <w:style w:type="character" w:customStyle="1" w:styleId="Bodytext11pt">
    <w:name w:val="Body text + 11 pt"/>
    <w:rPr>
      <w:rFonts w:ascii="Arial Unicode MS" w:eastAsia="Arial Unicode MS" w:hAnsi="Arial Unicode MS" w:cs="Arial Unicode MS"/>
      <w:color w:val="000000"/>
      <w:spacing w:val="-30"/>
      <w:w w:val="100"/>
      <w:position w:val="0"/>
      <w:sz w:val="22"/>
      <w:szCs w:val="22"/>
      <w:shd w:val="clear" w:color="auto" w:fill="FFFFFF"/>
    </w:rPr>
  </w:style>
  <w:style w:type="character" w:customStyle="1" w:styleId="Char0">
    <w:name w:val="正文缩进 Char"/>
    <w:link w:val="a4"/>
    <w:rPr>
      <w:rFonts w:ascii="Times New Roman" w:eastAsia="华文中宋" w:hAnsi="Times New Roman"/>
      <w:kern w:val="2"/>
      <w:sz w:val="44"/>
    </w:rPr>
  </w:style>
  <w:style w:type="character" w:customStyle="1" w:styleId="5-CharChar">
    <w:name w:val="5-正文 Char Char"/>
    <w:rPr>
      <w:rFonts w:ascii="Times New Roman" w:eastAsia="宋体" w:hAnsi="Times New Roman" w:cs="Times New Roman"/>
      <w:color w:val="FF0000"/>
      <w:sz w:val="24"/>
      <w:szCs w:val="24"/>
    </w:rPr>
  </w:style>
  <w:style w:type="character" w:customStyle="1" w:styleId="6Char">
    <w:name w:val="样式6 Char"/>
    <w:link w:val="60"/>
    <w:qFormat/>
    <w:rPr>
      <w:rFonts w:ascii="黑体" w:eastAsia="黑体" w:hAnsi="Times New Roman"/>
      <w:kern w:val="2"/>
      <w:sz w:val="30"/>
      <w:szCs w:val="30"/>
    </w:rPr>
  </w:style>
  <w:style w:type="paragraph" w:customStyle="1" w:styleId="60">
    <w:name w:val="样式6"/>
    <w:basedOn w:val="01"/>
    <w:link w:val="6Char"/>
    <w:qFormat/>
    <w:pPr>
      <w:spacing w:line="480" w:lineRule="exact"/>
    </w:pPr>
  </w:style>
  <w:style w:type="character" w:customStyle="1" w:styleId="shui">
    <w:name w:val="shui"/>
    <w:basedOn w:val="a1"/>
  </w:style>
  <w:style w:type="character" w:customStyle="1" w:styleId="24Char">
    <w:name w:val="表头（楷体小四24） Char"/>
    <w:link w:val="240"/>
    <w:qFormat/>
    <w:rPr>
      <w:rFonts w:ascii="楷体_GB2312" w:eastAsia="楷体_GB2312" w:hAnsi="Times New Roman"/>
      <w:sz w:val="24"/>
      <w:szCs w:val="24"/>
    </w:rPr>
  </w:style>
  <w:style w:type="paragraph" w:customStyle="1" w:styleId="240">
    <w:name w:val="表头（楷体小四24）"/>
    <w:basedOn w:val="14"/>
    <w:link w:val="24Char"/>
    <w:qFormat/>
    <w:pPr>
      <w:snapToGrid w:val="0"/>
      <w:spacing w:line="480" w:lineRule="exact"/>
      <w:ind w:firstLine="0"/>
      <w:jc w:val="center"/>
    </w:pPr>
    <w:rPr>
      <w:rFonts w:ascii="楷体_GB2312" w:eastAsia="楷体_GB2312"/>
      <w:sz w:val="24"/>
      <w:szCs w:val="24"/>
    </w:rPr>
  </w:style>
  <w:style w:type="paragraph" w:customStyle="1" w:styleId="14">
    <w:name w:val="正文缩进1"/>
    <w:basedOn w:val="a"/>
    <w:link w:val="1Char1"/>
    <w:qFormat/>
    <w:pPr>
      <w:ind w:firstLine="420"/>
    </w:pPr>
    <w:rPr>
      <w:kern w:val="0"/>
      <w:sz w:val="20"/>
      <w:szCs w:val="20"/>
    </w:rPr>
  </w:style>
  <w:style w:type="character" w:customStyle="1" w:styleId="1Char1">
    <w:name w:val="正文缩进1 Char"/>
    <w:link w:val="14"/>
    <w:qFormat/>
    <w:rPr>
      <w:rFonts w:ascii="Times New Roman" w:eastAsia="宋体" w:hAnsi="Times New Roman"/>
    </w:rPr>
  </w:style>
  <w:style w:type="character" w:customStyle="1" w:styleId="1Char2">
    <w:name w:val="样式1 Char"/>
    <w:link w:val="15"/>
    <w:qFormat/>
    <w:rPr>
      <w:rFonts w:ascii="黑体" w:eastAsia="黑体" w:hAnsi="宋体"/>
      <w:b/>
      <w:kern w:val="2"/>
      <w:sz w:val="30"/>
      <w:szCs w:val="30"/>
    </w:rPr>
  </w:style>
  <w:style w:type="paragraph" w:customStyle="1" w:styleId="15">
    <w:name w:val="样式1"/>
    <w:basedOn w:val="16"/>
    <w:link w:val="1Char2"/>
    <w:qFormat/>
    <w:pPr>
      <w:spacing w:line="480" w:lineRule="exact"/>
      <w:ind w:firstLineChars="0" w:firstLine="0"/>
      <w:outlineLvl w:val="0"/>
    </w:pPr>
    <w:rPr>
      <w:rFonts w:ascii="黑体" w:hAnsi="宋体"/>
      <w:szCs w:val="30"/>
    </w:rPr>
  </w:style>
  <w:style w:type="paragraph" w:customStyle="1" w:styleId="16">
    <w:name w:val="1"/>
    <w:basedOn w:val="a"/>
    <w:next w:val="a8"/>
    <w:link w:val="1Char3"/>
    <w:qFormat/>
    <w:pPr>
      <w:ind w:firstLineChars="200" w:firstLine="200"/>
      <w:jc w:val="center"/>
    </w:pPr>
    <w:rPr>
      <w:rFonts w:eastAsia="黑体"/>
      <w:b/>
      <w:sz w:val="30"/>
      <w:szCs w:val="20"/>
    </w:rPr>
  </w:style>
  <w:style w:type="character" w:customStyle="1" w:styleId="1Char3">
    <w:name w:val="1 Char"/>
    <w:link w:val="16"/>
    <w:qFormat/>
    <w:rPr>
      <w:rFonts w:ascii="Times New Roman" w:eastAsia="黑体" w:hAnsi="Times New Roman"/>
      <w:b/>
      <w:kern w:val="2"/>
      <w:sz w:val="30"/>
    </w:rPr>
  </w:style>
  <w:style w:type="character" w:customStyle="1" w:styleId="24Char0">
    <w:name w:val="正文（宋小四24） Char"/>
    <w:link w:val="241"/>
    <w:qFormat/>
    <w:rPr>
      <w:rFonts w:ascii="宋体" w:eastAsia="宋体" w:hAnsi="宋体"/>
      <w:sz w:val="24"/>
    </w:rPr>
  </w:style>
  <w:style w:type="paragraph" w:customStyle="1" w:styleId="241">
    <w:name w:val="正文（宋小四24）"/>
    <w:basedOn w:val="20"/>
    <w:link w:val="24Char0"/>
    <w:qFormat/>
    <w:pPr>
      <w:spacing w:line="480" w:lineRule="exact"/>
    </w:pPr>
    <w:rPr>
      <w:kern w:val="0"/>
      <w:szCs w:val="20"/>
    </w:rPr>
  </w:style>
  <w:style w:type="character" w:customStyle="1" w:styleId="2Char0">
    <w:name w:val="正文文本缩进 2 Char"/>
    <w:link w:val="20"/>
    <w:qFormat/>
    <w:rPr>
      <w:rFonts w:ascii="宋体" w:eastAsia="宋体" w:hAnsi="宋体" w:cs="Times New Roman"/>
      <w:kern w:val="2"/>
      <w:sz w:val="24"/>
      <w:szCs w:val="24"/>
    </w:rPr>
  </w:style>
  <w:style w:type="character" w:customStyle="1" w:styleId="BodytextSegoeUI">
    <w:name w:val="Body text + Segoe UI"/>
    <w:rPr>
      <w:rFonts w:ascii="Segoe UI" w:eastAsia="Segoe UI" w:hAnsi="Segoe UI" w:cs="Segoe UI"/>
      <w:color w:val="000000"/>
      <w:spacing w:val="-10"/>
      <w:w w:val="100"/>
      <w:position w:val="0"/>
      <w:sz w:val="23"/>
      <w:szCs w:val="23"/>
      <w:shd w:val="clear" w:color="auto" w:fill="FFFFFF"/>
      <w:lang w:val="zh-CN"/>
    </w:rPr>
  </w:style>
  <w:style w:type="character" w:customStyle="1" w:styleId="BodytextSpacing-2pt">
    <w:name w:val="Body text + Spacing -2 pt"/>
    <w:rPr>
      <w:rFonts w:ascii="Arial Unicode MS" w:eastAsia="Arial Unicode MS" w:hAnsi="Arial Unicode MS" w:cs="Arial Unicode MS"/>
      <w:color w:val="000000"/>
      <w:spacing w:val="-40"/>
      <w:w w:val="100"/>
      <w:position w:val="0"/>
      <w:sz w:val="28"/>
      <w:szCs w:val="28"/>
      <w:u w:val="none"/>
      <w:shd w:val="clear" w:color="auto" w:fill="FFFFFF"/>
      <w:lang w:val="zh-TW"/>
    </w:rPr>
  </w:style>
  <w:style w:type="character" w:customStyle="1" w:styleId="Bodytext8">
    <w:name w:val="Body text (8)_"/>
    <w:link w:val="Bodytext80"/>
    <w:rPr>
      <w:rFonts w:ascii="MingLiU" w:eastAsia="MingLiU" w:hAnsi="MingLiU" w:cs="MingLiU"/>
      <w:spacing w:val="-10"/>
      <w:sz w:val="21"/>
      <w:szCs w:val="21"/>
      <w:shd w:val="clear" w:color="auto" w:fill="FFFFFF"/>
    </w:rPr>
  </w:style>
  <w:style w:type="paragraph" w:customStyle="1" w:styleId="Bodytext80">
    <w:name w:val="Body text (8)"/>
    <w:basedOn w:val="a"/>
    <w:link w:val="Bodytext8"/>
    <w:pPr>
      <w:shd w:val="clear" w:color="auto" w:fill="FFFFFF"/>
      <w:spacing w:before="2100" w:after="960" w:line="0" w:lineRule="atLeast"/>
      <w:jc w:val="left"/>
    </w:pPr>
    <w:rPr>
      <w:rFonts w:ascii="MingLiU" w:eastAsia="MingLiU" w:hAnsi="MingLiU"/>
      <w:spacing w:val="-10"/>
      <w:kern w:val="0"/>
      <w:szCs w:val="21"/>
    </w:rPr>
  </w:style>
  <w:style w:type="character" w:customStyle="1" w:styleId="11Char1">
    <w:name w:val="1。1 Char"/>
    <w:link w:val="112"/>
    <w:qFormat/>
    <w:rPr>
      <w:rFonts w:ascii="黑体" w:eastAsia="黑体" w:hAnsi="Times New Roman"/>
      <w:b/>
      <w:bCs/>
      <w:sz w:val="24"/>
      <w:szCs w:val="24"/>
      <w:lang w:val="zh-CN"/>
    </w:rPr>
  </w:style>
  <w:style w:type="paragraph" w:customStyle="1" w:styleId="112">
    <w:name w:val="1。1"/>
    <w:basedOn w:val="02"/>
    <w:link w:val="11Char1"/>
    <w:qFormat/>
    <w:pPr>
      <w:spacing w:line="480" w:lineRule="exact"/>
      <w:ind w:firstLineChars="200" w:firstLine="482"/>
    </w:pPr>
    <w:rPr>
      <w:sz w:val="24"/>
      <w:szCs w:val="24"/>
    </w:rPr>
  </w:style>
  <w:style w:type="paragraph" w:customStyle="1" w:styleId="02">
    <w:name w:val="02"/>
    <w:basedOn w:val="a"/>
    <w:link w:val="02Char"/>
    <w:qFormat/>
    <w:pPr>
      <w:spacing w:line="560" w:lineRule="exact"/>
      <w:outlineLvl w:val="1"/>
    </w:pPr>
    <w:rPr>
      <w:rFonts w:ascii="黑体" w:eastAsia="黑体"/>
      <w:b/>
      <w:bCs/>
      <w:kern w:val="0"/>
      <w:sz w:val="28"/>
      <w:szCs w:val="28"/>
      <w:lang w:val="zh-CN"/>
    </w:rPr>
  </w:style>
  <w:style w:type="character" w:customStyle="1" w:styleId="02Char">
    <w:name w:val="02 Char"/>
    <w:link w:val="02"/>
    <w:qFormat/>
    <w:rPr>
      <w:rFonts w:ascii="黑体" w:eastAsia="黑体"/>
      <w:b/>
      <w:bCs/>
      <w:sz w:val="28"/>
      <w:szCs w:val="28"/>
      <w:lang w:val="zh-CN"/>
    </w:rPr>
  </w:style>
  <w:style w:type="character" w:customStyle="1" w:styleId="11Char2">
    <w:name w:val="标题1.1 Char"/>
    <w:link w:val="113"/>
    <w:rPr>
      <w:rFonts w:ascii="黑体" w:eastAsia="宋体"/>
      <w:b/>
      <w:color w:val="000000"/>
      <w:sz w:val="30"/>
      <w:szCs w:val="30"/>
      <w:lang w:eastAsia="en-US" w:bidi="en-US"/>
    </w:rPr>
  </w:style>
  <w:style w:type="paragraph" w:customStyle="1" w:styleId="113">
    <w:name w:val="标题1.1"/>
    <w:basedOn w:val="a"/>
    <w:link w:val="11Char2"/>
    <w:pPr>
      <w:widowControl/>
      <w:spacing w:beforeLines="50" w:afterLines="20" w:line="500" w:lineRule="atLeast"/>
      <w:jc w:val="left"/>
      <w:outlineLvl w:val="1"/>
    </w:pPr>
    <w:rPr>
      <w:rFonts w:ascii="黑体"/>
      <w:b/>
      <w:color w:val="000000"/>
      <w:kern w:val="0"/>
      <w:sz w:val="30"/>
      <w:szCs w:val="30"/>
      <w:lang w:eastAsia="en-US" w:bidi="en-US"/>
    </w:rPr>
  </w:style>
  <w:style w:type="character" w:customStyle="1" w:styleId="NormalIndentChar">
    <w:name w:val="Normal Indent Char"/>
    <w:locked/>
    <w:rPr>
      <w:rFonts w:ascii="Times New Roman" w:eastAsia="华文中宋" w:hAnsi="Times New Roman"/>
      <w:kern w:val="2"/>
      <w:sz w:val="44"/>
    </w:rPr>
  </w:style>
  <w:style w:type="character" w:customStyle="1" w:styleId="2Char1">
    <w:name w:val="正文文本 2 Char"/>
    <w:link w:val="22"/>
    <w:qFormat/>
    <w:rPr>
      <w:rFonts w:ascii="Times New Roman" w:eastAsia="宋体" w:hAnsi="Times New Roman"/>
      <w:kern w:val="2"/>
      <w:sz w:val="21"/>
      <w:szCs w:val="24"/>
    </w:rPr>
  </w:style>
  <w:style w:type="character" w:customStyle="1" w:styleId="Charf1">
    <w:name w:val="章 Char"/>
    <w:link w:val="afd"/>
    <w:rPr>
      <w:rFonts w:ascii="Times New Roman" w:eastAsia="黑体" w:hAnsi="Times New Roman"/>
      <w:b/>
      <w:bCs/>
      <w:kern w:val="44"/>
      <w:sz w:val="32"/>
      <w:szCs w:val="32"/>
    </w:rPr>
  </w:style>
  <w:style w:type="paragraph" w:customStyle="1" w:styleId="afd">
    <w:name w:val="章"/>
    <w:basedOn w:val="1"/>
    <w:link w:val="Charf1"/>
    <w:qFormat/>
    <w:pPr>
      <w:spacing w:line="360" w:lineRule="auto"/>
    </w:pPr>
    <w:rPr>
      <w:rFonts w:eastAsia="黑体"/>
      <w:sz w:val="32"/>
      <w:szCs w:val="32"/>
    </w:rPr>
  </w:style>
  <w:style w:type="character" w:customStyle="1" w:styleId="Bodytext8Spacing0pt">
    <w:name w:val="Body text (8) + Spacing 0 pt"/>
    <w:rPr>
      <w:rFonts w:ascii="MingLiU" w:eastAsia="MingLiU" w:hAnsi="MingLiU" w:cs="MingLiU"/>
      <w:color w:val="000000"/>
      <w:spacing w:val="10"/>
      <w:w w:val="100"/>
      <w:position w:val="0"/>
      <w:sz w:val="21"/>
      <w:szCs w:val="21"/>
      <w:shd w:val="clear" w:color="auto" w:fill="FFFFFF"/>
      <w:lang w:val="zh-TW"/>
    </w:rPr>
  </w:style>
  <w:style w:type="character" w:customStyle="1" w:styleId="2-Char">
    <w:name w:val="2-正文 Char"/>
    <w:link w:val="2-"/>
    <w:qFormat/>
    <w:rPr>
      <w:rFonts w:ascii="宋体" w:eastAsia="宋体" w:hAnsi="宋体"/>
      <w:sz w:val="24"/>
      <w:szCs w:val="24"/>
    </w:rPr>
  </w:style>
  <w:style w:type="paragraph" w:customStyle="1" w:styleId="2-">
    <w:name w:val="2-正文"/>
    <w:basedOn w:val="a"/>
    <w:link w:val="2-Char"/>
    <w:qFormat/>
    <w:pPr>
      <w:spacing w:line="480" w:lineRule="exact"/>
      <w:ind w:firstLineChars="200" w:firstLine="480"/>
    </w:pPr>
    <w:rPr>
      <w:rFonts w:ascii="宋体" w:hAnsi="宋体"/>
      <w:kern w:val="0"/>
      <w:sz w:val="24"/>
    </w:rPr>
  </w:style>
  <w:style w:type="character" w:customStyle="1" w:styleId="Bodytext85pt">
    <w:name w:val="Body text + 8.5 pt"/>
    <w:rPr>
      <w:rFonts w:ascii="Arial Unicode MS" w:eastAsia="Arial Unicode MS" w:hAnsi="Arial Unicode MS" w:cs="Arial Unicode MS"/>
      <w:color w:val="000000"/>
      <w:spacing w:val="0"/>
      <w:w w:val="80"/>
      <w:position w:val="0"/>
      <w:sz w:val="17"/>
      <w:szCs w:val="17"/>
      <w:shd w:val="clear" w:color="auto" w:fill="FFFFFF"/>
      <w:lang w:val="zh-CN"/>
    </w:rPr>
  </w:style>
  <w:style w:type="character" w:customStyle="1" w:styleId="Charf2">
    <w:name w:val="条 Char"/>
    <w:link w:val="afe"/>
    <w:rPr>
      <w:rFonts w:ascii="Times New Roman" w:eastAsia="黑体" w:hAnsi="Times New Roman"/>
      <w:b/>
      <w:bCs/>
      <w:kern w:val="2"/>
      <w:sz w:val="28"/>
      <w:szCs w:val="28"/>
    </w:rPr>
  </w:style>
  <w:style w:type="paragraph" w:customStyle="1" w:styleId="afe">
    <w:name w:val="条"/>
    <w:basedOn w:val="3"/>
    <w:link w:val="Charf2"/>
    <w:qFormat/>
    <w:rPr>
      <w:rFonts w:eastAsia="黑体"/>
      <w:sz w:val="28"/>
      <w:szCs w:val="28"/>
    </w:rPr>
  </w:style>
  <w:style w:type="character" w:customStyle="1" w:styleId="1111-Char">
    <w:name w:val="1.1.1.1- Char"/>
    <w:link w:val="1111-"/>
    <w:qFormat/>
    <w:rPr>
      <w:rFonts w:ascii="黑体" w:eastAsia="黑体" w:hAnsi="Times New Roman"/>
      <w:b/>
      <w:kern w:val="2"/>
      <w:sz w:val="24"/>
      <w:szCs w:val="24"/>
    </w:rPr>
  </w:style>
  <w:style w:type="paragraph" w:customStyle="1" w:styleId="1111-">
    <w:name w:val="1.1.1.1-"/>
    <w:basedOn w:val="a"/>
    <w:link w:val="1111-Char"/>
    <w:qFormat/>
    <w:pPr>
      <w:spacing w:line="480" w:lineRule="exact"/>
      <w:ind w:firstLineChars="200" w:firstLine="482"/>
      <w:outlineLvl w:val="3"/>
    </w:pPr>
    <w:rPr>
      <w:rFonts w:ascii="黑体" w:eastAsia="黑体"/>
      <w:b/>
      <w:sz w:val="24"/>
    </w:rPr>
  </w:style>
  <w:style w:type="character" w:customStyle="1" w:styleId="Heading22">
    <w:name w:val="Heading #2 (2)_"/>
    <w:link w:val="Heading220"/>
    <w:rPr>
      <w:rFonts w:ascii="Arial Unicode MS" w:eastAsia="Arial Unicode MS" w:hAnsi="Arial Unicode MS" w:cs="Arial Unicode MS"/>
      <w:sz w:val="28"/>
      <w:szCs w:val="28"/>
      <w:shd w:val="clear" w:color="auto" w:fill="FFFFFF"/>
    </w:rPr>
  </w:style>
  <w:style w:type="paragraph" w:customStyle="1" w:styleId="Heading220">
    <w:name w:val="Heading #2 (2)"/>
    <w:basedOn w:val="a"/>
    <w:link w:val="Heading22"/>
    <w:pPr>
      <w:shd w:val="clear" w:color="auto" w:fill="FFFFFF"/>
      <w:spacing w:before="480" w:after="480" w:line="0" w:lineRule="atLeast"/>
      <w:jc w:val="distribute"/>
      <w:outlineLvl w:val="1"/>
    </w:pPr>
    <w:rPr>
      <w:rFonts w:ascii="Arial Unicode MS" w:eastAsia="Arial Unicode MS" w:hAnsi="Arial Unicode MS"/>
      <w:kern w:val="0"/>
      <w:sz w:val="28"/>
      <w:szCs w:val="28"/>
    </w:rPr>
  </w:style>
  <w:style w:type="character" w:customStyle="1" w:styleId="6-Char">
    <w:name w:val="6-章标 Char"/>
    <w:link w:val="6-"/>
    <w:qFormat/>
    <w:rPr>
      <w:rFonts w:ascii="黑体" w:eastAsia="黑体" w:hAnsi="Times New Roman"/>
      <w:sz w:val="30"/>
      <w:szCs w:val="30"/>
    </w:rPr>
  </w:style>
  <w:style w:type="paragraph" w:customStyle="1" w:styleId="6-">
    <w:name w:val="6-章标"/>
    <w:basedOn w:val="a"/>
    <w:link w:val="6-Char"/>
    <w:qFormat/>
    <w:pPr>
      <w:spacing w:line="480" w:lineRule="exact"/>
      <w:jc w:val="center"/>
      <w:outlineLvl w:val="0"/>
    </w:pPr>
    <w:rPr>
      <w:rFonts w:ascii="黑体" w:eastAsia="黑体"/>
      <w:kern w:val="0"/>
      <w:sz w:val="30"/>
      <w:szCs w:val="30"/>
    </w:rPr>
  </w:style>
  <w:style w:type="character" w:customStyle="1" w:styleId="ttitle1">
    <w:name w:val="ttitle1"/>
    <w:qFormat/>
    <w:rPr>
      <w:spacing w:val="120"/>
      <w:sz w:val="21"/>
      <w:szCs w:val="21"/>
    </w:rPr>
  </w:style>
  <w:style w:type="character" w:customStyle="1" w:styleId="Picturecaption2">
    <w:name w:val="Picture caption (2)_"/>
    <w:link w:val="Picturecaption20"/>
    <w:rPr>
      <w:rFonts w:ascii="MingLiU" w:eastAsia="MingLiU" w:hAnsi="MingLiU" w:cs="MingLiU"/>
      <w:sz w:val="23"/>
      <w:szCs w:val="23"/>
      <w:shd w:val="clear" w:color="auto" w:fill="FFFFFF"/>
    </w:rPr>
  </w:style>
  <w:style w:type="paragraph" w:customStyle="1" w:styleId="Picturecaption20">
    <w:name w:val="Picture caption (2)"/>
    <w:basedOn w:val="a"/>
    <w:link w:val="Picturecaption2"/>
    <w:pPr>
      <w:shd w:val="clear" w:color="auto" w:fill="FFFFFF"/>
      <w:spacing w:line="0" w:lineRule="atLeast"/>
      <w:jc w:val="distribute"/>
    </w:pPr>
    <w:rPr>
      <w:rFonts w:ascii="MingLiU" w:eastAsia="MingLiU" w:hAnsi="MingLiU"/>
      <w:kern w:val="0"/>
      <w:sz w:val="23"/>
      <w:szCs w:val="23"/>
    </w:rPr>
  </w:style>
  <w:style w:type="character" w:customStyle="1" w:styleId="A-CharChar1">
    <w:name w:val="A-表头 Char Char"/>
    <w:rPr>
      <w:rFonts w:ascii="Times New Roman" w:eastAsia="宋体" w:hAnsi="Times New Roman" w:cs="Times New Roman"/>
      <w:szCs w:val="20"/>
    </w:rPr>
  </w:style>
  <w:style w:type="character" w:customStyle="1" w:styleId="3Char10">
    <w:name w:val="正文文本缩进 3 Char1"/>
    <w:uiPriority w:val="99"/>
    <w:semiHidden/>
    <w:rPr>
      <w:rFonts w:ascii="Times New Roman" w:eastAsia="宋体" w:hAnsi="Times New Roman"/>
      <w:kern w:val="2"/>
      <w:sz w:val="16"/>
      <w:szCs w:val="16"/>
    </w:rPr>
  </w:style>
  <w:style w:type="character" w:customStyle="1" w:styleId="BodytextTimesNewRoman">
    <w:name w:val="Body text + Times New Roman"/>
    <w:rPr>
      <w:rFonts w:ascii="Times New Roman" w:eastAsia="Times New Roman" w:hAnsi="Times New Roman" w:cs="Times New Roman"/>
      <w:i/>
      <w:iCs/>
      <w:color w:val="000000"/>
      <w:spacing w:val="20"/>
      <w:w w:val="100"/>
      <w:position w:val="0"/>
      <w:sz w:val="16"/>
      <w:szCs w:val="16"/>
      <w:shd w:val="clear" w:color="auto" w:fill="FFFFFF"/>
      <w:lang w:val="zh-CN"/>
    </w:rPr>
  </w:style>
  <w:style w:type="character" w:customStyle="1" w:styleId="Charb">
    <w:name w:val="批注主题 Char"/>
    <w:link w:val="af1"/>
    <w:uiPriority w:val="99"/>
    <w:semiHidden/>
    <w:rPr>
      <w:rFonts w:ascii="Times New Roman" w:eastAsia="宋体" w:hAnsi="Times New Roman"/>
      <w:b/>
      <w:bCs/>
      <w:kern w:val="2"/>
      <w:sz w:val="21"/>
      <w:szCs w:val="24"/>
    </w:rPr>
  </w:style>
  <w:style w:type="character" w:styleId="aff">
    <w:name w:val="Placeholder Text"/>
    <w:uiPriority w:val="99"/>
    <w:semiHidden/>
    <w:rPr>
      <w:color w:val="808080"/>
    </w:rPr>
  </w:style>
  <w:style w:type="character" w:customStyle="1" w:styleId="A-Char1">
    <w:name w:val="A-表格 Char"/>
    <w:link w:val="A-1"/>
    <w:qFormat/>
    <w:rPr>
      <w:rFonts w:ascii="Times New Roman" w:eastAsia="楷体_GB2312" w:hAnsi="Times New Roman"/>
      <w:kern w:val="2"/>
      <w:sz w:val="18"/>
      <w:szCs w:val="18"/>
      <w:lang w:val="zh-CN"/>
    </w:rPr>
  </w:style>
  <w:style w:type="paragraph" w:customStyle="1" w:styleId="A-1">
    <w:name w:val="A-表格"/>
    <w:basedOn w:val="a"/>
    <w:link w:val="A-Char1"/>
    <w:qFormat/>
    <w:pPr>
      <w:spacing w:line="220" w:lineRule="exact"/>
      <w:jc w:val="center"/>
    </w:pPr>
    <w:rPr>
      <w:rFonts w:eastAsia="楷体_GB2312"/>
      <w:sz w:val="18"/>
      <w:szCs w:val="18"/>
      <w:lang w:val="zh-CN"/>
    </w:rPr>
  </w:style>
  <w:style w:type="character" w:customStyle="1" w:styleId="Picturecaption2MSMincho">
    <w:name w:val="Picture caption (2) + MS Mincho"/>
    <w:rPr>
      <w:rFonts w:ascii="MS Mincho" w:eastAsia="MS Mincho" w:hAnsi="MS Mincho" w:cs="MS Mincho"/>
      <w:color w:val="000000"/>
      <w:spacing w:val="0"/>
      <w:w w:val="100"/>
      <w:position w:val="0"/>
      <w:sz w:val="25"/>
      <w:szCs w:val="25"/>
      <w:shd w:val="clear" w:color="auto" w:fill="FFFFFF"/>
      <w:lang w:val="en-US"/>
    </w:rPr>
  </w:style>
  <w:style w:type="character" w:customStyle="1" w:styleId="3Char0">
    <w:name w:val="正文文本 3 Char"/>
    <w:link w:val="30"/>
    <w:qFormat/>
    <w:rPr>
      <w:rFonts w:ascii="Times New Roman" w:eastAsia="宋体" w:hAnsi="Times New Roman"/>
      <w:kern w:val="2"/>
      <w:sz w:val="16"/>
      <w:szCs w:val="16"/>
    </w:rPr>
  </w:style>
  <w:style w:type="character" w:customStyle="1" w:styleId="11-Char">
    <w:name w:val="1.1- Char"/>
    <w:link w:val="11-"/>
    <w:qFormat/>
    <w:rPr>
      <w:rFonts w:ascii="黑体" w:eastAsia="黑体" w:hAnsi="Times New Roman"/>
      <w:b/>
      <w:bCs/>
      <w:kern w:val="2"/>
      <w:sz w:val="24"/>
      <w:szCs w:val="24"/>
    </w:rPr>
  </w:style>
  <w:style w:type="paragraph" w:customStyle="1" w:styleId="11-">
    <w:name w:val="1.1-"/>
    <w:basedOn w:val="2"/>
    <w:next w:val="02"/>
    <w:link w:val="11-Char"/>
    <w:qFormat/>
    <w:pPr>
      <w:spacing w:before="0" w:line="480" w:lineRule="exact"/>
      <w:ind w:firstLine="482"/>
      <w:jc w:val="both"/>
    </w:pPr>
    <w:rPr>
      <w:rFonts w:ascii="黑体"/>
      <w:sz w:val="24"/>
      <w:szCs w:val="24"/>
    </w:rPr>
  </w:style>
  <w:style w:type="character" w:customStyle="1" w:styleId="px14">
    <w:name w:val="px14"/>
    <w:basedOn w:val="a1"/>
    <w:qFormat/>
  </w:style>
  <w:style w:type="character" w:customStyle="1" w:styleId="111CharChar">
    <w:name w:val="1.1.1 Char Char"/>
    <w:rPr>
      <w:rFonts w:ascii="黑体" w:eastAsia="黑体" w:hAnsi="Times New Roman" w:cs="Times New Roman"/>
      <w:b/>
      <w:color w:val="FF0000"/>
      <w:kern w:val="2"/>
      <w:sz w:val="24"/>
      <w:szCs w:val="24"/>
    </w:rPr>
  </w:style>
  <w:style w:type="character" w:customStyle="1" w:styleId="A-Char2">
    <w:name w:val="A-节标 Char"/>
    <w:link w:val="A-2"/>
    <w:qFormat/>
    <w:rPr>
      <w:rFonts w:ascii="黑体" w:eastAsia="黑体" w:hAnsi="宋体"/>
      <w:b/>
      <w:sz w:val="24"/>
      <w:szCs w:val="24"/>
    </w:rPr>
  </w:style>
  <w:style w:type="paragraph" w:customStyle="1" w:styleId="A-2">
    <w:name w:val="A-节标"/>
    <w:basedOn w:val="a"/>
    <w:link w:val="A-Char2"/>
    <w:qFormat/>
    <w:pPr>
      <w:spacing w:line="480" w:lineRule="exact"/>
      <w:ind w:firstLineChars="200" w:firstLine="200"/>
      <w:outlineLvl w:val="0"/>
    </w:pPr>
    <w:rPr>
      <w:rFonts w:ascii="黑体" w:eastAsia="黑体" w:hAnsi="宋体"/>
      <w:b/>
      <w:kern w:val="0"/>
      <w:sz w:val="24"/>
    </w:rPr>
  </w:style>
  <w:style w:type="character" w:customStyle="1" w:styleId="BodytextSpacing1pt">
    <w:name w:val="Body text + Spacing 1 pt"/>
    <w:rPr>
      <w:rFonts w:ascii="Arial Unicode MS" w:eastAsia="Arial Unicode MS" w:hAnsi="Arial Unicode MS" w:cs="Arial Unicode MS"/>
      <w:color w:val="000000"/>
      <w:spacing w:val="30"/>
      <w:w w:val="100"/>
      <w:position w:val="0"/>
      <w:sz w:val="28"/>
      <w:szCs w:val="28"/>
      <w:u w:val="none"/>
      <w:shd w:val="clear" w:color="auto" w:fill="FFFFFF"/>
      <w:lang w:val="zh-TW"/>
    </w:rPr>
  </w:style>
  <w:style w:type="character" w:customStyle="1" w:styleId="17">
    <w:name w:val="样式 宋体 四号1"/>
    <w:rPr>
      <w:rFonts w:ascii="宋体" w:hAnsi="宋体"/>
      <w:sz w:val="28"/>
    </w:rPr>
  </w:style>
  <w:style w:type="character" w:customStyle="1" w:styleId="Bodytext2">
    <w:name w:val="Body text (2)_"/>
    <w:link w:val="Bodytext20"/>
    <w:rPr>
      <w:rFonts w:ascii="MingLiU" w:eastAsia="MingLiU" w:hAnsi="MingLiU" w:cs="MingLiU"/>
      <w:b/>
      <w:bCs/>
      <w:spacing w:val="-20"/>
      <w:sz w:val="30"/>
      <w:szCs w:val="30"/>
      <w:shd w:val="clear" w:color="auto" w:fill="FFFFFF"/>
    </w:rPr>
  </w:style>
  <w:style w:type="paragraph" w:customStyle="1" w:styleId="Bodytext20">
    <w:name w:val="Body text (2)"/>
    <w:basedOn w:val="a"/>
    <w:link w:val="Bodytext2"/>
    <w:pPr>
      <w:shd w:val="clear" w:color="auto" w:fill="FFFFFF"/>
      <w:spacing w:line="547" w:lineRule="exact"/>
      <w:jc w:val="left"/>
    </w:pPr>
    <w:rPr>
      <w:rFonts w:ascii="MingLiU" w:eastAsia="MingLiU" w:hAnsi="MingLiU"/>
      <w:b/>
      <w:bCs/>
      <w:spacing w:val="-20"/>
      <w:kern w:val="0"/>
      <w:sz w:val="30"/>
      <w:szCs w:val="30"/>
    </w:rPr>
  </w:style>
  <w:style w:type="character" w:customStyle="1" w:styleId="A-Char3">
    <w:name w:val="A-正文 Char"/>
    <w:link w:val="A-3"/>
    <w:qFormat/>
    <w:rPr>
      <w:rFonts w:ascii="宋体" w:eastAsia="宋体" w:hAnsi="宋体"/>
      <w:kern w:val="2"/>
      <w:sz w:val="24"/>
      <w:szCs w:val="24"/>
    </w:rPr>
  </w:style>
  <w:style w:type="paragraph" w:customStyle="1" w:styleId="A-3">
    <w:name w:val="A-正文"/>
    <w:basedOn w:val="a"/>
    <w:link w:val="A-Char3"/>
    <w:qFormat/>
    <w:pPr>
      <w:spacing w:line="480" w:lineRule="exact"/>
      <w:ind w:firstLineChars="200" w:firstLine="480"/>
    </w:pPr>
    <w:rPr>
      <w:rFonts w:ascii="宋体" w:hAnsi="宋体"/>
      <w:sz w:val="24"/>
    </w:rPr>
  </w:style>
  <w:style w:type="character" w:customStyle="1" w:styleId="4Char0">
    <w:name w:val="标题 4 Char"/>
    <w:rPr>
      <w:rFonts w:ascii="Arial" w:eastAsia="黑体" w:hAnsi="Arial"/>
      <w:b/>
      <w:bCs/>
      <w:sz w:val="28"/>
      <w:szCs w:val="28"/>
      <w:lang w:val="en-US" w:eastAsia="zh-CN" w:bidi="ar-SA"/>
    </w:rPr>
  </w:style>
  <w:style w:type="character" w:customStyle="1" w:styleId="18">
    <w:name w:val="默认段落字体1"/>
    <w:semiHidden/>
  </w:style>
  <w:style w:type="paragraph" w:customStyle="1" w:styleId="font0">
    <w:name w:val="font0"/>
    <w:basedOn w:val="a"/>
    <w:qFormat/>
    <w:pPr>
      <w:widowControl/>
      <w:spacing w:before="100" w:beforeAutospacing="1" w:after="100" w:afterAutospacing="1"/>
      <w:jc w:val="left"/>
    </w:pPr>
    <w:rPr>
      <w:rFonts w:ascii="宋体" w:hAnsi="宋体" w:cs="BankGothic Lt BT" w:hint="eastAsia"/>
      <w:kern w:val="0"/>
      <w:sz w:val="24"/>
    </w:rPr>
  </w:style>
  <w:style w:type="paragraph" w:customStyle="1" w:styleId="xl42">
    <w:name w:val="xl42"/>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xl41">
    <w:name w:val="xl41"/>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p15">
    <w:name w:val="p15"/>
    <w:basedOn w:val="a"/>
    <w:qFormat/>
    <w:pPr>
      <w:widowControl/>
      <w:spacing w:line="480" w:lineRule="atLeast"/>
      <w:ind w:firstLine="420"/>
    </w:pPr>
    <w:rPr>
      <w:color w:val="FF0000"/>
      <w:kern w:val="0"/>
      <w:sz w:val="24"/>
    </w:rPr>
  </w:style>
  <w:style w:type="paragraph" w:customStyle="1" w:styleId="xl43">
    <w:name w:val="xl43"/>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BankGothic Lt BT"/>
      <w:kern w:val="0"/>
      <w:sz w:val="22"/>
      <w:szCs w:val="22"/>
    </w:rPr>
  </w:style>
  <w:style w:type="paragraph" w:customStyle="1" w:styleId="reader-word-layerreader-word-s40-7">
    <w:name w:val="reader-word-layer reader-word-s40-7"/>
    <w:basedOn w:val="a"/>
    <w:pPr>
      <w:widowControl/>
      <w:spacing w:before="100" w:beforeAutospacing="1" w:after="100" w:afterAutospacing="1"/>
      <w:jc w:val="left"/>
    </w:pPr>
    <w:rPr>
      <w:rFonts w:ascii="宋体" w:hAnsi="宋体" w:cs="宋体"/>
      <w:kern w:val="0"/>
      <w:sz w:val="24"/>
    </w:rPr>
  </w:style>
  <w:style w:type="paragraph" w:customStyle="1" w:styleId="aff0">
    <w:name w:val="自正文"/>
    <w:basedOn w:val="a"/>
    <w:qFormat/>
    <w:pPr>
      <w:spacing w:line="500" w:lineRule="exact"/>
      <w:ind w:firstLineChars="200" w:firstLine="200"/>
    </w:pPr>
    <w:rPr>
      <w:kern w:val="0"/>
      <w:sz w:val="24"/>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eastAsia="Arial Unicode MS"/>
      <w:kern w:val="0"/>
      <w:sz w:val="22"/>
      <w:szCs w:val="22"/>
    </w:rPr>
  </w:style>
  <w:style w:type="paragraph" w:customStyle="1" w:styleId="xl46">
    <w:name w:val="xl46"/>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BankGothic Lt BT"/>
      <w:kern w:val="0"/>
      <w:sz w:val="22"/>
      <w:szCs w:val="22"/>
    </w:rPr>
  </w:style>
  <w:style w:type="paragraph" w:customStyle="1" w:styleId="CharChar1Char">
    <w:name w:val="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xl24">
    <w:name w:val="xl24"/>
    <w:basedOn w:val="a"/>
    <w:qFormat/>
    <w:pPr>
      <w:widowControl/>
      <w:pBdr>
        <w:bottom w:val="single" w:sz="4" w:space="0" w:color="auto"/>
        <w:right w:val="single" w:sz="4" w:space="0" w:color="auto"/>
      </w:pBdr>
      <w:spacing w:beforeAutospacing="1" w:afterAutospacing="1"/>
      <w:textAlignment w:val="top"/>
    </w:pPr>
    <w:rPr>
      <w:rFonts w:ascii="Arial Unicode MS" w:eastAsia="Arial Unicode MS" w:hAnsi="Arial Unicode MS"/>
      <w:kern w:val="0"/>
      <w:sz w:val="18"/>
      <w:szCs w:val="20"/>
    </w:rPr>
  </w:style>
  <w:style w:type="paragraph" w:customStyle="1" w:styleId="xl62">
    <w:name w:val="xl6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xl49">
    <w:name w:val="xl49"/>
    <w:basedOn w:val="a"/>
    <w:qFormat/>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xl54">
    <w:name w:val="xl54"/>
    <w:basedOn w:val="a"/>
    <w:autoRedefine/>
    <w:qFormat/>
    <w:pPr>
      <w:widowControl/>
      <w:pBdr>
        <w:left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26">
    <w:name w:val="正文文本2"/>
    <w:basedOn w:val="a"/>
    <w:pPr>
      <w:shd w:val="clear" w:color="auto" w:fill="FFFFFF"/>
      <w:spacing w:line="480" w:lineRule="exact"/>
      <w:jc w:val="distribute"/>
    </w:pPr>
    <w:rPr>
      <w:rFonts w:ascii="Arial Unicode MS" w:eastAsia="Arial Unicode MS" w:hAnsi="Arial Unicode MS" w:cs="Arial Unicode MS"/>
      <w:kern w:val="0"/>
      <w:sz w:val="23"/>
      <w:szCs w:val="23"/>
    </w:rPr>
  </w:style>
  <w:style w:type="paragraph" w:customStyle="1" w:styleId="19">
    <w:name w:val="列出段落1"/>
    <w:basedOn w:val="a"/>
    <w:uiPriority w:val="34"/>
    <w:qFormat/>
    <w:pPr>
      <w:ind w:firstLineChars="200" w:firstLine="420"/>
    </w:pPr>
    <w:rPr>
      <w:szCs w:val="20"/>
    </w:rPr>
  </w:style>
  <w:style w:type="paragraph" w:customStyle="1" w:styleId="xl48">
    <w:name w:val="xl48"/>
    <w:basedOn w:val="a"/>
    <w:qFormat/>
    <w:pPr>
      <w:widowControl/>
      <w:pBdr>
        <w:top w:val="single" w:sz="8" w:space="0" w:color="auto"/>
        <w:left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aff1">
    <w:name w:val="表格文字"/>
    <w:basedOn w:val="a"/>
    <w:pPr>
      <w:spacing w:line="320" w:lineRule="exact"/>
      <w:jc w:val="center"/>
    </w:pPr>
    <w:rPr>
      <w:rFonts w:ascii="仿宋_GB2312" w:eastAsia="仿宋_GB2312" w:hAnsi="宋体"/>
      <w:sz w:val="18"/>
    </w:rPr>
  </w:style>
  <w:style w:type="paragraph" w:customStyle="1" w:styleId="xl40">
    <w:name w:val="xl40"/>
    <w:basedOn w:val="a"/>
    <w:qFormat/>
    <w:pPr>
      <w:widowControl/>
      <w:spacing w:before="100" w:beforeAutospacing="1" w:after="100" w:afterAutospacing="1"/>
      <w:jc w:val="center"/>
    </w:pPr>
    <w:rPr>
      <w:rFonts w:ascii="Arial Unicode MS" w:eastAsia="Arial Unicode MS" w:hAnsi="Arial Unicode MS" w:cs="Arial Unicode MS"/>
      <w:b/>
      <w:bCs/>
      <w:kern w:val="0"/>
      <w:sz w:val="32"/>
      <w:szCs w:val="32"/>
    </w:rPr>
  </w:style>
  <w:style w:type="paragraph" w:customStyle="1" w:styleId="xl38">
    <w:name w:val="xl38"/>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2"/>
      <w:szCs w:val="22"/>
    </w:rPr>
  </w:style>
  <w:style w:type="paragraph" w:customStyle="1" w:styleId="xl52">
    <w:name w:val="xl52"/>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aff2">
    <w:name w:val="报告正文"/>
    <w:basedOn w:val="a"/>
    <w:qFormat/>
    <w:pPr>
      <w:keepNext/>
      <w:spacing w:line="360" w:lineRule="auto"/>
      <w:ind w:firstLineChars="200" w:firstLine="562"/>
    </w:pPr>
    <w:rPr>
      <w:rFonts w:eastAsia="仿宋_GB2312"/>
      <w:bCs/>
      <w:sz w:val="28"/>
      <w:szCs w:val="20"/>
    </w:rPr>
  </w:style>
  <w:style w:type="paragraph" w:customStyle="1" w:styleId="1a">
    <w:name w:val="正文文本缩进1"/>
    <w:basedOn w:val="a"/>
    <w:pPr>
      <w:ind w:firstLineChars="200" w:firstLine="600"/>
    </w:pPr>
    <w:rPr>
      <w:kern w:val="0"/>
      <w:sz w:val="30"/>
    </w:rPr>
  </w:style>
  <w:style w:type="paragraph" w:customStyle="1" w:styleId="xl58">
    <w:name w:val="xl58"/>
    <w:basedOn w:val="a"/>
    <w:qFormat/>
    <w:pPr>
      <w:widowControl/>
      <w:pBdr>
        <w:left w:val="single" w:sz="4" w:space="0" w:color="auto"/>
        <w:bottom w:val="single" w:sz="4"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xl44">
    <w:name w:val="xl44"/>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xl53">
    <w:name w:val="xl53"/>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xl59">
    <w:name w:val="xl59"/>
    <w:basedOn w:val="a"/>
    <w:qFormat/>
    <w:pPr>
      <w:widowControl/>
      <w:pBdr>
        <w:top w:val="single" w:sz="4" w:space="0" w:color="auto"/>
        <w:left w:val="single" w:sz="4"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4"/>
    </w:rPr>
  </w:style>
  <w:style w:type="paragraph" w:customStyle="1" w:styleId="aff3">
    <w:name w:val="表格"/>
    <w:basedOn w:val="a"/>
    <w:qFormat/>
    <w:pPr>
      <w:spacing w:line="320" w:lineRule="atLeast"/>
      <w:jc w:val="center"/>
    </w:pPr>
    <w:rPr>
      <w:rFonts w:eastAsia="仿宋_GB2312"/>
      <w:szCs w:val="20"/>
    </w:rPr>
  </w:style>
  <w:style w:type="paragraph" w:customStyle="1" w:styleId="TableParagraph">
    <w:name w:val="Table Paragraph"/>
    <w:basedOn w:val="a"/>
    <w:uiPriority w:val="1"/>
    <w:qFormat/>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style>
  <w:style w:type="paragraph" w:customStyle="1" w:styleId="0085">
    <w:name w:val="样式 左侧:  0 厘米 首行缩进:  0.85 厘米"/>
    <w:basedOn w:val="a"/>
    <w:pPr>
      <w:ind w:firstLine="480"/>
    </w:pPr>
    <w:rPr>
      <w:rFonts w:eastAsia="仿宋_GB2312"/>
      <w:sz w:val="24"/>
      <w:szCs w:val="20"/>
    </w:rPr>
  </w:style>
  <w:style w:type="paragraph" w:customStyle="1" w:styleId="xl31">
    <w:name w:val="xl31"/>
    <w:basedOn w:val="a"/>
    <w:qFormat/>
    <w:pPr>
      <w:widowControl/>
      <w:pBdr>
        <w:bottom w:val="single" w:sz="4" w:space="0" w:color="auto"/>
        <w:right w:val="single" w:sz="4" w:space="0" w:color="auto"/>
      </w:pBdr>
      <w:spacing w:before="100" w:beforeAutospacing="1" w:after="100" w:afterAutospacing="1"/>
    </w:pPr>
    <w:rPr>
      <w:rFonts w:eastAsia="Arial Unicode MS"/>
      <w:kern w:val="0"/>
      <w:szCs w:val="21"/>
    </w:rPr>
  </w:style>
  <w:style w:type="paragraph" w:customStyle="1" w:styleId="42">
    <w:name w:val="4"/>
    <w:basedOn w:val="a"/>
    <w:qFormat/>
    <w:pPr>
      <w:autoSpaceDE w:val="0"/>
      <w:autoSpaceDN w:val="0"/>
      <w:adjustRightInd w:val="0"/>
      <w:spacing w:line="480" w:lineRule="exact"/>
      <w:ind w:firstLineChars="200" w:firstLine="482"/>
      <w:outlineLvl w:val="3"/>
    </w:pPr>
    <w:rPr>
      <w:rFonts w:ascii="黑体" w:eastAsia="黑体"/>
      <w:b/>
      <w:bCs/>
      <w:sz w:val="24"/>
      <w:lang w:val="zh-CN"/>
    </w:rPr>
  </w:style>
  <w:style w:type="paragraph" w:customStyle="1" w:styleId="font6">
    <w:name w:val="font6"/>
    <w:basedOn w:val="a"/>
    <w:qFormat/>
    <w:pPr>
      <w:widowControl/>
      <w:spacing w:before="100" w:beforeAutospacing="1" w:after="100" w:afterAutospacing="1"/>
      <w:jc w:val="left"/>
    </w:pPr>
    <w:rPr>
      <w:rFonts w:eastAsia="Arial Unicode MS"/>
      <w:kern w:val="0"/>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4"/>
    </w:rPr>
  </w:style>
  <w:style w:type="paragraph" w:customStyle="1" w:styleId="xl45">
    <w:name w:val="xl45"/>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Web">
    <w:name w:val="普通 (Web)"/>
    <w:basedOn w:val="a"/>
    <w:qFormat/>
    <w:pPr>
      <w:widowControl/>
      <w:spacing w:before="100" w:beforeAutospacing="1" w:after="100" w:afterAutospacing="1"/>
      <w:jc w:val="left"/>
    </w:pPr>
    <w:rPr>
      <w:rFonts w:ascii="宋体" w:hAnsi="宋体"/>
      <w:kern w:val="0"/>
      <w:sz w:val="24"/>
    </w:rPr>
  </w:style>
  <w:style w:type="paragraph" w:customStyle="1" w:styleId="114">
    <w:name w:val="正文文本缩进11"/>
    <w:basedOn w:val="a"/>
    <w:pPr>
      <w:ind w:firstLineChars="200" w:firstLine="600"/>
    </w:pPr>
    <w:rPr>
      <w:kern w:val="0"/>
      <w:sz w:val="30"/>
    </w:rPr>
  </w:style>
  <w:style w:type="paragraph" w:customStyle="1" w:styleId="xl47">
    <w:name w:val="xl47"/>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Unicode MS" w:eastAsia="Arial Unicode MS" w:hAnsi="Arial Unicode MS" w:cs="BankGothic Lt BT"/>
      <w:kern w:val="0"/>
      <w:sz w:val="22"/>
      <w:szCs w:val="22"/>
    </w:rPr>
  </w:style>
  <w:style w:type="paragraph" w:customStyle="1" w:styleId="4-0">
    <w:name w:val="4-表格"/>
    <w:basedOn w:val="110"/>
    <w:qFormat/>
    <w:rPr>
      <w:rFonts w:ascii="Times New Roman" w:eastAsia="楷体_GB2312" w:hAnsi="Times New Roman"/>
      <w:kern w:val="2"/>
      <w:sz w:val="20"/>
    </w:rPr>
  </w:style>
  <w:style w:type="paragraph" w:customStyle="1" w:styleId="CharChar1Char1">
    <w:name w:val="Char Char1 Char1"/>
    <w:basedOn w:val="a"/>
    <w:pPr>
      <w:widowControl/>
      <w:spacing w:after="160" w:line="240" w:lineRule="exact"/>
      <w:jc w:val="left"/>
    </w:pPr>
    <w:rPr>
      <w:rFonts w:ascii="Verdana" w:eastAsia="仿宋_GB2312" w:hAnsi="Verdana"/>
      <w:kern w:val="0"/>
      <w:sz w:val="24"/>
      <w:szCs w:val="20"/>
      <w:lang w:eastAsia="en-US"/>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xl39">
    <w:name w:val="xl39"/>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7-">
    <w:name w:val="7-表格"/>
    <w:basedOn w:val="110"/>
    <w:qFormat/>
    <w:rPr>
      <w:rFonts w:ascii="Times New Roman" w:eastAsia="楷体_GB2312" w:hAnsi="Times New Roman"/>
      <w:kern w:val="2"/>
    </w:rPr>
  </w:style>
  <w:style w:type="paragraph" w:customStyle="1" w:styleId="xl37">
    <w:name w:val="xl37"/>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2"/>
      <w:szCs w:val="22"/>
    </w:rPr>
  </w:style>
  <w:style w:type="paragraph" w:customStyle="1" w:styleId="CharCharCharCharCharCharCharCharChar">
    <w:name w:val="Char Char Char Char Char Char Char Char Char"/>
    <w:basedOn w:val="a"/>
    <w:rPr>
      <w:szCs w:val="20"/>
    </w:rPr>
  </w:style>
  <w:style w:type="paragraph" w:customStyle="1" w:styleId="reader-word-layerreader-word-s43-7">
    <w:name w:val="reader-word-layer reader-word-s43-7"/>
    <w:basedOn w:val="a"/>
    <w:pPr>
      <w:widowControl/>
      <w:spacing w:before="100" w:beforeAutospacing="1" w:after="100" w:afterAutospacing="1"/>
      <w:jc w:val="left"/>
    </w:pPr>
    <w:rPr>
      <w:rFonts w:ascii="宋体" w:hAnsi="宋体" w:cs="宋体"/>
      <w:kern w:val="0"/>
      <w:sz w:val="24"/>
    </w:rPr>
  </w:style>
  <w:style w:type="paragraph" w:customStyle="1" w:styleId="reader-word-layerreader-word-s48-14">
    <w:name w:val="reader-word-layer reader-word-s48-14"/>
    <w:basedOn w:val="a"/>
    <w:pPr>
      <w:widowControl/>
      <w:spacing w:before="100" w:beforeAutospacing="1" w:after="100" w:afterAutospacing="1"/>
      <w:jc w:val="left"/>
    </w:pPr>
    <w:rPr>
      <w:rFonts w:ascii="宋体" w:hAnsi="宋体" w:cs="宋体"/>
      <w:kern w:val="0"/>
      <w:sz w:val="24"/>
    </w:rPr>
  </w:style>
  <w:style w:type="paragraph" w:customStyle="1" w:styleId="reader-word-layerreader-word-s42-6">
    <w:name w:val="reader-word-layer reader-word-s42-6"/>
    <w:basedOn w:val="a"/>
    <w:pPr>
      <w:widowControl/>
      <w:spacing w:before="100" w:beforeAutospacing="1" w:after="100" w:afterAutospacing="1"/>
      <w:jc w:val="left"/>
    </w:pPr>
    <w:rPr>
      <w:rFonts w:ascii="宋体" w:hAnsi="宋体" w:cs="宋体"/>
      <w:kern w:val="0"/>
      <w:sz w:val="24"/>
    </w:rPr>
  </w:style>
  <w:style w:type="paragraph" w:customStyle="1" w:styleId="aff4">
    <w:name w:val="章标题"/>
    <w:next w:val="a"/>
    <w:qFormat/>
    <w:pPr>
      <w:tabs>
        <w:tab w:val="left" w:pos="567"/>
      </w:tabs>
      <w:spacing w:beforeLines="50" w:afterLines="50"/>
      <w:ind w:left="567" w:hanging="567"/>
      <w:jc w:val="both"/>
      <w:outlineLvl w:val="1"/>
    </w:pPr>
    <w:rPr>
      <w:rFonts w:ascii="黑体" w:eastAsia="黑体"/>
      <w:sz w:val="21"/>
    </w:rPr>
  </w:style>
  <w:style w:type="paragraph" w:customStyle="1" w:styleId="35">
    <w:name w:val="正文文本3"/>
    <w:basedOn w:val="a"/>
    <w:pPr>
      <w:shd w:val="clear" w:color="auto" w:fill="FFFFFF"/>
      <w:spacing w:before="8340" w:line="0" w:lineRule="atLeast"/>
      <w:jc w:val="center"/>
    </w:pPr>
    <w:rPr>
      <w:rFonts w:ascii="MingLiU" w:eastAsia="MingLiU" w:hAnsi="MingLiU" w:cs="MingLiU"/>
      <w:kern w:val="0"/>
      <w:sz w:val="28"/>
      <w:szCs w:val="28"/>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4"/>
    </w:rPr>
  </w:style>
  <w:style w:type="paragraph" w:customStyle="1" w:styleId="font8">
    <w:name w:val="font8"/>
    <w:basedOn w:val="a"/>
    <w:qFormat/>
    <w:pPr>
      <w:widowControl/>
      <w:spacing w:before="100" w:beforeAutospacing="1" w:after="100" w:afterAutospacing="1"/>
      <w:jc w:val="left"/>
    </w:pPr>
    <w:rPr>
      <w:kern w:val="0"/>
      <w:sz w:val="24"/>
    </w:rPr>
  </w:style>
  <w:style w:type="paragraph" w:customStyle="1" w:styleId="CharCharCharCharCharCharCharCharCharCharCharCharCharCharCharChar">
    <w:name w:val="Char Char Char Char Char Char Char Char Char Char Char Char Char Char Char Char"/>
    <w:basedOn w:val="a"/>
    <w:qFormat/>
  </w:style>
  <w:style w:type="paragraph" w:customStyle="1" w:styleId="Char10">
    <w:name w:val="Char1"/>
    <w:basedOn w:val="a"/>
    <w:link w:val="CharChar11"/>
    <w:pPr>
      <w:ind w:left="-48"/>
    </w:pPr>
  </w:style>
  <w:style w:type="character" w:customStyle="1" w:styleId="CharChar11">
    <w:name w:val="Char Char11"/>
    <w:basedOn w:val="a1"/>
    <w:link w:val="Char10"/>
    <w:rPr>
      <w:kern w:val="2"/>
      <w:sz w:val="21"/>
      <w:szCs w:val="24"/>
    </w:rPr>
  </w:style>
  <w:style w:type="paragraph" w:customStyle="1" w:styleId="xl51">
    <w:name w:val="xl51"/>
    <w:basedOn w:val="a"/>
    <w:qFormat/>
    <w:pPr>
      <w:widowControl/>
      <w:pBdr>
        <w:left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styleId="aff5">
    <w:name w:val="List Paragraph"/>
    <w:basedOn w:val="a"/>
    <w:uiPriority w:val="34"/>
    <w:qFormat/>
    <w:pPr>
      <w:ind w:firstLineChars="200" w:firstLine="420"/>
    </w:pPr>
  </w:style>
  <w:style w:type="paragraph" w:customStyle="1" w:styleId="xl29">
    <w:name w:val="xl29"/>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0"/>
    </w:rPr>
  </w:style>
  <w:style w:type="paragraph" w:customStyle="1" w:styleId="aff6">
    <w:name w:val="一级无标题条"/>
    <w:basedOn w:val="a"/>
    <w:qFormat/>
    <w:rPr>
      <w:szCs w:val="20"/>
    </w:rPr>
  </w:style>
  <w:style w:type="paragraph" w:customStyle="1" w:styleId="xl63">
    <w:name w:val="xl63"/>
    <w:basedOn w:val="a"/>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BankGothic Lt BT"/>
      <w:kern w:val="0"/>
      <w:sz w:val="22"/>
      <w:szCs w:val="22"/>
    </w:rPr>
  </w:style>
  <w:style w:type="paragraph" w:customStyle="1" w:styleId="p0">
    <w:name w:val="p0"/>
    <w:basedOn w:val="a"/>
    <w:qFormat/>
    <w:pPr>
      <w:widowControl/>
    </w:pPr>
    <w:rPr>
      <w:kern w:val="0"/>
      <w:szCs w:val="21"/>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reader-word-layerreader-word-s43-4">
    <w:name w:val="reader-word-layer reader-word-s43-4"/>
    <w:basedOn w:val="a"/>
    <w:pPr>
      <w:widowControl/>
      <w:spacing w:before="100" w:beforeAutospacing="1" w:after="100" w:afterAutospacing="1"/>
      <w:jc w:val="left"/>
    </w:pPr>
    <w:rPr>
      <w:rFonts w:ascii="宋体" w:hAnsi="宋体" w:cs="宋体"/>
      <w:kern w:val="0"/>
      <w:sz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4"/>
    </w:rPr>
  </w:style>
  <w:style w:type="paragraph" w:customStyle="1" w:styleId="aff7">
    <w:name w:val="表头"/>
    <w:basedOn w:val="a"/>
    <w:next w:val="aff3"/>
    <w:qFormat/>
    <w:pPr>
      <w:spacing w:line="540" w:lineRule="exact"/>
      <w:ind w:firstLineChars="200" w:firstLine="200"/>
      <w:jc w:val="left"/>
      <w:outlineLvl w:val="2"/>
    </w:pPr>
    <w:rPr>
      <w:rFonts w:eastAsia="黑体"/>
      <w:sz w:val="28"/>
      <w:szCs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24"/>
    </w:rPr>
  </w:style>
  <w:style w:type="paragraph" w:customStyle="1" w:styleId="xl57">
    <w:name w:val="xl57"/>
    <w:basedOn w:val="a"/>
    <w:qFormat/>
    <w:pPr>
      <w:widowControl/>
      <w:pBdr>
        <w:left w:val="single" w:sz="4"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reader-word-layerreader-word-s42-8">
    <w:name w:val="reader-word-layer reader-word-s42-8"/>
    <w:basedOn w:val="a"/>
    <w:pPr>
      <w:widowControl/>
      <w:spacing w:before="100" w:beforeAutospacing="1" w:after="100" w:afterAutospacing="1"/>
      <w:jc w:val="left"/>
    </w:pPr>
    <w:rPr>
      <w:rFonts w:ascii="宋体" w:hAnsi="宋体" w:cs="宋体"/>
      <w:kern w:val="0"/>
      <w:sz w:val="24"/>
    </w:rPr>
  </w:style>
  <w:style w:type="paragraph" w:customStyle="1" w:styleId="1b">
    <w:name w:val="修订1"/>
    <w:uiPriority w:val="99"/>
    <w:semiHidden/>
    <w:rPr>
      <w:kern w:val="2"/>
      <w:sz w:val="21"/>
      <w:szCs w:val="24"/>
    </w:rPr>
  </w:style>
  <w:style w:type="paragraph" w:customStyle="1" w:styleId="font7">
    <w:name w:val="font7"/>
    <w:basedOn w:val="a"/>
    <w:qFormat/>
    <w:pPr>
      <w:widowControl/>
      <w:spacing w:before="100" w:beforeAutospacing="1" w:after="100" w:afterAutospacing="1"/>
      <w:jc w:val="left"/>
    </w:pPr>
    <w:rPr>
      <w:rFonts w:eastAsia="Arial Unicode MS"/>
      <w:kern w:val="0"/>
      <w:sz w:val="22"/>
      <w:szCs w:val="22"/>
    </w:rPr>
  </w:style>
  <w:style w:type="paragraph" w:customStyle="1" w:styleId="xl50">
    <w:name w:val="xl50"/>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aff8">
    <w:name w:val="样式"/>
    <w:qFormat/>
    <w:pPr>
      <w:widowControl w:val="0"/>
      <w:autoSpaceDE w:val="0"/>
      <w:autoSpaceDN w:val="0"/>
      <w:adjustRightInd w:val="0"/>
    </w:pPr>
    <w:rPr>
      <w:sz w:val="24"/>
      <w:szCs w:val="24"/>
    </w:rPr>
  </w:style>
  <w:style w:type="paragraph" w:customStyle="1" w:styleId="xl55">
    <w:name w:val="xl55"/>
    <w:basedOn w:val="a"/>
    <w:qFormat/>
    <w:pPr>
      <w:widowControl/>
      <w:pBdr>
        <w:left w:val="single" w:sz="4" w:space="0" w:color="auto"/>
        <w:bottom w:val="single" w:sz="8" w:space="0" w:color="auto"/>
        <w:right w:val="single" w:sz="4" w:space="0" w:color="auto"/>
      </w:pBdr>
      <w:spacing w:before="100" w:beforeAutospacing="1" w:after="100" w:afterAutospacing="1"/>
      <w:jc w:val="center"/>
      <w:textAlignment w:val="top"/>
    </w:pPr>
    <w:rPr>
      <w:rFonts w:eastAsia="Arial Unicode MS"/>
      <w:kern w:val="0"/>
      <w:sz w:val="22"/>
      <w:szCs w:val="22"/>
    </w:rPr>
  </w:style>
  <w:style w:type="paragraph" w:customStyle="1" w:styleId="aff9">
    <w:name w:val="段"/>
    <w:qFormat/>
    <w:pPr>
      <w:autoSpaceDE w:val="0"/>
      <w:autoSpaceDN w:val="0"/>
      <w:ind w:firstLineChars="200" w:firstLine="200"/>
      <w:jc w:val="both"/>
    </w:pPr>
    <w:rPr>
      <w:rFonts w:ascii="宋体"/>
      <w:sz w:val="21"/>
      <w:szCs w:val="22"/>
    </w:rPr>
  </w:style>
  <w:style w:type="paragraph" w:customStyle="1" w:styleId="xl56">
    <w:name w:val="xl56"/>
    <w:basedOn w:val="a"/>
    <w:qFormat/>
    <w:pPr>
      <w:widowControl/>
      <w:pBdr>
        <w:top w:val="single" w:sz="4" w:space="0" w:color="auto"/>
        <w:left w:val="single" w:sz="4"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xl34">
    <w:name w:val="xl34"/>
    <w:basedOn w:val="a"/>
    <w:qFormat/>
    <w:pPr>
      <w:widowControl/>
      <w:pBdr>
        <w:left w:val="single" w:sz="4" w:space="0" w:color="auto"/>
        <w:bottom w:val="single" w:sz="4" w:space="0" w:color="auto"/>
        <w:right w:val="single" w:sz="4" w:space="0" w:color="auto"/>
      </w:pBdr>
      <w:spacing w:before="100" w:beforeAutospacing="1" w:after="100" w:afterAutospacing="1"/>
      <w:jc w:val="center"/>
    </w:pPr>
    <w:rPr>
      <w:kern w:val="0"/>
      <w:szCs w:val="21"/>
    </w:rPr>
  </w:style>
  <w:style w:type="paragraph" w:customStyle="1" w:styleId="CharChar1CharCharCharChar">
    <w:name w:val="Char Char1 Char Char Char Char"/>
    <w:basedOn w:val="a"/>
    <w:qFormat/>
    <w:pPr>
      <w:snapToGrid w:val="0"/>
      <w:spacing w:line="360" w:lineRule="auto"/>
      <w:ind w:firstLineChars="200" w:firstLine="200"/>
    </w:pPr>
    <w:rPr>
      <w:rFonts w:eastAsia="仿宋_GB2312"/>
      <w:sz w:val="24"/>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2"/>
      <w:szCs w:val="22"/>
    </w:rPr>
  </w:style>
  <w:style w:type="paragraph" w:customStyle="1" w:styleId="xl61">
    <w:name w:val="xl61"/>
    <w:basedOn w:val="a"/>
    <w:qFormat/>
    <w:pPr>
      <w:widowControl/>
      <w:pBdr>
        <w:left w:val="single" w:sz="4" w:space="0" w:color="auto"/>
        <w:bottom w:val="single" w:sz="8"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font5">
    <w:name w:val="font5"/>
    <w:basedOn w:val="a"/>
    <w:qFormat/>
    <w:pPr>
      <w:widowControl/>
      <w:spacing w:before="100" w:beforeAutospacing="1" w:after="100" w:afterAutospacing="1"/>
      <w:jc w:val="left"/>
    </w:pPr>
    <w:rPr>
      <w:rFonts w:ascii="宋体" w:hAnsi="宋体" w:cs="BankGothic Lt BT" w:hint="eastAsia"/>
      <w:kern w:val="0"/>
      <w:sz w:val="18"/>
      <w:szCs w:val="18"/>
    </w:rPr>
  </w:style>
  <w:style w:type="paragraph" w:customStyle="1" w:styleId="xl60">
    <w:name w:val="xl60"/>
    <w:basedOn w:val="a"/>
    <w:qFormat/>
    <w:pPr>
      <w:widowControl/>
      <w:pBdr>
        <w:left w:val="single" w:sz="4" w:space="0" w:color="auto"/>
        <w:right w:val="single" w:sz="8" w:space="0" w:color="auto"/>
      </w:pBdr>
      <w:spacing w:before="100" w:beforeAutospacing="1" w:after="100" w:afterAutospacing="1"/>
      <w:jc w:val="left"/>
      <w:textAlignment w:val="top"/>
    </w:pPr>
    <w:rPr>
      <w:rFonts w:ascii="Arial Unicode MS" w:eastAsia="Arial Unicode MS" w:hAnsi="Arial Unicode MS" w:cs="BankGothic Lt BT"/>
      <w:kern w:val="0"/>
      <w:sz w:val="22"/>
      <w:szCs w:val="22"/>
    </w:rPr>
  </w:style>
  <w:style w:type="paragraph" w:customStyle="1" w:styleId="xl36">
    <w:name w:val="xl36"/>
    <w:basedOn w:val="a"/>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BankGothic Lt BT"/>
      <w:kern w:val="0"/>
      <w:sz w:val="22"/>
      <w:szCs w:val="22"/>
    </w:rPr>
  </w:style>
  <w:style w:type="paragraph" w:customStyle="1" w:styleId="Default">
    <w:name w:val="Default"/>
    <w:pPr>
      <w:widowControl w:val="0"/>
      <w:autoSpaceDE w:val="0"/>
      <w:autoSpaceDN w:val="0"/>
      <w:adjustRightInd w:val="0"/>
    </w:pPr>
    <w:rPr>
      <w:rFonts w:ascii="黑体" w:eastAsia="黑体" w:hAnsi="Calibri" w:cs="黑体"/>
      <w:color w:val="000000"/>
      <w:sz w:val="24"/>
      <w:szCs w:val="24"/>
    </w:rPr>
  </w:style>
  <w:style w:type="character" w:customStyle="1" w:styleId="UnresolvedMention">
    <w:name w:val="Unresolved Mention"/>
    <w:basedOn w:val="a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9.wmf"/><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4.xml"/><Relationship Id="rId42"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oleObject" Target="embeddings/oleObject3.bin"/><Relationship Id="rId33" Type="http://schemas.openxmlformats.org/officeDocument/2006/relationships/image" Target="media/image12.jpeg"/><Relationship Id="rId38" Type="http://schemas.openxmlformats.org/officeDocument/2006/relationships/image" Target="media/image14.wm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wmf"/><Relationship Id="rId29" Type="http://schemas.openxmlformats.org/officeDocument/2006/relationships/footer" Target="footer3.xml"/><Relationship Id="rId41" Type="http://schemas.openxmlformats.org/officeDocument/2006/relationships/image" Target="media/image17.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image" Target="media/image16.wmf"/><Relationship Id="rId5" Type="http://schemas.openxmlformats.org/officeDocument/2006/relationships/settings" Target="settings.xml"/><Relationship Id="rId15" Type="http://schemas.openxmlformats.org/officeDocument/2006/relationships/hyperlink" Target="https://baike.baidu.com/item/%E6%9C%89%E7%BA%BF%E7%94%B5%E8%A7%86" TargetMode="External"/><Relationship Id="rId23" Type="http://schemas.openxmlformats.org/officeDocument/2006/relationships/oleObject" Target="embeddings/oleObject2.bin"/><Relationship Id="rId28" Type="http://schemas.openxmlformats.org/officeDocument/2006/relationships/header" Target="header3.xml"/><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www.so.com/s?q=%E6%B0%94%E6%B8%A9%E6%97%A5%E8%BE%83%E5%B7%AE&amp;ie=utf-8&amp;src=internal_wenda_recommend_textn"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baike.baidu.com/item/%E7%9F%BF%E4%BA%A7" TargetMode="External"/><Relationship Id="rId22" Type="http://schemas.openxmlformats.org/officeDocument/2006/relationships/image" Target="media/image7.wmf"/><Relationship Id="rId27" Type="http://schemas.openxmlformats.org/officeDocument/2006/relationships/oleObject" Target="embeddings/oleObject4.bin"/><Relationship Id="rId30" Type="http://schemas.openxmlformats.org/officeDocument/2006/relationships/image" Target="media/image10.jpeg"/><Relationship Id="rId35" Type="http://schemas.openxmlformats.org/officeDocument/2006/relationships/header" Target="header4.xml"/><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4C1C98-42AB-4FA1-ACBF-B8E2A3E52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18231</TotalTime>
  <Pages>129</Pages>
  <Words>12720</Words>
  <Characters>72509</Characters>
  <Application>Microsoft Office Word</Application>
  <DocSecurity>0</DocSecurity>
  <Lines>604</Lines>
  <Paragraphs>170</Paragraphs>
  <ScaleCrop>false</ScaleCrop>
  <Company>Microsoft</Company>
  <LinksUpToDate>false</LinksUpToDate>
  <CharactersWithSpaces>85059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Administrator</dc:creator>
  <cp:lastModifiedBy>PC</cp:lastModifiedBy>
  <cp:revision>1610</cp:revision>
  <cp:lastPrinted>2021-05-26T03:19:00Z</cp:lastPrinted>
  <dcterms:created xsi:type="dcterms:W3CDTF">2023-08-21T01:45:00Z</dcterms:created>
  <dcterms:modified xsi:type="dcterms:W3CDTF">2024-03-18T02:59:00Z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67BF729545EE48F89DBAD5475C26C3BC_12</vt:lpwstr>
  </property>
</Properties>
</file>