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0" w:firstLineChars="0"/>
        <w:jc w:val="center"/>
        <w:rPr>
          <w:b/>
          <w:bCs/>
          <w:sz w:val="44"/>
          <w:szCs w:val="40"/>
        </w:rPr>
      </w:pPr>
    </w:p>
    <w:p>
      <w:pPr>
        <w:spacing w:line="480" w:lineRule="auto"/>
        <w:ind w:firstLine="0" w:firstLineChars="0"/>
        <w:jc w:val="center"/>
        <w:rPr>
          <w:b/>
          <w:bCs/>
          <w:sz w:val="44"/>
          <w:szCs w:val="40"/>
        </w:rPr>
      </w:pPr>
    </w:p>
    <w:p>
      <w:pPr>
        <w:spacing w:line="480" w:lineRule="auto"/>
        <w:ind w:firstLine="0" w:firstLineChars="0"/>
        <w:jc w:val="center"/>
        <w:rPr>
          <w:b/>
          <w:bCs/>
          <w:sz w:val="44"/>
          <w:szCs w:val="40"/>
        </w:rPr>
      </w:pPr>
    </w:p>
    <w:p>
      <w:pPr>
        <w:pStyle w:val="2"/>
        <w:rPr>
          <w:b/>
          <w:bCs/>
          <w:sz w:val="44"/>
          <w:szCs w:val="40"/>
        </w:rPr>
      </w:pPr>
      <w:r>
        <w:rPr>
          <w:b/>
          <w:bCs/>
          <w:sz w:val="44"/>
          <w:szCs w:val="40"/>
        </w:rPr>
        <w:t>甘肃省临泽县梨西4号电站东南侧建筑用砂矿</w:t>
      </w:r>
    </w:p>
    <w:p>
      <w:pPr>
        <w:spacing w:line="480" w:lineRule="auto"/>
        <w:ind w:firstLine="0" w:firstLineChars="0"/>
        <w:jc w:val="center"/>
        <w:rPr>
          <w:b/>
          <w:bCs/>
          <w:sz w:val="44"/>
          <w:szCs w:val="40"/>
        </w:rPr>
      </w:pPr>
      <w:bookmarkStart w:id="0" w:name="_Toc71619013"/>
      <w:bookmarkStart w:id="1" w:name="_Toc6227"/>
      <w:bookmarkStart w:id="2" w:name="_Toc71621561"/>
      <w:bookmarkStart w:id="3" w:name="_Toc70589699"/>
      <w:r>
        <w:rPr>
          <w:rFonts w:hint="eastAsia"/>
          <w:b/>
          <w:bCs/>
          <w:sz w:val="44"/>
          <w:szCs w:val="40"/>
        </w:rPr>
        <w:t>矿产资源开发与恢复治理方案</w:t>
      </w:r>
      <w:bookmarkEnd w:id="0"/>
      <w:bookmarkEnd w:id="1"/>
      <w:bookmarkEnd w:id="2"/>
      <w:bookmarkEnd w:id="3"/>
    </w:p>
    <w:p>
      <w:pPr>
        <w:jc w:val="center"/>
        <w:rPr>
          <w:sz w:val="44"/>
          <w:szCs w:val="52"/>
        </w:rPr>
      </w:pPr>
    </w:p>
    <w:p>
      <w:pPr>
        <w:jc w:val="center"/>
        <w:rPr>
          <w:sz w:val="44"/>
          <w:szCs w:val="52"/>
        </w:rPr>
      </w:pPr>
    </w:p>
    <w:p>
      <w:pPr>
        <w:jc w:val="center"/>
        <w:rPr>
          <w:sz w:val="44"/>
          <w:szCs w:val="52"/>
        </w:rPr>
      </w:pPr>
    </w:p>
    <w:p>
      <w:pPr>
        <w:jc w:val="center"/>
        <w:rPr>
          <w:sz w:val="44"/>
          <w:szCs w:val="52"/>
        </w:rPr>
      </w:pPr>
    </w:p>
    <w:p>
      <w:pPr>
        <w:jc w:val="center"/>
        <w:rPr>
          <w:sz w:val="44"/>
          <w:szCs w:val="52"/>
        </w:rPr>
      </w:pPr>
    </w:p>
    <w:p>
      <w:pPr>
        <w:jc w:val="center"/>
        <w:rPr>
          <w:sz w:val="44"/>
          <w:szCs w:val="52"/>
        </w:rPr>
      </w:pPr>
    </w:p>
    <w:p>
      <w:pPr>
        <w:jc w:val="center"/>
        <w:rPr>
          <w:sz w:val="44"/>
          <w:szCs w:val="52"/>
        </w:rPr>
      </w:pPr>
    </w:p>
    <w:p>
      <w:pPr>
        <w:jc w:val="center"/>
        <w:rPr>
          <w:sz w:val="44"/>
          <w:szCs w:val="52"/>
        </w:rPr>
      </w:pPr>
    </w:p>
    <w:p>
      <w:pPr>
        <w:jc w:val="center"/>
        <w:rPr>
          <w:sz w:val="44"/>
          <w:szCs w:val="52"/>
        </w:rPr>
      </w:pPr>
    </w:p>
    <w:p>
      <w:pPr>
        <w:jc w:val="center"/>
        <w:rPr>
          <w:sz w:val="44"/>
          <w:szCs w:val="52"/>
        </w:rPr>
      </w:pPr>
    </w:p>
    <w:p>
      <w:pPr>
        <w:jc w:val="center"/>
        <w:rPr>
          <w:sz w:val="44"/>
          <w:szCs w:val="52"/>
        </w:rPr>
      </w:pPr>
    </w:p>
    <w:p>
      <w:pPr>
        <w:jc w:val="center"/>
        <w:rPr>
          <w:sz w:val="44"/>
          <w:szCs w:val="52"/>
        </w:rPr>
      </w:pPr>
    </w:p>
    <w:p>
      <w:pPr>
        <w:jc w:val="center"/>
        <w:rPr>
          <w:sz w:val="44"/>
          <w:szCs w:val="52"/>
        </w:rPr>
      </w:pPr>
    </w:p>
    <w:p>
      <w:pPr>
        <w:ind w:firstLine="640"/>
        <w:jc w:val="center"/>
        <w:rPr>
          <w:sz w:val="32"/>
          <w:szCs w:val="40"/>
        </w:rPr>
      </w:pPr>
      <w:r>
        <w:rPr>
          <w:sz w:val="32"/>
          <w:szCs w:val="40"/>
        </w:rPr>
        <w:t>临泽县梨西4号电站东南侧建筑用砂矿</w:t>
      </w:r>
    </w:p>
    <w:p>
      <w:pPr>
        <w:ind w:firstLine="640"/>
        <w:jc w:val="center"/>
        <w:rPr>
          <w:sz w:val="32"/>
          <w:szCs w:val="40"/>
        </w:rPr>
      </w:pPr>
      <w:r>
        <w:rPr>
          <w:rFonts w:hint="eastAsia"/>
          <w:sz w:val="32"/>
          <w:szCs w:val="40"/>
        </w:rPr>
        <w:t>2023年</w:t>
      </w:r>
      <w:r>
        <w:rPr>
          <w:sz w:val="32"/>
          <w:szCs w:val="40"/>
        </w:rPr>
        <w:t>8</w:t>
      </w:r>
      <w:r>
        <w:rPr>
          <w:rFonts w:hint="eastAsia"/>
          <w:sz w:val="32"/>
          <w:szCs w:val="40"/>
        </w:rPr>
        <w:t>月</w:t>
      </w:r>
    </w:p>
    <w:p>
      <w:pPr>
        <w:jc w:val="center"/>
        <w:rPr>
          <w:sz w:val="44"/>
          <w:szCs w:val="52"/>
        </w:rPr>
        <w:sectPr>
          <w:headerReference r:id="rId7" w:type="first"/>
          <w:headerReference r:id="rId5" w:type="default"/>
          <w:headerReference r:id="rId6" w:type="even"/>
          <w:pgSz w:w="11906" w:h="16838"/>
          <w:pgMar w:top="284" w:right="284" w:bottom="284" w:left="284" w:header="851" w:footer="992" w:gutter="0"/>
          <w:cols w:space="720" w:num="1"/>
          <w:docGrid w:type="lines" w:linePitch="381" w:charSpace="0"/>
        </w:sectPr>
      </w:pPr>
    </w:p>
    <w:p>
      <w:pPr>
        <w:ind w:firstLine="803"/>
        <w:jc w:val="center"/>
        <w:rPr>
          <w:rFonts w:ascii="仿宋" w:hAnsi="仿宋" w:eastAsia="仿宋"/>
          <w:b/>
          <w:bCs/>
          <w:sz w:val="40"/>
          <w:szCs w:val="40"/>
        </w:rPr>
      </w:pPr>
    </w:p>
    <w:p>
      <w:pPr>
        <w:ind w:firstLine="803"/>
        <w:jc w:val="center"/>
        <w:rPr>
          <w:rFonts w:ascii="仿宋" w:hAnsi="仿宋" w:eastAsia="仿宋"/>
          <w:b/>
          <w:bCs/>
          <w:sz w:val="40"/>
          <w:szCs w:val="40"/>
        </w:rPr>
      </w:pPr>
    </w:p>
    <w:p>
      <w:pPr>
        <w:ind w:firstLine="803"/>
        <w:jc w:val="center"/>
        <w:rPr>
          <w:rFonts w:ascii="仿宋" w:hAnsi="仿宋" w:eastAsia="仿宋"/>
          <w:b/>
          <w:bCs/>
          <w:sz w:val="40"/>
          <w:szCs w:val="40"/>
        </w:rPr>
      </w:pPr>
      <w:r>
        <w:rPr>
          <w:rFonts w:hint="eastAsia" w:ascii="仿宋" w:hAnsi="仿宋" w:eastAsia="仿宋"/>
          <w:b/>
          <w:bCs/>
          <w:sz w:val="40"/>
          <w:szCs w:val="40"/>
        </w:rPr>
        <w:t>甘肃省临泽县梨西4号电站东南侧建筑用砂</w:t>
      </w:r>
    </w:p>
    <w:p>
      <w:pPr>
        <w:spacing w:before="190" w:beforeLines="50"/>
        <w:ind w:firstLine="1205" w:firstLineChars="300"/>
        <w:jc w:val="center"/>
        <w:rPr>
          <w:color w:val="0000FF"/>
          <w:szCs w:val="28"/>
        </w:rPr>
      </w:pPr>
      <w:r>
        <w:rPr>
          <w:rFonts w:hint="eastAsia" w:ascii="仿宋" w:hAnsi="仿宋" w:eastAsia="仿宋"/>
          <w:b/>
          <w:bCs/>
          <w:sz w:val="40"/>
          <w:szCs w:val="40"/>
        </w:rPr>
        <w:t>矿产资源开发与恢复治理方案</w:t>
      </w:r>
    </w:p>
    <w:p>
      <w:pPr>
        <w:pStyle w:val="2"/>
        <w:rPr>
          <w:color w:val="0000FF"/>
          <w:sz w:val="28"/>
          <w:szCs w:val="28"/>
        </w:rPr>
      </w:pPr>
    </w:p>
    <w:p>
      <w:pPr>
        <w:spacing w:line="800" w:lineRule="exact"/>
        <w:ind w:firstLine="848" w:firstLineChars="265"/>
        <w:rPr>
          <w:sz w:val="32"/>
          <w:szCs w:val="32"/>
        </w:rPr>
      </w:pPr>
    </w:p>
    <w:p>
      <w:pPr>
        <w:pStyle w:val="2"/>
        <w:rPr>
          <w:sz w:val="32"/>
          <w:szCs w:val="32"/>
        </w:rPr>
      </w:pPr>
    </w:p>
    <w:p>
      <w:pPr>
        <w:pStyle w:val="2"/>
        <w:rPr>
          <w:sz w:val="32"/>
          <w:szCs w:val="32"/>
        </w:rPr>
      </w:pPr>
    </w:p>
    <w:p>
      <w:pPr>
        <w:pStyle w:val="2"/>
        <w:rPr>
          <w:sz w:val="32"/>
          <w:szCs w:val="32"/>
        </w:rPr>
      </w:pPr>
    </w:p>
    <w:p>
      <w:pPr>
        <w:pStyle w:val="2"/>
        <w:rPr>
          <w:sz w:val="32"/>
          <w:szCs w:val="32"/>
        </w:rPr>
      </w:pPr>
    </w:p>
    <w:p>
      <w:pPr>
        <w:pStyle w:val="2"/>
        <w:rPr>
          <w:sz w:val="32"/>
          <w:szCs w:val="32"/>
        </w:rPr>
      </w:pPr>
    </w:p>
    <w:p>
      <w:pPr>
        <w:pStyle w:val="2"/>
        <w:rPr>
          <w:sz w:val="32"/>
          <w:szCs w:val="32"/>
        </w:rPr>
      </w:pPr>
    </w:p>
    <w:p>
      <w:pPr>
        <w:pStyle w:val="2"/>
        <w:jc w:val="both"/>
        <w:rPr>
          <w:sz w:val="32"/>
          <w:szCs w:val="32"/>
        </w:rPr>
      </w:pPr>
    </w:p>
    <w:p>
      <w:pPr>
        <w:spacing w:line="240" w:lineRule="auto"/>
        <w:ind w:firstLine="0" w:firstLineChars="0"/>
        <w:rPr>
          <w:sz w:val="32"/>
          <w:szCs w:val="32"/>
        </w:rPr>
      </w:pPr>
    </w:p>
    <w:p>
      <w:pPr>
        <w:spacing w:line="240" w:lineRule="auto"/>
        <w:ind w:firstLine="2560" w:firstLineChars="800"/>
        <w:rPr>
          <w:sz w:val="32"/>
          <w:szCs w:val="32"/>
        </w:rPr>
      </w:pPr>
      <w:r>
        <w:rPr>
          <w:sz w:val="32"/>
          <w:szCs w:val="32"/>
        </w:rPr>
        <w:t>编制单位：</w:t>
      </w:r>
      <w:r>
        <w:rPr>
          <w:rFonts w:hint="eastAsia"/>
          <w:sz w:val="32"/>
          <w:szCs w:val="32"/>
        </w:rPr>
        <w:t>甘肃煤田地质局一四五队</w:t>
      </w:r>
    </w:p>
    <w:p>
      <w:pPr>
        <w:spacing w:line="240" w:lineRule="auto"/>
        <w:ind w:firstLine="2560" w:firstLineChars="800"/>
        <w:rPr>
          <w:sz w:val="32"/>
          <w:szCs w:val="32"/>
        </w:rPr>
      </w:pPr>
      <w:r>
        <w:rPr>
          <w:sz w:val="32"/>
          <w:szCs w:val="32"/>
        </w:rPr>
        <w:t>法定代表人：</w:t>
      </w:r>
      <w:r>
        <w:rPr>
          <w:rFonts w:hint="eastAsia"/>
          <w:sz w:val="32"/>
          <w:szCs w:val="32"/>
        </w:rPr>
        <w:t>刘世海</w:t>
      </w:r>
    </w:p>
    <w:p>
      <w:pPr>
        <w:spacing w:line="240" w:lineRule="auto"/>
        <w:ind w:firstLine="2560" w:firstLineChars="800"/>
        <w:rPr>
          <w:sz w:val="32"/>
          <w:szCs w:val="32"/>
        </w:rPr>
      </w:pPr>
      <w:r>
        <w:rPr>
          <w:sz w:val="32"/>
          <w:szCs w:val="32"/>
        </w:rPr>
        <w:t>总工程师：</w:t>
      </w:r>
      <w:r>
        <w:rPr>
          <w:rFonts w:hint="eastAsia"/>
          <w:sz w:val="32"/>
          <w:szCs w:val="32"/>
        </w:rPr>
        <w:t>魏孔磐</w:t>
      </w:r>
    </w:p>
    <w:p>
      <w:pPr>
        <w:spacing w:line="240" w:lineRule="auto"/>
        <w:ind w:firstLine="2560" w:firstLineChars="800"/>
        <w:rPr>
          <w:sz w:val="32"/>
          <w:szCs w:val="32"/>
        </w:rPr>
      </w:pPr>
      <w:r>
        <w:rPr>
          <w:sz w:val="32"/>
          <w:szCs w:val="32"/>
        </w:rPr>
        <w:t>审    核：</w:t>
      </w:r>
      <w:r>
        <w:rPr>
          <w:rFonts w:hint="eastAsia"/>
          <w:sz w:val="32"/>
          <w:szCs w:val="32"/>
        </w:rPr>
        <w:t>侯海兵</w:t>
      </w:r>
    </w:p>
    <w:p>
      <w:pPr>
        <w:spacing w:line="240" w:lineRule="auto"/>
        <w:ind w:firstLine="2560" w:firstLineChars="800"/>
        <w:rPr>
          <w:sz w:val="32"/>
          <w:szCs w:val="32"/>
        </w:rPr>
      </w:pPr>
      <w:r>
        <w:rPr>
          <w:rFonts w:hint="eastAsia"/>
          <w:sz w:val="32"/>
          <w:szCs w:val="32"/>
        </w:rPr>
        <w:t>项目负责：孙佳成</w:t>
      </w:r>
    </w:p>
    <w:p>
      <w:pPr>
        <w:spacing w:line="240" w:lineRule="auto"/>
        <w:ind w:firstLine="2560" w:firstLineChars="800"/>
        <w:rPr>
          <w:sz w:val="32"/>
          <w:szCs w:val="32"/>
        </w:rPr>
      </w:pPr>
      <w:r>
        <w:rPr>
          <w:sz w:val="32"/>
          <w:szCs w:val="32"/>
        </w:rPr>
        <w:t>编制人员：</w:t>
      </w:r>
      <w:r>
        <w:rPr>
          <w:rFonts w:hint="eastAsia"/>
          <w:sz w:val="32"/>
          <w:szCs w:val="32"/>
        </w:rPr>
        <w:t>孙佳成 田晓红 程丽敏</w:t>
      </w:r>
    </w:p>
    <w:p>
      <w:pPr>
        <w:spacing w:line="240" w:lineRule="auto"/>
        <w:ind w:firstLine="2560" w:firstLineChars="800"/>
        <w:rPr>
          <w:sz w:val="32"/>
          <w:szCs w:val="32"/>
        </w:rPr>
        <w:sectPr>
          <w:pgSz w:w="11906" w:h="16838"/>
          <w:pgMar w:top="284" w:right="284" w:bottom="284" w:left="284" w:header="851" w:footer="992" w:gutter="0"/>
          <w:cols w:space="720" w:num="1"/>
          <w:docGrid w:type="lines" w:linePitch="381" w:charSpace="0"/>
        </w:sectPr>
      </w:pPr>
      <w:r>
        <w:rPr>
          <w:sz w:val="32"/>
          <w:szCs w:val="32"/>
        </w:rPr>
        <w:t>编制时间：二O二</w:t>
      </w:r>
      <w:r>
        <w:rPr>
          <w:rFonts w:hint="eastAsia"/>
          <w:sz w:val="32"/>
          <w:szCs w:val="32"/>
        </w:rPr>
        <w:t>三</w:t>
      </w:r>
      <w:r>
        <w:rPr>
          <w:sz w:val="32"/>
          <w:szCs w:val="32"/>
        </w:rPr>
        <w:t>年</w:t>
      </w:r>
      <w:r>
        <w:rPr>
          <w:rFonts w:hint="eastAsia"/>
          <w:sz w:val="32"/>
          <w:szCs w:val="32"/>
        </w:rPr>
        <w:t>八</w:t>
      </w:r>
      <w:r>
        <w:rPr>
          <w:sz w:val="32"/>
          <w:szCs w:val="32"/>
        </w:rPr>
        <w:t>月</w:t>
      </w:r>
    </w:p>
    <w:p>
      <w:pPr>
        <w:pStyle w:val="2"/>
        <w:spacing w:line="240" w:lineRule="auto"/>
        <w:rPr>
          <w:sz w:val="32"/>
          <w:szCs w:val="32"/>
        </w:rPr>
      </w:pPr>
      <w:r>
        <w:rPr>
          <w:sz w:val="32"/>
          <w:szCs w:val="32"/>
        </w:rPr>
        <w:t xml:space="preserve"> </w:t>
      </w:r>
      <w:r>
        <w:rPr>
          <w:rFonts w:hint="eastAsia"/>
          <w:sz w:val="32"/>
          <w:szCs w:val="32"/>
        </w:rPr>
        <w:drawing>
          <wp:inline distT="0" distB="0" distL="114300" distR="114300">
            <wp:extent cx="5064760" cy="71628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4926" cy="7162800"/>
                    </a:xfrm>
                    <a:prstGeom prst="rect">
                      <a:avLst/>
                    </a:prstGeom>
                  </pic:spPr>
                </pic:pic>
              </a:graphicData>
            </a:graphic>
          </wp:inline>
        </w:drawing>
      </w:r>
    </w:p>
    <w:p>
      <w:pPr>
        <w:spacing w:before="156" w:beforeLines="50"/>
        <w:ind w:firstLine="0" w:firstLineChars="0"/>
        <w:rPr>
          <w:color w:val="0000FF"/>
          <w:sz w:val="32"/>
          <w:szCs w:val="32"/>
        </w:rPr>
        <w:sectPr>
          <w:pgSz w:w="11906" w:h="16838"/>
          <w:pgMar w:top="1440" w:right="1800" w:bottom="1440" w:left="1800" w:header="851" w:footer="992" w:gutter="0"/>
          <w:cols w:space="720" w:num="1"/>
          <w:docGrid w:type="lines" w:linePitch="312" w:charSpace="0"/>
        </w:sectPr>
      </w:pPr>
      <w:r>
        <w:rPr>
          <w:rFonts w:hint="eastAsia"/>
          <w:color w:val="0000FF"/>
          <w:szCs w:val="28"/>
        </w:rPr>
        <w:t xml:space="preserve"> </w:t>
      </w:r>
    </w:p>
    <w:p>
      <w:pPr>
        <w:ind w:firstLine="720"/>
        <w:jc w:val="center"/>
        <w:rPr>
          <w:sz w:val="36"/>
          <w:szCs w:val="44"/>
        </w:rPr>
      </w:pPr>
      <w:r>
        <w:rPr>
          <w:rFonts w:hint="eastAsia"/>
          <w:sz w:val="36"/>
          <w:szCs w:val="44"/>
        </w:rPr>
        <w:t>目  录</w:t>
      </w:r>
    </w:p>
    <w:p>
      <w:pPr>
        <w:pStyle w:val="11"/>
        <w:tabs>
          <w:tab w:val="right" w:leader="dot" w:pos="8296"/>
        </w:tabs>
        <w:ind w:firstLine="723"/>
        <w:rPr>
          <w:rFonts w:asciiTheme="minorHAnsi" w:hAnsiTheme="minorHAnsi" w:eastAsiaTheme="minorEastAsia" w:cstheme="minorBidi"/>
          <w:b w:val="0"/>
          <w:sz w:val="21"/>
          <w:szCs w:val="22"/>
          <w14:ligatures w14:val="standardContextual"/>
        </w:rPr>
      </w:pPr>
      <w:r>
        <w:rPr>
          <w:sz w:val="36"/>
          <w:szCs w:val="44"/>
        </w:rPr>
        <w:fldChar w:fldCharType="begin"/>
      </w:r>
      <w:r>
        <w:rPr>
          <w:sz w:val="36"/>
          <w:szCs w:val="44"/>
        </w:rPr>
        <w:instrText xml:space="preserve">TOC \o "1-2" \h \u </w:instrText>
      </w:r>
      <w:r>
        <w:rPr>
          <w:sz w:val="36"/>
          <w:szCs w:val="44"/>
        </w:rPr>
        <w:fldChar w:fldCharType="separate"/>
      </w:r>
      <w:r>
        <w:fldChar w:fldCharType="begin"/>
      </w:r>
      <w:r>
        <w:instrText xml:space="preserve"> HYPERLINK \l "_Toc147563652" </w:instrText>
      </w:r>
      <w:r>
        <w:fldChar w:fldCharType="separate"/>
      </w:r>
      <w:r>
        <w:rPr>
          <w:rStyle w:val="16"/>
        </w:rPr>
        <w:t>第一部分 矿产资源开发利用方案</w:t>
      </w:r>
      <w:r>
        <w:tab/>
      </w:r>
      <w:r>
        <w:fldChar w:fldCharType="begin"/>
      </w:r>
      <w:r>
        <w:instrText xml:space="preserve"> PAGEREF _Toc147563652 \h </w:instrText>
      </w:r>
      <w:r>
        <w:fldChar w:fldCharType="separate"/>
      </w:r>
      <w:r>
        <w:t>1</w:t>
      </w:r>
      <w:r>
        <w:fldChar w:fldCharType="end"/>
      </w:r>
      <w:r>
        <w:fldChar w:fldCharType="end"/>
      </w:r>
    </w:p>
    <w:p>
      <w:pPr>
        <w:pStyle w:val="11"/>
        <w:tabs>
          <w:tab w:val="right" w:leader="dot" w:pos="8296"/>
        </w:tabs>
        <w:ind w:firstLine="562"/>
        <w:rPr>
          <w:rFonts w:asciiTheme="minorHAnsi" w:hAnsiTheme="minorHAnsi" w:eastAsiaTheme="minorEastAsia" w:cstheme="minorBidi"/>
          <w:b w:val="0"/>
          <w:sz w:val="21"/>
          <w:szCs w:val="22"/>
          <w14:ligatures w14:val="standardContextual"/>
        </w:rPr>
      </w:pPr>
      <w:r>
        <w:fldChar w:fldCharType="begin"/>
      </w:r>
      <w:r>
        <w:instrText xml:space="preserve"> HYPERLINK \l "_Toc147563653" </w:instrText>
      </w:r>
      <w:r>
        <w:fldChar w:fldCharType="separate"/>
      </w:r>
      <w:r>
        <w:rPr>
          <w:rStyle w:val="16"/>
        </w:rPr>
        <w:t>1  项目概述</w:t>
      </w:r>
      <w:r>
        <w:tab/>
      </w:r>
      <w:r>
        <w:fldChar w:fldCharType="begin"/>
      </w:r>
      <w:r>
        <w:instrText xml:space="preserve"> PAGEREF _Toc147563653 \h </w:instrText>
      </w:r>
      <w:r>
        <w:fldChar w:fldCharType="separate"/>
      </w:r>
      <w:r>
        <w:t>1</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"_Toc147563654" </w:instrText>
      </w:r>
      <w:r>
        <w:fldChar w:fldCharType="separate"/>
      </w:r>
      <w:r>
        <w:rPr>
          <w:rStyle w:val="16"/>
        </w:rPr>
        <w:t>1.1 项目名称、隶属关系、矿区位置及企业性质</w:t>
      </w:r>
      <w:r>
        <w:tab/>
      </w:r>
      <w:r>
        <w:fldChar w:fldCharType="begin"/>
      </w:r>
      <w:r>
        <w:instrText xml:space="preserve"> PAGEREF _Toc147563654 \h </w:instrText>
      </w:r>
      <w:r>
        <w:fldChar w:fldCharType="separate"/>
      </w:r>
      <w:r>
        <w:t>1</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"_Toc147563655" </w:instrText>
      </w:r>
      <w:r>
        <w:fldChar w:fldCharType="separate"/>
      </w:r>
      <w:r>
        <w:rPr>
          <w:rStyle w:val="16"/>
        </w:rPr>
        <w:t>1.2 编制目的、依据和原则</w:t>
      </w:r>
      <w:r>
        <w:tab/>
      </w:r>
      <w:r>
        <w:fldChar w:fldCharType="begin"/>
      </w:r>
      <w:r>
        <w:instrText xml:space="preserve"> PAGEREF _Toc147563655 \h </w:instrText>
      </w:r>
      <w:r>
        <w:fldChar w:fldCharType="separate"/>
      </w:r>
      <w:r>
        <w:t>4</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"_Toc147563656" </w:instrText>
      </w:r>
      <w:r>
        <w:fldChar w:fldCharType="separate"/>
      </w:r>
      <w:r>
        <w:rPr>
          <w:rStyle w:val="16"/>
        </w:rPr>
        <w:t>1.3 自然地理及经济概况</w:t>
      </w:r>
      <w:r>
        <w:tab/>
      </w:r>
      <w:r>
        <w:fldChar w:fldCharType="begin"/>
      </w:r>
      <w:r>
        <w:instrText xml:space="preserve"> PAGEREF _Toc147563656 \h </w:instrText>
      </w:r>
      <w:r>
        <w:fldChar w:fldCharType="separate"/>
      </w:r>
      <w:r>
        <w:t>6</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"_Toc147563657" </w:instrText>
      </w:r>
      <w:r>
        <w:fldChar w:fldCharType="separate"/>
      </w:r>
      <w:r>
        <w:rPr>
          <w:rStyle w:val="16"/>
        </w:rPr>
        <w:t>1.4 项目建设外部条件及开发现状</w:t>
      </w:r>
      <w:r>
        <w:tab/>
      </w:r>
      <w:r>
        <w:fldChar w:fldCharType="begin"/>
      </w:r>
      <w:r>
        <w:instrText xml:space="preserve"> PAGEREF _Toc147563657 \h </w:instrText>
      </w:r>
      <w:r>
        <w:fldChar w:fldCharType="separate"/>
      </w:r>
      <w:r>
        <w:t>8</w:t>
      </w:r>
      <w:r>
        <w:fldChar w:fldCharType="end"/>
      </w:r>
      <w:r>
        <w:fldChar w:fldCharType="end"/>
      </w:r>
    </w:p>
    <w:p>
      <w:pPr>
        <w:pStyle w:val="11"/>
        <w:tabs>
          <w:tab w:val="right" w:leader="dot" w:pos="8296"/>
        </w:tabs>
        <w:ind w:firstLine="562"/>
        <w:rPr>
          <w:rFonts w:asciiTheme="minorHAnsi" w:hAnsiTheme="minorHAnsi" w:eastAsiaTheme="minorEastAsia" w:cstheme="minorBidi"/>
          <w:b w:val="0"/>
          <w:sz w:val="21"/>
          <w:szCs w:val="22"/>
          <w14:ligatures w14:val="standardContextual"/>
        </w:rPr>
      </w:pPr>
      <w:r>
        <w:fldChar w:fldCharType="begin"/>
      </w:r>
      <w:r>
        <w:instrText xml:space="preserve"> HYPERLINK \l "_Toc147563658" </w:instrText>
      </w:r>
      <w:r>
        <w:fldChar w:fldCharType="separate"/>
      </w:r>
      <w:r>
        <w:rPr>
          <w:rStyle w:val="16"/>
        </w:rPr>
        <w:t>2  矿产品需求现状和预测</w:t>
      </w:r>
      <w:r>
        <w:tab/>
      </w:r>
      <w:r>
        <w:fldChar w:fldCharType="begin"/>
      </w:r>
      <w:r>
        <w:instrText xml:space="preserve"> PAGEREF _Toc147563658 \h </w:instrText>
      </w:r>
      <w:r>
        <w:fldChar w:fldCharType="separate"/>
      </w:r>
      <w:r>
        <w:t>10</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"_Toc147563659" </w:instrText>
      </w:r>
      <w:r>
        <w:fldChar w:fldCharType="separate"/>
      </w:r>
      <w:r>
        <w:rPr>
          <w:rStyle w:val="16"/>
        </w:rPr>
        <w:t>2.1 矿产品需求现状</w:t>
      </w:r>
      <w:r>
        <w:tab/>
      </w:r>
      <w:r>
        <w:fldChar w:fldCharType="begin"/>
      </w:r>
      <w:r>
        <w:instrText xml:space="preserve"> PAGEREF _Toc147563659 \h </w:instrText>
      </w:r>
      <w:r>
        <w:fldChar w:fldCharType="separate"/>
      </w:r>
      <w:r>
        <w:t>10</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"_Toc147563660" </w:instrText>
      </w:r>
      <w:r>
        <w:fldChar w:fldCharType="separate"/>
      </w:r>
      <w:r>
        <w:rPr>
          <w:rStyle w:val="16"/>
        </w:rPr>
        <w:t>2.2 产品价格分析</w:t>
      </w:r>
      <w:r>
        <w:tab/>
      </w:r>
      <w:r>
        <w:fldChar w:fldCharType="begin"/>
      </w:r>
      <w:r>
        <w:instrText xml:space="preserve"> PAGEREF _Toc147563660 \h </w:instrText>
      </w:r>
      <w:r>
        <w:fldChar w:fldCharType="separate"/>
      </w:r>
      <w:r>
        <w:t>10</w:t>
      </w:r>
      <w:r>
        <w:fldChar w:fldCharType="end"/>
      </w:r>
      <w:r>
        <w:fldChar w:fldCharType="end"/>
      </w:r>
    </w:p>
    <w:p>
      <w:pPr>
        <w:pStyle w:val="11"/>
        <w:tabs>
          <w:tab w:val="right" w:leader="dot" w:pos="8296"/>
        </w:tabs>
        <w:ind w:firstLine="562"/>
        <w:rPr>
          <w:rFonts w:asciiTheme="minorHAnsi" w:hAnsiTheme="minorHAnsi" w:eastAsiaTheme="minorEastAsia" w:cstheme="minorBidi"/>
          <w:b w:val="0"/>
          <w:sz w:val="21"/>
          <w:szCs w:val="22"/>
          <w14:ligatures w14:val="standardContextual"/>
        </w:rPr>
      </w:pPr>
      <w:r>
        <w:fldChar w:fldCharType="begin"/>
      </w:r>
      <w:r>
        <w:instrText xml:space="preserve"> HYPERLINK \l "_Toc147563661" </w:instrText>
      </w:r>
      <w:r>
        <w:fldChar w:fldCharType="separate"/>
      </w:r>
      <w:r>
        <w:rPr>
          <w:rStyle w:val="16"/>
        </w:rPr>
        <w:t>3  矿产资源概况</w:t>
      </w:r>
      <w:r>
        <w:tab/>
      </w:r>
      <w:r>
        <w:fldChar w:fldCharType="begin"/>
      </w:r>
      <w:r>
        <w:instrText xml:space="preserve"> PAGEREF _Toc147563661 \h </w:instrText>
      </w:r>
      <w:r>
        <w:fldChar w:fldCharType="separate"/>
      </w:r>
      <w:r>
        <w:t>12</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"_Toc147563662" </w:instrText>
      </w:r>
      <w:r>
        <w:fldChar w:fldCharType="separate"/>
      </w:r>
      <w:r>
        <w:rPr>
          <w:rStyle w:val="16"/>
        </w:rPr>
        <w:t>3.1矿区总体概况</w:t>
      </w:r>
      <w:r>
        <w:tab/>
      </w:r>
      <w:r>
        <w:fldChar w:fldCharType="begin"/>
      </w:r>
      <w:r>
        <w:instrText xml:space="preserve"> PAGEREF _Toc147563662 \h </w:instrText>
      </w:r>
      <w:r>
        <w:fldChar w:fldCharType="separate"/>
      </w:r>
      <w:r>
        <w:t>12</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"_Toc147563663" </w:instrText>
      </w:r>
      <w:r>
        <w:fldChar w:fldCharType="separate"/>
      </w:r>
      <w:r>
        <w:rPr>
          <w:rStyle w:val="16"/>
        </w:rPr>
        <w:t>3.2矿山地质概况</w:t>
      </w:r>
      <w:r>
        <w:tab/>
      </w:r>
      <w:r>
        <w:fldChar w:fldCharType="begin"/>
      </w:r>
      <w:r>
        <w:instrText xml:space="preserve"> PAGEREF _Toc147563663 \h </w:instrText>
      </w:r>
      <w:r>
        <w:fldChar w:fldCharType="separate"/>
      </w:r>
      <w:r>
        <w:t>13</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"_Toc147563664" </w:instrText>
      </w:r>
      <w:r>
        <w:fldChar w:fldCharType="separate"/>
      </w:r>
      <w:r>
        <w:rPr>
          <w:rStyle w:val="16"/>
        </w:rPr>
        <w:t>3.3开采技术条件</w:t>
      </w:r>
      <w:r>
        <w:tab/>
      </w:r>
      <w:r>
        <w:fldChar w:fldCharType="begin"/>
      </w:r>
      <w:r>
        <w:instrText xml:space="preserve"> PAGEREF _Toc147563664 \h </w:instrText>
      </w:r>
      <w:r>
        <w:fldChar w:fldCharType="separate"/>
      </w:r>
      <w:r>
        <w:t>17</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"_Toc147563665" </w:instrText>
      </w:r>
      <w:r>
        <w:fldChar w:fldCharType="separate"/>
      </w:r>
      <w:r>
        <w:rPr>
          <w:rStyle w:val="16"/>
        </w:rPr>
        <w:t>3.4矿山资源储量概述</w:t>
      </w:r>
      <w:r>
        <w:tab/>
      </w:r>
      <w:r>
        <w:fldChar w:fldCharType="begin"/>
      </w:r>
      <w:r>
        <w:instrText xml:space="preserve"> PAGEREF _Toc147563665 \h </w:instrText>
      </w:r>
      <w:r>
        <w:fldChar w:fldCharType="separate"/>
      </w:r>
      <w:r>
        <w:t>20</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"_Toc147563666" </w:instrText>
      </w:r>
      <w:r>
        <w:fldChar w:fldCharType="separate"/>
      </w:r>
      <w:r>
        <w:rPr>
          <w:rStyle w:val="16"/>
        </w:rPr>
        <w:t>3.5对地质勘探报告的评述</w:t>
      </w:r>
      <w:r>
        <w:tab/>
      </w:r>
      <w:r>
        <w:fldChar w:fldCharType="begin"/>
      </w:r>
      <w:r>
        <w:instrText xml:space="preserve"> PAGEREF _Toc147563666 \h </w:instrText>
      </w:r>
      <w:r>
        <w:fldChar w:fldCharType="separate"/>
      </w:r>
      <w:r>
        <w:t>20</w:t>
      </w:r>
      <w:r>
        <w:fldChar w:fldCharType="end"/>
      </w:r>
      <w:r>
        <w:fldChar w:fldCharType="end"/>
      </w:r>
    </w:p>
    <w:p>
      <w:pPr>
        <w:pStyle w:val="11"/>
        <w:tabs>
          <w:tab w:val="right" w:leader="dot" w:pos="8296"/>
        </w:tabs>
        <w:ind w:firstLine="562"/>
        <w:rPr>
          <w:rFonts w:asciiTheme="minorHAnsi" w:hAnsiTheme="minorHAnsi" w:eastAsiaTheme="minorEastAsia" w:cstheme="minorBidi"/>
          <w:b w:val="0"/>
          <w:sz w:val="21"/>
          <w:szCs w:val="22"/>
          <w14:ligatures w14:val="standardContextual"/>
        </w:rPr>
      </w:pPr>
      <w:r>
        <w:fldChar w:fldCharType="begin"/>
      </w:r>
      <w:r>
        <w:instrText xml:space="preserve"> HYPERLINK \l "_Toc147563667" </w:instrText>
      </w:r>
      <w:r>
        <w:fldChar w:fldCharType="separate"/>
      </w:r>
      <w:r>
        <w:rPr>
          <w:rStyle w:val="16"/>
        </w:rPr>
        <w:t>4  主要建设方案确定</w:t>
      </w:r>
      <w:r>
        <w:tab/>
      </w:r>
      <w:r>
        <w:fldChar w:fldCharType="begin"/>
      </w:r>
      <w:r>
        <w:instrText xml:space="preserve"> PAGEREF _Toc147563667 \h </w:instrText>
      </w:r>
      <w:r>
        <w:fldChar w:fldCharType="separate"/>
      </w:r>
      <w:r>
        <w:t>22</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"_Toc147563668" </w:instrText>
      </w:r>
      <w:r>
        <w:fldChar w:fldCharType="separate"/>
      </w:r>
      <w:r>
        <w:rPr>
          <w:rStyle w:val="16"/>
        </w:rPr>
        <w:t>4.1 开采方案矿区总体概况</w:t>
      </w:r>
      <w:r>
        <w:tab/>
      </w:r>
      <w:r>
        <w:fldChar w:fldCharType="begin"/>
      </w:r>
      <w:r>
        <w:instrText xml:space="preserve"> PAGEREF _Toc147563668 \h </w:instrText>
      </w:r>
      <w:r>
        <w:fldChar w:fldCharType="separate"/>
      </w:r>
      <w:r>
        <w:t>22</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"_Toc147563669" </w:instrText>
      </w:r>
      <w:r>
        <w:fldChar w:fldCharType="separate"/>
      </w:r>
      <w:r>
        <w:rPr>
          <w:rStyle w:val="16"/>
        </w:rPr>
        <w:t>4.2 主要生产系统及设施配置</w:t>
      </w:r>
      <w:r>
        <w:tab/>
      </w:r>
      <w:r>
        <w:fldChar w:fldCharType="begin"/>
      </w:r>
      <w:r>
        <w:instrText xml:space="preserve"> PAGEREF _Toc147563669 \h </w:instrText>
      </w:r>
      <w:r>
        <w:fldChar w:fldCharType="separate"/>
      </w:r>
      <w:r>
        <w:t>30</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"_Toc147563670" </w:instrText>
      </w:r>
      <w:r>
        <w:fldChar w:fldCharType="separate"/>
      </w:r>
      <w:r>
        <w:rPr>
          <w:rStyle w:val="16"/>
        </w:rPr>
        <w:t>4.3 矿山防治水方案</w:t>
      </w:r>
      <w:r>
        <w:tab/>
      </w:r>
      <w:r>
        <w:fldChar w:fldCharType="begin"/>
      </w:r>
      <w:r>
        <w:instrText xml:space="preserve"> PAGEREF _Toc147563670 \h </w:instrText>
      </w:r>
      <w:r>
        <w:fldChar w:fldCharType="separate"/>
      </w:r>
      <w:r>
        <w:t>30</w:t>
      </w:r>
      <w:r>
        <w:fldChar w:fldCharType="end"/>
      </w:r>
      <w:r>
        <w:fldChar w:fldCharType="end"/>
      </w:r>
    </w:p>
    <w:p>
      <w:pPr>
        <w:pStyle w:val="11"/>
        <w:tabs>
          <w:tab w:val="right" w:leader="dot" w:pos="8296"/>
        </w:tabs>
        <w:ind w:firstLine="562"/>
        <w:rPr>
          <w:rFonts w:asciiTheme="minorHAnsi" w:hAnsiTheme="minorHAnsi" w:eastAsiaTheme="minorEastAsia" w:cstheme="minorBidi"/>
          <w:b w:val="0"/>
          <w:sz w:val="21"/>
          <w:szCs w:val="22"/>
          <w14:ligatures w14:val="standardContextual"/>
        </w:rPr>
      </w:pPr>
      <w:r>
        <w:fldChar w:fldCharType="begin"/>
      </w:r>
      <w:r>
        <w:instrText xml:space="preserve"> HYPERLINK \l "_Toc147563671" </w:instrText>
      </w:r>
      <w:r>
        <w:fldChar w:fldCharType="separate"/>
      </w:r>
      <w:r>
        <w:rPr>
          <w:rStyle w:val="16"/>
        </w:rPr>
        <w:t>5  矿床开采</w:t>
      </w:r>
      <w:r>
        <w:tab/>
      </w:r>
      <w:r>
        <w:fldChar w:fldCharType="begin"/>
      </w:r>
      <w:r>
        <w:instrText xml:space="preserve"> PAGEREF _Toc147563671 \h </w:instrText>
      </w:r>
      <w:r>
        <w:fldChar w:fldCharType="separate"/>
      </w:r>
      <w:r>
        <w:t>32</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"_Toc147563672" </w:instrText>
      </w:r>
      <w:r>
        <w:fldChar w:fldCharType="separate"/>
      </w:r>
      <w:r>
        <w:rPr>
          <w:rStyle w:val="16"/>
        </w:rPr>
        <w:t xml:space="preserve">5.1 </w:t>
      </w:r>
      <w:r>
        <w:rPr>
          <w:rStyle w:val="16"/>
          <w:rFonts w:ascii="宋体" w:hAnsi="宋体" w:cs="宋体"/>
        </w:rPr>
        <w:t>露天开采境界</w:t>
      </w:r>
      <w:r>
        <w:tab/>
      </w:r>
      <w:r>
        <w:fldChar w:fldCharType="begin"/>
      </w:r>
      <w:r>
        <w:instrText xml:space="preserve"> PAGEREF _Toc147563672 \h </w:instrText>
      </w:r>
      <w:r>
        <w:fldChar w:fldCharType="separate"/>
      </w:r>
      <w:r>
        <w:t>32</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"_Toc147563673" </w:instrText>
      </w:r>
      <w:r>
        <w:fldChar w:fldCharType="separate"/>
      </w:r>
      <w:r>
        <w:rPr>
          <w:rStyle w:val="16"/>
        </w:rPr>
        <w:t xml:space="preserve">5.2 </w:t>
      </w:r>
      <w:r>
        <w:rPr>
          <w:rStyle w:val="16"/>
          <w:rFonts w:ascii="宋体" w:hAnsi="宋体" w:cs="宋体"/>
        </w:rPr>
        <w:t>确定露天采场最终边坡要素</w:t>
      </w:r>
      <w:r>
        <w:tab/>
      </w:r>
      <w:r>
        <w:fldChar w:fldCharType="begin"/>
      </w:r>
      <w:r>
        <w:instrText xml:space="preserve"> PAGEREF _Toc147563673 \h </w:instrText>
      </w:r>
      <w:r>
        <w:fldChar w:fldCharType="separate"/>
      </w:r>
      <w:r>
        <w:t>33</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"_Toc147563674" </w:instrText>
      </w:r>
      <w:r>
        <w:fldChar w:fldCharType="separate"/>
      </w:r>
      <w:r>
        <w:rPr>
          <w:rStyle w:val="16"/>
        </w:rPr>
        <w:t xml:space="preserve">5.3 </w:t>
      </w:r>
      <w:r>
        <w:rPr>
          <w:rStyle w:val="16"/>
          <w:rFonts w:ascii="宋体" w:hAnsi="宋体" w:cs="宋体"/>
        </w:rPr>
        <w:t>剥离工艺</w:t>
      </w:r>
      <w:r>
        <w:tab/>
      </w:r>
      <w:r>
        <w:fldChar w:fldCharType="begin"/>
      </w:r>
      <w:r>
        <w:instrText xml:space="preserve"> PAGEREF _Toc147563674 \h </w:instrText>
      </w:r>
      <w:r>
        <w:fldChar w:fldCharType="separate"/>
      </w:r>
      <w:r>
        <w:t>34</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"_Toc147563675" </w:instrText>
      </w:r>
      <w:r>
        <w:fldChar w:fldCharType="separate"/>
      </w:r>
      <w:r>
        <w:rPr>
          <w:rStyle w:val="16"/>
        </w:rPr>
        <w:t>5.4 矿山工作制度</w:t>
      </w:r>
      <w:r>
        <w:tab/>
      </w:r>
      <w:r>
        <w:fldChar w:fldCharType="begin"/>
      </w:r>
      <w:r>
        <w:instrText xml:space="preserve"> PAGEREF _Toc147563675 \h </w:instrText>
      </w:r>
      <w:r>
        <w:fldChar w:fldCharType="separate"/>
      </w:r>
      <w:r>
        <w:t>34</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"_Toc147563676" </w:instrText>
      </w:r>
      <w:r>
        <w:fldChar w:fldCharType="separate"/>
      </w:r>
      <w:r>
        <w:rPr>
          <w:rStyle w:val="16"/>
        </w:rPr>
        <w:t>5.5 矿山服务年限</w:t>
      </w:r>
      <w:r>
        <w:tab/>
      </w:r>
      <w:r>
        <w:fldChar w:fldCharType="begin"/>
      </w:r>
      <w:r>
        <w:instrText xml:space="preserve"> PAGEREF _Toc147563676 \h </w:instrText>
      </w:r>
      <w:r>
        <w:fldChar w:fldCharType="separate"/>
      </w:r>
      <w:r>
        <w:t>35</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"_Toc147563677" </w:instrText>
      </w:r>
      <w:r>
        <w:fldChar w:fldCharType="separate"/>
      </w:r>
      <w:r>
        <w:rPr>
          <w:rStyle w:val="16"/>
        </w:rPr>
        <w:t>5.7 主要设备选型</w:t>
      </w:r>
      <w:r>
        <w:tab/>
      </w:r>
      <w:r>
        <w:fldChar w:fldCharType="begin"/>
      </w:r>
      <w:r>
        <w:instrText xml:space="preserve"> PAGEREF _Toc147563677 \h </w:instrText>
      </w:r>
      <w:r>
        <w:fldChar w:fldCharType="separate"/>
      </w:r>
      <w:r>
        <w:t>35</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"_Toc147563678" </w:instrText>
      </w:r>
      <w:r>
        <w:fldChar w:fldCharType="separate"/>
      </w:r>
      <w:r>
        <w:rPr>
          <w:rStyle w:val="16"/>
        </w:rPr>
        <w:t>5.7 矿床开采工艺</w:t>
      </w:r>
      <w:r>
        <w:tab/>
      </w:r>
      <w:r>
        <w:fldChar w:fldCharType="begin"/>
      </w:r>
      <w:r>
        <w:instrText xml:space="preserve"> PAGEREF _Toc147563678 \h </w:instrText>
      </w:r>
      <w:r>
        <w:fldChar w:fldCharType="separate"/>
      </w:r>
      <w:r>
        <w:t>35</w:t>
      </w:r>
      <w:r>
        <w:fldChar w:fldCharType="end"/>
      </w:r>
      <w:r>
        <w:fldChar w:fldCharType="end"/>
      </w:r>
    </w:p>
    <w:p>
      <w:pPr>
        <w:pStyle w:val="11"/>
        <w:tabs>
          <w:tab w:val="right" w:leader="dot" w:pos="8296"/>
        </w:tabs>
        <w:ind w:firstLine="562"/>
        <w:rPr>
          <w:rFonts w:asciiTheme="minorHAnsi" w:hAnsiTheme="minorHAnsi" w:eastAsiaTheme="minorEastAsia" w:cstheme="minorBidi"/>
          <w:b w:val="0"/>
          <w:sz w:val="21"/>
          <w:szCs w:val="22"/>
          <w14:ligatures w14:val="standardContextual"/>
        </w:rPr>
      </w:pPr>
      <w:r>
        <w:fldChar w:fldCharType="begin"/>
      </w:r>
      <w:r>
        <w:instrText xml:space="preserve"> HYPERLINK \l "_Toc147563679" </w:instrText>
      </w:r>
      <w:r>
        <w:fldChar w:fldCharType="separate"/>
      </w:r>
      <w:r>
        <w:rPr>
          <w:rStyle w:val="16"/>
        </w:rPr>
        <w:t xml:space="preserve">6 </w:t>
      </w:r>
      <w:r>
        <w:rPr>
          <w:rStyle w:val="16"/>
          <w:rFonts w:ascii="宋体" w:hAnsi="宋体" w:eastAsia="宋体" w:cs="宋体"/>
        </w:rPr>
        <w:t>选矿及尾矿设施</w:t>
      </w:r>
      <w:r>
        <w:tab/>
      </w:r>
      <w:r>
        <w:fldChar w:fldCharType="begin"/>
      </w:r>
      <w:r>
        <w:instrText xml:space="preserve"> PAGEREF _Toc147563679 \h </w:instrText>
      </w:r>
      <w:r>
        <w:fldChar w:fldCharType="separate"/>
      </w:r>
      <w:r>
        <w:t>36</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"_Toc147563680" </w:instrText>
      </w:r>
      <w:r>
        <w:fldChar w:fldCharType="separate"/>
      </w:r>
      <w:r>
        <w:rPr>
          <w:rStyle w:val="16"/>
        </w:rPr>
        <w:t>6.1选矿方案</w:t>
      </w:r>
      <w:r>
        <w:tab/>
      </w:r>
      <w:r>
        <w:fldChar w:fldCharType="begin"/>
      </w:r>
      <w:r>
        <w:instrText xml:space="preserve"> PAGEREF _Toc147563680 \h </w:instrText>
      </w:r>
      <w:r>
        <w:fldChar w:fldCharType="separate"/>
      </w:r>
      <w:r>
        <w:t>36</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"_Toc147563681" </w:instrText>
      </w:r>
      <w:r>
        <w:fldChar w:fldCharType="separate"/>
      </w:r>
      <w:r>
        <w:rPr>
          <w:rStyle w:val="16"/>
        </w:rPr>
        <w:t>6.2</w:t>
      </w:r>
      <w:r>
        <w:rPr>
          <w:rStyle w:val="16"/>
          <w:rFonts w:ascii="宋体" w:hAnsi="宋体" w:cs="宋体"/>
        </w:rPr>
        <w:t>尾矿设施</w:t>
      </w:r>
      <w:r>
        <w:tab/>
      </w:r>
      <w:r>
        <w:fldChar w:fldCharType="begin"/>
      </w:r>
      <w:r>
        <w:instrText xml:space="preserve"> PAGEREF _Toc147563681 \h </w:instrText>
      </w:r>
      <w:r>
        <w:fldChar w:fldCharType="separate"/>
      </w:r>
      <w:r>
        <w:t>37</w:t>
      </w:r>
      <w:r>
        <w:fldChar w:fldCharType="end"/>
      </w:r>
      <w:r>
        <w:fldChar w:fldCharType="end"/>
      </w:r>
    </w:p>
    <w:p>
      <w:pPr>
        <w:pStyle w:val="11"/>
        <w:tabs>
          <w:tab w:val="right" w:leader="dot" w:pos="8296"/>
        </w:tabs>
        <w:ind w:firstLine="562"/>
        <w:rPr>
          <w:rFonts w:asciiTheme="minorHAnsi" w:hAnsiTheme="minorHAnsi" w:eastAsiaTheme="minorEastAsia" w:cstheme="minorBidi"/>
          <w:b w:val="0"/>
          <w:sz w:val="21"/>
          <w:szCs w:val="22"/>
          <w14:ligatures w14:val="standardContextual"/>
        </w:rPr>
      </w:pPr>
      <w:r>
        <w:fldChar w:fldCharType="begin"/>
      </w:r>
      <w:r>
        <w:instrText xml:space="preserve"> HYPERLINK \l "_Toc147563682" </w:instrText>
      </w:r>
      <w:r>
        <w:fldChar w:fldCharType="separate"/>
      </w:r>
      <w:r>
        <w:rPr>
          <w:rStyle w:val="16"/>
        </w:rPr>
        <w:t>7  矿区道路</w:t>
      </w:r>
      <w:r>
        <w:tab/>
      </w:r>
      <w:r>
        <w:fldChar w:fldCharType="begin"/>
      </w:r>
      <w:r>
        <w:instrText xml:space="preserve"> PAGEREF _Toc147563682 \h </w:instrText>
      </w:r>
      <w:r>
        <w:fldChar w:fldCharType="separate"/>
      </w:r>
      <w:r>
        <w:t>39</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"_Toc147563683" </w:instrText>
      </w:r>
      <w:r>
        <w:fldChar w:fldCharType="separate"/>
      </w:r>
      <w:r>
        <w:rPr>
          <w:rStyle w:val="16"/>
        </w:rPr>
        <w:t>7.1 布线方式及道路标准</w:t>
      </w:r>
      <w:r>
        <w:tab/>
      </w:r>
      <w:r>
        <w:fldChar w:fldCharType="begin"/>
      </w:r>
      <w:r>
        <w:instrText xml:space="preserve"> PAGEREF _Toc147563683 \h </w:instrText>
      </w:r>
      <w:r>
        <w:fldChar w:fldCharType="separate"/>
      </w:r>
      <w:r>
        <w:t>39</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"_Toc147563684" </w:instrText>
      </w:r>
      <w:r>
        <w:fldChar w:fldCharType="separate"/>
      </w:r>
      <w:r>
        <w:rPr>
          <w:rStyle w:val="16"/>
        </w:rPr>
        <w:t>7.2 道路工程量</w:t>
      </w:r>
      <w:r>
        <w:tab/>
      </w:r>
      <w:r>
        <w:fldChar w:fldCharType="begin"/>
      </w:r>
      <w:r>
        <w:instrText xml:space="preserve"> PAGEREF _Toc147563684 \h </w:instrText>
      </w:r>
      <w:r>
        <w:fldChar w:fldCharType="separate"/>
      </w:r>
      <w:r>
        <w:t>39</w:t>
      </w:r>
      <w:r>
        <w:fldChar w:fldCharType="end"/>
      </w:r>
      <w:r>
        <w:fldChar w:fldCharType="end"/>
      </w:r>
    </w:p>
    <w:p>
      <w:pPr>
        <w:pStyle w:val="11"/>
        <w:tabs>
          <w:tab w:val="right" w:leader="dot" w:pos="8296"/>
        </w:tabs>
        <w:ind w:firstLine="562"/>
        <w:rPr>
          <w:rFonts w:asciiTheme="minorHAnsi" w:hAnsiTheme="minorHAnsi" w:eastAsiaTheme="minorEastAsia" w:cstheme="minorBidi"/>
          <w:b w:val="0"/>
          <w:sz w:val="21"/>
          <w:szCs w:val="22"/>
          <w14:ligatures w14:val="standardContextual"/>
        </w:rPr>
      </w:pPr>
      <w:r>
        <w:fldChar w:fldCharType="begin"/>
      </w:r>
      <w:r>
        <w:instrText xml:space="preserve"> HYPERLINK \l "_Toc147563685" </w:instrText>
      </w:r>
      <w:r>
        <w:fldChar w:fldCharType="separate"/>
      </w:r>
      <w:r>
        <w:rPr>
          <w:rStyle w:val="16"/>
        </w:rPr>
        <w:t>8  供配电及供水</w:t>
      </w:r>
      <w:r>
        <w:tab/>
      </w:r>
      <w:r>
        <w:fldChar w:fldCharType="begin"/>
      </w:r>
      <w:r>
        <w:instrText xml:space="preserve"> PAGEREF _Toc147563685 \h </w:instrText>
      </w:r>
      <w:r>
        <w:fldChar w:fldCharType="separate"/>
      </w:r>
      <w:r>
        <w:t>41</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"_Toc147563686" </w:instrText>
      </w:r>
      <w:r>
        <w:fldChar w:fldCharType="separate"/>
      </w:r>
      <w:r>
        <w:rPr>
          <w:rStyle w:val="16"/>
        </w:rPr>
        <w:t>8.1 供水</w:t>
      </w:r>
      <w:r>
        <w:tab/>
      </w:r>
      <w:r>
        <w:fldChar w:fldCharType="begin"/>
      </w:r>
      <w:r>
        <w:instrText xml:space="preserve"> PAGEREF _Toc147563686 \h </w:instrText>
      </w:r>
      <w:r>
        <w:fldChar w:fldCharType="separate"/>
      </w:r>
      <w:r>
        <w:t>41</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"_Toc147563687" </w:instrText>
      </w:r>
      <w:r>
        <w:fldChar w:fldCharType="separate"/>
      </w:r>
      <w:r>
        <w:rPr>
          <w:rStyle w:val="16"/>
        </w:rPr>
        <w:t>8.2 供电</w:t>
      </w:r>
      <w:r>
        <w:tab/>
      </w:r>
      <w:r>
        <w:fldChar w:fldCharType="begin"/>
      </w:r>
      <w:r>
        <w:instrText xml:space="preserve"> PAGEREF _Toc147563687 \h </w:instrText>
      </w:r>
      <w:r>
        <w:fldChar w:fldCharType="separate"/>
      </w:r>
      <w:r>
        <w:t>41</w:t>
      </w:r>
      <w:r>
        <w:fldChar w:fldCharType="end"/>
      </w:r>
      <w:r>
        <w:fldChar w:fldCharType="end"/>
      </w:r>
    </w:p>
    <w:p>
      <w:pPr>
        <w:pStyle w:val="11"/>
        <w:tabs>
          <w:tab w:val="right" w:leader="dot" w:pos="8296"/>
        </w:tabs>
        <w:ind w:firstLine="562"/>
        <w:rPr>
          <w:rFonts w:asciiTheme="minorHAnsi" w:hAnsiTheme="minorHAnsi" w:eastAsiaTheme="minorEastAsia" w:cstheme="minorBidi"/>
          <w:b w:val="0"/>
          <w:sz w:val="21"/>
          <w:szCs w:val="22"/>
          <w14:ligatures w14:val="standardContextual"/>
        </w:rPr>
      </w:pPr>
      <w:r>
        <w:fldChar w:fldCharType="begin"/>
      </w:r>
      <w:r>
        <w:instrText xml:space="preserve"> HYPERLINK \l "_Toc147563688" </w:instrText>
      </w:r>
      <w:r>
        <w:fldChar w:fldCharType="separate"/>
      </w:r>
      <w:r>
        <w:rPr>
          <w:rStyle w:val="16"/>
        </w:rPr>
        <w:t>9  环境保护</w:t>
      </w:r>
      <w:r>
        <w:tab/>
      </w:r>
      <w:r>
        <w:fldChar w:fldCharType="begin"/>
      </w:r>
      <w:r>
        <w:instrText xml:space="preserve"> PAGEREF _Toc147563688 \h </w:instrText>
      </w:r>
      <w:r>
        <w:fldChar w:fldCharType="separate"/>
      </w:r>
      <w:r>
        <w:t>42</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"_Toc147563689" </w:instrText>
      </w:r>
      <w:r>
        <w:fldChar w:fldCharType="separate"/>
      </w:r>
      <w:r>
        <w:rPr>
          <w:rStyle w:val="16"/>
        </w:rPr>
        <w:t>9.1 环保标准及法规</w:t>
      </w:r>
      <w:r>
        <w:tab/>
      </w:r>
      <w:r>
        <w:fldChar w:fldCharType="begin"/>
      </w:r>
      <w:r>
        <w:instrText xml:space="preserve"> PAGEREF _Toc147563689 \h </w:instrText>
      </w:r>
      <w:r>
        <w:fldChar w:fldCharType="separate"/>
      </w:r>
      <w:r>
        <w:t>42</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"_Toc147563690" </w:instrText>
      </w:r>
      <w:r>
        <w:fldChar w:fldCharType="separate"/>
      </w:r>
      <w:r>
        <w:rPr>
          <w:rStyle w:val="16"/>
        </w:rPr>
        <w:t>9.2 矿山主要污染物及治理措施</w:t>
      </w:r>
      <w:r>
        <w:tab/>
      </w:r>
      <w:r>
        <w:fldChar w:fldCharType="begin"/>
      </w:r>
      <w:r>
        <w:instrText xml:space="preserve"> PAGEREF _Toc147563690 \h </w:instrText>
      </w:r>
      <w:r>
        <w:fldChar w:fldCharType="separate"/>
      </w:r>
      <w:r>
        <w:t>43</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"_Toc147563691" </w:instrText>
      </w:r>
      <w:r>
        <w:fldChar w:fldCharType="separate"/>
      </w:r>
      <w:r>
        <w:rPr>
          <w:rStyle w:val="16"/>
        </w:rPr>
        <w:t>9.3 水土保持与环境恢复技术措施</w:t>
      </w:r>
      <w:r>
        <w:tab/>
      </w:r>
      <w:r>
        <w:fldChar w:fldCharType="begin"/>
      </w:r>
      <w:r>
        <w:instrText xml:space="preserve"> PAGEREF _Toc147563691 \h </w:instrText>
      </w:r>
      <w:r>
        <w:fldChar w:fldCharType="separate"/>
      </w:r>
      <w:r>
        <w:t>45</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"_Toc147563692" </w:instrText>
      </w:r>
      <w:r>
        <w:fldChar w:fldCharType="separate"/>
      </w:r>
      <w:r>
        <w:rPr>
          <w:rStyle w:val="16"/>
        </w:rPr>
        <w:t>9.4 环保投资</w:t>
      </w:r>
      <w:r>
        <w:tab/>
      </w:r>
      <w:r>
        <w:fldChar w:fldCharType="begin"/>
      </w:r>
      <w:r>
        <w:instrText xml:space="preserve"> PAGEREF _Toc147563692 \h </w:instrText>
      </w:r>
      <w:r>
        <w:fldChar w:fldCharType="separate"/>
      </w:r>
      <w:r>
        <w:t>46</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"_Toc147563693" </w:instrText>
      </w:r>
      <w:r>
        <w:fldChar w:fldCharType="separate"/>
      </w:r>
      <w:r>
        <w:rPr>
          <w:rStyle w:val="16"/>
        </w:rPr>
        <w:t>9.5 绿色矿山建设</w:t>
      </w:r>
      <w:r>
        <w:tab/>
      </w:r>
      <w:r>
        <w:fldChar w:fldCharType="begin"/>
      </w:r>
      <w:r>
        <w:instrText xml:space="preserve"> PAGEREF _Toc147563693 \h </w:instrText>
      </w:r>
      <w:r>
        <w:fldChar w:fldCharType="separate"/>
      </w:r>
      <w:r>
        <w:t>47</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"_Toc147563694" </w:instrText>
      </w:r>
      <w:r>
        <w:fldChar w:fldCharType="separate"/>
      </w:r>
      <w:r>
        <w:rPr>
          <w:rStyle w:val="16"/>
        </w:rPr>
        <w:t>9.6 环境影响评述</w:t>
      </w:r>
      <w:r>
        <w:tab/>
      </w:r>
      <w:r>
        <w:fldChar w:fldCharType="begin"/>
      </w:r>
      <w:r>
        <w:instrText xml:space="preserve"> PAGEREF _Toc147563694 \h </w:instrText>
      </w:r>
      <w:r>
        <w:fldChar w:fldCharType="separate"/>
      </w:r>
      <w:r>
        <w:t>49</w:t>
      </w:r>
      <w:r>
        <w:fldChar w:fldCharType="end"/>
      </w:r>
      <w:r>
        <w:fldChar w:fldCharType="end"/>
      </w:r>
    </w:p>
    <w:p>
      <w:pPr>
        <w:pStyle w:val="11"/>
        <w:tabs>
          <w:tab w:val="right" w:leader="dot" w:pos="8296"/>
        </w:tabs>
        <w:ind w:firstLine="562"/>
        <w:rPr>
          <w:rFonts w:asciiTheme="minorHAnsi" w:hAnsiTheme="minorHAnsi" w:eastAsiaTheme="minorEastAsia" w:cstheme="minorBidi"/>
          <w:b w:val="0"/>
          <w:sz w:val="21"/>
          <w:szCs w:val="22"/>
          <w14:ligatures w14:val="standardContextual"/>
        </w:rPr>
      </w:pPr>
      <w:r>
        <w:fldChar w:fldCharType="begin"/>
      </w:r>
      <w:r>
        <w:instrText xml:space="preserve"> HYPERLINK \l "_Toc147563695" </w:instrText>
      </w:r>
      <w:r>
        <w:fldChar w:fldCharType="separate"/>
      </w:r>
      <w:r>
        <w:rPr>
          <w:rStyle w:val="16"/>
        </w:rPr>
        <w:t>10  投资估算及技术经济评价</w:t>
      </w:r>
      <w:r>
        <w:tab/>
      </w:r>
      <w:r>
        <w:fldChar w:fldCharType="begin"/>
      </w:r>
      <w:r>
        <w:instrText xml:space="preserve"> PAGEREF _Toc147563695 \h </w:instrText>
      </w:r>
      <w:r>
        <w:fldChar w:fldCharType="separate"/>
      </w:r>
      <w:r>
        <w:t>51</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"_Toc147563696" </w:instrText>
      </w:r>
      <w:r>
        <w:fldChar w:fldCharType="separate"/>
      </w:r>
      <w:r>
        <w:rPr>
          <w:rStyle w:val="16"/>
        </w:rPr>
        <w:t>10.1生产规模及产品销售</w:t>
      </w:r>
      <w:r>
        <w:tab/>
      </w:r>
      <w:r>
        <w:fldChar w:fldCharType="begin"/>
      </w:r>
      <w:r>
        <w:instrText xml:space="preserve"> PAGEREF _Toc147563696 \h </w:instrText>
      </w:r>
      <w:r>
        <w:fldChar w:fldCharType="separate"/>
      </w:r>
      <w:r>
        <w:t>51</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"_Toc147563697" </w:instrText>
      </w:r>
      <w:r>
        <w:fldChar w:fldCharType="separate"/>
      </w:r>
      <w:r>
        <w:rPr>
          <w:rStyle w:val="16"/>
        </w:rPr>
        <w:t>10.2 劳动组织及定员</w:t>
      </w:r>
      <w:r>
        <w:tab/>
      </w:r>
      <w:r>
        <w:fldChar w:fldCharType="begin"/>
      </w:r>
      <w:r>
        <w:instrText xml:space="preserve"> PAGEREF _Toc147563697 \h </w:instrText>
      </w:r>
      <w:r>
        <w:fldChar w:fldCharType="separate"/>
      </w:r>
      <w:r>
        <w:t>51</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"_Toc147563698" </w:instrText>
      </w:r>
      <w:r>
        <w:fldChar w:fldCharType="separate"/>
      </w:r>
      <w:r>
        <w:rPr>
          <w:rStyle w:val="16"/>
        </w:rPr>
        <w:t>10.3 建设资金及资金来源</w:t>
      </w:r>
      <w:r>
        <w:tab/>
      </w:r>
      <w:r>
        <w:fldChar w:fldCharType="begin"/>
      </w:r>
      <w:r>
        <w:instrText xml:space="preserve"> PAGEREF _Toc147563698 \h </w:instrText>
      </w:r>
      <w:r>
        <w:fldChar w:fldCharType="separate"/>
      </w:r>
      <w:r>
        <w:t>52</w:t>
      </w:r>
      <w:r>
        <w:fldChar w:fldCharType="end"/>
      </w:r>
      <w:r>
        <w:fldChar w:fldCharType="end"/>
      </w:r>
    </w:p>
    <w:p>
      <w:pPr>
        <w:pStyle w:val="11"/>
        <w:tabs>
          <w:tab w:val="right" w:leader="dot" w:pos="8296"/>
        </w:tabs>
        <w:ind w:firstLine="562"/>
        <w:rPr>
          <w:rFonts w:asciiTheme="minorHAnsi" w:hAnsiTheme="minorHAnsi" w:eastAsiaTheme="minorEastAsia" w:cstheme="minorBidi"/>
          <w:b w:val="0"/>
          <w:sz w:val="21"/>
          <w:szCs w:val="22"/>
          <w14:ligatures w14:val="standardContextual"/>
        </w:rPr>
      </w:pPr>
      <w:r>
        <w:fldChar w:fldCharType="begin"/>
      </w:r>
      <w:r>
        <w:instrText xml:space="preserve"> HYPERLINK \l "_Toc147563699" </w:instrText>
      </w:r>
      <w:r>
        <w:fldChar w:fldCharType="separate"/>
      </w:r>
      <w:r>
        <w:rPr>
          <w:rStyle w:val="16"/>
        </w:rPr>
        <w:t>11  矿山安全设施及措施要求</w:t>
      </w:r>
      <w:r>
        <w:tab/>
      </w:r>
      <w:r>
        <w:fldChar w:fldCharType="begin"/>
      </w:r>
      <w:r>
        <w:instrText xml:space="preserve"> PAGEREF _Toc147563699 \h </w:instrText>
      </w:r>
      <w:r>
        <w:fldChar w:fldCharType="separate"/>
      </w:r>
      <w:r>
        <w:t>55</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"_Toc147563700" </w:instrText>
      </w:r>
      <w:r>
        <w:fldChar w:fldCharType="separate"/>
      </w:r>
      <w:r>
        <w:rPr>
          <w:rStyle w:val="16"/>
        </w:rPr>
        <w:t>11.1 矿山主要危险、有害因素</w:t>
      </w:r>
      <w:r>
        <w:tab/>
      </w:r>
      <w:r>
        <w:fldChar w:fldCharType="begin"/>
      </w:r>
      <w:r>
        <w:instrText xml:space="preserve"> PAGEREF _Toc147563700 \h </w:instrText>
      </w:r>
      <w:r>
        <w:fldChar w:fldCharType="separate"/>
      </w:r>
      <w:r>
        <w:t>55</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"_Toc147563701" </w:instrText>
      </w:r>
      <w:r>
        <w:fldChar w:fldCharType="separate"/>
      </w:r>
      <w:r>
        <w:rPr>
          <w:rStyle w:val="16"/>
        </w:rPr>
        <w:t>11.2 矿床开采安全防范措施</w:t>
      </w:r>
      <w:r>
        <w:tab/>
      </w:r>
      <w:r>
        <w:fldChar w:fldCharType="begin"/>
      </w:r>
      <w:r>
        <w:instrText xml:space="preserve"> PAGEREF _Toc147563701 \h </w:instrText>
      </w:r>
      <w:r>
        <w:fldChar w:fldCharType="separate"/>
      </w:r>
      <w:r>
        <w:t>55</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"_Toc147563702" </w:instrText>
      </w:r>
      <w:r>
        <w:fldChar w:fldCharType="separate"/>
      </w:r>
      <w:r>
        <w:rPr>
          <w:rStyle w:val="16"/>
        </w:rPr>
        <w:t>11.3安全管理</w:t>
      </w:r>
      <w:r>
        <w:tab/>
      </w:r>
      <w:r>
        <w:fldChar w:fldCharType="begin"/>
      </w:r>
      <w:r>
        <w:instrText xml:space="preserve"> PAGEREF _Toc147563702 \h </w:instrText>
      </w:r>
      <w:r>
        <w:fldChar w:fldCharType="separate"/>
      </w:r>
      <w:r>
        <w:t>60</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"_Toc147563703" </w:instrText>
      </w:r>
      <w:r>
        <w:fldChar w:fldCharType="separate"/>
      </w:r>
      <w:r>
        <w:rPr>
          <w:rStyle w:val="16"/>
        </w:rPr>
        <w:t>11.4安全可靠性及安全预期效果</w:t>
      </w:r>
      <w:r>
        <w:tab/>
      </w:r>
      <w:r>
        <w:fldChar w:fldCharType="begin"/>
      </w:r>
      <w:r>
        <w:instrText xml:space="preserve"> PAGEREF _Toc147563703 \h </w:instrText>
      </w:r>
      <w:r>
        <w:fldChar w:fldCharType="separate"/>
      </w:r>
      <w:r>
        <w:t>63</w:t>
      </w:r>
      <w:r>
        <w:fldChar w:fldCharType="end"/>
      </w:r>
      <w:r>
        <w:fldChar w:fldCharType="end"/>
      </w:r>
    </w:p>
    <w:p>
      <w:pPr>
        <w:pStyle w:val="11"/>
        <w:tabs>
          <w:tab w:val="right" w:leader="dot" w:pos="8296"/>
        </w:tabs>
        <w:ind w:firstLine="562"/>
        <w:rPr>
          <w:rFonts w:asciiTheme="minorHAnsi" w:hAnsiTheme="minorHAnsi" w:eastAsiaTheme="minorEastAsia" w:cstheme="minorBidi"/>
          <w:b w:val="0"/>
          <w:sz w:val="21"/>
          <w:szCs w:val="22"/>
          <w14:ligatures w14:val="standardContextual"/>
        </w:rPr>
      </w:pPr>
      <w:r>
        <w:fldChar w:fldCharType="begin"/>
      </w:r>
      <w:r>
        <w:instrText xml:space="preserve"> HYPERLINK \l "_Toc147563704" </w:instrText>
      </w:r>
      <w:r>
        <w:fldChar w:fldCharType="separate"/>
      </w:r>
      <w:r>
        <w:rPr>
          <w:rStyle w:val="16"/>
        </w:rPr>
        <w:t>12  开发利用方案简要结论</w:t>
      </w:r>
      <w:r>
        <w:tab/>
      </w:r>
      <w:r>
        <w:fldChar w:fldCharType="begin"/>
      </w:r>
      <w:r>
        <w:instrText xml:space="preserve"> PAGEREF _Toc147563704 \h </w:instrText>
      </w:r>
      <w:r>
        <w:fldChar w:fldCharType="separate"/>
      </w:r>
      <w:r>
        <w:t>64</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"_Toc147563705" </w:instrText>
      </w:r>
      <w:r>
        <w:fldChar w:fldCharType="separate"/>
      </w:r>
      <w:r>
        <w:rPr>
          <w:rStyle w:val="16"/>
        </w:rPr>
        <w:t>12.1 工程概况</w:t>
      </w:r>
      <w:r>
        <w:tab/>
      </w:r>
      <w:r>
        <w:fldChar w:fldCharType="begin"/>
      </w:r>
      <w:r>
        <w:instrText xml:space="preserve"> PAGEREF _Toc147563705 \h </w:instrText>
      </w:r>
      <w:r>
        <w:fldChar w:fldCharType="separate"/>
      </w:r>
      <w:r>
        <w:t>64</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"_Toc147563706" </w:instrText>
      </w:r>
      <w:r>
        <w:fldChar w:fldCharType="separate"/>
      </w:r>
      <w:r>
        <w:rPr>
          <w:rStyle w:val="16"/>
        </w:rPr>
        <w:t>12.2 主要技术指标表</w:t>
      </w:r>
      <w:r>
        <w:tab/>
      </w:r>
      <w:r>
        <w:fldChar w:fldCharType="begin"/>
      </w:r>
      <w:r>
        <w:instrText xml:space="preserve"> PAGEREF _Toc147563706 \h </w:instrText>
      </w:r>
      <w:r>
        <w:fldChar w:fldCharType="separate"/>
      </w:r>
      <w:r>
        <w:t>64</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"_Toc147563707" </w:instrText>
      </w:r>
      <w:r>
        <w:fldChar w:fldCharType="separate"/>
      </w:r>
      <w:r>
        <w:rPr>
          <w:rStyle w:val="16"/>
        </w:rPr>
        <w:t>12.3 工程项目综合评价</w:t>
      </w:r>
      <w:r>
        <w:tab/>
      </w:r>
      <w:r>
        <w:fldChar w:fldCharType="begin"/>
      </w:r>
      <w:r>
        <w:instrText xml:space="preserve"> PAGEREF _Toc147563707 \h </w:instrText>
      </w:r>
      <w:r>
        <w:fldChar w:fldCharType="separate"/>
      </w:r>
      <w:r>
        <w:t>65</w:t>
      </w:r>
      <w:r>
        <w:fldChar w:fldCharType="end"/>
      </w:r>
      <w:r>
        <w:fldChar w:fldCharType="end"/>
      </w:r>
    </w:p>
    <w:p>
      <w:pPr>
        <w:pStyle w:val="12"/>
        <w:tabs>
          <w:tab w:val="right" w:leader="dot" w:pos="8296"/>
        </w:tabs>
        <w:ind w:left="560" w:firstLine="560"/>
        <w:rPr>
          <w:rFonts w:asciiTheme="minorHAnsi" w:hAnsiTheme="minorHAnsi" w:eastAsiaTheme="minorEastAsia" w:cstheme="minorBidi"/>
          <w:sz w:val="21"/>
          <w:szCs w:val="22"/>
          <w14:ligatures w14:val="standardContextual"/>
        </w:rPr>
      </w:pPr>
      <w:r>
        <w:fldChar w:fldCharType="begin"/>
      </w:r>
      <w:r>
        <w:instrText xml:space="preserve"> HYPERLINK \l "_Toc147563708" </w:instrText>
      </w:r>
      <w:r>
        <w:fldChar w:fldCharType="separate"/>
      </w:r>
      <w:r>
        <w:rPr>
          <w:rStyle w:val="16"/>
        </w:rPr>
        <w:t>12.4 存在的问题及建议</w:t>
      </w:r>
      <w:r>
        <w:tab/>
      </w:r>
      <w:r>
        <w:fldChar w:fldCharType="begin"/>
      </w:r>
      <w:r>
        <w:instrText xml:space="preserve"> PAGEREF _Toc147563708 \h </w:instrText>
      </w:r>
      <w:r>
        <w:fldChar w:fldCharType="separate"/>
      </w:r>
      <w:r>
        <w:t>66</w:t>
      </w:r>
      <w:r>
        <w:fldChar w:fldCharType="end"/>
      </w:r>
      <w:r>
        <w:fldChar w:fldCharType="end"/>
      </w:r>
    </w:p>
    <w:p>
      <w:pPr>
        <w:ind w:firstLine="560"/>
        <w:jc w:val="center"/>
        <w:rPr>
          <w:szCs w:val="44"/>
        </w:rPr>
        <w:sectPr>
          <w:pgSz w:w="11906" w:h="16838"/>
          <w:pgMar w:top="1440" w:right="1800" w:bottom="1440" w:left="1800" w:header="851" w:footer="992" w:gutter="0"/>
          <w:cols w:space="720" w:num="1"/>
          <w:docGrid w:type="lines" w:linePitch="312" w:charSpace="0"/>
        </w:sectPr>
      </w:pPr>
      <w:r>
        <w:rPr>
          <w:szCs w:val="44"/>
        </w:rPr>
        <w:fldChar w:fldCharType="end"/>
      </w:r>
    </w:p>
    <w:p>
      <w:pPr>
        <w:suppressAutoHyphens/>
        <w:wordWrap w:val="0"/>
        <w:topLinePunct/>
        <w:spacing w:line="500" w:lineRule="exact"/>
        <w:ind w:firstLine="562"/>
        <w:jc w:val="left"/>
        <w:rPr>
          <w:rFonts w:ascii="宋体" w:hAnsi="宋体"/>
          <w:b/>
          <w:szCs w:val="28"/>
        </w:rPr>
      </w:pPr>
      <w:r>
        <w:rPr>
          <w:rFonts w:ascii="宋体" w:hAnsi="宋体"/>
          <w:b/>
          <w:szCs w:val="28"/>
        </w:rPr>
        <w:t>附件：</w:t>
      </w:r>
    </w:p>
    <w:p>
      <w:pPr>
        <w:ind w:firstLine="560"/>
      </w:pPr>
      <w:r>
        <w:rPr>
          <w:rFonts w:hint="eastAsia"/>
        </w:rPr>
        <w:t>1、委托书</w:t>
      </w:r>
    </w:p>
    <w:p>
      <w:pPr>
        <w:ind w:firstLine="560"/>
      </w:pPr>
      <w:r>
        <w:rPr>
          <w:rFonts w:hint="eastAsia"/>
        </w:rPr>
        <w:t>2、编制单位承诺书</w:t>
      </w:r>
    </w:p>
    <w:p>
      <w:pPr>
        <w:ind w:firstLine="560"/>
      </w:pPr>
      <w:r>
        <w:rPr>
          <w:rFonts w:hint="eastAsia"/>
        </w:rPr>
        <w:t>3、矿山企业承诺书</w:t>
      </w:r>
    </w:p>
    <w:p>
      <w:pPr>
        <w:ind w:firstLine="560"/>
      </w:pPr>
      <w:r>
        <w:rPr>
          <w:rFonts w:hint="eastAsia"/>
        </w:rPr>
        <w:t>4、方案信息表</w:t>
      </w:r>
    </w:p>
    <w:p>
      <w:pPr>
        <w:ind w:firstLine="560"/>
      </w:pPr>
      <w:r>
        <w:rPr>
          <w:rFonts w:hint="eastAsia"/>
        </w:rPr>
        <w:t>5、关于《甘肃省临泽县梨西4号电站东南侧建筑用砂矿普查报告》（2023年1月）评审意见书</w:t>
      </w:r>
    </w:p>
    <w:p>
      <w:pPr>
        <w:ind w:firstLine="560"/>
      </w:pPr>
      <w:r>
        <w:rPr>
          <w:rFonts w:hint="eastAsia"/>
        </w:rPr>
        <w:t>6、</w:t>
      </w:r>
      <w:r>
        <w:t>企业</w:t>
      </w:r>
      <w:r>
        <w:rPr>
          <w:rFonts w:hint="eastAsia"/>
        </w:rPr>
        <w:t>营业执照复印件</w:t>
      </w:r>
    </w:p>
    <w:p>
      <w:pPr>
        <w:suppressAutoHyphens/>
        <w:topLinePunct/>
        <w:spacing w:line="500" w:lineRule="exact"/>
        <w:ind w:firstLine="562"/>
        <w:rPr>
          <w:rFonts w:ascii="宋体" w:hAnsi="宋体"/>
          <w:b/>
          <w:szCs w:val="28"/>
        </w:rPr>
      </w:pPr>
      <w:r>
        <w:rPr>
          <w:rFonts w:ascii="宋体" w:hAnsi="宋体"/>
          <w:b/>
          <w:szCs w:val="28"/>
        </w:rPr>
        <w:t>附图：</w:t>
      </w:r>
    </w:p>
    <w:p>
      <w:pPr>
        <w:suppressAutoHyphens/>
        <w:topLinePunct/>
        <w:spacing w:line="500" w:lineRule="exact"/>
        <w:ind w:firstLine="551" w:firstLineChars="196"/>
        <w:rPr>
          <w:rFonts w:ascii="宋体" w:hAnsi="宋体"/>
          <w:b/>
          <w:szCs w:val="28"/>
        </w:rPr>
      </w:pPr>
      <w:r>
        <w:rPr>
          <w:rFonts w:hint="eastAsia" w:ascii="宋体" w:hAnsi="宋体"/>
          <w:b/>
          <w:szCs w:val="28"/>
        </w:rPr>
        <w:t>矿产资源开发利用方案附图</w:t>
      </w:r>
    </w:p>
    <w:p>
      <w:pPr>
        <w:ind w:firstLine="560"/>
      </w:pPr>
      <w:r>
        <w:rPr>
          <w:rFonts w:hint="eastAsia"/>
        </w:rPr>
        <w:t>1、甘肃省临泽县梨西4号电站东南侧建筑用砂矿地形地质图 （1:</w:t>
      </w:r>
      <w:r>
        <w:t>2</w:t>
      </w:r>
      <w:r>
        <w:rPr>
          <w:rFonts w:hint="eastAsia"/>
        </w:rPr>
        <w:t xml:space="preserve">000） </w:t>
      </w:r>
    </w:p>
    <w:p>
      <w:pPr>
        <w:ind w:firstLine="560"/>
      </w:pPr>
      <w:r>
        <w:rPr>
          <w:rFonts w:hint="eastAsia"/>
        </w:rPr>
        <w:t>2、甘肃省临泽县梨西4号电站东南侧建筑用砂矿总平面布置图 （1:</w:t>
      </w:r>
      <w:r>
        <w:t>2</w:t>
      </w:r>
      <w:r>
        <w:rPr>
          <w:rFonts w:hint="eastAsia"/>
        </w:rPr>
        <w:t xml:space="preserve">000） </w:t>
      </w:r>
    </w:p>
    <w:p>
      <w:pPr>
        <w:ind w:firstLine="560"/>
      </w:pPr>
      <w:r>
        <w:t>3</w:t>
      </w:r>
      <w:r>
        <w:rPr>
          <w:rFonts w:hint="eastAsia"/>
        </w:rPr>
        <w:t>、甘肃省临泽县梨西4号电站东南侧建筑用砂矿终了平面图（1:</w:t>
      </w:r>
      <w:r>
        <w:t>2</w:t>
      </w:r>
      <w:r>
        <w:rPr>
          <w:rFonts w:hint="eastAsia"/>
        </w:rPr>
        <w:t xml:space="preserve">000） </w:t>
      </w:r>
    </w:p>
    <w:p>
      <w:pPr>
        <w:ind w:firstLine="560"/>
      </w:pPr>
      <w:r>
        <w:t>4</w:t>
      </w:r>
      <w:r>
        <w:rPr>
          <w:rFonts w:hint="eastAsia"/>
        </w:rPr>
        <w:t>、甘肃省临泽县梨西4号电站东南侧建筑用砂矿9号勘探线开采剖面图（1:1000）</w:t>
      </w:r>
    </w:p>
    <w:p>
      <w:pPr>
        <w:ind w:firstLine="560"/>
      </w:pPr>
      <w:r>
        <w:t>5</w:t>
      </w:r>
      <w:r>
        <w:rPr>
          <w:rFonts w:hint="eastAsia"/>
        </w:rPr>
        <w:t>、甘肃省临泽县梨西4号电站东南侧建筑用砂矿7号勘探线开采剖面图 （1:</w:t>
      </w:r>
      <w:r>
        <w:t>1</w:t>
      </w:r>
      <w:r>
        <w:rPr>
          <w:rFonts w:hint="eastAsia"/>
        </w:rPr>
        <w:t xml:space="preserve">000） </w:t>
      </w:r>
    </w:p>
    <w:p>
      <w:pPr>
        <w:ind w:firstLine="560"/>
      </w:pPr>
      <w:r>
        <w:t>6</w:t>
      </w:r>
      <w:r>
        <w:rPr>
          <w:rFonts w:hint="eastAsia"/>
        </w:rPr>
        <w:t>、甘肃省临泽县梨西4号电站东南侧建筑用砂矿5号勘探线开采剖面图 （1:</w:t>
      </w:r>
      <w:r>
        <w:t>1</w:t>
      </w:r>
      <w:r>
        <w:rPr>
          <w:rFonts w:hint="eastAsia"/>
        </w:rPr>
        <w:t>000）</w:t>
      </w:r>
    </w:p>
    <w:p>
      <w:pPr>
        <w:ind w:firstLine="560"/>
      </w:pPr>
      <w:r>
        <w:t>7</w:t>
      </w:r>
      <w:r>
        <w:rPr>
          <w:rFonts w:hint="eastAsia"/>
        </w:rPr>
        <w:t>、甘肃省临泽县梨西4号电站东南侧建筑用砂矿3号勘探线开采剖面图 （1:</w:t>
      </w:r>
      <w:r>
        <w:t>1</w:t>
      </w:r>
      <w:r>
        <w:rPr>
          <w:rFonts w:hint="eastAsia"/>
        </w:rPr>
        <w:t xml:space="preserve">000） </w:t>
      </w:r>
    </w:p>
    <w:p>
      <w:pPr>
        <w:ind w:firstLine="560"/>
      </w:pPr>
      <w:r>
        <w:t>8</w:t>
      </w:r>
      <w:r>
        <w:rPr>
          <w:rFonts w:hint="eastAsia"/>
        </w:rPr>
        <w:t>、甘肃省临泽县梨西4号电站东南侧建筑用砂矿0号勘探线开采剖面图 （1:</w:t>
      </w:r>
      <w:r>
        <w:t>1</w:t>
      </w:r>
      <w:r>
        <w:rPr>
          <w:rFonts w:hint="eastAsia"/>
        </w:rPr>
        <w:t>000）</w:t>
      </w:r>
    </w:p>
    <w:p>
      <w:pPr>
        <w:ind w:firstLine="560"/>
      </w:pPr>
      <w:r>
        <w:t>9</w:t>
      </w:r>
      <w:r>
        <w:rPr>
          <w:rFonts w:hint="eastAsia"/>
        </w:rPr>
        <w:t>、甘肃省临泽县梨西</w:t>
      </w:r>
      <w:r>
        <w:t>4</w:t>
      </w:r>
      <w:r>
        <w:rPr>
          <w:rFonts w:hint="eastAsia"/>
        </w:rPr>
        <w:t>号电站东南侧建筑用砂矿露天开采矿方法示意图</w:t>
      </w:r>
    </w:p>
    <w:p>
      <w:pPr>
        <w:suppressAutoHyphens/>
        <w:topLinePunct/>
        <w:spacing w:line="500" w:lineRule="exact"/>
        <w:ind w:firstLine="551" w:firstLineChars="196"/>
        <w:rPr>
          <w:rFonts w:ascii="宋体" w:hAnsi="宋体"/>
          <w:b/>
          <w:szCs w:val="28"/>
        </w:rPr>
      </w:pPr>
      <w:r>
        <w:rPr>
          <w:rFonts w:ascii="宋体" w:hAnsi="宋体"/>
          <w:b/>
          <w:szCs w:val="28"/>
        </w:rPr>
        <w:t>矿山地质环境保护与复垦方案附图</w:t>
      </w:r>
    </w:p>
    <w:p>
      <w:pPr>
        <w:ind w:firstLine="560"/>
      </w:pPr>
      <w:r>
        <w:t>10</w:t>
      </w:r>
      <w:r>
        <w:rPr>
          <w:rFonts w:hint="eastAsia"/>
        </w:rPr>
        <w:t>、甘肃省临泽县梨西4号电站东南侧建筑用砂矿矿山地质环境问题现状图（</w:t>
      </w:r>
      <w:r>
        <w:t>1:2000</w:t>
      </w:r>
      <w:r>
        <w:rPr>
          <w:rFonts w:hint="eastAsia"/>
        </w:rPr>
        <w:t>）</w:t>
      </w:r>
    </w:p>
    <w:p>
      <w:pPr>
        <w:ind w:firstLine="560"/>
      </w:pPr>
      <w:r>
        <w:t>11</w:t>
      </w:r>
      <w:r>
        <w:rPr>
          <w:rFonts w:hint="eastAsia"/>
        </w:rPr>
        <w:t>、甘肃省临泽县梨西4号电站东南侧建筑用砂矿矿山环境问题预测图（</w:t>
      </w:r>
      <w:r>
        <w:t>1:2000</w:t>
      </w:r>
      <w:r>
        <w:rPr>
          <w:rFonts w:hint="eastAsia"/>
        </w:rPr>
        <w:t>）</w:t>
      </w:r>
    </w:p>
    <w:p>
      <w:pPr>
        <w:ind w:firstLine="560"/>
      </w:pPr>
      <w:r>
        <w:t>12</w:t>
      </w:r>
      <w:r>
        <w:rPr>
          <w:rFonts w:hint="eastAsia"/>
        </w:rPr>
        <w:t>、甘肃省临泽县梨西4号电站东南侧建筑用砂矿矿山地质环境治理工程部署图（</w:t>
      </w:r>
      <w:r>
        <w:t>1:2000</w:t>
      </w:r>
      <w:r>
        <w:rPr>
          <w:rFonts w:hint="eastAsia"/>
        </w:rPr>
        <w:t>）</w:t>
      </w:r>
    </w:p>
    <w:p>
      <w:pPr>
        <w:ind w:firstLine="560"/>
      </w:pPr>
      <w:r>
        <w:t>13</w:t>
      </w:r>
      <w:r>
        <w:rPr>
          <w:rFonts w:hint="eastAsia"/>
        </w:rPr>
        <w:t>、甘肃省临泽县梨西4号电站东南侧建筑用砂矿矿区土地利用现状图（</w:t>
      </w:r>
      <w:r>
        <w:t>1:2000</w:t>
      </w:r>
      <w:r>
        <w:rPr>
          <w:rFonts w:hint="eastAsia"/>
        </w:rPr>
        <w:t>）</w:t>
      </w:r>
    </w:p>
    <w:p>
      <w:pPr>
        <w:ind w:firstLine="560"/>
      </w:pPr>
      <w:r>
        <w:t>14</w:t>
      </w:r>
      <w:r>
        <w:rPr>
          <w:rFonts w:hint="eastAsia"/>
        </w:rPr>
        <w:t>、甘肃省临泽县梨西4号电站东南侧建筑用砂矿矿区土地损毁预测图（</w:t>
      </w:r>
      <w:r>
        <w:t>1:2000</w:t>
      </w:r>
      <w:r>
        <w:rPr>
          <w:rFonts w:hint="eastAsia"/>
        </w:rPr>
        <w:t>）</w:t>
      </w:r>
    </w:p>
    <w:p>
      <w:pPr>
        <w:ind w:firstLine="560"/>
      </w:pPr>
      <w:r>
        <w:t>15</w:t>
      </w:r>
      <w:r>
        <w:rPr>
          <w:rFonts w:hint="eastAsia"/>
        </w:rPr>
        <w:t>、甘肃省临泽县梨西4号电站东南侧建筑用砂矿矿区土地复垦规划图（</w:t>
      </w:r>
      <w:r>
        <w:t>1:2000</w:t>
      </w:r>
      <w:r>
        <w:rPr>
          <w:rFonts w:hint="eastAsia"/>
        </w:rPr>
        <w:t>）</w:t>
      </w:r>
    </w:p>
    <w:p>
      <w:pPr>
        <w:pStyle w:val="2"/>
        <w:rPr>
          <w:sz w:val="28"/>
        </w:rPr>
      </w:pPr>
      <w:r>
        <w:rPr>
          <w:sz w:val="28"/>
        </w:rPr>
        <w:br w:type="page"/>
      </w:r>
    </w:p>
    <w:p>
      <w:pPr>
        <w:pStyle w:val="2"/>
        <w:jc w:val="both"/>
        <w:rPr>
          <w:sz w:val="28"/>
        </w:rPr>
        <w:sectPr>
          <w:footerReference r:id="rId8" w:type="default"/>
          <w:pgSz w:w="11906" w:h="16838"/>
          <w:pgMar w:top="1440" w:right="1800" w:bottom="1440" w:left="1800" w:header="851" w:footer="992" w:gutter="0"/>
          <w:cols w:space="720" w:num="1"/>
          <w:docGrid w:type="lines" w:linePitch="312" w:charSpace="0"/>
        </w:sectPr>
      </w:pPr>
    </w:p>
    <w:p>
      <w:pPr>
        <w:tabs>
          <w:tab w:val="left" w:pos="2450"/>
        </w:tabs>
        <w:ind w:firstLine="0" w:firstLineChars="0"/>
      </w:pPr>
    </w:p>
    <w:p>
      <w:pPr>
        <w:pStyle w:val="3"/>
        <w:spacing w:before="312"/>
        <w:ind w:firstLine="0" w:firstLineChars="0"/>
      </w:pPr>
      <w:bookmarkStart w:id="4" w:name="_Toc71621563"/>
      <w:bookmarkStart w:id="5" w:name="_Toc147563652"/>
      <w:bookmarkStart w:id="6" w:name="_Toc12332"/>
      <w:bookmarkStart w:id="7" w:name="_Toc70589703"/>
      <w:bookmarkStart w:id="8" w:name="_Toc214406967"/>
      <w:bookmarkStart w:id="9" w:name="_Toc212970723"/>
      <w:bookmarkStart w:id="10" w:name="_Toc502783397"/>
      <w:bookmarkStart w:id="11" w:name="_Toc211070047"/>
      <w:bookmarkStart w:id="12" w:name="_Toc511226401"/>
      <w:r>
        <w:rPr>
          <w:rFonts w:hint="eastAsia"/>
        </w:rPr>
        <w:t>第一部分 矿产资源开发利用方案</w:t>
      </w:r>
      <w:bookmarkEnd w:id="4"/>
      <w:bookmarkEnd w:id="5"/>
      <w:bookmarkEnd w:id="6"/>
      <w:bookmarkEnd w:id="7"/>
    </w:p>
    <w:p>
      <w:pPr>
        <w:pStyle w:val="3"/>
        <w:spacing w:before="312"/>
        <w:ind w:firstLine="0" w:firstLineChars="0"/>
      </w:pPr>
      <w:bookmarkStart w:id="13" w:name="_Toc71621564"/>
      <w:bookmarkStart w:id="14" w:name="_Toc70589704"/>
      <w:bookmarkStart w:id="15" w:name="_Toc27058"/>
      <w:bookmarkStart w:id="16" w:name="_Toc147563653"/>
      <w:r>
        <w:rPr>
          <w:rFonts w:hint="eastAsia"/>
        </w:rPr>
        <w:t>1  项目概述</w:t>
      </w:r>
      <w:bookmarkEnd w:id="13"/>
      <w:bookmarkEnd w:id="14"/>
      <w:bookmarkEnd w:id="15"/>
      <w:bookmarkEnd w:id="16"/>
    </w:p>
    <w:p>
      <w:pPr>
        <w:pStyle w:val="4"/>
      </w:pPr>
      <w:bookmarkStart w:id="17" w:name="_Toc147563654"/>
      <w:r>
        <w:rPr>
          <w:rFonts w:hint="eastAsia"/>
        </w:rPr>
        <w:t>1.</w:t>
      </w:r>
      <w:r>
        <w:t>1</w:t>
      </w:r>
      <w:r>
        <w:rPr>
          <w:rFonts w:hint="eastAsia"/>
        </w:rPr>
        <w:t xml:space="preserve"> 项目名称、隶属关系、矿区位置及企业性质</w:t>
      </w:r>
      <w:bookmarkEnd w:id="17"/>
    </w:p>
    <w:p>
      <w:pPr>
        <w:pStyle w:val="5"/>
        <w:ind w:firstLine="562"/>
      </w:pPr>
      <w:bookmarkStart w:id="18" w:name="_Toc214406969"/>
      <w:bookmarkStart w:id="19" w:name="_Toc70589706"/>
      <w:bookmarkStart w:id="20" w:name="_Toc395519092"/>
      <w:bookmarkStart w:id="21" w:name="_Toc502783399"/>
      <w:r>
        <w:rPr>
          <w:rFonts w:hint="eastAsia"/>
        </w:rPr>
        <w:t>1.</w:t>
      </w:r>
      <w:r>
        <w:t>1</w:t>
      </w:r>
      <w:r>
        <w:rPr>
          <w:rFonts w:hint="eastAsia"/>
        </w:rPr>
        <w:t>.1 项目名称</w:t>
      </w:r>
      <w:bookmarkEnd w:id="18"/>
      <w:r>
        <w:rPr>
          <w:rFonts w:hint="eastAsia"/>
        </w:rPr>
        <w:t>及隶属关系</w:t>
      </w:r>
      <w:bookmarkEnd w:id="19"/>
      <w:bookmarkEnd w:id="20"/>
      <w:bookmarkEnd w:id="21"/>
    </w:p>
    <w:p>
      <w:pPr>
        <w:spacing w:line="240" w:lineRule="auto"/>
        <w:ind w:firstLine="560"/>
      </w:pPr>
      <w:r>
        <w:rPr>
          <w:rFonts w:hint="eastAsia"/>
        </w:rPr>
        <w:t>项目名称：甘肃省临泽县梨西4号电站东南侧建筑用砂矿矿产资源开发利用方案；</w:t>
      </w:r>
    </w:p>
    <w:p>
      <w:pPr>
        <w:spacing w:line="240" w:lineRule="auto"/>
        <w:ind w:firstLine="560"/>
      </w:pPr>
      <w:r>
        <w:rPr>
          <w:rFonts w:hint="eastAsia"/>
        </w:rPr>
        <w:t>行政隶属关系：</w:t>
      </w:r>
      <w:r>
        <w:rPr>
          <w:rFonts w:cs="仿宋"/>
          <w:w w:val="99"/>
          <w:szCs w:val="28"/>
        </w:rPr>
        <w:t>临泽县倪家营镇管辖</w:t>
      </w:r>
      <w:r>
        <w:rPr>
          <w:rFonts w:hint="eastAsia"/>
        </w:rPr>
        <w:t>。</w:t>
      </w:r>
    </w:p>
    <w:p>
      <w:pPr>
        <w:spacing w:line="240" w:lineRule="auto"/>
        <w:ind w:firstLine="560"/>
      </w:pPr>
      <w:r>
        <w:rPr>
          <w:rFonts w:hint="eastAsia"/>
        </w:rPr>
        <w:t>矿山建设性质：新建项目。</w:t>
      </w:r>
    </w:p>
    <w:p>
      <w:pPr>
        <w:pStyle w:val="5"/>
        <w:ind w:firstLine="562"/>
      </w:pPr>
      <w:bookmarkStart w:id="22" w:name="_Toc211070050"/>
      <w:bookmarkStart w:id="23" w:name="_Toc70589707"/>
      <w:bookmarkStart w:id="24" w:name="_Toc213683033"/>
      <w:bookmarkStart w:id="25" w:name="_Toc502783400"/>
      <w:bookmarkStart w:id="26" w:name="_Toc395519093"/>
      <w:bookmarkStart w:id="27" w:name="_Toc214406970"/>
      <w:bookmarkStart w:id="28" w:name="_Toc212978005"/>
      <w:r>
        <w:rPr>
          <w:rFonts w:hint="eastAsia"/>
        </w:rPr>
        <w:t>1.</w:t>
      </w:r>
      <w:r>
        <w:t>1</w:t>
      </w:r>
      <w:r>
        <w:rPr>
          <w:rFonts w:hint="eastAsia"/>
        </w:rPr>
        <w:t>.2 矿区位置、交通</w:t>
      </w:r>
      <w:bookmarkEnd w:id="22"/>
      <w:bookmarkEnd w:id="23"/>
      <w:bookmarkEnd w:id="24"/>
      <w:bookmarkEnd w:id="25"/>
      <w:bookmarkEnd w:id="26"/>
      <w:bookmarkEnd w:id="27"/>
      <w:bookmarkEnd w:id="28"/>
    </w:p>
    <w:p>
      <w:pPr>
        <w:spacing w:line="240" w:lineRule="auto"/>
        <w:ind w:firstLine="560"/>
      </w:pPr>
      <w:bookmarkStart w:id="29" w:name="_Hlk153289376"/>
      <w:r>
        <w:rPr>
          <w:rFonts w:hint="eastAsia"/>
        </w:rPr>
        <w:t>矿位于甘肃省临泽县境内，行政区划隶属临泽县倪家营镇管辖，地理位置为东经：</w:t>
      </w:r>
      <w:r>
        <w:t>100</w:t>
      </w:r>
      <w:r>
        <w:rPr>
          <w:rFonts w:hint="eastAsia"/>
        </w:rPr>
        <w:t>°</w:t>
      </w:r>
      <w:r>
        <w:t>05</w:t>
      </w:r>
      <w:r>
        <w:rPr>
          <w:rFonts w:hint="eastAsia"/>
        </w:rPr>
        <w:t>′</w:t>
      </w:r>
      <w:r>
        <w:t>01.36</w:t>
      </w:r>
      <w:r>
        <w:rPr>
          <w:rFonts w:hint="eastAsia"/>
        </w:rPr>
        <w:t>″～</w:t>
      </w:r>
      <w:r>
        <w:t>100</w:t>
      </w:r>
      <w:r>
        <w:rPr>
          <w:rFonts w:hint="eastAsia"/>
        </w:rPr>
        <w:t>°</w:t>
      </w:r>
      <w:r>
        <w:t>05</w:t>
      </w:r>
      <w:r>
        <w:rPr>
          <w:rFonts w:hint="eastAsia"/>
        </w:rPr>
        <w:t>′</w:t>
      </w:r>
      <w:r>
        <w:t>25.33</w:t>
      </w:r>
      <w:r>
        <w:rPr>
          <w:rFonts w:hint="eastAsia"/>
        </w:rPr>
        <w:t>″，北纬：</w:t>
      </w:r>
      <w:r>
        <w:t>39</w:t>
      </w:r>
      <w:r>
        <w:rPr>
          <w:rFonts w:hint="eastAsia"/>
        </w:rPr>
        <w:t>°</w:t>
      </w:r>
      <w:r>
        <w:t>02</w:t>
      </w:r>
      <w:r>
        <w:rPr>
          <w:rFonts w:hint="eastAsia"/>
        </w:rPr>
        <w:t>′</w:t>
      </w:r>
      <w:r>
        <w:t>19.98</w:t>
      </w:r>
      <w:r>
        <w:rPr>
          <w:rFonts w:hint="eastAsia"/>
        </w:rPr>
        <w:t>″～</w:t>
      </w:r>
      <w:r>
        <w:t>39</w:t>
      </w:r>
      <w:r>
        <w:rPr>
          <w:rFonts w:hint="eastAsia"/>
        </w:rPr>
        <w:t>°</w:t>
      </w:r>
      <w:r>
        <w:t>03</w:t>
      </w:r>
      <w:r>
        <w:rPr>
          <w:rFonts w:hint="eastAsia"/>
        </w:rPr>
        <w:t>′</w:t>
      </w:r>
      <w:r>
        <w:t>09.82</w:t>
      </w:r>
      <w:r>
        <w:rPr>
          <w:rFonts w:hint="eastAsia"/>
        </w:rPr>
        <w:t>″（</w:t>
      </w:r>
      <w:r>
        <w:t xml:space="preserve">2000 </w:t>
      </w:r>
      <w:r>
        <w:rPr>
          <w:rFonts w:hint="eastAsia"/>
        </w:rPr>
        <w:t>国家大地坐标系），矿区面积</w:t>
      </w:r>
      <w:r>
        <w:t>0.58km</w:t>
      </w:r>
      <w:r>
        <w:rPr>
          <w:vertAlign w:val="superscript"/>
        </w:rPr>
        <w:t>2</w:t>
      </w:r>
      <w:r>
        <w:t>,</w:t>
      </w:r>
      <w:r>
        <w:rPr>
          <w:rFonts w:hint="eastAsia"/>
        </w:rPr>
        <w:t>位于临泽县</w:t>
      </w:r>
      <w:r>
        <w:t>214</w:t>
      </w:r>
      <w:r>
        <w:rPr>
          <w:rFonts w:hint="eastAsia"/>
        </w:rPr>
        <w:t>°方位，直距约</w:t>
      </w:r>
      <w:r>
        <w:t>12km</w:t>
      </w:r>
      <w:r>
        <w:rPr>
          <w:rFonts w:hint="eastAsia"/>
        </w:rPr>
        <w:t>，由临泽县城出发经G312国道向东行驶</w:t>
      </w:r>
      <w:r>
        <w:t>2.1</w:t>
      </w:r>
      <w:r>
        <w:rPr>
          <w:rFonts w:hint="eastAsia"/>
        </w:rPr>
        <w:t>km到达马家沟，再沿丹霞大道向南行驶1</w:t>
      </w:r>
      <w:r>
        <w:t>2</w:t>
      </w:r>
      <w:r>
        <w:rPr>
          <w:rFonts w:hint="eastAsia"/>
        </w:rPr>
        <w:t>km到达黄家湾，黄家湾向西1</w:t>
      </w:r>
      <w:r>
        <w:t>.6</w:t>
      </w:r>
      <w:r>
        <w:rPr>
          <w:rFonts w:hint="eastAsia"/>
        </w:rPr>
        <w:t>km有便道可通往矿区，交通较为便利</w:t>
      </w:r>
      <w:bookmarkEnd w:id="29"/>
      <w:r>
        <w:rPr>
          <w:rFonts w:hint="eastAsia"/>
        </w:rPr>
        <w:t>（见交通位置图1</w:t>
      </w:r>
      <w:r>
        <w:t>-1</w:t>
      </w:r>
      <w:r>
        <w:rPr>
          <w:rFonts w:hint="eastAsia"/>
        </w:rPr>
        <w:t>）。</w:t>
      </w:r>
    </w:p>
    <w:p>
      <w:pPr>
        <w:ind w:firstLine="560"/>
      </w:pPr>
    </w:p>
    <w:p>
      <w:pPr>
        <w:pStyle w:val="2"/>
      </w:pPr>
    </w:p>
    <w:p>
      <w:pPr>
        <w:pStyle w:val="2"/>
      </w:pPr>
    </w:p>
    <w:p>
      <w:pPr>
        <w:pStyle w:val="2"/>
      </w:pPr>
    </w:p>
    <w:p>
      <w:pPr>
        <w:pStyle w:val="2"/>
      </w:pPr>
    </w:p>
    <w:p>
      <w:pPr>
        <w:pStyle w:val="2"/>
        <w:spacing w:line="240" w:lineRule="exact"/>
        <w:jc w:val="both"/>
      </w:pPr>
      <w:r>
        <w:rPr>
          <w:sz w:val="20"/>
          <w:szCs w:val="20"/>
        </w:rPr>
        <w:drawing>
          <wp:anchor distT="0" distB="0" distL="114300" distR="114300" simplePos="0" relativeHeight="251661312" behindDoc="1" locked="0" layoutInCell="0" allowOverlap="1">
            <wp:simplePos x="0" y="0"/>
            <wp:positionH relativeFrom="page">
              <wp:posOffset>1143635</wp:posOffset>
            </wp:positionH>
            <wp:positionV relativeFrom="page">
              <wp:posOffset>914400</wp:posOffset>
            </wp:positionV>
            <wp:extent cx="5193030" cy="6050280"/>
            <wp:effectExtent l="0" t="0" r="7620" b="825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193304" cy="6050147"/>
                    </a:xfrm>
                    <a:prstGeom prst="rect">
                      <a:avLst/>
                    </a:prstGeom>
                    <a:noFill/>
                  </pic:spPr>
                </pic:pic>
              </a:graphicData>
            </a:graphic>
          </wp:anchor>
        </w:drawing>
      </w:r>
    </w:p>
    <w:p>
      <w:pPr>
        <w:tabs>
          <w:tab w:val="left" w:pos="180"/>
          <w:tab w:val="left" w:pos="200"/>
        </w:tabs>
        <w:spacing w:line="256" w:lineRule="exact"/>
        <w:ind w:right="6" w:firstLine="420"/>
        <w:jc w:val="center"/>
        <w:rPr>
          <w:sz w:val="20"/>
          <w:szCs w:val="20"/>
        </w:rPr>
      </w:pPr>
      <w:r>
        <w:rPr>
          <w:rFonts w:eastAsia="Times New Roman"/>
          <w:sz w:val="21"/>
          <w:szCs w:val="21"/>
        </w:rPr>
        <w:t>1-</w:t>
      </w:r>
      <w:r>
        <w:rPr>
          <w:rFonts w:hint="eastAsia" w:ascii="仿宋" w:hAnsi="仿宋" w:eastAsia="仿宋" w:cs="仿宋"/>
          <w:sz w:val="21"/>
          <w:szCs w:val="21"/>
        </w:rPr>
        <w:t>矿</w:t>
      </w:r>
      <w:r>
        <w:rPr>
          <w:rFonts w:ascii="仿宋" w:hAnsi="仿宋" w:eastAsia="仿宋" w:cs="仿宋"/>
          <w:sz w:val="21"/>
          <w:szCs w:val="21"/>
        </w:rPr>
        <w:t>区位置</w:t>
      </w:r>
      <w:r>
        <w:rPr>
          <w:rFonts w:eastAsia="Times New Roman"/>
          <w:sz w:val="21"/>
          <w:szCs w:val="21"/>
        </w:rPr>
        <w:tab/>
      </w:r>
      <w:r>
        <w:rPr>
          <w:rFonts w:eastAsia="Times New Roman"/>
          <w:sz w:val="21"/>
          <w:szCs w:val="21"/>
        </w:rPr>
        <w:t>2-</w:t>
      </w:r>
      <w:r>
        <w:rPr>
          <w:rFonts w:ascii="仿宋" w:hAnsi="仿宋" w:eastAsia="仿宋" w:cs="仿宋"/>
          <w:sz w:val="21"/>
          <w:szCs w:val="21"/>
        </w:rPr>
        <w:t>铁路</w:t>
      </w:r>
      <w:r>
        <w:rPr>
          <w:rFonts w:eastAsia="Times New Roman"/>
          <w:sz w:val="21"/>
          <w:szCs w:val="21"/>
        </w:rPr>
        <w:tab/>
      </w:r>
      <w:r>
        <w:rPr>
          <w:rFonts w:eastAsia="Times New Roman"/>
          <w:sz w:val="21"/>
          <w:szCs w:val="21"/>
        </w:rPr>
        <w:t>3-</w:t>
      </w:r>
      <w:r>
        <w:rPr>
          <w:rFonts w:ascii="仿宋" w:hAnsi="仿宋" w:eastAsia="仿宋" w:cs="仿宋"/>
          <w:sz w:val="21"/>
          <w:szCs w:val="21"/>
        </w:rPr>
        <w:t>公路及小路</w:t>
      </w:r>
      <w:r>
        <w:rPr>
          <w:rFonts w:eastAsia="Times New Roman"/>
          <w:sz w:val="21"/>
          <w:szCs w:val="21"/>
        </w:rPr>
        <w:tab/>
      </w:r>
      <w:r>
        <w:rPr>
          <w:rFonts w:eastAsia="Times New Roman"/>
          <w:sz w:val="21"/>
          <w:szCs w:val="21"/>
        </w:rPr>
        <w:t>4-</w:t>
      </w:r>
      <w:r>
        <w:rPr>
          <w:rFonts w:ascii="仿宋" w:hAnsi="仿宋" w:eastAsia="仿宋" w:cs="仿宋"/>
          <w:sz w:val="21"/>
          <w:szCs w:val="21"/>
        </w:rPr>
        <w:t>省界及县界</w:t>
      </w:r>
      <w:r>
        <w:rPr>
          <w:rFonts w:eastAsia="Times New Roman"/>
          <w:sz w:val="21"/>
          <w:szCs w:val="21"/>
        </w:rPr>
        <w:tab/>
      </w:r>
      <w:r>
        <w:rPr>
          <w:rFonts w:eastAsia="Times New Roman"/>
          <w:sz w:val="21"/>
          <w:szCs w:val="21"/>
        </w:rPr>
        <w:t>5-</w:t>
      </w:r>
      <w:r>
        <w:rPr>
          <w:rFonts w:ascii="仿宋" w:hAnsi="仿宋" w:eastAsia="仿宋" w:cs="仿宋"/>
          <w:sz w:val="21"/>
          <w:szCs w:val="21"/>
        </w:rPr>
        <w:t>河道</w:t>
      </w:r>
    </w:p>
    <w:p>
      <w:pPr>
        <w:tabs>
          <w:tab w:val="left" w:pos="180"/>
        </w:tabs>
        <w:spacing w:line="282" w:lineRule="exact"/>
        <w:ind w:right="6" w:firstLine="482"/>
        <w:jc w:val="center"/>
        <w:rPr>
          <w:rFonts w:ascii="黑体" w:hAnsi="黑体" w:eastAsia="黑体"/>
          <w:sz w:val="22"/>
          <w:szCs w:val="22"/>
        </w:rPr>
      </w:pPr>
      <w:r>
        <w:rPr>
          <w:rFonts w:ascii="黑体" w:hAnsi="黑体" w:eastAsia="黑体" w:cs="仿宋"/>
          <w:b/>
          <w:bCs/>
          <w:sz w:val="24"/>
        </w:rPr>
        <w:t>图</w:t>
      </w:r>
      <w:r>
        <w:rPr>
          <w:rFonts w:ascii="黑体" w:hAnsi="黑体" w:eastAsia="黑体"/>
          <w:b/>
          <w:bCs/>
          <w:sz w:val="24"/>
        </w:rPr>
        <w:t xml:space="preserve"> 1-1</w:t>
      </w:r>
      <w:r>
        <w:rPr>
          <w:rFonts w:ascii="黑体" w:hAnsi="黑体" w:eastAsia="黑体" w:cs="仿宋"/>
          <w:b/>
          <w:bCs/>
          <w:sz w:val="24"/>
        </w:rPr>
        <w:tab/>
      </w:r>
      <w:r>
        <w:rPr>
          <w:rFonts w:ascii="黑体" w:hAnsi="黑体" w:eastAsia="黑体" w:cs="仿宋"/>
          <w:b/>
          <w:bCs/>
          <w:sz w:val="24"/>
        </w:rPr>
        <w:t>交通位置图</w:t>
      </w:r>
    </w:p>
    <w:p>
      <w:pPr>
        <w:pStyle w:val="5"/>
        <w:ind w:firstLine="562"/>
      </w:pPr>
      <w:r>
        <w:rPr>
          <w:rFonts w:hint="eastAsia"/>
        </w:rPr>
        <w:t>1.</w:t>
      </w:r>
      <w:r>
        <w:t>1</w:t>
      </w:r>
      <w:r>
        <w:rPr>
          <w:rFonts w:hint="eastAsia"/>
        </w:rPr>
        <w:t>.3 企业性质</w:t>
      </w:r>
    </w:p>
    <w:p>
      <w:pPr>
        <w:autoSpaceDE w:val="0"/>
        <w:autoSpaceDN w:val="0"/>
        <w:adjustRightInd w:val="0"/>
        <w:spacing w:line="240" w:lineRule="auto"/>
        <w:ind w:firstLine="560"/>
        <w:jc w:val="left"/>
      </w:pPr>
      <w:r>
        <w:rPr>
          <w:rFonts w:hint="eastAsia"/>
        </w:rPr>
        <w:t>临泽县自然资源局</w:t>
      </w:r>
      <w:r>
        <w:t>委托</w:t>
      </w:r>
      <w:r>
        <w:rPr>
          <w:rFonts w:hint="eastAsia"/>
        </w:rPr>
        <w:t>，甘肃省有色金属地质勘查局张掖矿产勘查院</w:t>
      </w:r>
      <w:r>
        <w:t>对</w:t>
      </w:r>
      <w:r>
        <w:rPr>
          <w:rFonts w:hint="eastAsia"/>
        </w:rPr>
        <w:t>临泽县梨西4号电站东南侧建筑用砂矿进行了普查</w:t>
      </w:r>
      <w:r>
        <w:t>，</w:t>
      </w:r>
      <w:r>
        <w:rPr>
          <w:rFonts w:hint="eastAsia"/>
        </w:rPr>
        <w:t>并</w:t>
      </w:r>
      <w:r>
        <w:t>编制了《</w:t>
      </w:r>
      <w:r>
        <w:rPr>
          <w:rFonts w:hint="eastAsia"/>
        </w:rPr>
        <w:t>甘肃省临泽县梨西</w:t>
      </w:r>
      <w:r>
        <w:t>4</w:t>
      </w:r>
      <w:r>
        <w:rPr>
          <w:rFonts w:hint="eastAsia"/>
        </w:rPr>
        <w:t>号电站东南侧建筑用砂矿地质普查报告</w:t>
      </w:r>
      <w:r>
        <w:t>》（</w:t>
      </w:r>
      <w:r>
        <w:rPr>
          <w:rFonts w:hint="eastAsia"/>
        </w:rPr>
        <w:t>202</w:t>
      </w:r>
      <w:r>
        <w:t>2</w:t>
      </w:r>
      <w:r>
        <w:rPr>
          <w:rFonts w:hint="eastAsia"/>
        </w:rPr>
        <w:t>年1月</w:t>
      </w:r>
      <w:r>
        <w:t>）。</w:t>
      </w:r>
    </w:p>
    <w:p>
      <w:pPr>
        <w:ind w:firstLine="560"/>
      </w:pPr>
      <w:r>
        <w:rPr>
          <w:rFonts w:hint="eastAsia"/>
        </w:rPr>
        <w:t>由</w:t>
      </w:r>
      <w:r>
        <w:t>《</w:t>
      </w:r>
      <w:r>
        <w:rPr>
          <w:rFonts w:hint="eastAsia"/>
        </w:rPr>
        <w:t>甘肃省临泽县梨西</w:t>
      </w:r>
      <w:r>
        <w:t>4</w:t>
      </w:r>
      <w:r>
        <w:rPr>
          <w:rFonts w:hint="eastAsia"/>
        </w:rPr>
        <w:t>号电站东南侧建筑用砂矿地质普查报告</w:t>
      </w:r>
      <w:r>
        <w:t>》</w:t>
      </w:r>
      <w:r>
        <w:rPr>
          <w:rFonts w:hint="eastAsia"/>
        </w:rPr>
        <w:t>以及相关情况可知该矿业权人的信息如下：</w:t>
      </w:r>
    </w:p>
    <w:p>
      <w:pPr>
        <w:pStyle w:val="2"/>
        <w:ind w:firstLine="560" w:firstLineChars="200"/>
        <w:jc w:val="both"/>
        <w:rPr>
          <w:sz w:val="28"/>
        </w:rPr>
      </w:pPr>
      <w:r>
        <w:rPr>
          <w:rFonts w:hint="eastAsia"/>
          <w:sz w:val="28"/>
        </w:rPr>
        <w:t>企业类型：国有企业</w:t>
      </w:r>
    </w:p>
    <w:p>
      <w:pPr>
        <w:pStyle w:val="2"/>
        <w:ind w:firstLine="560" w:firstLineChars="200"/>
        <w:jc w:val="both"/>
        <w:rPr>
          <w:sz w:val="28"/>
        </w:rPr>
      </w:pPr>
      <w:r>
        <w:rPr>
          <w:rFonts w:hint="eastAsia"/>
          <w:sz w:val="28"/>
        </w:rPr>
        <w:t>矿业权人：临泽县建新城市建设开发有限责任公司</w:t>
      </w:r>
    </w:p>
    <w:p>
      <w:pPr>
        <w:pStyle w:val="2"/>
        <w:ind w:firstLine="560" w:firstLineChars="200"/>
        <w:jc w:val="both"/>
        <w:rPr>
          <w:sz w:val="28"/>
        </w:rPr>
      </w:pPr>
      <w:r>
        <w:rPr>
          <w:rFonts w:hint="eastAsia"/>
          <w:sz w:val="28"/>
        </w:rPr>
        <w:t>法人代表：田富勤</w:t>
      </w:r>
    </w:p>
    <w:p>
      <w:pPr>
        <w:pStyle w:val="2"/>
        <w:ind w:firstLine="560" w:firstLineChars="200"/>
        <w:jc w:val="both"/>
        <w:rPr>
          <w:sz w:val="28"/>
        </w:rPr>
      </w:pPr>
      <w:r>
        <w:rPr>
          <w:rFonts w:hint="eastAsia"/>
          <w:sz w:val="28"/>
        </w:rPr>
        <w:t>注册资金：5</w:t>
      </w:r>
      <w:r>
        <w:rPr>
          <w:sz w:val="28"/>
        </w:rPr>
        <w:t>000</w:t>
      </w:r>
      <w:r>
        <w:rPr>
          <w:rFonts w:hint="eastAsia"/>
          <w:sz w:val="28"/>
        </w:rPr>
        <w:t>万(元)</w:t>
      </w:r>
    </w:p>
    <w:p>
      <w:pPr>
        <w:pStyle w:val="2"/>
        <w:ind w:firstLine="560" w:firstLineChars="200"/>
        <w:jc w:val="both"/>
        <w:rPr>
          <w:sz w:val="28"/>
        </w:rPr>
      </w:pPr>
      <w:r>
        <w:rPr>
          <w:rFonts w:hint="eastAsia"/>
          <w:sz w:val="28"/>
        </w:rPr>
        <w:t>办公地点：甘肃省张掖市临泽县颐和小区1</w:t>
      </w:r>
      <w:r>
        <w:rPr>
          <w:sz w:val="28"/>
        </w:rPr>
        <w:t>5</w:t>
      </w:r>
      <w:r>
        <w:rPr>
          <w:rFonts w:hint="eastAsia"/>
          <w:sz w:val="28"/>
        </w:rPr>
        <w:t>号楼</w:t>
      </w:r>
    </w:p>
    <w:p>
      <w:pPr>
        <w:ind w:firstLine="560"/>
      </w:pPr>
      <w:r>
        <w:t>开采矿种：</w:t>
      </w:r>
      <w:r>
        <w:rPr>
          <w:rFonts w:hint="eastAsia"/>
        </w:rPr>
        <w:t>建筑用砂矿</w:t>
      </w:r>
    </w:p>
    <w:p>
      <w:pPr>
        <w:ind w:firstLine="560"/>
      </w:pPr>
      <w:r>
        <w:t>矿区面积：0.58</w:t>
      </w:r>
      <w:r>
        <w:rPr>
          <w:rFonts w:hint="eastAsia"/>
        </w:rPr>
        <w:t>km</w:t>
      </w:r>
      <w:r>
        <w:rPr>
          <w:rFonts w:hint="eastAsia"/>
          <w:vertAlign w:val="superscript"/>
        </w:rPr>
        <w:t>2</w:t>
      </w:r>
    </w:p>
    <w:p>
      <w:pPr>
        <w:ind w:firstLine="560"/>
      </w:pPr>
      <w:r>
        <w:t>矿区拐点坐标见表1-1：</w:t>
      </w:r>
    </w:p>
    <w:p>
      <w:pPr>
        <w:pStyle w:val="6"/>
        <w:keepNext/>
        <w:ind w:firstLine="482"/>
        <w:jc w:val="center"/>
        <w:rPr>
          <w:rFonts w:ascii="黑体" w:hAnsi="黑体" w:cs="仿宋"/>
          <w:b/>
          <w:bCs/>
          <w:sz w:val="24"/>
          <w:szCs w:val="24"/>
        </w:rPr>
      </w:pPr>
      <w:bookmarkStart w:id="30" w:name="_Hlk153289867"/>
      <w:r>
        <w:rPr>
          <w:rFonts w:hint="eastAsia" w:ascii="黑体" w:hAnsi="黑体" w:cs="仿宋"/>
          <w:b/>
          <w:bCs/>
          <w:sz w:val="24"/>
          <w:szCs w:val="24"/>
        </w:rPr>
        <w:t xml:space="preserve">矿区拐点坐标表 </w:t>
      </w:r>
      <w:r>
        <w:rPr>
          <w:rFonts w:ascii="黑体" w:hAnsi="黑体" w:cs="仿宋"/>
          <w:b/>
          <w:bCs/>
          <w:sz w:val="24"/>
          <w:szCs w:val="24"/>
        </w:rPr>
        <w:t xml:space="preserve"> 1-1</w:t>
      </w:r>
    </w:p>
    <w:bookmarkEnd w:id="30"/>
    <w:tbl>
      <w:tblPr>
        <w:tblStyle w:val="13"/>
        <w:tblW w:w="4583" w:type="pct"/>
        <w:jc w:val="center"/>
        <w:tblLayout w:type="autofit"/>
        <w:tblCellMar>
          <w:top w:w="0" w:type="dxa"/>
          <w:left w:w="108" w:type="dxa"/>
          <w:bottom w:w="0" w:type="dxa"/>
          <w:right w:w="108" w:type="dxa"/>
        </w:tblCellMar>
      </w:tblPr>
      <w:tblGrid>
        <w:gridCol w:w="709"/>
        <w:gridCol w:w="1701"/>
        <w:gridCol w:w="1848"/>
        <w:gridCol w:w="1701"/>
        <w:gridCol w:w="1852"/>
      </w:tblGrid>
      <w:tr>
        <w:tblPrEx>
          <w:tblCellMar>
            <w:top w:w="0" w:type="dxa"/>
            <w:left w:w="108" w:type="dxa"/>
            <w:bottom w:w="0" w:type="dxa"/>
            <w:right w:w="108" w:type="dxa"/>
          </w:tblCellMar>
        </w:tblPrEx>
        <w:trPr>
          <w:trHeight w:val="285" w:hRule="atLeast"/>
          <w:jc w:val="center"/>
        </w:trPr>
        <w:tc>
          <w:tcPr>
            <w:tcW w:w="454" w:type="pct"/>
            <w:vMerge w:val="restart"/>
            <w:tcBorders>
              <w:top w:val="single" w:color="000000" w:sz="4" w:space="0"/>
              <w:left w:val="single" w:color="000000" w:sz="4" w:space="0"/>
              <w:bottom w:val="single" w:color="000000" w:sz="4" w:space="0"/>
              <w:right w:val="single" w:color="000000" w:sz="4" w:space="0"/>
            </w:tcBorders>
            <w:noWrap/>
            <w:vAlign w:val="center"/>
          </w:tcPr>
          <w:p>
            <w:pPr>
              <w:pStyle w:val="2"/>
            </w:pPr>
            <w:bookmarkStart w:id="31" w:name="_Hlk153289768"/>
            <w:r>
              <w:rPr>
                <w:rFonts w:hint="eastAsia"/>
              </w:rPr>
              <w:t>序号</w:t>
            </w:r>
          </w:p>
        </w:tc>
        <w:tc>
          <w:tcPr>
            <w:tcW w:w="4546" w:type="pct"/>
            <w:gridSpan w:val="4"/>
            <w:tcBorders>
              <w:top w:val="single" w:color="000000" w:sz="4" w:space="0"/>
              <w:left w:val="single" w:color="000000" w:sz="4" w:space="0"/>
              <w:bottom w:val="single" w:color="000000" w:sz="4" w:space="0"/>
              <w:right w:val="single" w:color="000000" w:sz="4" w:space="0"/>
            </w:tcBorders>
            <w:vAlign w:val="center"/>
          </w:tcPr>
          <w:p>
            <w:pPr>
              <w:pStyle w:val="2"/>
            </w:pPr>
            <w:r>
              <w:rPr>
                <w:rFonts w:hint="eastAsia"/>
              </w:rPr>
              <w:t>2000 国家大地坐标系</w:t>
            </w:r>
          </w:p>
        </w:tc>
      </w:tr>
      <w:tr>
        <w:tblPrEx>
          <w:tblCellMar>
            <w:top w:w="0" w:type="dxa"/>
            <w:left w:w="108" w:type="dxa"/>
            <w:bottom w:w="0" w:type="dxa"/>
            <w:right w:w="108" w:type="dxa"/>
          </w:tblCellMar>
        </w:tblPrEx>
        <w:trPr>
          <w:trHeight w:val="285" w:hRule="atLeast"/>
          <w:jc w:val="center"/>
        </w:trPr>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2272" w:type="pct"/>
            <w:gridSpan w:val="2"/>
            <w:tcBorders>
              <w:top w:val="single" w:color="000000" w:sz="4" w:space="0"/>
              <w:left w:val="single" w:color="000000" w:sz="4" w:space="0"/>
              <w:bottom w:val="single" w:color="000000" w:sz="4" w:space="0"/>
              <w:right w:val="single" w:color="000000" w:sz="4" w:space="0"/>
            </w:tcBorders>
            <w:vAlign w:val="center"/>
          </w:tcPr>
          <w:p>
            <w:pPr>
              <w:pStyle w:val="2"/>
            </w:pPr>
            <w:r>
              <w:rPr>
                <w:rFonts w:hint="eastAsia"/>
              </w:rPr>
              <w:t>地理坐标</w:t>
            </w:r>
          </w:p>
        </w:tc>
        <w:tc>
          <w:tcPr>
            <w:tcW w:w="2274" w:type="pct"/>
            <w:gridSpan w:val="2"/>
            <w:tcBorders>
              <w:top w:val="single" w:color="000000" w:sz="4" w:space="0"/>
              <w:left w:val="single" w:color="000000" w:sz="4" w:space="0"/>
              <w:bottom w:val="single" w:color="000000" w:sz="4" w:space="0"/>
              <w:right w:val="single" w:color="000000" w:sz="4" w:space="0"/>
            </w:tcBorders>
            <w:vAlign w:val="center"/>
          </w:tcPr>
          <w:p>
            <w:pPr>
              <w:pStyle w:val="2"/>
            </w:pPr>
            <w:r>
              <w:rPr>
                <w:rFonts w:hint="eastAsia"/>
              </w:rPr>
              <w:t>直角坐标（</w:t>
            </w:r>
            <w:r>
              <w:t>3</w:t>
            </w:r>
            <w:r>
              <w:rPr>
                <w:rFonts w:hint="eastAsia"/>
              </w:rPr>
              <w:t>度带，</w:t>
            </w:r>
            <w:r>
              <w:t>33</w:t>
            </w:r>
            <w:r>
              <w:rPr>
                <w:rFonts w:hint="eastAsia"/>
              </w:rPr>
              <w:t>分带）</w:t>
            </w:r>
          </w:p>
        </w:tc>
      </w:tr>
      <w:tr>
        <w:tblPrEx>
          <w:tblCellMar>
            <w:top w:w="0" w:type="dxa"/>
            <w:left w:w="108" w:type="dxa"/>
            <w:bottom w:w="0" w:type="dxa"/>
            <w:right w:w="108" w:type="dxa"/>
          </w:tblCellMar>
        </w:tblPrEx>
        <w:trPr>
          <w:trHeight w:val="285" w:hRule="atLeast"/>
          <w:jc w:val="center"/>
        </w:trPr>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东经</w:t>
            </w: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北纬</w:t>
            </w: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X（m）</w:t>
            </w: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Y（m）</w:t>
            </w: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1</w:t>
            </w:r>
          </w:p>
        </w:tc>
        <w:tc>
          <w:tcPr>
            <w:tcW w:w="1089" w:type="pct"/>
            <w:tcBorders>
              <w:top w:val="single" w:color="000000" w:sz="4" w:space="0"/>
              <w:left w:val="single" w:color="000000" w:sz="4" w:space="0"/>
              <w:bottom w:val="single" w:color="000000" w:sz="4" w:space="0"/>
              <w:right w:val="single" w:color="000000" w:sz="4" w:space="0"/>
            </w:tcBorders>
            <w:noWrap/>
            <w:vAlign w:val="bottom"/>
          </w:tcPr>
          <w:p>
            <w:pPr>
              <w:ind w:firstLine="0" w:firstLineChars="0"/>
              <w:rPr>
                <w:sz w:val="20"/>
                <w:szCs w:val="20"/>
              </w:rPr>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 xml:space="preserve"> </w:t>
            </w: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 xml:space="preserve"> </w:t>
            </w: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2</w:t>
            </w:r>
          </w:p>
        </w:tc>
        <w:tc>
          <w:tcPr>
            <w:tcW w:w="1089" w:type="pct"/>
            <w:tcBorders>
              <w:top w:val="single" w:color="000000" w:sz="4" w:space="0"/>
              <w:left w:val="single" w:color="000000" w:sz="4" w:space="0"/>
              <w:bottom w:val="single" w:color="000000" w:sz="4" w:space="0"/>
              <w:right w:val="single" w:color="000000" w:sz="4" w:space="0"/>
            </w:tcBorders>
            <w:noWrap/>
            <w:vAlign w:val="bottom"/>
          </w:tcPr>
          <w:p>
            <w:pPr>
              <w:ind w:firstLine="0" w:firstLineChars="0"/>
              <w:rPr>
                <w:sz w:val="20"/>
                <w:szCs w:val="20"/>
              </w:rPr>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 xml:space="preserve"> </w:t>
            </w: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 xml:space="preserve"> </w:t>
            </w: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3</w:t>
            </w: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jc w:val="both"/>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 xml:space="preserve"> </w:t>
            </w: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4</w:t>
            </w: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jc w:val="both"/>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 xml:space="preserve"> </w:t>
            </w: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 xml:space="preserve"> </w:t>
            </w: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5</w:t>
            </w: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jc w:val="both"/>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 xml:space="preserve"> </w:t>
            </w: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6</w:t>
            </w: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jc w:val="both"/>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7</w:t>
            </w: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jc w:val="both"/>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8</w:t>
            </w: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jc w:val="both"/>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9</w:t>
            </w:r>
          </w:p>
        </w:tc>
        <w:tc>
          <w:tcPr>
            <w:tcW w:w="1089" w:type="pct"/>
            <w:tcBorders>
              <w:top w:val="single" w:color="000000" w:sz="4" w:space="0"/>
              <w:left w:val="single" w:color="000000" w:sz="4" w:space="0"/>
              <w:bottom w:val="single" w:color="000000" w:sz="4" w:space="0"/>
              <w:right w:val="single" w:color="000000" w:sz="4" w:space="0"/>
            </w:tcBorders>
            <w:noWrap/>
            <w:vAlign w:val="bottom"/>
          </w:tcPr>
          <w:p>
            <w:pPr>
              <w:ind w:firstLine="0" w:firstLineChars="0"/>
              <w:rPr>
                <w:sz w:val="20"/>
                <w:szCs w:val="20"/>
              </w:rPr>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1</w:t>
            </w:r>
            <w:r>
              <w:t>0</w:t>
            </w: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jc w:val="both"/>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矿区面积：0.</w:t>
            </w:r>
            <w:r>
              <w:t>58</w:t>
            </w:r>
            <w:r>
              <w:rPr>
                <w:rFonts w:hint="eastAsia"/>
              </w:rPr>
              <w:t>km</w:t>
            </w:r>
            <w:r>
              <w:rPr>
                <w:rFonts w:hint="eastAsia"/>
                <w:vertAlign w:val="superscript"/>
              </w:rPr>
              <w:t>2</w:t>
            </w:r>
            <w:r>
              <w:rPr>
                <w:rFonts w:hint="eastAsia"/>
              </w:rPr>
              <w:t>，标高：</w:t>
            </w:r>
            <w:r>
              <w:t>1583.0</w:t>
            </w:r>
            <w:r>
              <w:rPr>
                <w:rFonts w:hint="eastAsia"/>
              </w:rPr>
              <w:t>m～</w:t>
            </w:r>
            <w:r>
              <w:t>1623.5</w:t>
            </w:r>
            <w:r>
              <w:rPr>
                <w:rFonts w:hint="eastAsia"/>
              </w:rPr>
              <w:t>m</w:t>
            </w:r>
          </w:p>
        </w:tc>
      </w:tr>
      <w:bookmarkEnd w:id="31"/>
    </w:tbl>
    <w:p>
      <w:pPr>
        <w:pStyle w:val="2"/>
        <w:jc w:val="both"/>
      </w:pPr>
    </w:p>
    <w:bookmarkEnd w:id="8"/>
    <w:bookmarkEnd w:id="9"/>
    <w:bookmarkEnd w:id="10"/>
    <w:bookmarkEnd w:id="11"/>
    <w:bookmarkEnd w:id="12"/>
    <w:p>
      <w:pPr>
        <w:pStyle w:val="4"/>
      </w:pPr>
      <w:bookmarkStart w:id="32" w:name="_Toc502783407"/>
      <w:bookmarkStart w:id="33" w:name="_Toc147563655"/>
      <w:bookmarkStart w:id="34" w:name="_Toc214406978"/>
      <w:bookmarkStart w:id="35" w:name="_Toc32088"/>
      <w:bookmarkStart w:id="36" w:name="_Toc71621568"/>
      <w:bookmarkStart w:id="37" w:name="_Toc70589715"/>
      <w:bookmarkStart w:id="38" w:name="_Toc186208354"/>
      <w:bookmarkStart w:id="39" w:name="_Toc511226405"/>
      <w:bookmarkStart w:id="40" w:name="_Toc502783398"/>
      <w:bookmarkStart w:id="41" w:name="_Toc209342527"/>
      <w:bookmarkStart w:id="42" w:name="_Toc2464"/>
      <w:bookmarkStart w:id="43" w:name="_Toc214406968"/>
      <w:bookmarkStart w:id="44" w:name="_Toc211070048"/>
      <w:bookmarkStart w:id="45" w:name="_Toc70589705"/>
      <w:bookmarkStart w:id="46" w:name="_Toc71621565"/>
      <w:bookmarkStart w:id="47" w:name="_Toc511226402"/>
      <w:r>
        <w:t>1.2</w:t>
      </w:r>
      <w:r>
        <w:rPr>
          <w:rFonts w:hint="eastAsia"/>
        </w:rPr>
        <w:t xml:space="preserve"> 编制目的、依据和原则</w:t>
      </w:r>
      <w:bookmarkEnd w:id="32"/>
      <w:bookmarkEnd w:id="33"/>
      <w:bookmarkEnd w:id="34"/>
      <w:bookmarkEnd w:id="35"/>
      <w:bookmarkEnd w:id="36"/>
      <w:bookmarkEnd w:id="37"/>
      <w:bookmarkEnd w:id="38"/>
      <w:bookmarkEnd w:id="39"/>
    </w:p>
    <w:p>
      <w:pPr>
        <w:pStyle w:val="5"/>
        <w:ind w:firstLine="562"/>
      </w:pPr>
      <w:bookmarkStart w:id="48" w:name="_Toc395519105"/>
      <w:bookmarkStart w:id="49" w:name="_Toc70589716"/>
      <w:bookmarkStart w:id="50" w:name="_Toc502783408"/>
      <w:r>
        <w:t>1</w:t>
      </w:r>
      <w:r>
        <w:rPr>
          <w:rFonts w:hint="eastAsia"/>
        </w:rPr>
        <w:t>.</w:t>
      </w:r>
      <w:r>
        <w:t>2</w:t>
      </w:r>
      <w:r>
        <w:rPr>
          <w:rFonts w:hint="eastAsia"/>
        </w:rPr>
        <w:t>.1 编制目的</w:t>
      </w:r>
      <w:bookmarkEnd w:id="48"/>
      <w:bookmarkEnd w:id="49"/>
      <w:bookmarkEnd w:id="50"/>
    </w:p>
    <w:p>
      <w:pPr>
        <w:ind w:firstLine="560"/>
      </w:pPr>
      <w:r>
        <w:t>甘肃省临泽县梨西4号电站东南侧建筑用砂矿为新建矿山，为了合理合法开发和利用矿产资源，变资源优势为经济优势，做到经济合理地开发和利用矿产资源，根据《中华人民共和国矿产资源法》（2009年国家主席令第74号）、《矿产资源开采登记管理办法》（中华人民共和国国务院令第241号）、《探矿权采矿权转让管理办法》（2014年7月29日修正版）、《探矿权采矿权招标拍卖挂牌管理办法》（试行）（国土资发〔2003〕197号）等有关规定的要求该矿特委托我</w:t>
      </w:r>
      <w:r>
        <w:rPr>
          <w:rFonts w:hint="eastAsia"/>
        </w:rPr>
        <w:t>单位</w:t>
      </w:r>
      <w:r>
        <w:t>编制开发利用方案，为该矿申请办理采矿许可证提供依据。</w:t>
      </w:r>
    </w:p>
    <w:p>
      <w:pPr>
        <w:pStyle w:val="5"/>
        <w:ind w:firstLine="562"/>
      </w:pPr>
      <w:bookmarkStart w:id="51" w:name="_Toc395519106"/>
      <w:bookmarkStart w:id="52" w:name="_Toc502783409"/>
      <w:bookmarkStart w:id="53" w:name="_Toc70589717"/>
      <w:r>
        <w:t>1</w:t>
      </w:r>
      <w:r>
        <w:rPr>
          <w:rFonts w:hint="eastAsia"/>
        </w:rPr>
        <w:t>.</w:t>
      </w:r>
      <w:r>
        <w:t>2</w:t>
      </w:r>
      <w:r>
        <w:rPr>
          <w:rFonts w:hint="eastAsia"/>
        </w:rPr>
        <w:t>.2 编制依据及基础资料</w:t>
      </w:r>
      <w:bookmarkEnd w:id="51"/>
      <w:bookmarkEnd w:id="52"/>
      <w:bookmarkEnd w:id="53"/>
    </w:p>
    <w:p>
      <w:pPr>
        <w:ind w:firstLine="560"/>
      </w:pPr>
      <w:r>
        <w:rPr>
          <w:rFonts w:hint="eastAsia"/>
        </w:rPr>
        <w:t>⑴《中华人民共和国安全生产法》(2021年中华人民共和国主席令第八十八号)；</w:t>
      </w:r>
    </w:p>
    <w:p>
      <w:pPr>
        <w:ind w:firstLine="560"/>
      </w:pPr>
      <w:r>
        <w:rPr>
          <w:rFonts w:hint="eastAsia"/>
        </w:rPr>
        <w:t>⑵ 《中华人民共和国矿产资源法》(2009年国家主席令第74号)；</w:t>
      </w:r>
    </w:p>
    <w:p>
      <w:pPr>
        <w:ind w:firstLine="560"/>
      </w:pPr>
      <w:r>
        <w:rPr>
          <w:rFonts w:hint="eastAsia"/>
        </w:rPr>
        <w:t>⑶ 《中华人民共和国矿山安全法》(2009年国家主席令第18号)；</w:t>
      </w:r>
    </w:p>
    <w:p>
      <w:pPr>
        <w:ind w:firstLine="560"/>
      </w:pPr>
      <w:r>
        <w:rPr>
          <w:rFonts w:hint="eastAsia"/>
        </w:rPr>
        <w:t>⑷ 《中华人民共和国劳动合同法》(2012年国家主席令第73号)；</w:t>
      </w:r>
    </w:p>
    <w:p>
      <w:pPr>
        <w:ind w:firstLine="560"/>
      </w:pPr>
      <w:r>
        <w:rPr>
          <w:rFonts w:hint="eastAsia"/>
        </w:rPr>
        <w:t>⑸《中华人民共和国环境保护法》（中华人民共和国主席令第9号，于</w:t>
      </w:r>
      <w:r>
        <w:t>2014年4月24日修订</w:t>
      </w:r>
      <w:r>
        <w:rPr>
          <w:rFonts w:hint="eastAsia"/>
        </w:rPr>
        <w:t>，</w:t>
      </w:r>
      <w:r>
        <w:t>自2015年1月1日起施行。</w:t>
      </w:r>
      <w:r>
        <w:rPr>
          <w:rFonts w:hint="eastAsia"/>
        </w:rPr>
        <w:t>）；</w:t>
      </w:r>
    </w:p>
    <w:p>
      <w:pPr>
        <w:ind w:firstLine="560"/>
      </w:pPr>
      <w:bookmarkStart w:id="54" w:name="_Toc393202120"/>
      <w:bookmarkStart w:id="55" w:name="_Toc395519107"/>
      <w:bookmarkStart w:id="56" w:name="_Toc394081182"/>
      <w:bookmarkStart w:id="57" w:name="_Toc394081913"/>
      <w:r>
        <w:rPr>
          <w:rFonts w:hint="eastAsia"/>
        </w:rPr>
        <w:t>⑹《露天采矿技术手册》（冶金工业出版社，2011年1月）；</w:t>
      </w:r>
      <w:bookmarkEnd w:id="54"/>
      <w:bookmarkEnd w:id="55"/>
      <w:bookmarkEnd w:id="56"/>
      <w:bookmarkEnd w:id="57"/>
    </w:p>
    <w:p>
      <w:pPr>
        <w:ind w:firstLine="560"/>
      </w:pPr>
      <w:r>
        <w:rPr>
          <w:rFonts w:hint="eastAsia"/>
        </w:rPr>
        <w:t>⑺《金属非金属矿山安全规程》（GB16423—2020）；</w:t>
      </w:r>
    </w:p>
    <w:p>
      <w:pPr>
        <w:ind w:firstLine="560"/>
      </w:pPr>
      <w:r>
        <w:rPr>
          <w:rFonts w:hint="eastAsia"/>
        </w:rPr>
        <w:t>⑻《砂石行业绿色矿山建设规范》由自然资源部于</w:t>
      </w:r>
      <w:r>
        <w:t>2018</w:t>
      </w:r>
      <w:r>
        <w:rPr>
          <w:rFonts w:hint="eastAsia"/>
        </w:rPr>
        <w:t>年</w:t>
      </w:r>
      <w:r>
        <w:t>6</w:t>
      </w:r>
      <w:r>
        <w:rPr>
          <w:rFonts w:hint="eastAsia"/>
        </w:rPr>
        <w:t>月</w:t>
      </w:r>
      <w:r>
        <w:t>22</w:t>
      </w:r>
      <w:r>
        <w:rPr>
          <w:rFonts w:hint="eastAsia"/>
        </w:rPr>
        <w:t>日发布，于</w:t>
      </w:r>
      <w:r>
        <w:t>2018</w:t>
      </w:r>
      <w:r>
        <w:rPr>
          <w:rFonts w:hint="eastAsia"/>
        </w:rPr>
        <w:t>年</w:t>
      </w:r>
      <w:r>
        <w:t>10</w:t>
      </w:r>
      <w:r>
        <w:rPr>
          <w:rFonts w:hint="eastAsia"/>
        </w:rPr>
        <w:t>月</w:t>
      </w:r>
      <w:r>
        <w:t>1</w:t>
      </w:r>
      <w:r>
        <w:rPr>
          <w:rFonts w:hint="eastAsia"/>
        </w:rPr>
        <w:t>日起实施。标准编号为</w:t>
      </w:r>
      <w:r>
        <w:t>DZ/T 031</w:t>
      </w:r>
      <w:r>
        <w:rPr>
          <w:rFonts w:hint="eastAsia"/>
        </w:rPr>
        <w:t>6</w:t>
      </w:r>
      <w:r>
        <w:t>-2018</w:t>
      </w:r>
      <w:r>
        <w:rPr>
          <w:rFonts w:hint="eastAsia"/>
        </w:rPr>
        <w:t>；</w:t>
      </w:r>
    </w:p>
    <w:p>
      <w:pPr>
        <w:ind w:firstLine="560"/>
      </w:pPr>
      <w:r>
        <w:rPr>
          <w:rFonts w:hint="eastAsia"/>
        </w:rPr>
        <w:t>⑼《矿产资源开发利用方案编写内容要求》（1999年4月19日原国土资源部国土资发【1999】98号）；</w:t>
      </w:r>
    </w:p>
    <w:p>
      <w:pPr>
        <w:ind w:firstLine="560"/>
      </w:pPr>
      <w:r>
        <w:rPr>
          <w:rFonts w:hint="eastAsia"/>
        </w:rPr>
        <w:t>⑽《甘肃省省级绿色矿山建设要求及评定办法》甘国土资规〔</w:t>
      </w:r>
      <w:r>
        <w:t>2018</w:t>
      </w:r>
      <w:r>
        <w:rPr>
          <w:rFonts w:hint="eastAsia"/>
        </w:rPr>
        <w:t>〕</w:t>
      </w:r>
      <w:r>
        <w:t>4</w:t>
      </w:r>
      <w:r>
        <w:rPr>
          <w:rFonts w:hint="eastAsia"/>
        </w:rPr>
        <w:t>号；</w:t>
      </w:r>
    </w:p>
    <w:p>
      <w:pPr>
        <w:ind w:firstLine="560"/>
      </w:pPr>
      <w:r>
        <w:rPr>
          <w:rFonts w:hint="eastAsia"/>
        </w:rPr>
        <w:t>⑾ 《甘肃省临泽县梨西4号电站东南侧建筑用砂矿普查报告》及评审意见（甘肃省有色金属地质勘查局张掖矿产勘查院 202</w:t>
      </w:r>
      <w:r>
        <w:t>2</w:t>
      </w:r>
      <w:r>
        <w:rPr>
          <w:rFonts w:hint="eastAsia"/>
        </w:rPr>
        <w:t>年1月）；</w:t>
      </w:r>
    </w:p>
    <w:p>
      <w:pPr>
        <w:ind w:firstLine="560"/>
      </w:pPr>
      <w:r>
        <w:rPr>
          <w:rFonts w:hint="eastAsia"/>
        </w:rPr>
        <w:t>⑿项目委托书及项目合同书；</w:t>
      </w:r>
    </w:p>
    <w:p>
      <w:pPr>
        <w:ind w:firstLine="560"/>
      </w:pPr>
      <w:r>
        <w:rPr>
          <w:rFonts w:hint="eastAsia"/>
        </w:rPr>
        <w:t>⒀矿山企业提供的其它相关资料。</w:t>
      </w:r>
    </w:p>
    <w:p>
      <w:pPr>
        <w:pStyle w:val="5"/>
        <w:ind w:firstLine="562"/>
      </w:pPr>
      <w:bookmarkStart w:id="58" w:name="_Toc70589718"/>
      <w:bookmarkStart w:id="59" w:name="_Toc502783410"/>
      <w:bookmarkStart w:id="60" w:name="_Toc395519109"/>
      <w:r>
        <w:t>1</w:t>
      </w:r>
      <w:r>
        <w:rPr>
          <w:rFonts w:hint="eastAsia"/>
        </w:rPr>
        <w:t>.</w:t>
      </w:r>
      <w:r>
        <w:t>2</w:t>
      </w:r>
      <w:r>
        <w:rPr>
          <w:rFonts w:hint="eastAsia"/>
        </w:rPr>
        <w:t>.3 编制原则</w:t>
      </w:r>
      <w:bookmarkEnd w:id="58"/>
      <w:bookmarkEnd w:id="59"/>
      <w:bookmarkEnd w:id="60"/>
    </w:p>
    <w:p>
      <w:pPr>
        <w:ind w:firstLine="560"/>
      </w:pPr>
      <w:r>
        <w:t>⑴方案编制严格遵循国家、甘肃省颁布的有关法规、政策和技术规程、规范。</w:t>
      </w:r>
    </w:p>
    <w:p>
      <w:pPr>
        <w:ind w:firstLine="560"/>
      </w:pPr>
      <w:r>
        <w:t>⑵坚决贯彻执行</w:t>
      </w:r>
      <w:r>
        <w:rPr>
          <w:rFonts w:hint="eastAsia"/>
        </w:rPr>
        <w:t>“</w:t>
      </w:r>
      <w:r>
        <w:t>安全、高效、经济、充分利用资源</w:t>
      </w:r>
      <w:r>
        <w:rPr>
          <w:rFonts w:hint="eastAsia"/>
        </w:rPr>
        <w:t>”</w:t>
      </w:r>
      <w:r>
        <w:t>的原则，达到少投入、多产出的目的。</w:t>
      </w:r>
    </w:p>
    <w:p>
      <w:pPr>
        <w:ind w:firstLine="560"/>
      </w:pPr>
      <w:r>
        <w:t>⑶以经济效益为中心，业主利益、国家税收、社会效益最大化为目的，开发利用方案必须从我国国情、国策和地区实情出发，充分利用客观条件的优势，实事求是，从实际出发寻求综合技术效益最优的建设方案，力争做到投资省、经营成本低、经济效益好。</w:t>
      </w:r>
    </w:p>
    <w:p>
      <w:pPr>
        <w:ind w:firstLine="560"/>
      </w:pPr>
      <w:r>
        <w:t>⑷重视资源的综合利用，减少损失率、降低贫化率，最大限度地利用资源。</w:t>
      </w:r>
    </w:p>
    <w:p>
      <w:pPr>
        <w:ind w:firstLine="560"/>
      </w:pPr>
      <w:r>
        <w:t>⑸重视矿山安全生产、环境保护，加强水土保持工作，严格执行有关法规和政策。</w:t>
      </w:r>
    </w:p>
    <w:p>
      <w:pPr>
        <w:ind w:firstLine="560"/>
      </w:pPr>
      <w:r>
        <w:t>⑹各主要技术方案应进行方案技术经济比较，推荐最佳方案。</w:t>
      </w:r>
    </w:p>
    <w:p>
      <w:pPr>
        <w:ind w:firstLine="560"/>
      </w:pPr>
      <w:r>
        <w:t>⑺采矿装备水平应结合实际情况，做到适用并便于维修。</w:t>
      </w:r>
    </w:p>
    <w:bookmarkEnd w:id="40"/>
    <w:bookmarkEnd w:id="41"/>
    <w:bookmarkEnd w:id="42"/>
    <w:bookmarkEnd w:id="43"/>
    <w:bookmarkEnd w:id="44"/>
    <w:bookmarkEnd w:id="45"/>
    <w:bookmarkEnd w:id="46"/>
    <w:bookmarkEnd w:id="47"/>
    <w:p>
      <w:pPr>
        <w:pStyle w:val="4"/>
      </w:pPr>
      <w:bookmarkStart w:id="61" w:name="_Toc71621566"/>
      <w:bookmarkStart w:id="62" w:name="_Toc5447"/>
      <w:bookmarkStart w:id="63" w:name="_Toc147563656"/>
      <w:bookmarkStart w:id="64" w:name="_Toc70589709"/>
      <w:bookmarkStart w:id="65" w:name="_Toc511226403"/>
      <w:bookmarkStart w:id="66" w:name="_Toc502783401"/>
      <w:r>
        <w:rPr>
          <w:rFonts w:hint="eastAsia"/>
        </w:rPr>
        <w:t>1.3 自然地理及经济概况</w:t>
      </w:r>
      <w:bookmarkEnd w:id="61"/>
      <w:bookmarkEnd w:id="62"/>
      <w:bookmarkEnd w:id="63"/>
      <w:bookmarkEnd w:id="64"/>
      <w:bookmarkEnd w:id="65"/>
      <w:bookmarkEnd w:id="66"/>
      <w:r>
        <w:rPr>
          <w:rFonts w:hint="eastAsia"/>
        </w:rPr>
        <w:t xml:space="preserve"> </w:t>
      </w:r>
    </w:p>
    <w:p>
      <w:pPr>
        <w:pStyle w:val="5"/>
        <w:ind w:firstLine="562"/>
      </w:pPr>
      <w:bookmarkStart w:id="67" w:name="_Toc502783402"/>
      <w:bookmarkStart w:id="68" w:name="_Toc214406972"/>
      <w:bookmarkStart w:id="69" w:name="_Toc70589710"/>
      <w:bookmarkStart w:id="70" w:name="_Toc395519095"/>
      <w:r>
        <w:rPr>
          <w:rFonts w:hint="eastAsia"/>
        </w:rPr>
        <w:t>1.3.1 自然地理</w:t>
      </w:r>
      <w:bookmarkEnd w:id="67"/>
      <w:bookmarkEnd w:id="68"/>
      <w:bookmarkEnd w:id="69"/>
      <w:bookmarkEnd w:id="70"/>
    </w:p>
    <w:p>
      <w:pPr>
        <w:ind w:firstLine="560"/>
      </w:pPr>
      <w:bookmarkStart w:id="71" w:name="_Hlk145578600"/>
      <w:r>
        <w:rPr>
          <w:rFonts w:hint="eastAsia"/>
        </w:rPr>
        <w:t>矿区地处北祁连弧盆系走廊弧后盆地，为一平坦的戈壁荒漠地貌，海拔多在</w:t>
      </w:r>
      <w:r>
        <w:t>1607</w:t>
      </w:r>
      <w:r>
        <w:rPr>
          <w:rFonts w:hint="eastAsia"/>
        </w:rPr>
        <w:t>～</w:t>
      </w:r>
      <w:r>
        <w:t>1623.5m</w:t>
      </w:r>
      <w:r>
        <w:rPr>
          <w:rFonts w:hint="eastAsia"/>
        </w:rPr>
        <w:t>，地势总体西高东低，地形平缓，最大高差约</w:t>
      </w:r>
      <w:r>
        <w:t>20m</w:t>
      </w:r>
      <w:r>
        <w:rPr>
          <w:rFonts w:hint="eastAsia"/>
        </w:rPr>
        <w:t>。</w:t>
      </w:r>
    </w:p>
    <w:p>
      <w:pPr>
        <w:ind w:firstLine="560"/>
      </w:pPr>
      <w:r>
        <w:rPr>
          <w:rFonts w:hint="eastAsia"/>
        </w:rPr>
        <w:t>矿区气候为大陆性荒漠草原气候</w:t>
      </w:r>
      <w:r>
        <w:t>,</w:t>
      </w:r>
      <w:r>
        <w:rPr>
          <w:rFonts w:hint="eastAsia"/>
        </w:rPr>
        <w:t>气候干燥，降雨稀少，蒸发量大，多风。气候特征是四季分明，冬季寒冷而漫长，夏季炎热而短暂，春季升温快，秋季降温较慢。</w:t>
      </w:r>
      <w:r>
        <w:rPr>
          <w:rFonts w:hint="eastAsia" w:ascii="宋体" w:hAnsi="宋体"/>
        </w:rPr>
        <w:t>历史极端最高气温</w:t>
      </w:r>
      <w:r>
        <w:rPr>
          <w:rFonts w:ascii="宋体" w:hAnsi="宋体" w:cs="TimesNewRomanPSMT"/>
        </w:rPr>
        <w:t>39.8</w:t>
      </w:r>
      <w:r>
        <w:rPr>
          <w:rFonts w:hint="eastAsia" w:ascii="宋体" w:hAnsi="宋体" w:cs="新宋体"/>
        </w:rPr>
        <w:t>℃</w:t>
      </w:r>
      <w:r>
        <w:rPr>
          <w:rFonts w:hint="eastAsia" w:ascii="宋体" w:hAnsi="宋体"/>
        </w:rPr>
        <w:t>、最低</w:t>
      </w:r>
      <w:r>
        <w:rPr>
          <w:rFonts w:ascii="宋体" w:hAnsi="宋体" w:cs="TimesNewRomanPSMT"/>
        </w:rPr>
        <w:t>-28.7</w:t>
      </w:r>
      <w:r>
        <w:rPr>
          <w:rFonts w:hint="eastAsia" w:ascii="宋体" w:hAnsi="宋体" w:cs="新宋体"/>
        </w:rPr>
        <w:t>℃</w:t>
      </w:r>
      <w:r>
        <w:rPr>
          <w:rFonts w:hint="eastAsia" w:ascii="宋体" w:hAnsi="宋体"/>
        </w:rPr>
        <w:t>，</w:t>
      </w:r>
      <w:r>
        <w:rPr>
          <w:rFonts w:hint="eastAsia"/>
        </w:rPr>
        <w:t>气温日较差大，年平均日较差</w:t>
      </w:r>
      <w:r>
        <w:t>14</w:t>
      </w:r>
      <w:r>
        <w:rPr>
          <w:rFonts w:hint="eastAsia"/>
        </w:rPr>
        <w:t>℃，年平均气温为</w:t>
      </w:r>
      <w:r>
        <w:t>7.7</w:t>
      </w:r>
      <w:r>
        <w:rPr>
          <w:rFonts w:hint="eastAsia"/>
        </w:rPr>
        <w:t>℃。年均无霜期</w:t>
      </w:r>
      <w:r>
        <w:t>176</w:t>
      </w:r>
      <w:r>
        <w:rPr>
          <w:rFonts w:hint="eastAsia"/>
        </w:rPr>
        <w:t>天。年均降水量</w:t>
      </w:r>
      <w:r>
        <w:t>118.4mm</w:t>
      </w:r>
      <w:r>
        <w:rPr>
          <w:rFonts w:hint="eastAsia"/>
        </w:rPr>
        <w:t>，蒸发量</w:t>
      </w:r>
      <w:r>
        <w:t>1830.4mm</w:t>
      </w:r>
      <w:r>
        <w:rPr>
          <w:rFonts w:hint="eastAsia"/>
        </w:rPr>
        <w:t>。蒸发量大于降水量，平均相对湿度为</w:t>
      </w:r>
      <w:r>
        <w:t>45%</w:t>
      </w:r>
      <w:r>
        <w:rPr>
          <w:rFonts w:hint="eastAsia"/>
        </w:rPr>
        <w:t>。年平均日照时数为</w:t>
      </w:r>
      <w:r>
        <w:t>3052.9</w:t>
      </w:r>
      <w:r>
        <w:rPr>
          <w:rFonts w:hint="eastAsia"/>
        </w:rPr>
        <w:t>小时，</w:t>
      </w:r>
      <w:r>
        <w:rPr>
          <w:rFonts w:hint="eastAsia" w:ascii="宋体" w:hAnsi="宋体"/>
        </w:rPr>
        <w:t>日照百分率为</w:t>
      </w:r>
      <w:r>
        <w:rPr>
          <w:rFonts w:ascii="宋体" w:hAnsi="宋体" w:cs="TimesNewRomanPSMT"/>
        </w:rPr>
        <w:t>68%</w:t>
      </w:r>
      <w:r>
        <w:rPr>
          <w:rFonts w:hint="eastAsia" w:ascii="宋体" w:hAnsi="宋体"/>
        </w:rPr>
        <w:t>，根据临泽气象站统计资料，临泽县年太阳辐射总量为</w:t>
      </w:r>
      <w:r>
        <w:rPr>
          <w:rFonts w:ascii="宋体" w:hAnsi="宋体" w:cs="TimesNewRomanPSMT"/>
        </w:rPr>
        <w:t>6133MJ/m</w:t>
      </w:r>
      <w:r>
        <w:rPr>
          <w:rFonts w:ascii="宋体" w:hAnsi="宋体" w:cs="TimesNewRomanPSMT"/>
          <w:vertAlign w:val="superscript"/>
        </w:rPr>
        <w:t>2</w:t>
      </w:r>
      <w:r>
        <w:rPr>
          <w:rFonts w:hint="eastAsia" w:ascii="宋体" w:hAnsi="宋体"/>
        </w:rPr>
        <w:t>，</w:t>
      </w:r>
      <w:r>
        <w:rPr>
          <w:rFonts w:ascii="宋体" w:hAnsi="宋体" w:cs="TimesNewRomanPSMT"/>
        </w:rPr>
        <w:t>6</w:t>
      </w:r>
      <w:r>
        <w:rPr>
          <w:rFonts w:hint="eastAsia" w:ascii="宋体" w:hAnsi="宋体"/>
        </w:rPr>
        <w:t>月最多，为</w:t>
      </w:r>
      <w:r>
        <w:rPr>
          <w:rFonts w:ascii="宋体" w:hAnsi="宋体" w:cs="TimesNewRomanPSMT"/>
        </w:rPr>
        <w:t>713.2MJ/m</w:t>
      </w:r>
      <w:r>
        <w:rPr>
          <w:rFonts w:ascii="宋体" w:hAnsi="宋体" w:cs="TimesNewRomanPSMT"/>
          <w:vertAlign w:val="superscript"/>
        </w:rPr>
        <w:t>2</w:t>
      </w:r>
      <w:r>
        <w:rPr>
          <w:rFonts w:hint="eastAsia" w:ascii="宋体" w:hAnsi="宋体"/>
        </w:rPr>
        <w:t>，</w:t>
      </w:r>
      <w:r>
        <w:rPr>
          <w:rFonts w:ascii="宋体" w:hAnsi="宋体" w:cs="TimesNewRomanPSMT"/>
        </w:rPr>
        <w:t>12</w:t>
      </w:r>
      <w:r>
        <w:rPr>
          <w:rFonts w:hint="eastAsia" w:ascii="宋体" w:hAnsi="宋体"/>
        </w:rPr>
        <w:t>月最小，为</w:t>
      </w:r>
      <w:r>
        <w:rPr>
          <w:rFonts w:ascii="宋体" w:hAnsi="宋体" w:cs="TimesNewRomanPSMT"/>
        </w:rPr>
        <w:t>303.7MJ/m</w:t>
      </w:r>
      <w:r>
        <w:rPr>
          <w:rFonts w:ascii="宋体" w:hAnsi="宋体" w:cs="TimesNewRomanPSMT"/>
          <w:vertAlign w:val="superscript"/>
        </w:rPr>
        <w:t>2</w:t>
      </w:r>
      <w:r>
        <w:rPr>
          <w:rFonts w:hint="eastAsia" w:ascii="宋体" w:hAnsi="宋体"/>
        </w:rPr>
        <w:t>，日照时间长，年日照时数基本稳定在</w:t>
      </w:r>
      <w:r>
        <w:rPr>
          <w:rFonts w:ascii="宋体" w:hAnsi="宋体" w:cs="TimesNewRomanPSMT"/>
        </w:rPr>
        <w:t>3000h</w:t>
      </w:r>
      <w:r>
        <w:rPr>
          <w:rFonts w:hint="eastAsia" w:ascii="宋体" w:hAnsi="宋体"/>
        </w:rPr>
        <w:t>～</w:t>
      </w:r>
      <w:r>
        <w:rPr>
          <w:rFonts w:ascii="宋体" w:hAnsi="宋体" w:cs="TimesNewRomanPSMT"/>
        </w:rPr>
        <w:t>3200h</w:t>
      </w:r>
      <w:r>
        <w:rPr>
          <w:rFonts w:hint="eastAsia" w:ascii="宋体" w:hAnsi="宋体"/>
        </w:rPr>
        <w:t>之间，</w:t>
      </w:r>
      <w:r>
        <w:rPr>
          <w:rFonts w:hint="eastAsia"/>
        </w:rPr>
        <w:t>无霜期为</w:t>
      </w:r>
      <w:r>
        <w:t xml:space="preserve">176 </w:t>
      </w:r>
      <w:r>
        <w:rPr>
          <w:rFonts w:hint="eastAsia"/>
        </w:rPr>
        <w:t>天，</w:t>
      </w:r>
      <w:r>
        <w:rPr>
          <w:rFonts w:hint="eastAsia" w:ascii="宋体" w:hAnsi="宋体"/>
        </w:rPr>
        <w:t>主导风向为西北风，平均风速约为</w:t>
      </w:r>
      <w:r>
        <w:rPr>
          <w:rFonts w:ascii="宋体" w:hAnsi="宋体" w:cs="TimesNewRomanPSMT"/>
        </w:rPr>
        <w:t>2.2m/s</w:t>
      </w:r>
      <w:r>
        <w:rPr>
          <w:rFonts w:hint="eastAsia" w:ascii="宋体" w:hAnsi="宋体"/>
        </w:rPr>
        <w:t>，最大风速约为</w:t>
      </w:r>
      <w:r>
        <w:rPr>
          <w:rFonts w:ascii="宋体" w:hAnsi="宋体" w:cs="TimesNewRomanPSMT"/>
        </w:rPr>
        <w:t>27m/s</w:t>
      </w:r>
      <w:r>
        <w:rPr>
          <w:rFonts w:hint="eastAsia"/>
        </w:rPr>
        <w:t>，全年最大冻土深度</w:t>
      </w:r>
      <w:r>
        <w:t>123mm</w:t>
      </w:r>
      <w:r>
        <w:rPr>
          <w:rFonts w:hint="eastAsia"/>
        </w:rPr>
        <w:t>。</w:t>
      </w:r>
      <w:bookmarkEnd w:id="71"/>
    </w:p>
    <w:p>
      <w:pPr>
        <w:ind w:firstLine="560"/>
      </w:pPr>
      <w:r>
        <w:rPr>
          <w:rFonts w:hint="eastAsia"/>
        </w:rPr>
        <w:t>矿区内仅见发源于祁连山的黑河以人工水利灌溉干渠环绕矿区四周流过，矿区西部引电渠距矿区边界</w:t>
      </w:r>
      <w:r>
        <w:t>25</w:t>
      </w:r>
      <w:r>
        <w:rPr>
          <w:rFonts w:hint="eastAsia"/>
        </w:rPr>
        <w:t>～</w:t>
      </w:r>
      <w:r>
        <w:t>50m</w:t>
      </w:r>
      <w:r>
        <w:rPr>
          <w:rFonts w:hint="eastAsia"/>
        </w:rPr>
        <w:t>不等。地表无常年流水，仅在雨季山洪暴发时有暂时性流水。</w:t>
      </w:r>
    </w:p>
    <w:p>
      <w:pPr>
        <w:ind w:firstLine="560"/>
      </w:pPr>
      <w:r>
        <w:rPr>
          <w:rFonts w:hint="eastAsia"/>
        </w:rPr>
        <w:t>区域地震基本烈度为Ⅶ度，根据《中国地震动参数区划图》（</w:t>
      </w:r>
      <w:r>
        <w:t>GB18306-2015</w:t>
      </w:r>
      <w:r>
        <w:rPr>
          <w:rFonts w:hint="eastAsia"/>
        </w:rPr>
        <w:t>）查询可知，倪家营镇地震动峰值加速度为</w:t>
      </w:r>
      <w:r>
        <w:t>0.2g</w:t>
      </w:r>
      <w:r>
        <w:rPr>
          <w:rFonts w:hint="eastAsia"/>
        </w:rPr>
        <w:t>，地震动加速度反应谱特征周期</w:t>
      </w:r>
      <w:r>
        <w:t>0.4s</w:t>
      </w:r>
      <w:r>
        <w:rPr>
          <w:rFonts w:hint="eastAsia"/>
        </w:rPr>
        <w:t>。矿区区域地壳稳定性属稳定区，工程建设条件适宜，但张掖地区历史上地震活动较频繁。</w:t>
      </w:r>
    </w:p>
    <w:p>
      <w:pPr>
        <w:ind w:firstLine="560"/>
      </w:pPr>
      <w:r>
        <w:rPr>
          <w:rFonts w:hint="eastAsia"/>
        </w:rPr>
        <w:t>矿区内未设置任何探、采矿权，矿权无交叉、重叠和争议，不存在矿业权纠纷，矿区周边现也无任何工矿企业，无边界纠纷，但矿区西部引电渠距矿区边界</w:t>
      </w:r>
      <w:r>
        <w:t>25</w:t>
      </w:r>
      <w:r>
        <w:rPr>
          <w:rFonts w:hint="eastAsia"/>
        </w:rPr>
        <w:t>～</w:t>
      </w:r>
      <w:r>
        <w:t>50m</w:t>
      </w:r>
      <w:r>
        <w:rPr>
          <w:rFonts w:hint="eastAsia"/>
        </w:rPr>
        <w:t>。</w:t>
      </w:r>
    </w:p>
    <w:p>
      <w:pPr>
        <w:pStyle w:val="5"/>
        <w:ind w:firstLine="562"/>
      </w:pPr>
      <w:r>
        <w:rPr>
          <w:rFonts w:hint="eastAsia"/>
        </w:rPr>
        <w:t>1.3.2</w:t>
      </w:r>
      <w:r>
        <w:t xml:space="preserve"> </w:t>
      </w:r>
      <w:r>
        <w:rPr>
          <w:rFonts w:hint="eastAsia"/>
        </w:rPr>
        <w:t>经济概况</w:t>
      </w:r>
    </w:p>
    <w:p>
      <w:pPr>
        <w:ind w:firstLine="560"/>
      </w:pPr>
      <w:bookmarkStart w:id="72" w:name="_Toc70589712"/>
      <w:bookmarkStart w:id="73" w:name="_Toc71621567"/>
      <w:bookmarkStart w:id="74" w:name="_Toc32046"/>
      <w:r>
        <w:rPr>
          <w:rFonts w:hint="eastAsia"/>
        </w:rPr>
        <w:t>2</w:t>
      </w:r>
      <w:r>
        <w:t>022</w:t>
      </w:r>
      <w:r>
        <w:rPr>
          <w:rFonts w:hint="eastAsia"/>
        </w:rPr>
        <w:t>年临泽县全年农作物总播种面积47.8万亩，增加2563亩，增长0.54%。粮食作物播种面积36.49万亩，增加2909.88亩，增长0.8%。其中小麦面积1.4万亩，增加4179.16亩，增长42.55%，玉米面积34.64万亩，增加1255.42亩，增长0.36%，玉米面积中制种面积29.45万亩，增加6.13万亩;蔬菜面积7.02万亩，增加4373亩。全年粮食总产量173512.07吨，增长5.11%。其中，夏粮产量7470.54吨，增长38.78%;秋粮产量166041.53吨，增长0.4%。主要粮食作物小麦产量7246.34吨，增长49.96%;玉米产量164745.51吨，增长4.12%。全年蔬菜总产量253641.09吨，增长9.72%。</w:t>
      </w:r>
    </w:p>
    <w:p>
      <w:pPr>
        <w:ind w:firstLine="560"/>
      </w:pPr>
      <w:r>
        <w:t>2022年全年</w:t>
      </w:r>
      <w:r>
        <w:rPr>
          <w:rFonts w:hint="eastAsia"/>
        </w:rPr>
        <w:t>完成工业增加值4.98亿元，同比增长5.9%，其中规模以上工业企业增加值同比增长8.3%。在规模以上工业中，分轻重工业看，轻工业增长8.86%，重工业增长8%。全年规模以上工业企业营业收入同比增长5.3%，利润总额同比减少0.64亿元，营业收入利润率2.47%，比上年下降3.07个百分点;产品产销率84.29%，资产负债率70.2%。</w:t>
      </w:r>
    </w:p>
    <w:p>
      <w:pPr>
        <w:ind w:firstLine="560"/>
      </w:pPr>
      <w:r>
        <w:rPr>
          <w:rFonts w:hint="eastAsia"/>
        </w:rPr>
        <w:t>2</w:t>
      </w:r>
      <w:r>
        <w:t>022</w:t>
      </w:r>
      <w:r>
        <w:rPr>
          <w:rFonts w:hint="eastAsia"/>
        </w:rPr>
        <w:t>年实现地区生产总值70.29亿元，比上年增长6.6%。其中一产增加值25.46亿元，增长6.5%;二产增加值11.5亿元，增长9.4%;三产增加值33.33亿元，增长5.8%。三次产业结构比由上年的37.5:15.2:47.3调整为36.2:16.4:47.4,与上年相比，第一产业下降1.3个百分点，第二产业上升1.2个百分点，第三产业上升0.1个百分点。按常住人口计算，人均生产总值61659元，增长7.6%。十大生态产业完成增加值29.64亿元，占地区生产总值比重为42.2%，比重比上年提升2.3个百分点。</w:t>
      </w:r>
    </w:p>
    <w:p>
      <w:pPr>
        <w:pStyle w:val="4"/>
      </w:pPr>
      <w:bookmarkStart w:id="75" w:name="_Toc147563657"/>
      <w:r>
        <w:rPr>
          <w:rFonts w:hint="eastAsia"/>
        </w:rPr>
        <w:t>1.4 项目建设外部条件及开发现状</w:t>
      </w:r>
      <w:bookmarkEnd w:id="72"/>
      <w:bookmarkEnd w:id="73"/>
      <w:bookmarkEnd w:id="74"/>
      <w:bookmarkEnd w:id="75"/>
    </w:p>
    <w:p>
      <w:pPr>
        <w:pStyle w:val="5"/>
        <w:ind w:firstLine="562"/>
      </w:pPr>
      <w:bookmarkStart w:id="76" w:name="_Toc502783405"/>
      <w:bookmarkStart w:id="77" w:name="_Toc395519098"/>
      <w:bookmarkStart w:id="78" w:name="_Toc70589713"/>
      <w:bookmarkStart w:id="79" w:name="_Toc214406975"/>
      <w:r>
        <w:rPr>
          <w:rFonts w:hint="eastAsia"/>
        </w:rPr>
        <w:t>1.4.1 矿山建设外部条件</w:t>
      </w:r>
      <w:bookmarkEnd w:id="76"/>
      <w:bookmarkEnd w:id="77"/>
      <w:bookmarkEnd w:id="78"/>
      <w:bookmarkEnd w:id="79"/>
    </w:p>
    <w:p>
      <w:pPr>
        <w:ind w:firstLine="560"/>
      </w:pPr>
      <w:bookmarkStart w:id="80" w:name="_Toc212978009"/>
      <w:bookmarkStart w:id="81" w:name="_Toc211070054"/>
      <w:r>
        <w:rPr>
          <w:rFonts w:hint="eastAsia"/>
        </w:rPr>
        <w:t>⑴交通</w:t>
      </w:r>
      <w:bookmarkEnd w:id="80"/>
      <w:bookmarkEnd w:id="81"/>
    </w:p>
    <w:p>
      <w:pPr>
        <w:autoSpaceDE w:val="0"/>
        <w:autoSpaceDN w:val="0"/>
        <w:adjustRightInd w:val="0"/>
        <w:spacing w:line="240" w:lineRule="auto"/>
        <w:ind w:firstLine="560"/>
        <w:jc w:val="left"/>
      </w:pPr>
      <w:r>
        <w:rPr>
          <w:rFonts w:hint="eastAsia"/>
        </w:rPr>
        <w:t>矿区内地形较为平坦，区内便道平坦易行，矿区北东距临泽县政府所在地</w:t>
      </w:r>
      <w:r>
        <w:t>214</w:t>
      </w:r>
      <w:r>
        <w:rPr>
          <w:rFonts w:hint="eastAsia"/>
        </w:rPr>
        <w:t>°方位</w:t>
      </w:r>
      <w:r>
        <w:t>12km</w:t>
      </w:r>
      <w:r>
        <w:rPr>
          <w:rFonts w:hint="eastAsia"/>
        </w:rPr>
        <w:t>，距离倪家营镇政府</w:t>
      </w:r>
      <w:r>
        <w:t>306</w:t>
      </w:r>
      <w:r>
        <w:rPr>
          <w:rFonts w:hint="eastAsia"/>
        </w:rPr>
        <w:t>°方位约</w:t>
      </w:r>
      <w:r>
        <w:t>4km</w:t>
      </w:r>
      <w:r>
        <w:rPr>
          <w:rFonts w:hint="eastAsia"/>
        </w:rPr>
        <w:t>。</w:t>
      </w:r>
      <w:r>
        <w:t xml:space="preserve">G30 </w:t>
      </w:r>
      <w:r>
        <w:rPr>
          <w:rFonts w:hint="eastAsia"/>
        </w:rPr>
        <w:t>连霍高速从矿区东北部</w:t>
      </w:r>
      <w:r>
        <w:t xml:space="preserve">13km </w:t>
      </w:r>
      <w:r>
        <w:rPr>
          <w:rFonts w:hint="eastAsia"/>
        </w:rPr>
        <w:t>处通过，县道</w:t>
      </w:r>
      <w:r>
        <w:t>203</w:t>
      </w:r>
      <w:r>
        <w:rPr>
          <w:rFonts w:hint="eastAsia"/>
        </w:rPr>
        <w:t>从矿区西部通过，矿区有简易公路可直达，里程约</w:t>
      </w:r>
      <w:r>
        <w:t>20km</w:t>
      </w:r>
      <w:r>
        <w:rPr>
          <w:rFonts w:hint="eastAsia"/>
        </w:rPr>
        <w:t>，交通较为便利。</w:t>
      </w:r>
    </w:p>
    <w:p>
      <w:pPr>
        <w:ind w:firstLine="560"/>
      </w:pPr>
      <w:r>
        <w:rPr>
          <w:rFonts w:hint="eastAsia"/>
        </w:rPr>
        <w:t>⑵通讯</w:t>
      </w:r>
    </w:p>
    <w:p>
      <w:pPr>
        <w:ind w:firstLine="560"/>
      </w:pPr>
      <w:r>
        <w:rPr>
          <w:rFonts w:hint="eastAsia"/>
        </w:rPr>
        <w:t>移动和联通通讯网络覆盖全矿区，通讯条件良好。</w:t>
      </w:r>
    </w:p>
    <w:p>
      <w:pPr>
        <w:ind w:firstLine="560"/>
      </w:pPr>
      <w:bookmarkStart w:id="82" w:name="_Toc212978010"/>
      <w:r>
        <w:rPr>
          <w:rFonts w:hint="eastAsia"/>
        </w:rPr>
        <w:t>⑶</w:t>
      </w:r>
      <w:r>
        <w:t>供水</w:t>
      </w:r>
      <w:bookmarkEnd w:id="82"/>
    </w:p>
    <w:p>
      <w:pPr>
        <w:autoSpaceDE w:val="0"/>
        <w:autoSpaceDN w:val="0"/>
        <w:adjustRightInd w:val="0"/>
        <w:spacing w:line="240" w:lineRule="auto"/>
        <w:ind w:firstLine="560"/>
        <w:jc w:val="left"/>
      </w:pPr>
      <w:bookmarkStart w:id="83" w:name="_Toc212978011"/>
      <w:bookmarkStart w:id="84" w:name="_Toc211070056"/>
      <w:r>
        <w:rPr>
          <w:rFonts w:hint="eastAsia"/>
        </w:rPr>
        <w:t>用水源，矿山用水主要为生产和生活用水，供水可使用矿区东部农业灌溉水渠及运水车送来的饮用水，生产用水可用农业灌溉水渠供水，生活用水可用运水车运来的饮用水。为保证用水安全，矿区生产用水的废弃排放，生活垃圾和剥离物均不得乱堆乱排，保护矿区环境。</w:t>
      </w:r>
    </w:p>
    <w:p>
      <w:pPr>
        <w:ind w:firstLine="560"/>
      </w:pPr>
      <w:r>
        <w:rPr>
          <w:rFonts w:hint="eastAsia"/>
        </w:rPr>
        <w:t>⑷供电</w:t>
      </w:r>
      <w:bookmarkEnd w:id="83"/>
      <w:bookmarkEnd w:id="84"/>
    </w:p>
    <w:p>
      <w:pPr>
        <w:ind w:firstLine="560"/>
      </w:pPr>
      <w:r>
        <w:rPr>
          <w:rFonts w:hint="eastAsia"/>
        </w:rPr>
        <w:t>电网已接入矿区，生活及工业用电可以满足需求。</w:t>
      </w:r>
    </w:p>
    <w:p>
      <w:pPr>
        <w:pStyle w:val="5"/>
        <w:ind w:firstLine="562"/>
      </w:pPr>
      <w:bookmarkStart w:id="85" w:name="_Toc70589714"/>
      <w:r>
        <w:rPr>
          <w:rFonts w:hint="eastAsia"/>
        </w:rPr>
        <w:t>1.4.2 矿山现状</w:t>
      </w:r>
      <w:bookmarkEnd w:id="85"/>
      <w:r>
        <w:rPr>
          <w:rFonts w:hint="eastAsia"/>
        </w:rPr>
        <w:t xml:space="preserve"> </w:t>
      </w:r>
    </w:p>
    <w:p>
      <w:pPr>
        <w:autoSpaceDE w:val="0"/>
        <w:autoSpaceDN w:val="0"/>
        <w:adjustRightInd w:val="0"/>
        <w:spacing w:line="240" w:lineRule="auto"/>
        <w:ind w:firstLine="560"/>
        <w:jc w:val="left"/>
      </w:pPr>
      <w:r>
        <w:rPr>
          <w:rFonts w:hint="eastAsia"/>
        </w:rPr>
        <w:t>该矿为新建矿山，本次方案设计所依据的资源量是由，甘肃省有色金属地质勘查局张掖矿产勘查院于</w:t>
      </w:r>
      <w:r>
        <w:t>2022</w:t>
      </w:r>
      <w:r>
        <w:rPr>
          <w:rFonts w:hint="eastAsia"/>
        </w:rPr>
        <w:t>提供的《甘肃省临泽县梨西4号电站东南侧建筑用砂矿普查报告》（202</w:t>
      </w:r>
      <w:r>
        <w:t>2</w:t>
      </w:r>
      <w:r>
        <w:rPr>
          <w:rFonts w:hint="eastAsia"/>
        </w:rPr>
        <w:t>年</w:t>
      </w:r>
      <w:r>
        <w:t>1</w:t>
      </w:r>
      <w:r>
        <w:rPr>
          <w:rFonts w:hint="eastAsia"/>
        </w:rPr>
        <w:t>月）。临泽县自然资源局于202</w:t>
      </w:r>
      <w:r>
        <w:t>2</w:t>
      </w:r>
      <w:r>
        <w:rPr>
          <w:rFonts w:hint="eastAsia"/>
        </w:rPr>
        <w:t>年</w:t>
      </w:r>
      <w:r>
        <w:t>1</w:t>
      </w:r>
      <w:r>
        <w:rPr>
          <w:rFonts w:hint="eastAsia"/>
        </w:rPr>
        <w:t>月</w:t>
      </w:r>
      <w:r>
        <w:t>22</w:t>
      </w:r>
      <w:r>
        <w:rPr>
          <w:rFonts w:hint="eastAsia"/>
        </w:rPr>
        <w:t>日组织有关专家以会审方式对报告进行了评审。专家组通过审阅图文资料，并经过充分讨论后，对《临泽县梨西4号电站东南侧建筑用砂矿普查报告》予以通过。</w:t>
      </w:r>
    </w:p>
    <w:p>
      <w:pPr>
        <w:autoSpaceDE w:val="0"/>
        <w:autoSpaceDN w:val="0"/>
        <w:adjustRightInd w:val="0"/>
        <w:spacing w:line="240" w:lineRule="auto"/>
        <w:ind w:firstLine="560"/>
        <w:jc w:val="left"/>
      </w:pPr>
      <w:r>
        <w:rPr>
          <w:rFonts w:hint="eastAsia"/>
        </w:rPr>
        <w:t>由《甘肃省临泽县梨西4号电站东南侧建筑用砂矿普查报告》资料可知，甘肃省临泽县梨西4号电站东南侧建筑用砂矿矿权范围内累计探获推断资源量</w:t>
      </w:r>
      <w:r>
        <w:t>566.2</w:t>
      </w:r>
      <w:r>
        <w:rPr>
          <w:rFonts w:hint="eastAsia"/>
        </w:rPr>
        <w:t>万立方米。直接能利用的砂石资源量为</w:t>
      </w:r>
      <w:r>
        <w:t>422.8</w:t>
      </w:r>
      <w:r>
        <w:rPr>
          <w:rFonts w:hint="eastAsia"/>
        </w:rPr>
        <w:t>万立方米，回采率按</w:t>
      </w:r>
      <w:r>
        <w:t>95%</w:t>
      </w:r>
      <w:r>
        <w:rPr>
          <w:rFonts w:hint="eastAsia"/>
        </w:rPr>
        <w:t>计算。</w:t>
      </w:r>
    </w:p>
    <w:p>
      <w:pPr>
        <w:ind w:firstLine="560"/>
      </w:pPr>
      <w:r>
        <w:rPr>
          <w:rFonts w:hint="eastAsia"/>
        </w:rPr>
        <w:t>经市场调查并通过设计论证，本次设计确定该矿开采规模定为</w:t>
      </w:r>
      <w:r>
        <w:t>20×</w:t>
      </w:r>
      <w:r>
        <w:rPr>
          <w:rFonts w:hint="eastAsia"/>
        </w:rPr>
        <w:t>10</w:t>
      </w:r>
      <w:r>
        <w:rPr>
          <w:rFonts w:hint="eastAsia"/>
          <w:vertAlign w:val="superscript"/>
        </w:rPr>
        <w:t>4</w:t>
      </w:r>
      <w:r>
        <w:rPr>
          <w:rFonts w:hint="eastAsia"/>
        </w:rPr>
        <w:t>m</w:t>
      </w:r>
      <w:r>
        <w:rPr>
          <w:rFonts w:hint="eastAsia"/>
          <w:vertAlign w:val="superscript"/>
        </w:rPr>
        <w:t>3</w:t>
      </w:r>
      <w:r>
        <w:rPr>
          <w:rFonts w:hint="eastAsia"/>
        </w:rPr>
        <w:t>/a，则矿山服务年限为</w:t>
      </w:r>
      <w:r>
        <w:t>25.15</w:t>
      </w:r>
      <w:r>
        <w:rPr>
          <w:rFonts w:hint="eastAsia"/>
        </w:rPr>
        <w:t>年（不含基建期），矿山开采的机械设备主要有筛分设备、装载机、挖掘机等，并相应的在矿区附近设计修建筛分场地，计划将砂石开采后进行筛分再外销，矿山整体开采环境良好。</w:t>
      </w:r>
    </w:p>
    <w:p>
      <w:pPr>
        <w:ind w:firstLine="560"/>
        <w:sectPr>
          <w:footerReference r:id="rId9" w:type="default"/>
          <w:pgSz w:w="11906" w:h="16838"/>
          <w:pgMar w:top="1440" w:right="1800" w:bottom="1440" w:left="1800" w:header="851" w:footer="992" w:gutter="0"/>
          <w:pgNumType w:start="1"/>
          <w:cols w:space="720" w:num="1"/>
          <w:docGrid w:type="lines" w:linePitch="312" w:charSpace="0"/>
        </w:sectPr>
      </w:pPr>
    </w:p>
    <w:p>
      <w:pPr>
        <w:pStyle w:val="3"/>
        <w:spacing w:before="312"/>
        <w:ind w:firstLine="602"/>
      </w:pPr>
      <w:bookmarkStart w:id="86" w:name="_Toc71621569"/>
      <w:bookmarkStart w:id="87" w:name="_Toc511226406"/>
      <w:bookmarkStart w:id="88" w:name="_Toc70589719"/>
      <w:bookmarkStart w:id="89" w:name="_Toc3056"/>
      <w:bookmarkStart w:id="90" w:name="_Toc394081185"/>
      <w:bookmarkStart w:id="91" w:name="_Toc147563658"/>
      <w:bookmarkStart w:id="92" w:name="_Toc502783411"/>
      <w:r>
        <w:rPr>
          <w:rFonts w:hint="eastAsia"/>
        </w:rPr>
        <w:t>2  矿产品需求现状和预测</w:t>
      </w:r>
      <w:bookmarkEnd w:id="86"/>
      <w:bookmarkEnd w:id="87"/>
      <w:bookmarkEnd w:id="88"/>
      <w:bookmarkEnd w:id="89"/>
      <w:bookmarkEnd w:id="90"/>
      <w:bookmarkEnd w:id="91"/>
      <w:bookmarkEnd w:id="92"/>
    </w:p>
    <w:p>
      <w:pPr>
        <w:pStyle w:val="4"/>
      </w:pPr>
      <w:bookmarkStart w:id="93" w:name="_Toc502783412"/>
      <w:bookmarkStart w:id="94" w:name="_Toc20180"/>
      <w:bookmarkStart w:id="95" w:name="_Toc71621570"/>
      <w:bookmarkStart w:id="96" w:name="_Toc214406982"/>
      <w:bookmarkStart w:id="97" w:name="_Toc70589720"/>
      <w:bookmarkStart w:id="98" w:name="_Toc147563659"/>
      <w:bookmarkStart w:id="99" w:name="_Toc511226407"/>
      <w:r>
        <w:rPr>
          <w:rFonts w:hint="eastAsia"/>
        </w:rPr>
        <w:t>2.1 矿产品需求现状</w:t>
      </w:r>
      <w:bookmarkEnd w:id="93"/>
      <w:bookmarkEnd w:id="94"/>
      <w:bookmarkEnd w:id="95"/>
      <w:bookmarkEnd w:id="96"/>
      <w:bookmarkEnd w:id="97"/>
      <w:bookmarkEnd w:id="98"/>
      <w:bookmarkEnd w:id="99"/>
    </w:p>
    <w:p>
      <w:pPr>
        <w:ind w:firstLine="560"/>
      </w:pPr>
      <w:bookmarkStart w:id="100" w:name="_Toc511226408"/>
      <w:bookmarkStart w:id="101" w:name="_Toc71621571"/>
      <w:bookmarkStart w:id="102" w:name="_Toc70589721"/>
      <w:bookmarkStart w:id="103" w:name="_Toc502783413"/>
      <w:r>
        <w:rPr>
          <w:rFonts w:hint="eastAsia"/>
        </w:rPr>
        <w:t>在国家“十四五”规划总政策指引下，随着城市化建设速度的加快，对砂石料的需求日益增加，特别是城市和周边地区需求量较大。另外由于近年来，一批重点工程、公路和城镇及“兰张三四线”高铁建设项目的实施，对砂石料的需求量也随之加大，极大的拉动了对建筑砂、石料等原材料的需求。</w:t>
      </w:r>
    </w:p>
    <w:p>
      <w:pPr>
        <w:ind w:firstLine="560"/>
      </w:pPr>
      <w:r>
        <w:rPr>
          <w:rFonts w:hint="eastAsia"/>
        </w:rPr>
        <w:t>根据国家要求，新建建筑必须严格执行节能设计标准(规范)，结合城市改造，开展居住和公共建筑节能改造，进行节能型建筑材料的应用已经是大势所趋，而砂石产品以其各项优越的性能在新型建筑材料中占了主导地位。</w:t>
      </w:r>
    </w:p>
    <w:p>
      <w:pPr>
        <w:ind w:firstLine="560"/>
      </w:pPr>
      <w:r>
        <w:rPr>
          <w:rFonts w:hint="eastAsia"/>
        </w:rPr>
        <w:t>矿区位于临泽县倪家营镇，交通便利，地理优势较好，砂石料矿丰富，主要销售地区为张掖市及周边县镇乡村等。充分利用砂石料矿产资源，既可解决当地建设用砂石料问题，又可解决当地居民就业问题；增加当地居民收入。</w:t>
      </w:r>
    </w:p>
    <w:p>
      <w:pPr>
        <w:pStyle w:val="4"/>
      </w:pPr>
      <w:bookmarkStart w:id="104" w:name="_Toc9807"/>
      <w:bookmarkStart w:id="105" w:name="_Toc147563660"/>
      <w:r>
        <w:rPr>
          <w:rFonts w:hint="eastAsia"/>
        </w:rPr>
        <w:t>2.2 产品价格分析</w:t>
      </w:r>
      <w:bookmarkEnd w:id="100"/>
      <w:bookmarkEnd w:id="101"/>
      <w:bookmarkEnd w:id="102"/>
      <w:bookmarkEnd w:id="103"/>
      <w:bookmarkEnd w:id="104"/>
      <w:bookmarkEnd w:id="105"/>
    </w:p>
    <w:p>
      <w:pPr>
        <w:ind w:firstLine="560"/>
      </w:pPr>
      <w:r>
        <w:rPr>
          <w:rFonts w:hint="eastAsia"/>
        </w:rPr>
        <w:t>矿区交通运输方便，有公路、便道直达矿区，区内用水较方便，有供电线网，生产、生活所需物资可从临泽县城采购，外部条件较好。</w:t>
      </w:r>
    </w:p>
    <w:p>
      <w:pPr>
        <w:ind w:firstLine="560"/>
      </w:pPr>
      <w:r>
        <w:rPr>
          <w:rFonts w:hint="eastAsia"/>
        </w:rPr>
        <w:t>近3年砂石料矿产资源的市场销售价格分别为62元/m</w:t>
      </w:r>
      <w:r>
        <w:rPr>
          <w:rFonts w:hint="eastAsia"/>
          <w:vertAlign w:val="superscript"/>
        </w:rPr>
        <w:t>3</w:t>
      </w:r>
      <w:r>
        <w:rPr>
          <w:rFonts w:hint="eastAsia"/>
        </w:rPr>
        <w:t>、55元/m</w:t>
      </w:r>
      <w:r>
        <w:rPr>
          <w:rFonts w:hint="eastAsia"/>
          <w:vertAlign w:val="superscript"/>
        </w:rPr>
        <w:t>3</w:t>
      </w:r>
      <w:r>
        <w:rPr>
          <w:rFonts w:hint="eastAsia"/>
        </w:rPr>
        <w:t>、65元/m</w:t>
      </w:r>
      <w:r>
        <w:rPr>
          <w:rFonts w:hint="eastAsia"/>
          <w:vertAlign w:val="superscript"/>
        </w:rPr>
        <w:t>3</w:t>
      </w:r>
      <w:r>
        <w:rPr>
          <w:rFonts w:hint="eastAsia"/>
        </w:rPr>
        <w:t>，经市场调查发现现阶段对砂石料的需求还是较大的；经过分析调查后，砂石料的前景较好，预计今后价格会稳中有升。</w:t>
      </w:r>
    </w:p>
    <w:p>
      <w:pPr>
        <w:ind w:firstLine="560"/>
        <w:sectPr>
          <w:pgSz w:w="11906" w:h="16838"/>
          <w:pgMar w:top="1440" w:right="1800" w:bottom="1440" w:left="1800" w:header="851" w:footer="992" w:gutter="0"/>
          <w:cols w:space="720" w:num="1"/>
          <w:docGrid w:type="lines" w:linePitch="312" w:charSpace="0"/>
        </w:sectPr>
      </w:pPr>
      <w:r>
        <w:rPr>
          <w:rFonts w:hint="eastAsia"/>
        </w:rPr>
        <w:t>张掖市及周边砂石矿的市场销售价格一般在</w:t>
      </w:r>
      <w:r>
        <w:t>50</w:t>
      </w:r>
      <w:r>
        <w:rPr>
          <w:rFonts w:hint="eastAsia"/>
        </w:rPr>
        <w:t>元/m</w:t>
      </w:r>
      <w:r>
        <w:rPr>
          <w:rFonts w:hint="eastAsia"/>
          <w:vertAlign w:val="superscript"/>
        </w:rPr>
        <w:t>3</w:t>
      </w:r>
      <w:r>
        <w:rPr>
          <w:rFonts w:hint="eastAsia"/>
        </w:rPr>
        <w:t>，但由于各地运输条件及供求关系不同，价格也会有一定的差异，周边地区实际供货价格将会稍高于或低于此价格。因此，本次设计砂石矿石销售价格按</w:t>
      </w:r>
      <w:r>
        <w:t>50</w:t>
      </w:r>
      <w:r>
        <w:rPr>
          <w:rFonts w:hint="eastAsia"/>
        </w:rPr>
        <w:t>元/m</w:t>
      </w:r>
      <w:r>
        <w:rPr>
          <w:rFonts w:hint="eastAsia"/>
          <w:vertAlign w:val="superscript"/>
        </w:rPr>
        <w:t>3</w:t>
      </w:r>
      <w:r>
        <w:rPr>
          <w:rFonts w:hint="eastAsia"/>
        </w:rPr>
        <w:t>核算经济效益是合理的。</w:t>
      </w:r>
    </w:p>
    <w:p>
      <w:pPr>
        <w:pStyle w:val="3"/>
        <w:spacing w:before="312"/>
        <w:ind w:firstLine="0" w:firstLineChars="0"/>
      </w:pPr>
      <w:bookmarkStart w:id="106" w:name="_Toc147563661"/>
      <w:bookmarkStart w:id="107" w:name="_Toc71621572"/>
      <w:bookmarkStart w:id="108" w:name="_Toc70589722"/>
      <w:bookmarkStart w:id="109" w:name="_Toc15062"/>
      <w:r>
        <w:rPr>
          <w:rFonts w:hint="eastAsia"/>
        </w:rPr>
        <w:t>3  矿产资源概况</w:t>
      </w:r>
      <w:bookmarkEnd w:id="106"/>
      <w:bookmarkEnd w:id="107"/>
      <w:bookmarkEnd w:id="108"/>
      <w:bookmarkEnd w:id="109"/>
    </w:p>
    <w:p>
      <w:pPr>
        <w:pStyle w:val="4"/>
      </w:pPr>
      <w:bookmarkStart w:id="110" w:name="_Toc31244"/>
      <w:bookmarkStart w:id="111" w:name="_Toc147563662"/>
      <w:r>
        <w:t>3.1矿区总体概况</w:t>
      </w:r>
      <w:bookmarkEnd w:id="110"/>
      <w:bookmarkEnd w:id="111"/>
    </w:p>
    <w:p>
      <w:pPr>
        <w:autoSpaceDE w:val="0"/>
        <w:autoSpaceDN w:val="0"/>
        <w:adjustRightInd w:val="0"/>
        <w:spacing w:line="240" w:lineRule="auto"/>
        <w:ind w:firstLine="560"/>
        <w:jc w:val="left"/>
      </w:pPr>
      <w:r>
        <w:rPr>
          <w:rFonts w:hint="eastAsia"/>
        </w:rPr>
        <w:t>矿区北东距临泽县政府所在地</w:t>
      </w:r>
      <w:r>
        <w:t>214</w:t>
      </w:r>
      <w:r>
        <w:rPr>
          <w:rFonts w:hint="eastAsia"/>
        </w:rPr>
        <w:t>°方位</w:t>
      </w:r>
      <w:r>
        <w:t>12km</w:t>
      </w:r>
      <w:r>
        <w:rPr>
          <w:rFonts w:hint="eastAsia"/>
        </w:rPr>
        <w:t>，距离倪家营镇</w:t>
      </w:r>
    </w:p>
    <w:p>
      <w:pPr>
        <w:autoSpaceDE w:val="0"/>
        <w:autoSpaceDN w:val="0"/>
        <w:adjustRightInd w:val="0"/>
        <w:spacing w:line="240" w:lineRule="auto"/>
        <w:ind w:firstLine="0" w:firstLineChars="0"/>
        <w:jc w:val="left"/>
      </w:pPr>
      <w:r>
        <w:rPr>
          <w:rFonts w:hint="eastAsia"/>
        </w:rPr>
        <w:t>政府</w:t>
      </w:r>
      <w:r>
        <w:t>306</w:t>
      </w:r>
      <w:r>
        <w:rPr>
          <w:rFonts w:hint="eastAsia"/>
        </w:rPr>
        <w:t>°方位约</w:t>
      </w:r>
      <w:r>
        <w:t>4km</w:t>
      </w:r>
      <w:r>
        <w:rPr>
          <w:rFonts w:hint="eastAsia"/>
        </w:rPr>
        <w:t>。</w:t>
      </w:r>
      <w:r>
        <w:t xml:space="preserve">G30 </w:t>
      </w:r>
      <w:r>
        <w:rPr>
          <w:rFonts w:hint="eastAsia"/>
        </w:rPr>
        <w:t>连霍高速从矿区东北部</w:t>
      </w:r>
      <w:r>
        <w:t>13km</w:t>
      </w:r>
      <w:r>
        <w:rPr>
          <w:rFonts w:hint="eastAsia"/>
        </w:rPr>
        <w:t>处通过，</w:t>
      </w:r>
    </w:p>
    <w:p>
      <w:pPr>
        <w:autoSpaceDE w:val="0"/>
        <w:autoSpaceDN w:val="0"/>
        <w:adjustRightInd w:val="0"/>
        <w:spacing w:line="240" w:lineRule="auto"/>
        <w:ind w:firstLine="0" w:firstLineChars="0"/>
        <w:jc w:val="left"/>
      </w:pPr>
      <w:r>
        <w:rPr>
          <w:rFonts w:hint="eastAsia"/>
        </w:rPr>
        <w:t>县道</w:t>
      </w:r>
      <w:r>
        <w:t>203</w:t>
      </w:r>
      <w:r>
        <w:rPr>
          <w:rFonts w:hint="eastAsia"/>
        </w:rPr>
        <w:t>从矿区西部通过，矿区有简易公路可直达，里程约</w:t>
      </w:r>
      <w:r>
        <w:t>20km</w:t>
      </w:r>
      <w:r>
        <w:rPr>
          <w:rFonts w:hint="eastAsia"/>
        </w:rPr>
        <w:t>，交通较为便利。</w:t>
      </w:r>
    </w:p>
    <w:p>
      <w:pPr>
        <w:ind w:firstLine="560"/>
      </w:pPr>
      <w:r>
        <w:t>由《普查报告》可知：</w:t>
      </w:r>
      <w:r>
        <w:rPr>
          <w:rFonts w:hint="eastAsia"/>
        </w:rPr>
        <w:t>南北</w:t>
      </w:r>
      <w:r>
        <w:t>长约1598m，东西宽550m，分布面积</w:t>
      </w:r>
      <w:r>
        <w:rPr>
          <w:rFonts w:hint="eastAsia"/>
        </w:rPr>
        <w:t>0.</w:t>
      </w:r>
      <w:r>
        <w:t>58km</w:t>
      </w:r>
      <w:r>
        <w:rPr>
          <w:rFonts w:hint="eastAsia"/>
          <w:vertAlign w:val="superscript"/>
        </w:rPr>
        <w:t>2</w:t>
      </w:r>
      <w:r>
        <w:t>。矿体出露最高标高1623.5m，出露最低标高1607.0m。主要为</w:t>
      </w:r>
      <w:r>
        <w:rPr>
          <w:rFonts w:hint="eastAsia"/>
        </w:rPr>
        <w:t>第四系全新统冲积层</w:t>
      </w:r>
      <w:r>
        <w:t>，</w:t>
      </w:r>
      <w:r>
        <w:rPr>
          <w:rFonts w:hint="eastAsia"/>
        </w:rPr>
        <w:t>以大陆干旱环境中正常沉积的松散砂砾石为主</w:t>
      </w:r>
      <w:r>
        <w:t>。砂砾层呈松散状，砂与砾混合堆积。</w:t>
      </w:r>
      <w:r>
        <w:rPr>
          <w:rFonts w:hint="eastAsia"/>
        </w:rPr>
        <w:t>矿体平均厚度8</w:t>
      </w:r>
      <w:r>
        <w:t>.2</w:t>
      </w:r>
      <w:r>
        <w:rPr>
          <w:rFonts w:hint="eastAsia"/>
        </w:rPr>
        <w:t>m，通过浅井施工，控制矿体至</w:t>
      </w:r>
      <w:r>
        <w:t>1606.5m</w:t>
      </w:r>
      <w:r>
        <w:rPr>
          <w:rFonts w:hint="eastAsia"/>
        </w:rPr>
        <w:t>，矿石呈近水平层状产出在地表。</w:t>
      </w:r>
    </w:p>
    <w:p>
      <w:pPr>
        <w:ind w:firstLine="560"/>
      </w:pPr>
      <w:r>
        <w:t>矿体赋存条件较好，适合露天开采</w:t>
      </w:r>
      <w:r>
        <w:rPr>
          <w:rFonts w:hint="eastAsia"/>
        </w:rPr>
        <w:t>，</w:t>
      </w:r>
      <w:r>
        <w:t>根据野外观察砂矿层厚度较稳定。</w:t>
      </w:r>
    </w:p>
    <w:p>
      <w:pPr>
        <w:pStyle w:val="5"/>
        <w:ind w:firstLine="562"/>
      </w:pPr>
      <w:r>
        <w:t>3.1.1 矿区总体规划情况</w:t>
      </w:r>
    </w:p>
    <w:p>
      <w:pPr>
        <w:ind w:firstLine="560"/>
      </w:pPr>
      <w:r>
        <w:t>该矿为新建矿山，矿区面积为</w:t>
      </w:r>
      <w:r>
        <w:rPr>
          <w:rFonts w:hint="eastAsia"/>
        </w:rPr>
        <w:t>0.</w:t>
      </w:r>
      <w:r>
        <w:t>58平方公里，根据张掖市矿山开采整体规划及企业征求意见，该矿在实施开发、保护、利用相结合的战略理念基础上，凭借国道线、城乡道路等交通优势，制定了总体规划，项目计划为三期，近期为基建期，中期为采矿期，远期为采矿后的地形地貌景观破坏进行恢复治理与土地复垦期，范围为采矿区及其周边影响区。</w:t>
      </w:r>
    </w:p>
    <w:p>
      <w:pPr>
        <w:pStyle w:val="5"/>
        <w:ind w:firstLine="562"/>
      </w:pPr>
      <w:r>
        <w:t>3.1.2 矿区矿产资源概况</w:t>
      </w:r>
    </w:p>
    <w:p>
      <w:pPr>
        <w:autoSpaceDE w:val="0"/>
        <w:autoSpaceDN w:val="0"/>
        <w:adjustRightInd w:val="0"/>
        <w:spacing w:line="240" w:lineRule="auto"/>
        <w:ind w:firstLine="560"/>
        <w:jc w:val="left"/>
      </w:pPr>
      <w:r>
        <w:t>本方案所依据的资源量是由</w:t>
      </w:r>
      <w:r>
        <w:rPr>
          <w:rFonts w:hint="eastAsia"/>
        </w:rPr>
        <w:t>甘肃省有色金属地质勘查局张掖矿产勘查院提供的</w:t>
      </w:r>
      <w:r>
        <w:t>《</w:t>
      </w:r>
      <w:r>
        <w:rPr>
          <w:rFonts w:hint="eastAsia"/>
        </w:rPr>
        <w:t>甘肃省</w:t>
      </w:r>
      <w:r>
        <w:t>临泽县梨西4号电站东南侧建筑用砂矿普查报告》（2022.</w:t>
      </w:r>
      <w:r>
        <w:rPr>
          <w:rFonts w:hint="eastAsia"/>
        </w:rPr>
        <w:t>1</w:t>
      </w:r>
      <w:r>
        <w:t>）资料可知，甘肃省临泽县梨西4号电站东南侧建筑用砂矿矿权范围内资源储量为566.2×10</w:t>
      </w:r>
      <w:r>
        <w:rPr>
          <w:vertAlign w:val="superscript"/>
        </w:rPr>
        <w:t>4</w:t>
      </w:r>
      <w:r>
        <w:t>m</w:t>
      </w:r>
      <w:r>
        <w:rPr>
          <w:vertAlign w:val="superscript"/>
        </w:rPr>
        <w:t>3</w:t>
      </w:r>
      <w:r>
        <w:rPr>
          <w:rFonts w:hint="eastAsia"/>
        </w:rPr>
        <w:t>（截止202</w:t>
      </w:r>
      <w:r>
        <w:t>2</w:t>
      </w:r>
      <w:r>
        <w:rPr>
          <w:rFonts w:hint="eastAsia"/>
        </w:rPr>
        <w:t>年1月23日），全部为推断资源量</w:t>
      </w:r>
      <w:r>
        <w:t>。矿体</w:t>
      </w:r>
      <w:r>
        <w:rPr>
          <w:rFonts w:hint="eastAsia"/>
        </w:rPr>
        <w:t>长1</w:t>
      </w:r>
      <w:r>
        <w:t>598</w:t>
      </w:r>
      <w:r>
        <w:rPr>
          <w:rFonts w:hint="eastAsia"/>
        </w:rPr>
        <w:t>m，平均</w:t>
      </w:r>
      <w:r>
        <w:t>厚度8.2m，开采标高范围：1583.0～1623.5m。</w:t>
      </w:r>
    </w:p>
    <w:p>
      <w:pPr>
        <w:ind w:firstLine="560"/>
      </w:pPr>
      <w:r>
        <w:rPr>
          <w:rFonts w:hint="eastAsia"/>
        </w:rPr>
        <w:t>根据《普查报告》可知本次资源量估算工作对矿区内圈定的矿体进行估算，并根据矿体的空间出露位置情况，估算推断资源量。本次资源量估算对象为拟设采矿权范围内建筑用砂矿体。</w:t>
      </w:r>
    </w:p>
    <w:p>
      <w:pPr>
        <w:pStyle w:val="5"/>
        <w:ind w:firstLine="562"/>
      </w:pPr>
      <w:r>
        <w:t xml:space="preserve">3.1.3 </w:t>
      </w:r>
      <w:r>
        <w:rPr>
          <w:rFonts w:hint="eastAsia"/>
        </w:rPr>
        <w:t>该设计与矿区总体开发的关系</w:t>
      </w:r>
    </w:p>
    <w:p>
      <w:pPr>
        <w:ind w:firstLine="560"/>
      </w:pPr>
      <w:r>
        <w:rPr>
          <w:rFonts w:hint="eastAsia"/>
        </w:rPr>
        <w:t>本设计为矿区总体开发的初步规划，以普查报告为依据，设计矿山的建设规模、产品方案、开采方法、开采工艺、开拓运输方式、选矿工艺、设备选型、矿山总平面布置、安全、环保及技术经济分析等。</w:t>
      </w:r>
    </w:p>
    <w:p>
      <w:pPr>
        <w:pStyle w:val="4"/>
      </w:pPr>
      <w:bookmarkStart w:id="112" w:name="_Toc70589726"/>
      <w:bookmarkStart w:id="113" w:name="_Toc7422"/>
      <w:bookmarkStart w:id="114" w:name="_Toc147563663"/>
      <w:bookmarkStart w:id="115" w:name="_Toc71621574"/>
      <w:r>
        <w:rPr>
          <w:rFonts w:hint="eastAsia"/>
        </w:rPr>
        <w:t>3.2矿山地质概况</w:t>
      </w:r>
      <w:bookmarkEnd w:id="112"/>
      <w:bookmarkEnd w:id="113"/>
      <w:bookmarkEnd w:id="114"/>
      <w:bookmarkEnd w:id="115"/>
    </w:p>
    <w:p>
      <w:pPr>
        <w:pStyle w:val="5"/>
        <w:ind w:firstLine="562"/>
      </w:pPr>
      <w:bookmarkStart w:id="116" w:name="_Toc70589727"/>
      <w:bookmarkStart w:id="117" w:name="_Toc502783419"/>
      <w:r>
        <w:rPr>
          <w:rFonts w:hint="eastAsia"/>
        </w:rPr>
        <w:t>3.2.1区域地质概况</w:t>
      </w:r>
      <w:bookmarkEnd w:id="116"/>
      <w:bookmarkEnd w:id="117"/>
    </w:p>
    <w:p>
      <w:pPr>
        <w:ind w:firstLine="560"/>
      </w:pPr>
      <w:r>
        <w:rPr>
          <w:rFonts w:hint="eastAsia"/>
        </w:rPr>
        <w:t>区域大地构造位置属北祁连弧盆系走廊弧后盆地。本区地层分区位于秦祁昆地层区——祁连—北秦岭地层分区——河西走廊小区中。区域出露地层为第四系晚更新统—全新统（</w:t>
      </w:r>
      <w:r>
        <w:t>Qp</w:t>
      </w:r>
      <w:r>
        <w:rPr>
          <w:vertAlign w:val="superscript"/>
        </w:rPr>
        <w:t>3pl</w:t>
      </w:r>
      <w:r>
        <w:rPr>
          <w:rFonts w:hint="eastAsia"/>
        </w:rPr>
        <w:t>—</w:t>
      </w:r>
      <w:r>
        <w:t>Qh</w:t>
      </w:r>
      <w:r>
        <w:rPr>
          <w:vertAlign w:val="superscript"/>
        </w:rPr>
        <w:t>al</w:t>
      </w:r>
      <w:r>
        <w:rPr>
          <w:rFonts w:hint="eastAsia"/>
        </w:rPr>
        <w:t>）。</w:t>
      </w:r>
    </w:p>
    <w:p>
      <w:pPr>
        <w:autoSpaceDE w:val="0"/>
        <w:autoSpaceDN w:val="0"/>
        <w:adjustRightInd w:val="0"/>
        <w:spacing w:line="240" w:lineRule="auto"/>
        <w:ind w:firstLine="0" w:firstLineChars="0"/>
        <w:jc w:val="left"/>
      </w:pPr>
      <w:r>
        <w:rPr>
          <w:rFonts w:hint="eastAsia"/>
        </w:rPr>
        <w:t>第四系全新统冲积物（</w:t>
      </w:r>
      <w:r>
        <w:t>Qh</w:t>
      </w:r>
      <w:r>
        <w:rPr>
          <w:vertAlign w:val="superscript"/>
        </w:rPr>
        <w:t>al</w:t>
      </w:r>
      <w:r>
        <w:rPr>
          <w:rFonts w:hint="eastAsia"/>
        </w:rPr>
        <w:t>）主要为蓝灰色亚粘土、亚砂土、砂、砾石；第四系全新统洪积物（</w:t>
      </w:r>
      <w:r>
        <w:t>Qh</w:t>
      </w:r>
      <w:r>
        <w:rPr>
          <w:vertAlign w:val="superscript"/>
        </w:rPr>
        <w:t>pl</w:t>
      </w:r>
      <w:r>
        <w:rPr>
          <w:rFonts w:hint="eastAsia"/>
        </w:rPr>
        <w:t>）主要为灰色、灰褐色亚砂土、砂、砾石；第四系晚更新统洪积物（</w:t>
      </w:r>
      <w:r>
        <w:t>Qp</w:t>
      </w:r>
      <w:r>
        <w:rPr>
          <w:vertAlign w:val="superscript"/>
        </w:rPr>
        <w:t>3pl</w:t>
      </w:r>
      <w:r>
        <w:rPr>
          <w:rFonts w:hint="eastAsia"/>
        </w:rPr>
        <w:t>）主要为灰褐色砾石层夹透镜状砂土层，根据矿区北侧梨西</w:t>
      </w:r>
      <w:r>
        <w:t>4</w:t>
      </w:r>
      <w:r>
        <w:rPr>
          <w:rFonts w:hint="eastAsia"/>
        </w:rPr>
        <w:t>号电站水渠开挖断面的观察情况，结</w:t>
      </w:r>
    </w:p>
    <w:p>
      <w:pPr>
        <w:autoSpaceDE w:val="0"/>
        <w:autoSpaceDN w:val="0"/>
        <w:adjustRightInd w:val="0"/>
        <w:spacing w:line="240" w:lineRule="auto"/>
        <w:ind w:firstLine="0" w:firstLineChars="0"/>
        <w:jc w:val="left"/>
      </w:pPr>
      <w:r>
        <w:rPr>
          <w:rFonts w:hint="eastAsia"/>
        </w:rPr>
        <w:t>合矿区内浅井施工情况，厚大于</w:t>
      </w:r>
      <w:r>
        <w:t>20m</w:t>
      </w:r>
      <w:r>
        <w:rPr>
          <w:rFonts w:hint="eastAsia"/>
        </w:rPr>
        <w:t>。岩性、岩相及厚度纵横变化</w:t>
      </w:r>
    </w:p>
    <w:p>
      <w:pPr>
        <w:autoSpaceDE w:val="0"/>
        <w:autoSpaceDN w:val="0"/>
        <w:adjustRightInd w:val="0"/>
        <w:spacing w:line="240" w:lineRule="auto"/>
        <w:ind w:firstLine="0" w:firstLineChars="0"/>
        <w:jc w:val="left"/>
      </w:pPr>
      <w:r>
        <w:rPr>
          <w:rFonts w:hint="eastAsia"/>
        </w:rPr>
        <w:t>较大。第四系全新统冲积物（</w:t>
      </w:r>
      <w:r>
        <w:t>Qh</w:t>
      </w:r>
      <w:r>
        <w:rPr>
          <w:vertAlign w:val="superscript"/>
        </w:rPr>
        <w:t>al</w:t>
      </w:r>
      <w:r>
        <w:rPr>
          <w:rFonts w:hint="eastAsia"/>
        </w:rPr>
        <w:t>）是矿区矿体的主要赋存层位。</w:t>
      </w:r>
    </w:p>
    <w:p>
      <w:pPr>
        <w:spacing w:before="156" w:beforeLines="50" w:line="240" w:lineRule="auto"/>
        <w:ind w:firstLine="0" w:firstLineChars="0"/>
        <w:jc w:val="center"/>
      </w:pPr>
      <w:r>
        <w:drawing>
          <wp:inline distT="0" distB="0" distL="0" distR="0">
            <wp:extent cx="5274310" cy="4672965"/>
            <wp:effectExtent l="0" t="0" r="2540" b="0"/>
            <wp:docPr id="691934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341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4672965"/>
                    </a:xfrm>
                    <a:prstGeom prst="rect">
                      <a:avLst/>
                    </a:prstGeom>
                    <a:noFill/>
                    <a:ln>
                      <a:noFill/>
                    </a:ln>
                  </pic:spPr>
                </pic:pic>
              </a:graphicData>
            </a:graphic>
          </wp:inline>
        </w:drawing>
      </w:r>
    </w:p>
    <w:p>
      <w:pPr>
        <w:pStyle w:val="2"/>
        <w:rPr>
          <w:rFonts w:ascii="黑体" w:hAnsi="黑体" w:eastAsia="黑体"/>
          <w:b/>
          <w:bCs/>
          <w:sz w:val="22"/>
          <w:szCs w:val="28"/>
        </w:rPr>
      </w:pPr>
      <w:r>
        <w:rPr>
          <w:rFonts w:hint="eastAsia" w:ascii="黑体" w:hAnsi="黑体" w:eastAsia="黑体"/>
          <w:b/>
          <w:bCs/>
          <w:sz w:val="22"/>
          <w:szCs w:val="28"/>
        </w:rPr>
        <w:t>图3</w:t>
      </w:r>
      <w:r>
        <w:rPr>
          <w:rFonts w:ascii="黑体" w:hAnsi="黑体" w:eastAsia="黑体"/>
          <w:b/>
          <w:bCs/>
          <w:sz w:val="22"/>
          <w:szCs w:val="28"/>
        </w:rPr>
        <w:t xml:space="preserve">-1 </w:t>
      </w:r>
      <w:r>
        <w:rPr>
          <w:rFonts w:hint="eastAsia" w:ascii="黑体" w:hAnsi="黑体" w:eastAsia="黑体"/>
          <w:b/>
          <w:bCs/>
          <w:sz w:val="22"/>
          <w:szCs w:val="28"/>
        </w:rPr>
        <w:t>区域地质图</w:t>
      </w:r>
    </w:p>
    <w:p>
      <w:pPr>
        <w:ind w:firstLine="560"/>
      </w:pPr>
      <w:r>
        <w:t>⑵</w:t>
      </w:r>
      <w:r>
        <w:rPr>
          <w:rFonts w:hint="eastAsia"/>
        </w:rPr>
        <w:t>区域构造</w:t>
      </w:r>
    </w:p>
    <w:p>
      <w:pPr>
        <w:ind w:firstLine="560"/>
      </w:pPr>
      <w:r>
        <w:t>区内第四系地层大面积覆盖，未见构造出露。</w:t>
      </w:r>
    </w:p>
    <w:p>
      <w:pPr>
        <w:ind w:firstLine="560"/>
      </w:pPr>
      <w:r>
        <w:t>⑶</w:t>
      </w:r>
      <w:r>
        <w:rPr>
          <w:rFonts w:hint="eastAsia"/>
        </w:rPr>
        <w:t>区域岩浆岩</w:t>
      </w:r>
    </w:p>
    <w:p>
      <w:pPr>
        <w:ind w:firstLine="560"/>
      </w:pPr>
      <w:bookmarkStart w:id="118" w:name="_Toc70589728"/>
      <w:r>
        <w:t>区域范围内未见岩浆岩出露。</w:t>
      </w:r>
    </w:p>
    <w:p>
      <w:pPr>
        <w:pStyle w:val="5"/>
        <w:ind w:firstLine="562"/>
        <w:rPr>
          <w:lang w:val="zh-CN"/>
        </w:rPr>
      </w:pPr>
      <w:r>
        <w:rPr>
          <w:rFonts w:hint="eastAsia"/>
        </w:rPr>
        <w:t>3.2.2</w:t>
      </w:r>
      <w:r>
        <w:rPr>
          <w:rFonts w:hint="eastAsia"/>
          <w:lang w:val="zh-CN"/>
        </w:rPr>
        <w:t>矿区地质</w:t>
      </w:r>
      <w:bookmarkEnd w:id="118"/>
    </w:p>
    <w:p>
      <w:pPr>
        <w:ind w:firstLine="560"/>
      </w:pPr>
      <w:r>
        <w:t>①</w:t>
      </w:r>
      <w:r>
        <w:rPr>
          <w:rFonts w:hint="eastAsia"/>
        </w:rPr>
        <w:t>矿区地层</w:t>
      </w:r>
    </w:p>
    <w:p>
      <w:pPr>
        <w:ind w:firstLine="560"/>
      </w:pPr>
      <w:r>
        <w:rPr>
          <w:rFonts w:hint="eastAsia"/>
        </w:rPr>
        <w:t>矿</w:t>
      </w:r>
      <w:r>
        <w:t>区出露的地层简单，仅为第四系（Q</w:t>
      </w:r>
      <w:r>
        <w:rPr>
          <w:vertAlign w:val="subscript"/>
        </w:rPr>
        <w:t>4</w:t>
      </w:r>
      <w:r>
        <w:rPr>
          <w:rFonts w:hint="eastAsia"/>
          <w:vertAlign w:val="superscript"/>
        </w:rPr>
        <w:t>a</w:t>
      </w:r>
      <w:r>
        <w:rPr>
          <w:vertAlign w:val="superscript"/>
        </w:rPr>
        <w:t>l</w:t>
      </w:r>
      <w:r>
        <w:t>)。矿体分布于整个</w:t>
      </w:r>
      <w:r>
        <w:rPr>
          <w:rFonts w:hint="eastAsia"/>
        </w:rPr>
        <w:t>矿</w:t>
      </w:r>
      <w:r>
        <w:t>区，主要赋存于第四系</w:t>
      </w:r>
      <w:r>
        <w:rPr>
          <w:rFonts w:hint="eastAsia"/>
        </w:rPr>
        <w:t>冲</w:t>
      </w:r>
      <w:r>
        <w:t>积层。第四系</w:t>
      </w:r>
      <w:r>
        <w:rPr>
          <w:rFonts w:hint="eastAsia"/>
        </w:rPr>
        <w:t>冲</w:t>
      </w:r>
      <w:r>
        <w:t>积层</w:t>
      </w:r>
      <w:r>
        <w:rPr>
          <w:rFonts w:hint="eastAsia"/>
        </w:rPr>
        <w:t>：</w:t>
      </w:r>
      <w:r>
        <w:t>浅灰色松散层状，水平层理明显，分选性较差。主要由砂粒（＜5mm）占22％、细砾（5-20mm）占27％、破碎石（粗砾（20-40mm）和巨砾（＞40mm）需破碎，简称破碎石）占25.67%。矿石主要由松散灰褐色～浅灰黑色砾石、粗砂、细砂、亚砂土等组成。砂、砾石呈浑圆状，其分选性及磨圆度均较差，未固结，宏观上呈灰色。</w:t>
      </w:r>
    </w:p>
    <w:p>
      <w:pPr>
        <w:ind w:firstLine="560"/>
      </w:pPr>
      <w:r>
        <w:t>②</w:t>
      </w:r>
      <w:r>
        <w:rPr>
          <w:rFonts w:hint="eastAsia"/>
        </w:rPr>
        <w:t>构造</w:t>
      </w:r>
    </w:p>
    <w:p>
      <w:pPr>
        <w:ind w:firstLine="560"/>
      </w:pPr>
      <w:r>
        <w:t>区内第四系地层大面积覆盖</w:t>
      </w:r>
      <w:r>
        <w:rPr>
          <w:rFonts w:hint="eastAsia"/>
        </w:rPr>
        <w:t>，矿区内未发现褶皱、断裂构造。</w:t>
      </w:r>
    </w:p>
    <w:p>
      <w:pPr>
        <w:ind w:firstLine="560"/>
      </w:pPr>
      <w:r>
        <w:rPr>
          <w:rFonts w:hint="eastAsia"/>
        </w:rPr>
        <w:t>③岩浆岩</w:t>
      </w:r>
    </w:p>
    <w:p>
      <w:pPr>
        <w:ind w:firstLine="560"/>
      </w:pPr>
      <w:r>
        <w:rPr>
          <w:rFonts w:hint="eastAsia"/>
        </w:rPr>
        <w:t>矿</w:t>
      </w:r>
      <w:r>
        <w:t>区地表未见岩浆岩出露。</w:t>
      </w:r>
    </w:p>
    <w:p>
      <w:pPr>
        <w:pStyle w:val="5"/>
        <w:ind w:firstLine="562"/>
      </w:pPr>
      <w:bookmarkStart w:id="119" w:name="_Toc70589729"/>
      <w:r>
        <w:rPr>
          <w:rFonts w:hint="eastAsia"/>
        </w:rPr>
        <w:t>3.2.3矿体特征</w:t>
      </w:r>
      <w:bookmarkEnd w:id="119"/>
    </w:p>
    <w:p>
      <w:pPr>
        <w:ind w:firstLine="560"/>
      </w:pPr>
      <w:r>
        <w:t>梨西4号电站东南侧建筑用砂矿赋存于第四系全新统冲积层中，据资源量估算范围界定矿体：南北长1598m，东西宽550m；通过浅井施工，控制矿体至1606.5m，矿石呈近水平层状产出在地表。</w:t>
      </w:r>
    </w:p>
    <w:p>
      <w:pPr>
        <w:ind w:firstLine="560"/>
      </w:pPr>
      <w:r>
        <w:t>在</w:t>
      </w:r>
      <w:r>
        <w:rPr>
          <w:rFonts w:hint="eastAsia"/>
        </w:rPr>
        <w:t>矿</w:t>
      </w:r>
      <w:r>
        <w:t>区内共圈定1条矿体，矿体呈层状，编号为KT1。KT1号矿体依地势呈北西—南东向层状展布，矿体边界形态较规则，为一较规则的长条状，呈水平层状产出在地表。矿石主要由松散灰褐色～浅灰黑色砾石、粗砂、细砂、亚砂土等组成。砂、砾石呈浑圆状，其分选性及磨圆度均较差，未固结，宏观上呈灰色。矿体范围与资源量估算范围相同，矿体由6条勘探线控制，长1598m，平均厚8.2m，矿体地表最低标高位于北东端，标高</w:t>
      </w:r>
      <w:r>
        <w:drawing>
          <wp:anchor distT="0" distB="0" distL="114300" distR="114300" simplePos="0" relativeHeight="251664384" behindDoc="1" locked="0" layoutInCell="0" allowOverlap="1">
            <wp:simplePos x="0" y="0"/>
            <wp:positionH relativeFrom="column">
              <wp:posOffset>-23495</wp:posOffset>
            </wp:positionH>
            <wp:positionV relativeFrom="paragraph">
              <wp:posOffset>1035685</wp:posOffset>
            </wp:positionV>
            <wp:extent cx="5226050" cy="1892935"/>
            <wp:effectExtent l="76200" t="209550" r="69850" b="22161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4"/>
                    <a:srcRect/>
                    <a:stretch>
                      <a:fillRect/>
                    </a:stretch>
                  </pic:blipFill>
                  <pic:spPr>
                    <a:xfrm>
                      <a:off x="0" y="0"/>
                      <a:ext cx="5226050" cy="1892935"/>
                    </a:xfrm>
                    <a:prstGeom prst="rect">
                      <a:avLst/>
                    </a:prstGeom>
                    <a:noFill/>
                  </pic:spPr>
                </pic:pic>
              </a:graphicData>
            </a:graphic>
          </wp:anchor>
        </w:drawing>
      </w:r>
      <w:r>
        <w:t>为1607m，最高标高为矿体南端，标高为1623.5m。</w:t>
      </w:r>
      <w:r>
        <w:rPr>
          <w:rFonts w:hint="eastAsia"/>
        </w:rPr>
        <w:t>矿</w:t>
      </w:r>
      <w:r>
        <w:t>区矿体断面</w:t>
      </w:r>
      <w:r>
        <mc:AlternateContent>
          <mc:Choice Requires="wps">
            <w:drawing>
              <wp:anchor distT="0" distB="0" distL="114300" distR="114300" simplePos="0" relativeHeight="251665408" behindDoc="0" locked="0" layoutInCell="1" allowOverlap="1">
                <wp:simplePos x="0" y="0"/>
                <wp:positionH relativeFrom="column">
                  <wp:posOffset>6350</wp:posOffset>
                </wp:positionH>
                <wp:positionV relativeFrom="paragraph">
                  <wp:posOffset>2972435</wp:posOffset>
                </wp:positionV>
                <wp:extent cx="5226050" cy="200025"/>
                <wp:effectExtent l="0" t="0" r="0" b="9525"/>
                <wp:wrapTopAndBottom/>
                <wp:docPr id="363144718" name="文本框 1"/>
                <wp:cNvGraphicFramePr/>
                <a:graphic xmlns:a="http://schemas.openxmlformats.org/drawingml/2006/main">
                  <a:graphicData uri="http://schemas.microsoft.com/office/word/2010/wordprocessingShape">
                    <wps:wsp>
                      <wps:cNvSpPr txBox="1"/>
                      <wps:spPr>
                        <a:xfrm>
                          <a:off x="0" y="0"/>
                          <a:ext cx="5226050" cy="200025"/>
                        </a:xfrm>
                        <a:prstGeom prst="rect">
                          <a:avLst/>
                        </a:prstGeom>
                        <a:solidFill>
                          <a:prstClr val="white"/>
                        </a:solidFill>
                        <a:ln>
                          <a:noFill/>
                        </a:ln>
                      </wps:spPr>
                      <wps:txbx>
                        <w:txbxContent>
                          <w:p>
                            <w:pPr>
                              <w:pStyle w:val="6"/>
                              <w:spacing w:line="240" w:lineRule="exact"/>
                              <w:ind w:firstLine="482"/>
                              <w:jc w:val="center"/>
                              <w:rPr>
                                <w:rFonts w:ascii="黑体" w:hAnsi="黑体" w:cs="Times New Roman"/>
                                <w:sz w:val="24"/>
                                <w:szCs w:val="24"/>
                              </w:rPr>
                            </w:pPr>
                            <w:r>
                              <w:rPr>
                                <w:rFonts w:hint="eastAsia" w:ascii="黑体" w:hAnsi="黑体" w:cs="仿宋"/>
                                <w:b/>
                                <w:bCs/>
                                <w:sz w:val="24"/>
                                <w:szCs w:val="24"/>
                              </w:rPr>
                              <w:t>图3</w:t>
                            </w:r>
                            <w:r>
                              <w:rPr>
                                <w:rFonts w:ascii="黑体" w:hAnsi="黑体" w:cs="仿宋"/>
                                <w:b/>
                                <w:bCs/>
                                <w:sz w:val="24"/>
                                <w:szCs w:val="24"/>
                              </w:rPr>
                              <w:t xml:space="preserve">-2 </w:t>
                            </w:r>
                            <w:r>
                              <w:rPr>
                                <w:rFonts w:hint="eastAsia" w:ascii="黑体" w:hAnsi="黑体" w:cs="仿宋"/>
                                <w:b/>
                                <w:bCs/>
                                <w:sz w:val="24"/>
                                <w:szCs w:val="24"/>
                              </w:rPr>
                              <w:t>矿区</w:t>
                            </w:r>
                            <w:r>
                              <w:rPr>
                                <w:rFonts w:ascii="黑体" w:hAnsi="黑体" w:cs="仿宋"/>
                                <w:b/>
                                <w:bCs/>
                                <w:sz w:val="24"/>
                                <w:szCs w:val="24"/>
                              </w:rPr>
                              <w:t>矿体地表地形地貌特征及浅井揭露情况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1" o:spid="_x0000_s1026" o:spt="202" type="#_x0000_t202" style="position:absolute;left:0pt;margin-left:0.5pt;margin-top:234.05pt;height:15.75pt;width:411.5pt;mso-wrap-distance-bottom:0pt;mso-wrap-distance-top:0pt;z-index:251665408;mso-width-relative:page;mso-height-relative:page;" fillcolor="#FFFFFF" filled="t" stroked="f" coordsize="21600,21600" o:gfxdata="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nIQ51wAAAAkBAAAPAAAAAAAAAAEAIAAAACIA&#10;AABkcnMvZG93bnJldi54bWxQSwECFAAUAAAACACHTuJAUSC620MCAAB9BAAADgAAAAAAAAABACAA&#10;AAAmAQAAZHJzL2Uyb0RvYy54bWxQSwUGAAAAAAYABgBZAQAA2wUAAAAA&#10;">
                <v:fill on="t" focussize="0,0"/>
                <v:stroke on="f"/>
                <v:imagedata o:title=""/>
                <o:lock v:ext="edit" aspectratio="f"/>
                <v:textbox inset="0mm,0mm,0mm,0mm">
                  <w:txbxContent>
                    <w:p>
                      <w:pPr>
                        <w:pStyle w:val="6"/>
                        <w:spacing w:line="240" w:lineRule="exact"/>
                        <w:ind w:firstLine="482"/>
                        <w:jc w:val="center"/>
                        <w:rPr>
                          <w:rFonts w:ascii="黑体" w:hAnsi="黑体" w:cs="Times New Roman"/>
                          <w:sz w:val="24"/>
                          <w:szCs w:val="24"/>
                        </w:rPr>
                      </w:pPr>
                      <w:r>
                        <w:rPr>
                          <w:rFonts w:hint="eastAsia" w:ascii="黑体" w:hAnsi="黑体" w:cs="仿宋"/>
                          <w:b/>
                          <w:bCs/>
                          <w:sz w:val="24"/>
                          <w:szCs w:val="24"/>
                        </w:rPr>
                        <w:t>图3</w:t>
                      </w:r>
                      <w:r>
                        <w:rPr>
                          <w:rFonts w:ascii="黑体" w:hAnsi="黑体" w:cs="仿宋"/>
                          <w:b/>
                          <w:bCs/>
                          <w:sz w:val="24"/>
                          <w:szCs w:val="24"/>
                        </w:rPr>
                        <w:t xml:space="preserve">-2 </w:t>
                      </w:r>
                      <w:r>
                        <w:rPr>
                          <w:rFonts w:hint="eastAsia" w:ascii="黑体" w:hAnsi="黑体" w:cs="仿宋"/>
                          <w:b/>
                          <w:bCs/>
                          <w:sz w:val="24"/>
                          <w:szCs w:val="24"/>
                        </w:rPr>
                        <w:t>矿区</w:t>
                      </w:r>
                      <w:r>
                        <w:rPr>
                          <w:rFonts w:ascii="黑体" w:hAnsi="黑体" w:cs="仿宋"/>
                          <w:b/>
                          <w:bCs/>
                          <w:sz w:val="24"/>
                          <w:szCs w:val="24"/>
                        </w:rPr>
                        <w:t>矿体地表地形地貌特征及浅井揭露情况</w:t>
                      </w:r>
                    </w:p>
                  </w:txbxContent>
                </v:textbox>
                <w10:wrap type="topAndBottom"/>
              </v:shape>
            </w:pict>
          </mc:Fallback>
        </mc:AlternateContent>
      </w:r>
      <w:r>
        <w:t>如下（图 3-2）：</w:t>
      </w:r>
    </w:p>
    <w:p>
      <w:pPr>
        <w:pStyle w:val="2"/>
        <w:spacing w:line="240" w:lineRule="auto"/>
        <w:ind w:firstLine="560" w:firstLineChars="200"/>
        <w:jc w:val="left"/>
      </w:pPr>
      <w:r>
        <w:rPr>
          <w:sz w:val="28"/>
        </w:rPr>
        <w:t>矿体无顶板，根据浅井施工情况，未见底，因此，矿体底板也为砂、卵石等</w:t>
      </w:r>
      <w:r>
        <w:t>。</w:t>
      </w:r>
    </w:p>
    <w:p>
      <w:pPr>
        <w:pStyle w:val="5"/>
        <w:ind w:firstLine="562"/>
        <w:rPr>
          <w:lang w:val="zh-TW"/>
        </w:rPr>
      </w:pPr>
      <w:bookmarkStart w:id="120" w:name="_Toc70589730"/>
      <w:r>
        <w:rPr>
          <w:rFonts w:hint="eastAsia"/>
        </w:rPr>
        <w:t>3.2.4</w:t>
      </w:r>
      <w:r>
        <w:rPr>
          <w:rFonts w:hint="eastAsia"/>
          <w:lang w:val="zh-TW"/>
        </w:rPr>
        <w:t>矿石矿物组成</w:t>
      </w:r>
      <w:bookmarkEnd w:id="120"/>
    </w:p>
    <w:p>
      <w:pPr>
        <w:autoSpaceDE w:val="0"/>
        <w:autoSpaceDN w:val="0"/>
        <w:adjustRightInd w:val="0"/>
        <w:spacing w:line="240" w:lineRule="auto"/>
        <w:ind w:firstLine="560"/>
        <w:jc w:val="left"/>
      </w:pPr>
      <w:r>
        <w:rPr>
          <w:rFonts w:hint="eastAsia"/>
        </w:rPr>
        <w:t>矿区建筑用砂矿体赋存于第四系全新统冲积层（</w:t>
      </w:r>
      <w:r>
        <w:t>Qh</w:t>
      </w:r>
      <w:r>
        <w:rPr>
          <w:vertAlign w:val="superscript"/>
        </w:rPr>
        <w:t>al</w:t>
      </w:r>
      <w:r>
        <w:rPr>
          <w:rFonts w:hint="eastAsia"/>
        </w:rPr>
        <w:t>）中。矿石主要由松散灰褐色～浅灰黑色砾石、粗砂、细砂、亚砂土等组成。砂、砾石呈浑圆状，其分选性及磨圆度均较差，未固结，宏观上呈灰色。根据取样测试，矿石表观密度、松散堆积密度、空隙率、压缩指标、含泥量、泥块含量等均符合《建筑用砂》（</w:t>
      </w:r>
      <w:r>
        <w:t>GB/T 14684-2011</w:t>
      </w:r>
      <w:r>
        <w:rPr>
          <w:rFonts w:hint="eastAsia"/>
        </w:rPr>
        <w:t>）标准要求。</w:t>
      </w:r>
    </w:p>
    <w:p>
      <w:pPr>
        <w:ind w:firstLine="560"/>
      </w:pPr>
      <w:r>
        <w:t>依据国家GBJ145-90T的分类标准并结合市场调查将矿山矿石划分为三类（见表</w:t>
      </w:r>
      <w:r>
        <w:rPr>
          <w:rFonts w:hint="eastAsia"/>
        </w:rPr>
        <w:t>3</w:t>
      </w:r>
      <w:r>
        <w:t>-1）：砂粒（＜5mm）占22%，细砾（5-20mm）占27%，破碎石（粗砾（20-40mm）和巨砾（＞40mm）需破碎，简称破碎石）占25.67%，</w:t>
      </w:r>
      <w:r>
        <w:rPr>
          <w:rFonts w:hint="eastAsia"/>
        </w:rPr>
        <w:t>泥</w:t>
      </w:r>
      <w:r>
        <w:t>土含量约1.7%组成。</w:t>
      </w:r>
      <w:r>
        <w:rPr>
          <w:rFonts w:hint="eastAsia"/>
        </w:rPr>
        <w:t>符合《建筑用砂》（</w:t>
      </w:r>
      <w:r>
        <w:t>GB/T 14684-2011</w:t>
      </w:r>
      <w:r>
        <w:rPr>
          <w:rFonts w:hint="eastAsia"/>
        </w:rPr>
        <w:t>）对天然砂的</w:t>
      </w:r>
      <w:r>
        <w:t>III</w:t>
      </w:r>
      <w:r>
        <w:rPr>
          <w:rFonts w:hint="eastAsia"/>
        </w:rPr>
        <w:t>类要求，为中砂合格品。</w:t>
      </w:r>
    </w:p>
    <w:tbl>
      <w:tblPr>
        <w:tblStyle w:val="13"/>
        <w:tblW w:w="5000" w:type="pct"/>
        <w:tblInd w:w="0" w:type="dxa"/>
        <w:tblLayout w:type="autofit"/>
        <w:tblCellMar>
          <w:top w:w="0" w:type="dxa"/>
          <w:left w:w="108" w:type="dxa"/>
          <w:bottom w:w="0" w:type="dxa"/>
          <w:right w:w="108" w:type="dxa"/>
        </w:tblCellMar>
      </w:tblPr>
      <w:tblGrid>
        <w:gridCol w:w="1881"/>
        <w:gridCol w:w="2424"/>
        <w:gridCol w:w="2107"/>
        <w:gridCol w:w="2110"/>
      </w:tblGrid>
      <w:tr>
        <w:tblPrEx>
          <w:tblCellMar>
            <w:top w:w="0" w:type="dxa"/>
            <w:left w:w="108" w:type="dxa"/>
            <w:bottom w:w="0" w:type="dxa"/>
            <w:right w:w="108" w:type="dxa"/>
          </w:tblCellMar>
        </w:tblPrEx>
        <w:trPr>
          <w:trHeight w:val="442" w:hRule="atLeast"/>
        </w:trPr>
        <w:tc>
          <w:tcPr>
            <w:tcW w:w="5000" w:type="pct"/>
            <w:gridSpan w:val="4"/>
            <w:tcBorders>
              <w:top w:val="nil"/>
              <w:left w:val="nil"/>
              <w:bottom w:val="single" w:color="auto" w:sz="4" w:space="0"/>
              <w:right w:val="nil"/>
            </w:tcBorders>
            <w:noWrap/>
            <w:vAlign w:val="center"/>
          </w:tcPr>
          <w:p>
            <w:pPr>
              <w:widowControl/>
              <w:ind w:firstLine="482"/>
              <w:jc w:val="center"/>
              <w:textAlignment w:val="center"/>
              <w:rPr>
                <w:rFonts w:ascii="黑体" w:hAnsi="黑体" w:eastAsia="黑体" w:cs="黑体"/>
                <w:b/>
                <w:bCs/>
                <w:sz w:val="24"/>
              </w:rPr>
            </w:pPr>
            <w:r>
              <w:rPr>
                <w:rFonts w:hint="eastAsia" w:ascii="黑体" w:hAnsi="黑体" w:eastAsia="黑体" w:cs="黑体"/>
                <w:b/>
                <w:bCs/>
                <w:sz w:val="24"/>
              </w:rPr>
              <w:t>表3</w:t>
            </w:r>
            <w:r>
              <w:rPr>
                <w:rFonts w:ascii="黑体" w:hAnsi="黑体" w:eastAsia="黑体" w:cs="黑体"/>
                <w:b/>
                <w:bCs/>
                <w:sz w:val="24"/>
              </w:rPr>
              <w:t xml:space="preserve">-1 </w:t>
            </w:r>
            <w:r>
              <w:rPr>
                <w:rFonts w:hint="eastAsia" w:ascii="黑体" w:hAnsi="黑体" w:eastAsia="黑体" w:cs="黑体"/>
                <w:b/>
                <w:bCs/>
                <w:sz w:val="24"/>
              </w:rPr>
              <w:t>粒径划分对照表</w:t>
            </w:r>
          </w:p>
        </w:tc>
      </w:tr>
      <w:tr>
        <w:tblPrEx>
          <w:tblCellMar>
            <w:top w:w="0" w:type="dxa"/>
            <w:left w:w="108" w:type="dxa"/>
            <w:bottom w:w="0" w:type="dxa"/>
            <w:right w:w="108" w:type="dxa"/>
          </w:tblCellMar>
        </w:tblPrEx>
        <w:trPr>
          <w:trHeight w:val="285" w:hRule="atLeast"/>
        </w:trPr>
        <w:tc>
          <w:tcPr>
            <w:tcW w:w="2526" w:type="pct"/>
            <w:gridSpan w:val="2"/>
            <w:tcBorders>
              <w:top w:val="single" w:color="auto"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国家标准 GBJ145-90T</w:t>
            </w:r>
          </w:p>
        </w:tc>
        <w:tc>
          <w:tcPr>
            <w:tcW w:w="2474" w:type="pct"/>
            <w:gridSpan w:val="2"/>
            <w:tcBorders>
              <w:top w:val="single" w:color="auto"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市场调查标准</w:t>
            </w:r>
          </w:p>
        </w:tc>
      </w:tr>
      <w:tr>
        <w:tblPrEx>
          <w:tblCellMar>
            <w:top w:w="0" w:type="dxa"/>
            <w:left w:w="108" w:type="dxa"/>
            <w:bottom w:w="0" w:type="dxa"/>
            <w:right w:w="108" w:type="dxa"/>
          </w:tblCellMar>
        </w:tblPrEx>
        <w:trPr>
          <w:trHeight w:val="285" w:hRule="atLeast"/>
        </w:trPr>
        <w:tc>
          <w:tcPr>
            <w:tcW w:w="1104" w:type="pct"/>
            <w:tcBorders>
              <w:top w:val="single" w:color="000000"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砂粒</w:t>
            </w:r>
          </w:p>
        </w:tc>
        <w:tc>
          <w:tcPr>
            <w:tcW w:w="1422" w:type="pct"/>
            <w:tcBorders>
              <w:top w:val="single" w:color="000000"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&lt;5mm</w:t>
            </w:r>
          </w:p>
        </w:tc>
        <w:tc>
          <w:tcPr>
            <w:tcW w:w="1236" w:type="pct"/>
            <w:tcBorders>
              <w:top w:val="single" w:color="000000"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砂粒</w:t>
            </w:r>
          </w:p>
        </w:tc>
        <w:tc>
          <w:tcPr>
            <w:tcW w:w="1238" w:type="pct"/>
            <w:tcBorders>
              <w:top w:val="single" w:color="000000"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&lt;5mm</w:t>
            </w:r>
          </w:p>
        </w:tc>
      </w:tr>
      <w:tr>
        <w:tblPrEx>
          <w:tblCellMar>
            <w:top w:w="0" w:type="dxa"/>
            <w:left w:w="108" w:type="dxa"/>
            <w:bottom w:w="0" w:type="dxa"/>
            <w:right w:w="108" w:type="dxa"/>
          </w:tblCellMar>
        </w:tblPrEx>
        <w:trPr>
          <w:trHeight w:val="285" w:hRule="atLeast"/>
        </w:trPr>
        <w:tc>
          <w:tcPr>
            <w:tcW w:w="1104" w:type="pct"/>
            <w:tcBorders>
              <w:top w:val="single" w:color="000000"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细砾</w:t>
            </w:r>
          </w:p>
        </w:tc>
        <w:tc>
          <w:tcPr>
            <w:tcW w:w="1422" w:type="pct"/>
            <w:tcBorders>
              <w:top w:val="single" w:color="000000"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5-20mm</w:t>
            </w:r>
          </w:p>
        </w:tc>
        <w:tc>
          <w:tcPr>
            <w:tcW w:w="1236" w:type="pct"/>
            <w:tcBorders>
              <w:top w:val="single" w:color="000000"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细砾</w:t>
            </w:r>
          </w:p>
        </w:tc>
        <w:tc>
          <w:tcPr>
            <w:tcW w:w="1238" w:type="pct"/>
            <w:tcBorders>
              <w:top w:val="single" w:color="000000"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5-20mm</w:t>
            </w:r>
          </w:p>
        </w:tc>
      </w:tr>
      <w:tr>
        <w:tblPrEx>
          <w:tblCellMar>
            <w:top w:w="0" w:type="dxa"/>
            <w:left w:w="108" w:type="dxa"/>
            <w:bottom w:w="0" w:type="dxa"/>
            <w:right w:w="108" w:type="dxa"/>
          </w:tblCellMar>
        </w:tblPrEx>
        <w:trPr>
          <w:trHeight w:val="285" w:hRule="atLeast"/>
        </w:trPr>
        <w:tc>
          <w:tcPr>
            <w:tcW w:w="1104" w:type="pct"/>
            <w:tcBorders>
              <w:top w:val="single" w:color="000000"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粗砾</w:t>
            </w:r>
          </w:p>
        </w:tc>
        <w:tc>
          <w:tcPr>
            <w:tcW w:w="1422" w:type="pct"/>
            <w:tcBorders>
              <w:top w:val="single" w:color="000000"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20-40mm</w:t>
            </w:r>
          </w:p>
        </w:tc>
        <w:tc>
          <w:tcPr>
            <w:tcW w:w="1236" w:type="pct"/>
            <w:vMerge w:val="restart"/>
            <w:tcBorders>
              <w:top w:val="single" w:color="000000"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破碎石</w:t>
            </w:r>
          </w:p>
        </w:tc>
        <w:tc>
          <w:tcPr>
            <w:tcW w:w="1238" w:type="pct"/>
            <w:vMerge w:val="restart"/>
            <w:tcBorders>
              <w:top w:val="single" w:color="000000"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&gt;20mm</w:t>
            </w:r>
          </w:p>
        </w:tc>
      </w:tr>
      <w:tr>
        <w:tblPrEx>
          <w:tblCellMar>
            <w:top w:w="0" w:type="dxa"/>
            <w:left w:w="108" w:type="dxa"/>
            <w:bottom w:w="0" w:type="dxa"/>
            <w:right w:w="108" w:type="dxa"/>
          </w:tblCellMar>
        </w:tblPrEx>
        <w:trPr>
          <w:trHeight w:val="285" w:hRule="atLeast"/>
        </w:trPr>
        <w:tc>
          <w:tcPr>
            <w:tcW w:w="1104" w:type="pct"/>
            <w:tcBorders>
              <w:top w:val="single" w:color="000000"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巨砾</w:t>
            </w:r>
          </w:p>
        </w:tc>
        <w:tc>
          <w:tcPr>
            <w:tcW w:w="1422" w:type="pct"/>
            <w:tcBorders>
              <w:top w:val="single" w:color="000000" w:sz="4" w:space="0"/>
              <w:left w:val="single" w:color="000000" w:sz="4" w:space="0"/>
              <w:bottom w:val="single" w:color="000000" w:sz="4" w:space="0"/>
              <w:right w:val="single" w:color="000000" w:sz="4" w:space="0"/>
            </w:tcBorders>
            <w:noWrap/>
            <w:vAlign w:val="center"/>
          </w:tcPr>
          <w:p>
            <w:pPr>
              <w:pStyle w:val="17"/>
              <w:ind w:firstLine="0" w:firstLineChars="0"/>
              <w:jc w:val="center"/>
            </w:pPr>
            <w:r>
              <w:rPr>
                <w:rFonts w:hint="eastAsia"/>
                <w:lang w:val="en-US"/>
              </w:rPr>
              <w:t>&gt;10mm</w:t>
            </w:r>
          </w:p>
        </w:tc>
        <w:tc>
          <w:tcPr>
            <w:tcW w:w="1236"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17"/>
              <w:ind w:firstLine="420"/>
            </w:pPr>
          </w:p>
        </w:tc>
        <w:tc>
          <w:tcPr>
            <w:tcW w:w="1238"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17"/>
              <w:ind w:firstLine="420"/>
            </w:pPr>
          </w:p>
        </w:tc>
      </w:tr>
    </w:tbl>
    <w:p>
      <w:pPr>
        <w:pStyle w:val="4"/>
        <w:spacing w:before="156" w:beforeLines="50"/>
      </w:pPr>
      <w:bookmarkStart w:id="121" w:name="_Toc147563664"/>
      <w:bookmarkStart w:id="122" w:name="_Toc19864"/>
      <w:r>
        <w:t>3.3开采技术条件</w:t>
      </w:r>
      <w:bookmarkEnd w:id="121"/>
      <w:bookmarkEnd w:id="122"/>
    </w:p>
    <w:p>
      <w:pPr>
        <w:pStyle w:val="5"/>
        <w:ind w:firstLine="562"/>
      </w:pPr>
      <w:r>
        <w:t>3.3.1水文地质条件</w:t>
      </w:r>
    </w:p>
    <w:p>
      <w:pPr>
        <w:ind w:firstLine="560"/>
      </w:pPr>
      <w:r>
        <w:rPr>
          <w:rFonts w:hint="eastAsia"/>
        </w:rPr>
        <w:t>矿区内</w:t>
      </w:r>
      <w:r>
        <w:t>矿体出露最高标高1623.5m，最低标高1607.0m，最低侵蚀基准面低于1607m，拟设采矿权范围内矿体标高位于侵蚀基准面以上，根据</w:t>
      </w:r>
      <w:r>
        <w:rPr>
          <w:rFonts w:hint="eastAsia"/>
        </w:rPr>
        <w:t>矿</w:t>
      </w:r>
      <w:r>
        <w:t>区的水文地质特征及地下水的分布规律，将</w:t>
      </w:r>
      <w:r>
        <w:rPr>
          <w:rFonts w:hint="eastAsia"/>
        </w:rPr>
        <w:t>矿</w:t>
      </w:r>
      <w:r>
        <w:t>区划分为第四系松散岩类孔隙水</w:t>
      </w:r>
      <w:r>
        <w:rPr>
          <w:rFonts w:hint="eastAsia"/>
        </w:rPr>
        <w:t>，单井涌水量为1</w:t>
      </w:r>
      <w:r>
        <w:t>00-500</w:t>
      </w:r>
      <w:r>
        <w:rPr>
          <w:rFonts w:hint="eastAsia"/>
        </w:rPr>
        <w:t>m³</w:t>
      </w:r>
      <w:r>
        <w:t>/</w:t>
      </w:r>
      <w:r>
        <w:rPr>
          <w:rFonts w:hint="eastAsia"/>
        </w:rPr>
        <w:t>d，</w:t>
      </w:r>
      <w:r>
        <w:t>。含水层岩性为砂砾卵石层。</w:t>
      </w:r>
    </w:p>
    <w:p>
      <w:pPr>
        <w:pStyle w:val="33"/>
        <w:numPr>
          <w:ilvl w:val="0"/>
          <w:numId w:val="1"/>
        </w:numPr>
        <w:ind w:firstLineChars="0"/>
      </w:pPr>
      <w:r>
        <w:rPr>
          <w:rFonts w:hint="eastAsia"/>
        </w:rPr>
        <w:t xml:space="preserve"> 含、隔水层特征</w:t>
      </w:r>
    </w:p>
    <w:p>
      <w:pPr>
        <w:autoSpaceDE w:val="0"/>
        <w:autoSpaceDN w:val="0"/>
        <w:adjustRightInd w:val="0"/>
        <w:spacing w:line="240" w:lineRule="auto"/>
        <w:ind w:firstLine="560"/>
        <w:jc w:val="left"/>
      </w:pPr>
      <w:r>
        <w:rPr>
          <w:rFonts w:hint="eastAsia"/>
        </w:rPr>
        <w:t>矿区出露地层均为第四系全新统冲积层，为冲积碎屑物，碎屑物磨圆度较差，分选不好，碎屑成分复杂，主要为各类碎屑岩、花岗岩及变质岩，分布于地表及浅沟内，蓄水性、富水性均较差，不利于水的积聚，属透水不含水层，无隔水层。</w:t>
      </w:r>
    </w:p>
    <w:p>
      <w:pPr>
        <w:ind w:firstLine="560"/>
      </w:pPr>
      <w:r>
        <w:rPr>
          <w:rFonts w:hint="eastAsia"/>
        </w:rPr>
        <w:t>② 地下水补给、径流、排泄条件</w:t>
      </w:r>
    </w:p>
    <w:p>
      <w:pPr>
        <w:autoSpaceDE w:val="0"/>
        <w:autoSpaceDN w:val="0"/>
        <w:adjustRightInd w:val="0"/>
        <w:spacing w:line="240" w:lineRule="auto"/>
        <w:ind w:firstLine="560"/>
        <w:jc w:val="left"/>
      </w:pPr>
      <w:r>
        <w:rPr>
          <w:rFonts w:hint="eastAsia"/>
        </w:rPr>
        <w:t>大气降水入渗是区内地下水的主要补给来源，由于该区大气降水极少，补给贫乏，含水层富水性弱，地下水以静储量为主，水量很少，地表径流及地下径流均表现微弱，不会对采矿造成不良影响。地下水埋藏较深，采矿不受地下水的影响。区内地下水排泄，一是通过地下水径流由西向东排泄，二是在地下水位较浅的地段通过陆面蒸发和植物蒸腾的方式垂直排泄。矿区内矿体最低赋存标高远高于地下水位标高，地下水对开采无影响。</w:t>
      </w:r>
    </w:p>
    <w:p>
      <w:pPr>
        <w:ind w:firstLine="560"/>
      </w:pPr>
      <w:r>
        <w:rPr>
          <w:rFonts w:hint="eastAsia"/>
        </w:rPr>
        <w:t>依据《矿区水文地质工程地质勘查规范》（G</w:t>
      </w:r>
      <w:r>
        <w:t>B/T12719-2001</w:t>
      </w:r>
      <w:r>
        <w:rPr>
          <w:rFonts w:hint="eastAsia"/>
        </w:rPr>
        <w:t>）</w:t>
      </w:r>
      <w:r>
        <w:t>，</w:t>
      </w:r>
      <w:r>
        <w:rPr>
          <w:rFonts w:hint="eastAsia"/>
        </w:rPr>
        <w:t>矿</w:t>
      </w:r>
      <w:r>
        <w:t>区水文地质</w:t>
      </w:r>
      <w:r>
        <w:rPr>
          <w:rFonts w:hint="eastAsia"/>
        </w:rPr>
        <w:t>类型属于“一类一型”（以孔隙含水层充水为主，水文地质条件简单的矿床）</w:t>
      </w:r>
      <w:r>
        <w:t>。当矿床开采后，露天采场的涌水量是较小的，只需一般排水措施。因此在开采过程中要做好设计和预防工作，以确保矿山生产安全和保护国家资源不会遭受破坏。</w:t>
      </w:r>
    </w:p>
    <w:p>
      <w:pPr>
        <w:pStyle w:val="5"/>
        <w:ind w:firstLine="562"/>
      </w:pPr>
      <w:bookmarkStart w:id="123" w:name="_Toc70589733"/>
      <w:r>
        <w:rPr>
          <w:rFonts w:hint="eastAsia"/>
        </w:rPr>
        <w:t>3.3.2工程地质条件</w:t>
      </w:r>
      <w:bookmarkEnd w:id="123"/>
    </w:p>
    <w:p>
      <w:pPr>
        <w:autoSpaceDE w:val="0"/>
        <w:autoSpaceDN w:val="0"/>
        <w:adjustRightInd w:val="0"/>
        <w:spacing w:line="240" w:lineRule="auto"/>
        <w:ind w:firstLine="560"/>
        <w:jc w:val="left"/>
      </w:pPr>
      <w:r>
        <w:rPr>
          <w:rFonts w:hint="eastAsia"/>
        </w:rPr>
        <w:t>矿区矿体赋存于第四系全新统冲积层中，矿体在地表呈松散状，砾石、砂未固结，矿体完整，稳定性较好，为露天矿，利用挖掘机自卸车直接开采。矿体顶部局部存在少量覆盖层，开采深度内全部为矿石。矿区内还未进行实地开采，根据砂砾石矿体的特征，在开采结束时将自然堆积边坡，边坡角为：</w:t>
      </w:r>
      <w:r>
        <w:t>45</w:t>
      </w:r>
      <w:r>
        <w:rPr>
          <w:rFonts w:hint="eastAsia"/>
        </w:rPr>
        <w:t>°，工程地质条件简单。</w:t>
      </w:r>
    </w:p>
    <w:p>
      <w:pPr>
        <w:pStyle w:val="5"/>
        <w:ind w:firstLine="562"/>
      </w:pPr>
      <w:bookmarkStart w:id="124" w:name="_Toc70589734"/>
      <w:r>
        <w:rPr>
          <w:rFonts w:hint="eastAsia"/>
        </w:rPr>
        <w:t>3.3.3环境地质条件</w:t>
      </w:r>
      <w:bookmarkEnd w:id="124"/>
    </w:p>
    <w:p>
      <w:pPr>
        <w:autoSpaceDE w:val="0"/>
        <w:autoSpaceDN w:val="0"/>
        <w:adjustRightInd w:val="0"/>
        <w:spacing w:line="240" w:lineRule="auto"/>
        <w:ind w:firstLine="560"/>
        <w:jc w:val="left"/>
      </w:pPr>
      <w:r>
        <w:rPr>
          <w:rFonts w:hint="eastAsia"/>
        </w:rPr>
        <w:t>矿区内地表植被不甚发育，且开采不占耕地，无居民，附近无农田、森林等，环境地质条件一般。</w:t>
      </w:r>
    </w:p>
    <w:p>
      <w:pPr>
        <w:autoSpaceDE w:val="0"/>
        <w:autoSpaceDN w:val="0"/>
        <w:adjustRightInd w:val="0"/>
        <w:spacing w:line="240" w:lineRule="auto"/>
        <w:ind w:firstLine="560"/>
        <w:jc w:val="left"/>
      </w:pPr>
      <w:r>
        <w:rPr>
          <w:rFonts w:hint="eastAsia"/>
        </w:rPr>
        <w:t>（1）区域稳定性</w:t>
      </w:r>
    </w:p>
    <w:p>
      <w:pPr>
        <w:autoSpaceDE w:val="0"/>
        <w:autoSpaceDN w:val="0"/>
        <w:adjustRightInd w:val="0"/>
        <w:spacing w:line="240" w:lineRule="auto"/>
        <w:ind w:firstLine="560"/>
        <w:jc w:val="left"/>
      </w:pPr>
      <w:r>
        <w:rPr>
          <w:rFonts w:hint="eastAsia"/>
        </w:rPr>
        <w:t>区域地震基本烈度为Ⅶ度，地震动峰值加速度为</w:t>
      </w:r>
      <w:r>
        <w:t>0.2g</w:t>
      </w:r>
      <w:r>
        <w:rPr>
          <w:rFonts w:hint="eastAsia"/>
        </w:rPr>
        <w:t>，地震动加速度反应谱特征周期</w:t>
      </w:r>
      <w:r>
        <w:t>0.4s</w:t>
      </w:r>
      <w:r>
        <w:rPr>
          <w:rFonts w:hint="eastAsia"/>
        </w:rPr>
        <w:t>。矿区区域地壳稳定性属稳定区，工程建设条件适宜。但张掖地区历史上地震活动较频繁。发生</w:t>
      </w:r>
      <w:r>
        <w:t>3</w:t>
      </w:r>
      <w:r>
        <w:rPr>
          <w:rFonts w:hint="eastAsia"/>
        </w:rPr>
        <w:t>级以上地震</w:t>
      </w:r>
      <w:r>
        <w:t>60</w:t>
      </w:r>
      <w:r>
        <w:rPr>
          <w:rFonts w:hint="eastAsia"/>
        </w:rPr>
        <w:t>余次，其中具有破坏性地震</w:t>
      </w:r>
      <w:r>
        <w:t>4</w:t>
      </w:r>
      <w:r>
        <w:rPr>
          <w:rFonts w:hint="eastAsia"/>
        </w:rPr>
        <w:t>次，造成人蓄伤亡的</w:t>
      </w:r>
      <w:r>
        <w:t>5</w:t>
      </w:r>
      <w:r>
        <w:rPr>
          <w:rFonts w:hint="eastAsia"/>
        </w:rPr>
        <w:t>次。矿区在历史上没有发生过破坏性地震，但邻区强震曾多次波及。</w:t>
      </w:r>
    </w:p>
    <w:p>
      <w:pPr>
        <w:ind w:firstLine="560"/>
      </w:pPr>
      <w:r>
        <w:rPr>
          <w:rFonts w:hint="eastAsia"/>
        </w:rPr>
        <w:t>（2）不良工程地质现象</w:t>
      </w:r>
    </w:p>
    <w:p>
      <w:pPr>
        <w:autoSpaceDE w:val="0"/>
        <w:autoSpaceDN w:val="0"/>
        <w:adjustRightInd w:val="0"/>
        <w:spacing w:line="240" w:lineRule="auto"/>
        <w:ind w:firstLine="560"/>
        <w:jc w:val="left"/>
      </w:pPr>
      <w:r>
        <w:rPr>
          <w:rFonts w:hint="eastAsia"/>
        </w:rPr>
        <w:t>矿区地貌单元单一，地势西高东低，坡度在</w:t>
      </w:r>
      <w:r>
        <w:t>1</w:t>
      </w:r>
      <w:r>
        <w:rPr>
          <w:rFonts w:hint="eastAsia"/>
        </w:rPr>
        <w:t>～</w:t>
      </w:r>
      <w:r>
        <w:t>2</w:t>
      </w:r>
      <w:r>
        <w:rPr>
          <w:rFonts w:hint="eastAsia"/>
        </w:rPr>
        <w:t>°之间，地势平坦，起伏不大，区内冲沟不发育。由于风化与搬运作用，剥蚀与堆积作用基本平衡，植被不发育，干旱少雨，矿区无洪水、泥石流灾害。另外，矿区区地势平坦，但矿山开采过程中要防止崩塌等安全事故的发生，且随着采矿工作的不断深入，应加强对暴雨形成的季节性洪水的防范工作。</w:t>
      </w:r>
    </w:p>
    <w:p>
      <w:pPr>
        <w:autoSpaceDE w:val="0"/>
        <w:autoSpaceDN w:val="0"/>
        <w:adjustRightInd w:val="0"/>
        <w:spacing w:line="240" w:lineRule="auto"/>
        <w:ind w:firstLine="560"/>
        <w:jc w:val="left"/>
      </w:pPr>
      <w:r>
        <w:rPr>
          <w:rFonts w:hint="eastAsia"/>
        </w:rPr>
        <w:t>（3）采矿对环境的影响</w:t>
      </w:r>
    </w:p>
    <w:p>
      <w:pPr>
        <w:autoSpaceDE w:val="0"/>
        <w:autoSpaceDN w:val="0"/>
        <w:adjustRightInd w:val="0"/>
        <w:spacing w:line="240" w:lineRule="auto"/>
        <w:ind w:firstLine="560"/>
        <w:jc w:val="left"/>
      </w:pPr>
      <w:r>
        <w:rPr>
          <w:rFonts w:hint="eastAsia"/>
        </w:rPr>
        <w:t>矿区矿体赋存于第四系全新统冲积层中，因此，采矿对环境的最大影响范围与资源量估算范围一致。其开采底面标高确定为</w:t>
      </w:r>
      <w:r>
        <w:t>1583m</w:t>
      </w:r>
      <w:r>
        <w:rPr>
          <w:rFonts w:hint="eastAsia"/>
        </w:rPr>
        <w:t>。因此，采矿对环境的附加影响较小。</w:t>
      </w:r>
    </w:p>
    <w:p>
      <w:pPr>
        <w:autoSpaceDE w:val="0"/>
        <w:autoSpaceDN w:val="0"/>
        <w:adjustRightInd w:val="0"/>
        <w:spacing w:line="240" w:lineRule="auto"/>
        <w:ind w:firstLine="560"/>
        <w:jc w:val="left"/>
      </w:pPr>
      <w:r>
        <w:rPr>
          <w:rFonts w:hint="eastAsia"/>
        </w:rPr>
        <w:t>矿区地面和各类岩石的天然放射性核素的放射性比活度整体处于区内天然放射性背景正常值范围内，并且岩石的各项天然放射性指标也都低于国家标准限值的要求，天然放射性辐射水平不会对矿山生产中的工作人员及环境造成危害和污染。</w:t>
      </w:r>
    </w:p>
    <w:p>
      <w:pPr>
        <w:autoSpaceDE w:val="0"/>
        <w:autoSpaceDN w:val="0"/>
        <w:adjustRightInd w:val="0"/>
        <w:spacing w:line="240" w:lineRule="auto"/>
        <w:ind w:firstLine="560"/>
        <w:jc w:val="left"/>
      </w:pPr>
      <w:r>
        <w:rPr>
          <w:rFonts w:hint="eastAsia"/>
        </w:rPr>
        <w:t>但是，未来矿山在开发过程中对植被的破坏，将直接影响到周边地区的生态环境，因此，要根据土地的规划，合理安排矿山地质环境保护与治理恢复工作，使矿山地质环境与周边经济开发协调统一。</w:t>
      </w:r>
    </w:p>
    <w:p>
      <w:pPr>
        <w:autoSpaceDE w:val="0"/>
        <w:autoSpaceDN w:val="0"/>
        <w:adjustRightInd w:val="0"/>
        <w:spacing w:line="240" w:lineRule="auto"/>
        <w:ind w:firstLine="560"/>
        <w:jc w:val="left"/>
      </w:pPr>
      <w:r>
        <w:rPr>
          <w:rFonts w:hint="eastAsia"/>
        </w:rPr>
        <w:t>综上，矿区目前水文地质、工程地质条件均为简单，环境地质条件亦较好。</w:t>
      </w:r>
    </w:p>
    <w:p>
      <w:pPr>
        <w:pStyle w:val="5"/>
        <w:ind w:firstLine="562"/>
      </w:pPr>
      <w:bookmarkStart w:id="125" w:name="_Toc70589735"/>
      <w:r>
        <w:rPr>
          <w:rFonts w:hint="eastAsia"/>
        </w:rPr>
        <w:t>3.3.4开采技术条件小结</w:t>
      </w:r>
      <w:bookmarkEnd w:id="125"/>
    </w:p>
    <w:p>
      <w:pPr>
        <w:ind w:firstLine="560"/>
      </w:pPr>
      <w:r>
        <w:t>矿体开采标高位于当地侵蚀基准面以上，地貌条件简单，地形条件不利于地下水的聚集，自然排水良好。地表第四系覆盖较少且薄，顶底板岩石和矿体不含水，构造破碎带不充水或含水较弱。矿区水文地质条件简单，该矿床为无水或少水矿床。矿区未来露天开采不会有地下水涌入矿坑，大气降水引起采坑积水的可能性较小。</w:t>
      </w:r>
    </w:p>
    <w:p>
      <w:pPr>
        <w:ind w:firstLine="560"/>
      </w:pPr>
      <w:r>
        <w:t>矿区周围地形较平坦，四周无居民点及耕地、植被等，矿山开采对环境地质的影响较小。矿区基岩裸露，开采后无地面塌陷、滑坡、泥石流等地质灾害发生，在洪水季节虽有暂时性洪水，但对开采影响不大。</w:t>
      </w:r>
    </w:p>
    <w:p>
      <w:pPr>
        <w:ind w:firstLine="560"/>
      </w:pPr>
      <w:r>
        <w:t>综上所述，该矿床的开采技术条件为简单，适合露天开采。</w:t>
      </w:r>
    </w:p>
    <w:p>
      <w:pPr>
        <w:pStyle w:val="4"/>
      </w:pPr>
      <w:bookmarkStart w:id="126" w:name="_Toc32233"/>
      <w:bookmarkStart w:id="127" w:name="_Toc71621576"/>
      <w:bookmarkStart w:id="128" w:name="_Toc70589736"/>
      <w:bookmarkStart w:id="129" w:name="_Toc147563665"/>
      <w:r>
        <w:rPr>
          <w:rFonts w:hint="eastAsia"/>
        </w:rPr>
        <w:t>3.4矿山资源储量概述</w:t>
      </w:r>
      <w:bookmarkEnd w:id="126"/>
      <w:bookmarkEnd w:id="127"/>
      <w:bookmarkEnd w:id="128"/>
      <w:bookmarkEnd w:id="129"/>
    </w:p>
    <w:p>
      <w:pPr>
        <w:ind w:firstLine="560"/>
      </w:pPr>
      <w:r>
        <w:rPr>
          <w:rFonts w:hint="eastAsia"/>
        </w:rPr>
        <w:t>根据《临泽县梨西4号电站东南侧建筑用砂矿普查报告》可知：临泽县梨西4号电站东南侧建筑用砂矿矿权范围内建筑用砂矿石资源量为</w:t>
      </w:r>
      <w:r>
        <w:t>566.2×</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pPr>
        <w:pStyle w:val="4"/>
      </w:pPr>
      <w:bookmarkStart w:id="130" w:name="_Toc71621577"/>
      <w:bookmarkStart w:id="131" w:name="_Toc70589737"/>
      <w:bookmarkStart w:id="132" w:name="_Toc147563666"/>
      <w:bookmarkStart w:id="133" w:name="_Toc15180"/>
      <w:r>
        <w:rPr>
          <w:rFonts w:hint="eastAsia"/>
        </w:rPr>
        <w:t>3.5对地质勘探报告的评述</w:t>
      </w:r>
      <w:bookmarkEnd w:id="130"/>
      <w:bookmarkEnd w:id="131"/>
      <w:bookmarkEnd w:id="132"/>
      <w:bookmarkEnd w:id="133"/>
    </w:p>
    <w:p>
      <w:pPr>
        <w:autoSpaceDE w:val="0"/>
        <w:autoSpaceDN w:val="0"/>
        <w:adjustRightInd w:val="0"/>
        <w:spacing w:line="240" w:lineRule="auto"/>
        <w:ind w:firstLine="560"/>
        <w:jc w:val="left"/>
        <w:sectPr>
          <w:pgSz w:w="11906" w:h="16838"/>
          <w:pgMar w:top="1440" w:right="1800" w:bottom="1440" w:left="1800" w:header="851" w:footer="992" w:gutter="0"/>
          <w:cols w:space="720" w:num="1"/>
          <w:docGrid w:type="lines" w:linePitch="312" w:charSpace="0"/>
        </w:sectPr>
      </w:pPr>
      <w:r>
        <w:rPr>
          <w:rFonts w:hint="eastAsia"/>
        </w:rPr>
        <w:t>本次开发利用方案编制工作所依据的《临泽县梨西4号电站东南侧建筑用砂矿普查报告》（甘肃省有色金属地质勘查局张掖矿产勘查院 202</w:t>
      </w:r>
      <w:r>
        <w:t>2</w:t>
      </w:r>
      <w:r>
        <w:rPr>
          <w:rFonts w:hint="eastAsia"/>
        </w:rPr>
        <w:t>.1），通过</w:t>
      </w:r>
      <w:r>
        <w:t>1</w:t>
      </w:r>
      <w:r>
        <w:rPr>
          <w:rFonts w:hint="eastAsia"/>
        </w:rPr>
        <w:t>：</w:t>
      </w:r>
      <w:r>
        <w:t xml:space="preserve">1000 </w:t>
      </w:r>
      <w:r>
        <w:rPr>
          <w:rFonts w:hint="eastAsia"/>
        </w:rPr>
        <w:t>地形测量、</w:t>
      </w:r>
      <w:r>
        <w:t>1</w:t>
      </w:r>
      <w:r>
        <w:rPr>
          <w:rFonts w:hint="eastAsia"/>
        </w:rPr>
        <w:t>：</w:t>
      </w:r>
      <w:r>
        <w:t>2000</w:t>
      </w:r>
      <w:r>
        <w:rPr>
          <w:rFonts w:hint="eastAsia"/>
        </w:rPr>
        <w:t>地质测量、</w:t>
      </w:r>
      <w:r>
        <w:t>1</w:t>
      </w:r>
      <w:r>
        <w:rPr>
          <w:rFonts w:hint="eastAsia"/>
        </w:rPr>
        <w:t>：</w:t>
      </w:r>
      <w:r>
        <w:t>1000</w:t>
      </w:r>
      <w:r>
        <w:rPr>
          <w:rFonts w:hint="eastAsia"/>
        </w:rPr>
        <w:t>勘探线剖面测量、浅井工程及样品采集等。估算了矿区范围内所有资源量，地质工作达到了《固体矿产地质勘查规范总则》（GB/T13908-2020）国家标准要求，基本满足本次开发利用方案编制的要求。</w:t>
      </w:r>
    </w:p>
    <w:p>
      <w:pPr>
        <w:pStyle w:val="3"/>
        <w:spacing w:before="312"/>
        <w:ind w:firstLine="602"/>
      </w:pPr>
      <w:bookmarkStart w:id="134" w:name="_Toc147563667"/>
      <w:bookmarkStart w:id="135" w:name="_Toc6670"/>
      <w:bookmarkStart w:id="136" w:name="_Toc70589738"/>
      <w:bookmarkStart w:id="137" w:name="_Toc71621578"/>
      <w:r>
        <w:rPr>
          <w:rFonts w:hint="eastAsia"/>
        </w:rPr>
        <w:t>4  主要建设方案确定</w:t>
      </w:r>
      <w:bookmarkEnd w:id="134"/>
      <w:bookmarkEnd w:id="135"/>
      <w:bookmarkEnd w:id="136"/>
      <w:bookmarkEnd w:id="137"/>
    </w:p>
    <w:p>
      <w:pPr>
        <w:pStyle w:val="4"/>
        <w:ind w:firstLine="843" w:firstLineChars="300"/>
      </w:pPr>
      <w:bookmarkStart w:id="138" w:name="_Toc29501"/>
      <w:bookmarkStart w:id="139" w:name="_Toc147563668"/>
      <w:bookmarkStart w:id="140" w:name="_Toc511226415"/>
      <w:bookmarkStart w:id="141" w:name="_Toc70589739"/>
      <w:bookmarkStart w:id="142" w:name="_Toc71621579"/>
      <w:bookmarkStart w:id="143" w:name="_Toc502783427"/>
      <w:bookmarkStart w:id="144" w:name="_Toc214406995"/>
      <w:r>
        <w:rPr>
          <w:rFonts w:hint="eastAsia"/>
        </w:rPr>
        <w:t>4.1 开采方案矿区总体概况</w:t>
      </w:r>
      <w:bookmarkEnd w:id="138"/>
      <w:bookmarkEnd w:id="139"/>
      <w:bookmarkEnd w:id="140"/>
      <w:bookmarkEnd w:id="141"/>
      <w:bookmarkEnd w:id="142"/>
      <w:bookmarkEnd w:id="143"/>
      <w:bookmarkEnd w:id="144"/>
    </w:p>
    <w:p>
      <w:pPr>
        <w:pStyle w:val="5"/>
        <w:ind w:firstLine="562"/>
      </w:pPr>
      <w:bookmarkStart w:id="145" w:name="_Toc70589740"/>
      <w:bookmarkStart w:id="146" w:name="_Toc395519147"/>
      <w:bookmarkStart w:id="147" w:name="_Toc502783428"/>
      <w:bookmarkStart w:id="148" w:name="_Toc214406996"/>
      <w:r>
        <w:rPr>
          <w:rFonts w:hint="eastAsia"/>
        </w:rPr>
        <w:t>4.1.1 开采范围、可利用的资源储量</w:t>
      </w:r>
      <w:bookmarkEnd w:id="145"/>
      <w:bookmarkEnd w:id="146"/>
      <w:bookmarkEnd w:id="147"/>
      <w:bookmarkEnd w:id="148"/>
    </w:p>
    <w:p>
      <w:pPr>
        <w:ind w:firstLine="560"/>
      </w:pPr>
      <w:bookmarkStart w:id="149" w:name="_Toc323392648"/>
      <w:bookmarkStart w:id="150" w:name="_Toc323136831"/>
      <w:bookmarkStart w:id="151" w:name="_Toc325471787"/>
      <w:bookmarkStart w:id="152" w:name="_Toc324345657"/>
      <w:bookmarkStart w:id="153" w:name="_Toc372118877"/>
      <w:bookmarkStart w:id="154" w:name="_Toc502783429"/>
      <w:bookmarkStart w:id="155" w:name="_Toc393202158"/>
      <w:bookmarkStart w:id="156" w:name="_Toc395519148"/>
      <w:bookmarkStart w:id="157" w:name="_Toc18223"/>
      <w:bookmarkStart w:id="158" w:name="_Toc21266"/>
      <w:bookmarkStart w:id="159" w:name="_Toc394081955"/>
      <w:r>
        <w:rPr>
          <w:rFonts w:hint="eastAsia"/>
        </w:rPr>
        <w:t>⑴矿区开采对象及</w:t>
      </w:r>
      <w:bookmarkEnd w:id="149"/>
      <w:bookmarkEnd w:id="150"/>
      <w:bookmarkEnd w:id="151"/>
      <w:bookmarkEnd w:id="152"/>
      <w:bookmarkEnd w:id="153"/>
      <w:r>
        <w:rPr>
          <w:rFonts w:hint="eastAsia"/>
        </w:rPr>
        <w:t>开采范围</w:t>
      </w:r>
      <w:bookmarkEnd w:id="154"/>
      <w:bookmarkEnd w:id="155"/>
      <w:bookmarkEnd w:id="156"/>
      <w:bookmarkEnd w:id="157"/>
      <w:bookmarkEnd w:id="158"/>
      <w:bookmarkEnd w:id="159"/>
    </w:p>
    <w:p>
      <w:pPr>
        <w:ind w:firstLine="560"/>
      </w:pPr>
      <w:r>
        <w:rPr>
          <w:rFonts w:hint="eastAsia"/>
        </w:rPr>
        <w:t>本次设计的开采对象为甘肃省临泽县梨西4号电站东南侧建筑用砂矿，采矿权面积</w:t>
      </w:r>
      <w:r>
        <w:t>0.58</w:t>
      </w:r>
      <w:r>
        <w:rPr>
          <w:rFonts w:hint="eastAsia"/>
        </w:rPr>
        <w:t>km</w:t>
      </w:r>
      <w:r>
        <w:rPr>
          <w:rFonts w:hint="eastAsia"/>
          <w:vertAlign w:val="superscript"/>
        </w:rPr>
        <w:t>2</w:t>
      </w:r>
      <w:r>
        <w:rPr>
          <w:rFonts w:hint="eastAsia"/>
        </w:rPr>
        <w:t>。拟开采标高为+</w:t>
      </w:r>
      <w:r>
        <w:t>1583</w:t>
      </w:r>
      <w:r>
        <w:rPr>
          <w:rFonts w:hint="eastAsia"/>
        </w:rPr>
        <w:t>m～+</w:t>
      </w:r>
      <w:r>
        <w:t>1623.5</w:t>
      </w:r>
      <w:r>
        <w:rPr>
          <w:rFonts w:hint="eastAsia"/>
        </w:rPr>
        <w:t>m，矿区范围拐点坐标见表4-1。</w:t>
      </w:r>
    </w:p>
    <w:tbl>
      <w:tblPr>
        <w:tblStyle w:val="13"/>
        <w:tblW w:w="4809" w:type="pct"/>
        <w:jc w:val="center"/>
        <w:tblLayout w:type="autofit"/>
        <w:tblCellMar>
          <w:top w:w="0" w:type="dxa"/>
          <w:left w:w="108" w:type="dxa"/>
          <w:bottom w:w="0" w:type="dxa"/>
          <w:right w:w="108" w:type="dxa"/>
        </w:tblCellMar>
      </w:tblPr>
      <w:tblGrid>
        <w:gridCol w:w="744"/>
        <w:gridCol w:w="1787"/>
        <w:gridCol w:w="1938"/>
        <w:gridCol w:w="1783"/>
        <w:gridCol w:w="1944"/>
      </w:tblGrid>
      <w:tr>
        <w:tblPrEx>
          <w:tblCellMar>
            <w:top w:w="0" w:type="dxa"/>
            <w:left w:w="108" w:type="dxa"/>
            <w:bottom w:w="0" w:type="dxa"/>
            <w:right w:w="108" w:type="dxa"/>
          </w:tblCellMar>
        </w:tblPrEx>
        <w:trPr>
          <w:trHeight w:val="285" w:hRule="atLeast"/>
          <w:jc w:val="center"/>
        </w:trPr>
        <w:tc>
          <w:tcPr>
            <w:tcW w:w="5000" w:type="pct"/>
            <w:gridSpan w:val="5"/>
            <w:tcBorders>
              <w:bottom w:val="single" w:color="000000" w:sz="4" w:space="0"/>
            </w:tcBorders>
            <w:noWrap/>
            <w:vAlign w:val="center"/>
          </w:tcPr>
          <w:p>
            <w:pPr>
              <w:pStyle w:val="2"/>
              <w:rPr>
                <w:rFonts w:ascii="黑体" w:hAnsi="黑体" w:eastAsia="黑体"/>
                <w:b/>
                <w:bCs/>
                <w:sz w:val="24"/>
              </w:rPr>
            </w:pPr>
            <w:r>
              <w:rPr>
                <w:rFonts w:hint="eastAsia" w:ascii="黑体" w:hAnsi="黑体" w:eastAsia="黑体"/>
                <w:b/>
                <w:bCs/>
                <w:sz w:val="24"/>
              </w:rPr>
              <w:t>表4</w:t>
            </w:r>
            <w:r>
              <w:rPr>
                <w:rFonts w:ascii="黑体" w:hAnsi="黑体" w:eastAsia="黑体"/>
                <w:b/>
                <w:bCs/>
                <w:sz w:val="24"/>
              </w:rPr>
              <w:t xml:space="preserve">-1 </w:t>
            </w:r>
            <w:r>
              <w:rPr>
                <w:rFonts w:hint="eastAsia" w:ascii="黑体" w:hAnsi="黑体" w:eastAsia="黑体"/>
                <w:b/>
                <w:bCs/>
                <w:sz w:val="24"/>
              </w:rPr>
              <w:t>临泽县梨西4号电站东南侧建筑用砂矿矿区范围拐点坐标一览表</w:t>
            </w:r>
          </w:p>
        </w:tc>
      </w:tr>
      <w:tr>
        <w:tblPrEx>
          <w:tblCellMar>
            <w:top w:w="0" w:type="dxa"/>
            <w:left w:w="108" w:type="dxa"/>
            <w:bottom w:w="0" w:type="dxa"/>
            <w:right w:w="108" w:type="dxa"/>
          </w:tblCellMar>
        </w:tblPrEx>
        <w:trPr>
          <w:trHeight w:val="285" w:hRule="atLeast"/>
          <w:jc w:val="center"/>
        </w:trPr>
        <w:tc>
          <w:tcPr>
            <w:tcW w:w="454" w:type="pct"/>
            <w:vMerge w:val="restar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序号</w:t>
            </w:r>
          </w:p>
        </w:tc>
        <w:tc>
          <w:tcPr>
            <w:tcW w:w="4546" w:type="pct"/>
            <w:gridSpan w:val="4"/>
            <w:tcBorders>
              <w:top w:val="single" w:color="000000" w:sz="4" w:space="0"/>
              <w:left w:val="single" w:color="000000" w:sz="4" w:space="0"/>
              <w:bottom w:val="single" w:color="000000" w:sz="4" w:space="0"/>
              <w:right w:val="single" w:color="000000" w:sz="4" w:space="0"/>
            </w:tcBorders>
            <w:vAlign w:val="center"/>
          </w:tcPr>
          <w:p>
            <w:pPr>
              <w:pStyle w:val="2"/>
            </w:pPr>
            <w:r>
              <w:rPr>
                <w:rFonts w:hint="eastAsia"/>
              </w:rPr>
              <w:t>2000 国家大地坐标系</w:t>
            </w:r>
          </w:p>
        </w:tc>
      </w:tr>
      <w:tr>
        <w:tblPrEx>
          <w:tblCellMar>
            <w:top w:w="0" w:type="dxa"/>
            <w:left w:w="108" w:type="dxa"/>
            <w:bottom w:w="0" w:type="dxa"/>
            <w:right w:w="108" w:type="dxa"/>
          </w:tblCellMar>
        </w:tblPrEx>
        <w:trPr>
          <w:trHeight w:val="285" w:hRule="atLeast"/>
          <w:jc w:val="center"/>
        </w:trPr>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2272" w:type="pct"/>
            <w:gridSpan w:val="2"/>
            <w:tcBorders>
              <w:top w:val="single" w:color="000000" w:sz="4" w:space="0"/>
              <w:left w:val="single" w:color="000000" w:sz="4" w:space="0"/>
              <w:bottom w:val="single" w:color="000000" w:sz="4" w:space="0"/>
              <w:right w:val="single" w:color="000000" w:sz="4" w:space="0"/>
            </w:tcBorders>
            <w:vAlign w:val="center"/>
          </w:tcPr>
          <w:p>
            <w:pPr>
              <w:pStyle w:val="2"/>
            </w:pPr>
            <w:r>
              <w:rPr>
                <w:rFonts w:hint="eastAsia"/>
              </w:rPr>
              <w:t>地理坐标</w:t>
            </w:r>
          </w:p>
        </w:tc>
        <w:tc>
          <w:tcPr>
            <w:tcW w:w="2274" w:type="pct"/>
            <w:gridSpan w:val="2"/>
            <w:tcBorders>
              <w:top w:val="single" w:color="000000" w:sz="4" w:space="0"/>
              <w:left w:val="single" w:color="000000" w:sz="4" w:space="0"/>
              <w:bottom w:val="single" w:color="000000" w:sz="4" w:space="0"/>
              <w:right w:val="single" w:color="000000" w:sz="4" w:space="0"/>
            </w:tcBorders>
            <w:vAlign w:val="center"/>
          </w:tcPr>
          <w:p>
            <w:pPr>
              <w:pStyle w:val="2"/>
            </w:pPr>
            <w:r>
              <w:rPr>
                <w:rFonts w:hint="eastAsia"/>
              </w:rPr>
              <w:t>直角坐标（</w:t>
            </w:r>
            <w:r>
              <w:t>3</w:t>
            </w:r>
            <w:r>
              <w:rPr>
                <w:rFonts w:hint="eastAsia"/>
              </w:rPr>
              <w:t>度带，</w:t>
            </w:r>
            <w:r>
              <w:t>33</w:t>
            </w:r>
            <w:r>
              <w:rPr>
                <w:rFonts w:hint="eastAsia"/>
              </w:rPr>
              <w:t>分带）</w:t>
            </w:r>
          </w:p>
        </w:tc>
      </w:tr>
      <w:tr>
        <w:tblPrEx>
          <w:tblCellMar>
            <w:top w:w="0" w:type="dxa"/>
            <w:left w:w="108" w:type="dxa"/>
            <w:bottom w:w="0" w:type="dxa"/>
            <w:right w:w="108" w:type="dxa"/>
          </w:tblCellMar>
        </w:tblPrEx>
        <w:trPr>
          <w:trHeight w:val="285" w:hRule="atLeast"/>
          <w:jc w:val="center"/>
        </w:trPr>
        <w:tc>
          <w:tcPr>
            <w:tcW w:w="454" w:type="pct"/>
            <w:vMerge w:val="continue"/>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90"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东经</w:t>
            </w: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北纬</w:t>
            </w:r>
          </w:p>
        </w:tc>
        <w:tc>
          <w:tcPr>
            <w:tcW w:w="1088"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X（m）</w:t>
            </w: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Y（m）</w:t>
            </w: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1</w:t>
            </w:r>
          </w:p>
        </w:tc>
        <w:tc>
          <w:tcPr>
            <w:tcW w:w="1090" w:type="pct"/>
            <w:tcBorders>
              <w:top w:val="single" w:color="000000" w:sz="4" w:space="0"/>
              <w:left w:val="single" w:color="000000" w:sz="4" w:space="0"/>
              <w:bottom w:val="single" w:color="000000" w:sz="4" w:space="0"/>
              <w:right w:val="single" w:color="000000" w:sz="4" w:space="0"/>
            </w:tcBorders>
            <w:noWrap/>
            <w:vAlign w:val="bottom"/>
          </w:tcPr>
          <w:p>
            <w:pPr>
              <w:ind w:firstLine="0" w:firstLineChars="0"/>
              <w:jc w:val="center"/>
              <w:rPr>
                <w:sz w:val="20"/>
                <w:szCs w:val="20"/>
              </w:rPr>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8"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2</w:t>
            </w:r>
          </w:p>
        </w:tc>
        <w:tc>
          <w:tcPr>
            <w:tcW w:w="1090" w:type="pct"/>
            <w:tcBorders>
              <w:top w:val="single" w:color="000000" w:sz="4" w:space="0"/>
              <w:left w:val="single" w:color="000000" w:sz="4" w:space="0"/>
              <w:bottom w:val="single" w:color="000000" w:sz="4" w:space="0"/>
              <w:right w:val="single" w:color="000000" w:sz="4" w:space="0"/>
            </w:tcBorders>
            <w:noWrap/>
            <w:vAlign w:val="bottom"/>
          </w:tcPr>
          <w:p>
            <w:pPr>
              <w:ind w:firstLine="0" w:firstLineChars="0"/>
              <w:jc w:val="center"/>
              <w:rPr>
                <w:sz w:val="20"/>
                <w:szCs w:val="20"/>
              </w:rPr>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8"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3</w:t>
            </w:r>
          </w:p>
        </w:tc>
        <w:tc>
          <w:tcPr>
            <w:tcW w:w="1090"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8"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4</w:t>
            </w:r>
          </w:p>
        </w:tc>
        <w:tc>
          <w:tcPr>
            <w:tcW w:w="1090"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8"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5</w:t>
            </w:r>
          </w:p>
        </w:tc>
        <w:tc>
          <w:tcPr>
            <w:tcW w:w="1090"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8"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6</w:t>
            </w:r>
          </w:p>
        </w:tc>
        <w:tc>
          <w:tcPr>
            <w:tcW w:w="1090"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8"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7</w:t>
            </w:r>
          </w:p>
        </w:tc>
        <w:tc>
          <w:tcPr>
            <w:tcW w:w="1090"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8"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8</w:t>
            </w:r>
          </w:p>
        </w:tc>
        <w:tc>
          <w:tcPr>
            <w:tcW w:w="1090"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8"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9</w:t>
            </w:r>
          </w:p>
        </w:tc>
        <w:tc>
          <w:tcPr>
            <w:tcW w:w="1090" w:type="pct"/>
            <w:tcBorders>
              <w:top w:val="single" w:color="000000" w:sz="4" w:space="0"/>
              <w:left w:val="single" w:color="000000" w:sz="4" w:space="0"/>
              <w:bottom w:val="single" w:color="000000" w:sz="4" w:space="0"/>
              <w:right w:val="single" w:color="000000" w:sz="4" w:space="0"/>
            </w:tcBorders>
            <w:noWrap/>
            <w:vAlign w:val="bottom"/>
          </w:tcPr>
          <w:p>
            <w:pPr>
              <w:ind w:firstLine="0" w:firstLineChars="0"/>
              <w:jc w:val="center"/>
              <w:rPr>
                <w:sz w:val="20"/>
                <w:szCs w:val="20"/>
              </w:rPr>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8"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454" w:type="pct"/>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1</w:t>
            </w:r>
            <w:r>
              <w:t>0</w:t>
            </w:r>
          </w:p>
        </w:tc>
        <w:tc>
          <w:tcPr>
            <w:tcW w:w="1090"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79"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088" w:type="pct"/>
            <w:tcBorders>
              <w:top w:val="single" w:color="000000" w:sz="4" w:space="0"/>
              <w:left w:val="single" w:color="000000" w:sz="4" w:space="0"/>
              <w:bottom w:val="single" w:color="000000" w:sz="4" w:space="0"/>
              <w:right w:val="single" w:color="000000" w:sz="4" w:space="0"/>
            </w:tcBorders>
            <w:noWrap/>
            <w:vAlign w:val="center"/>
          </w:tcPr>
          <w:p>
            <w:pPr>
              <w:pStyle w:val="2"/>
            </w:pPr>
          </w:p>
        </w:tc>
        <w:tc>
          <w:tcPr>
            <w:tcW w:w="1189" w:type="pct"/>
            <w:tcBorders>
              <w:top w:val="single" w:color="000000" w:sz="4" w:space="0"/>
              <w:left w:val="single" w:color="000000" w:sz="4" w:space="0"/>
              <w:bottom w:val="single" w:color="000000" w:sz="4" w:space="0"/>
              <w:right w:val="single" w:color="000000" w:sz="4" w:space="0"/>
            </w:tcBorders>
            <w:noWrap/>
            <w:vAlign w:val="center"/>
          </w:tcPr>
          <w:p>
            <w:pPr>
              <w:pStyle w:val="2"/>
            </w:pPr>
          </w:p>
        </w:tc>
      </w:tr>
      <w:tr>
        <w:tblPrEx>
          <w:tblCellMar>
            <w:top w:w="0" w:type="dxa"/>
            <w:left w:w="108" w:type="dxa"/>
            <w:bottom w:w="0" w:type="dxa"/>
            <w:right w:w="108" w:type="dxa"/>
          </w:tblCellMar>
        </w:tblPrEx>
        <w:trPr>
          <w:trHeight w:val="285"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pPr>
              <w:pStyle w:val="2"/>
            </w:pPr>
            <w:r>
              <w:rPr>
                <w:rFonts w:hint="eastAsia"/>
              </w:rPr>
              <w:t>矿区面积：0.</w:t>
            </w:r>
            <w:r>
              <w:t>58</w:t>
            </w:r>
            <w:r>
              <w:rPr>
                <w:rFonts w:hint="eastAsia"/>
              </w:rPr>
              <w:t>km</w:t>
            </w:r>
            <w:r>
              <w:rPr>
                <w:rFonts w:hint="eastAsia"/>
                <w:vertAlign w:val="superscript"/>
              </w:rPr>
              <w:t>2</w:t>
            </w:r>
            <w:r>
              <w:rPr>
                <w:rFonts w:hint="eastAsia"/>
              </w:rPr>
              <w:t>，标高：</w:t>
            </w:r>
            <w:r>
              <w:t>1583.0</w:t>
            </w:r>
            <w:r>
              <w:rPr>
                <w:rFonts w:hint="eastAsia"/>
              </w:rPr>
              <w:t>m～</w:t>
            </w:r>
            <w:r>
              <w:t>1623.5</w:t>
            </w:r>
            <w:r>
              <w:rPr>
                <w:rFonts w:hint="eastAsia"/>
              </w:rPr>
              <w:t>m</w:t>
            </w:r>
          </w:p>
        </w:tc>
      </w:tr>
    </w:tbl>
    <w:p>
      <w:pPr>
        <w:pStyle w:val="2"/>
      </w:pPr>
    </w:p>
    <w:p>
      <w:pPr>
        <w:pStyle w:val="2"/>
      </w:pPr>
    </w:p>
    <w:p>
      <w:pPr>
        <w:pStyle w:val="2"/>
      </w:pPr>
    </w:p>
    <w:p>
      <w:pPr>
        <w:pStyle w:val="2"/>
      </w:pPr>
    </w:p>
    <w:p>
      <w:pPr>
        <w:pStyle w:val="2"/>
        <w:jc w:val="both"/>
      </w:pPr>
    </w:p>
    <w:p>
      <w:pPr>
        <w:ind w:firstLine="560"/>
      </w:pPr>
      <w:r>
        <w:rPr>
          <w:rFonts w:hint="eastAsia"/>
        </w:rPr>
        <w:t>矿区</w:t>
      </w:r>
      <w:r>
        <w:t>东西两侧存在两条近南北向引电渠，</w:t>
      </w:r>
      <w:r>
        <w:rPr>
          <w:rFonts w:hint="eastAsia"/>
        </w:rPr>
        <w:t>开采范围</w:t>
      </w:r>
      <w:r>
        <w:t>边界与引电渠预留的安全距离≥25m</w:t>
      </w:r>
      <w:r>
        <w:rPr>
          <w:rFonts w:hint="eastAsia"/>
        </w:rPr>
        <w:t>；矿区</w:t>
      </w:r>
      <w:r>
        <w:t>范围内分别存在 1 条 330kv、1 条 110kv 高压输电线，根据相关规范，</w:t>
      </w:r>
      <w:r>
        <w:rPr>
          <w:rFonts w:hint="eastAsia"/>
        </w:rPr>
        <w:t>开采范围</w:t>
      </w:r>
      <w:r>
        <w:t>预留安全距离 35m，另外存在1 条 35kv 高压线路，根据相关规范，</w:t>
      </w:r>
      <w:r>
        <w:rPr>
          <w:rFonts w:hint="eastAsia"/>
        </w:rPr>
        <w:t>开采范围</w:t>
      </w:r>
      <w:r>
        <w:t>预留安全距离20m。</w:t>
      </w:r>
    </w:p>
    <w:p>
      <w:pPr>
        <w:ind w:firstLine="560"/>
      </w:pPr>
      <w:r>
        <w:t>矿区范围内地势环境较为简单，今后在开采过程中严格按照自上而下的开采顺序进行开采，避免造成工作面形成陡坡、伞岩等，威胁到今后的采矿作业安全。</w:t>
      </w:r>
    </w:p>
    <w:p>
      <w:pPr>
        <w:ind w:firstLine="560"/>
      </w:pPr>
      <w:r>
        <w:t xml:space="preserve">⑵可利用的资源储量 </w:t>
      </w:r>
    </w:p>
    <w:p>
      <w:pPr>
        <w:autoSpaceDE w:val="0"/>
        <w:autoSpaceDN w:val="0"/>
        <w:adjustRightInd w:val="0"/>
        <w:spacing w:line="240" w:lineRule="auto"/>
        <w:ind w:firstLine="560"/>
        <w:jc w:val="left"/>
        <w:rPr>
          <w:rFonts w:ascii="仿宋" w:eastAsia="仿宋" w:cs="仿宋" w:hAnsiTheme="minorHAnsi"/>
          <w:kern w:val="0"/>
          <w:szCs w:val="28"/>
        </w:rPr>
      </w:pPr>
      <w:r>
        <w:t>本方案所依据的资源量是由《临泽县梨西4号电站东南侧建筑用砂矿普查报告》（</w:t>
      </w:r>
      <w:r>
        <w:rPr>
          <w:rFonts w:hint="eastAsia"/>
        </w:rPr>
        <w:t>甘肃省有色金属地质勘查局张掖矿产勘查院</w:t>
      </w:r>
      <w:r>
        <w:t xml:space="preserve"> 20</w:t>
      </w:r>
      <w:r>
        <w:rPr>
          <w:rFonts w:hint="eastAsia"/>
        </w:rPr>
        <w:t>2</w:t>
      </w:r>
      <w:r>
        <w:t>2年</w:t>
      </w:r>
      <w:r>
        <w:rPr>
          <w:rFonts w:hint="eastAsia"/>
        </w:rPr>
        <w:t>1</w:t>
      </w:r>
      <w:r>
        <w:t>月）可知：</w:t>
      </w:r>
      <w:r>
        <w:rPr>
          <w:rFonts w:hint="eastAsia"/>
        </w:rPr>
        <w:t>矿</w:t>
      </w:r>
      <w:r>
        <w:t>区资源量估算范围内求得推断资源量为566.2×10</w:t>
      </w:r>
      <w:r>
        <w:rPr>
          <w:vertAlign w:val="superscript"/>
        </w:rPr>
        <w:t>4</w:t>
      </w:r>
      <w:r>
        <w:t>m</w:t>
      </w:r>
      <w:r>
        <w:rPr>
          <w:vertAlign w:val="superscript"/>
        </w:rPr>
        <w:t>3</w:t>
      </w:r>
      <w:r>
        <w:rPr>
          <w:rFonts w:hint="eastAsia"/>
        </w:rPr>
        <w:t>，直接能利用的砂石资源量为</w:t>
      </w:r>
      <w:r>
        <w:t>422.8×10</w:t>
      </w:r>
      <w:r>
        <w:rPr>
          <w:vertAlign w:val="superscript"/>
        </w:rPr>
        <w:t>4</w:t>
      </w:r>
      <w:r>
        <w:t>m</w:t>
      </w:r>
      <w:r>
        <w:rPr>
          <w:vertAlign w:val="superscript"/>
        </w:rPr>
        <w:t>3</w:t>
      </w:r>
      <w:r>
        <w:rPr>
          <w:rFonts w:hint="eastAsia"/>
        </w:rPr>
        <w:t>（扣除砾径小于0</w:t>
      </w:r>
      <w:r>
        <w:t>.16</w:t>
      </w:r>
      <w:r>
        <w:rPr>
          <w:rFonts w:hint="eastAsia"/>
        </w:rPr>
        <w:t>mm和大于4</w:t>
      </w:r>
      <w:r>
        <w:t>0</w:t>
      </w:r>
      <w:r>
        <w:rPr>
          <w:rFonts w:hint="eastAsia"/>
        </w:rPr>
        <w:t>mm的砾石）</w:t>
      </w:r>
      <w:r>
        <w:t>。</w:t>
      </w:r>
      <w:r>
        <w:rPr>
          <w:rFonts w:hint="eastAsia"/>
        </w:rPr>
        <w:t>现同甲方沟通，砾径大于4</w:t>
      </w:r>
      <w:r>
        <w:t>0</w:t>
      </w:r>
      <w:r>
        <w:rPr>
          <w:rFonts w:hint="eastAsia"/>
        </w:rPr>
        <w:t>mm的砾石经破碎后可用，故将砾径大于4</w:t>
      </w:r>
      <w:r>
        <w:t>0</w:t>
      </w:r>
      <w:r>
        <w:rPr>
          <w:rFonts w:hint="eastAsia"/>
        </w:rPr>
        <w:t>mm的砾石资源量计入直接能利用的砂石资源量中，本次使用的直接能利用的砂石资源量为</w:t>
      </w:r>
      <w:r>
        <w:t>529.4×10</w:t>
      </w:r>
      <w:r>
        <w:rPr>
          <w:vertAlign w:val="superscript"/>
        </w:rPr>
        <w:t>4</w:t>
      </w:r>
      <w:r>
        <w:t>m</w:t>
      </w:r>
      <w:r>
        <w:rPr>
          <w:vertAlign w:val="superscript"/>
        </w:rPr>
        <w:t>3</w:t>
      </w:r>
      <w:r>
        <w:rPr>
          <w:rFonts w:hint="eastAsia"/>
        </w:rPr>
        <w:t>，</w:t>
      </w:r>
      <w:r>
        <w:t>按规范要求，本方案选取资源量可信度系数</w:t>
      </w:r>
      <w:r>
        <w:rPr>
          <w:rFonts w:hint="eastAsia"/>
        </w:rPr>
        <w:t>为1</w:t>
      </w:r>
      <w:r>
        <w:t>。则</w:t>
      </w:r>
      <w:r>
        <w:rPr>
          <w:rFonts w:hint="eastAsia"/>
        </w:rPr>
        <w:t>确定</w:t>
      </w:r>
      <w:r>
        <w:t>区范围内设计可利用资源量为529.4×</w:t>
      </w:r>
      <w:r>
        <w:rPr>
          <w:rFonts w:hint="eastAsia"/>
        </w:rPr>
        <w:t>10</w:t>
      </w:r>
      <w:r>
        <w:rPr>
          <w:rFonts w:hint="eastAsia"/>
          <w:vertAlign w:val="superscript"/>
        </w:rPr>
        <w:t>4</w:t>
      </w:r>
      <w:r>
        <w:rPr>
          <w:rFonts w:hint="eastAsia"/>
        </w:rPr>
        <w:t>m</w:t>
      </w:r>
      <w:r>
        <w:rPr>
          <w:rFonts w:hint="eastAsia"/>
          <w:vertAlign w:val="superscript"/>
        </w:rPr>
        <w:t>3</w:t>
      </w:r>
      <w:r>
        <w:t>×1=529.4×</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pPr>
        <w:ind w:firstLine="560"/>
      </w:pPr>
      <w:r>
        <w:rPr>
          <w:rFonts w:hint="eastAsia"/>
        </w:rPr>
        <w:t>根据张掖市内其他同类矿山相对比及矿山实际情况，本次开发利用方案矿山开采损失主要为矿体最终边坡及开采过程中石料的抛散而造成的损失，该部分矿石损失量约占设计利用的</w:t>
      </w:r>
      <w:r>
        <w:t>5</w:t>
      </w:r>
      <w:r>
        <w:rPr>
          <w:rFonts w:hint="eastAsia"/>
        </w:rPr>
        <w:t>%，则：</w:t>
      </w:r>
    </w:p>
    <w:p>
      <w:pPr>
        <w:ind w:firstLine="560"/>
      </w:pPr>
      <w:r>
        <w:rPr>
          <w:rFonts w:hint="eastAsia"/>
        </w:rPr>
        <w:t>设计可采资源量=设计可利用资源量-损失量</w:t>
      </w:r>
      <w:r>
        <w:t>,529.4</w:t>
      </w:r>
      <w:r>
        <w:rPr>
          <w:rFonts w:hint="eastAsia"/>
        </w:rPr>
        <w:t>×10</w:t>
      </w:r>
      <w:r>
        <w:rPr>
          <w:rFonts w:hint="eastAsia"/>
          <w:vertAlign w:val="superscript"/>
        </w:rPr>
        <w:t>4</w:t>
      </w:r>
      <w:r>
        <w:rPr>
          <w:rFonts w:hint="eastAsia"/>
        </w:rPr>
        <w:t>m</w:t>
      </w:r>
      <w:r>
        <w:rPr>
          <w:rFonts w:hint="eastAsia"/>
          <w:vertAlign w:val="superscript"/>
        </w:rPr>
        <w:t>3</w:t>
      </w:r>
      <w:r>
        <w:rPr>
          <w:rFonts w:hint="eastAsia"/>
        </w:rPr>
        <w:t>×（1-</w:t>
      </w:r>
      <w:r>
        <w:t>5</w:t>
      </w:r>
      <w:r>
        <w:rPr>
          <w:rFonts w:hint="eastAsia"/>
        </w:rPr>
        <w:t>%）=</w:t>
      </w:r>
      <w:r>
        <w:t>502.93</w:t>
      </w:r>
      <w:r>
        <w:rPr>
          <w:rFonts w:hint="eastAsia"/>
        </w:rPr>
        <w:t>×10</w:t>
      </w:r>
      <w:r>
        <w:rPr>
          <w:rFonts w:hint="eastAsia"/>
          <w:vertAlign w:val="superscript"/>
        </w:rPr>
        <w:t>4</w:t>
      </w:r>
      <w:r>
        <w:rPr>
          <w:rFonts w:hint="eastAsia"/>
        </w:rPr>
        <w:t>m</w:t>
      </w:r>
      <w:r>
        <w:rPr>
          <w:rFonts w:hint="eastAsia"/>
          <w:vertAlign w:val="superscript"/>
        </w:rPr>
        <w:t>3</w:t>
      </w:r>
      <w:r>
        <w:rPr>
          <w:rFonts w:hint="eastAsia"/>
        </w:rPr>
        <w:t>。因此，设计可采资源量为</w:t>
      </w:r>
      <w:r>
        <w:t>502.93</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pPr>
        <w:pStyle w:val="5"/>
        <w:ind w:firstLine="562"/>
      </w:pPr>
      <w:bookmarkStart w:id="160" w:name="_Toc502783431"/>
      <w:bookmarkStart w:id="161" w:name="_Toc70589741"/>
      <w:bookmarkStart w:id="162" w:name="_Toc395519150"/>
      <w:r>
        <w:rPr>
          <w:rFonts w:hint="eastAsia"/>
        </w:rPr>
        <w:t>4.1.2 建设规模、产品方案</w:t>
      </w:r>
      <w:bookmarkEnd w:id="160"/>
      <w:bookmarkEnd w:id="161"/>
      <w:bookmarkEnd w:id="162"/>
    </w:p>
    <w:p>
      <w:pPr>
        <w:ind w:firstLine="560"/>
      </w:pPr>
      <w:r>
        <w:rPr>
          <w:rFonts w:hint="eastAsia"/>
        </w:rPr>
        <w:t>⑴建设规模</w:t>
      </w:r>
    </w:p>
    <w:p>
      <w:pPr>
        <w:ind w:firstLine="560"/>
      </w:pPr>
      <w:r>
        <w:rPr>
          <w:rFonts w:hint="eastAsia"/>
        </w:rPr>
        <w:t>根据国务院下发的《矿产资源开采登记管理办法》（中华人民共和国国务院令第241号）及张掖市第三轮整体规划等相关规定，并且根据该矿矿体形态、规模及产状，结合当地的销售能力以及通过跟业主讨论，现提出10万立方米/年、20万立方米/年、30万立方米/年三个建设规模进行简要论证（见表4-</w:t>
      </w:r>
      <w:r>
        <w:t>2</w:t>
      </w:r>
      <w:r>
        <w:rPr>
          <w:rFonts w:hint="eastAsia"/>
        </w:rPr>
        <w:t>）。</w:t>
      </w:r>
    </w:p>
    <w:p>
      <w:pPr>
        <w:pStyle w:val="6"/>
        <w:keepNext/>
        <w:ind w:firstLine="0" w:firstLineChars="0"/>
        <w:jc w:val="center"/>
        <w:rPr>
          <w:rFonts w:ascii="黑体" w:hAnsi="黑体"/>
          <w:b/>
          <w:bCs/>
          <w:sz w:val="24"/>
          <w:szCs w:val="24"/>
        </w:rPr>
      </w:pPr>
      <w:r>
        <w:rPr>
          <w:rFonts w:hint="eastAsia" w:ascii="黑体" w:hAnsi="黑体"/>
          <w:b/>
          <w:bCs/>
          <w:sz w:val="24"/>
          <w:szCs w:val="24"/>
        </w:rPr>
        <w:t>表4</w:t>
      </w:r>
      <w:r>
        <w:rPr>
          <w:rFonts w:ascii="黑体" w:hAnsi="黑体"/>
          <w:b/>
          <w:bCs/>
          <w:sz w:val="24"/>
          <w:szCs w:val="24"/>
        </w:rPr>
        <w:t xml:space="preserve">-2 </w:t>
      </w:r>
      <w:r>
        <w:rPr>
          <w:rFonts w:hint="eastAsia" w:ascii="黑体" w:hAnsi="黑体"/>
          <w:b/>
          <w:bCs/>
          <w:sz w:val="24"/>
          <w:szCs w:val="24"/>
        </w:rPr>
        <w:t>建设规模简要论证对比表</w:t>
      </w:r>
    </w:p>
    <w:tbl>
      <w:tblPr>
        <w:tblStyle w:val="13"/>
        <w:tblW w:w="8420" w:type="dxa"/>
        <w:tblInd w:w="113" w:type="dxa"/>
        <w:tblLayout w:type="autofit"/>
        <w:tblCellMar>
          <w:top w:w="0" w:type="dxa"/>
          <w:left w:w="108" w:type="dxa"/>
          <w:bottom w:w="0" w:type="dxa"/>
          <w:right w:w="108" w:type="dxa"/>
        </w:tblCellMar>
      </w:tblPr>
      <w:tblGrid>
        <w:gridCol w:w="1080"/>
        <w:gridCol w:w="1080"/>
        <w:gridCol w:w="1080"/>
        <w:gridCol w:w="1400"/>
        <w:gridCol w:w="1340"/>
        <w:gridCol w:w="1360"/>
        <w:gridCol w:w="1080"/>
      </w:tblGrid>
      <w:tr>
        <w:tblPrEx>
          <w:tblCellMar>
            <w:top w:w="0" w:type="dxa"/>
            <w:left w:w="108" w:type="dxa"/>
            <w:bottom w:w="0" w:type="dxa"/>
            <w:right w:w="108" w:type="dxa"/>
          </w:tblCellMar>
        </w:tblPrEx>
        <w:trPr>
          <w:trHeight w:val="300" w:hRule="atLeast"/>
        </w:trPr>
        <w:tc>
          <w:tcPr>
            <w:tcW w:w="216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项目</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单位</w:t>
            </w:r>
          </w:p>
        </w:tc>
        <w:tc>
          <w:tcPr>
            <w:tcW w:w="4100"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规模方案</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备注</w:t>
            </w:r>
          </w:p>
        </w:tc>
      </w:tr>
      <w:tr>
        <w:tblPrEx>
          <w:tblCellMar>
            <w:top w:w="0" w:type="dxa"/>
            <w:left w:w="108" w:type="dxa"/>
            <w:bottom w:w="0" w:type="dxa"/>
            <w:right w:w="108" w:type="dxa"/>
          </w:tblCellMar>
        </w:tblPrEx>
        <w:trPr>
          <w:trHeight w:val="345" w:hRule="atLeast"/>
        </w:trPr>
        <w:tc>
          <w:tcPr>
            <w:tcW w:w="21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c>
          <w:tcPr>
            <w:tcW w:w="1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10</w:t>
            </w:r>
            <w:r>
              <w:rPr>
                <w:rFonts w:hint="eastAsia" w:ascii="宋体" w:hAnsi="宋体"/>
                <w:color w:val="000000"/>
                <w:kern w:val="0"/>
                <w:sz w:val="21"/>
                <w:szCs w:val="21"/>
              </w:rPr>
              <w:t>万</w:t>
            </w:r>
            <w:r>
              <w:rPr>
                <w:rFonts w:eastAsia="等线"/>
                <w:color w:val="000000"/>
                <w:kern w:val="0"/>
                <w:sz w:val="21"/>
                <w:szCs w:val="21"/>
              </w:rPr>
              <w:t>m</w:t>
            </w:r>
            <w:r>
              <w:rPr>
                <w:rFonts w:eastAsia="等线"/>
                <w:color w:val="000000"/>
                <w:kern w:val="0"/>
                <w:sz w:val="21"/>
                <w:szCs w:val="21"/>
                <w:vertAlign w:val="superscript"/>
              </w:rPr>
              <w:t>3</w:t>
            </w:r>
            <w:r>
              <w:rPr>
                <w:rFonts w:eastAsia="等线"/>
                <w:color w:val="000000"/>
                <w:kern w:val="0"/>
                <w:sz w:val="21"/>
                <w:szCs w:val="21"/>
              </w:rPr>
              <w:t>/a</w:t>
            </w:r>
          </w:p>
        </w:tc>
        <w:tc>
          <w:tcPr>
            <w:tcW w:w="13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20</w:t>
            </w:r>
            <w:r>
              <w:rPr>
                <w:rFonts w:hint="eastAsia" w:ascii="宋体" w:hAnsi="宋体"/>
                <w:color w:val="000000"/>
                <w:kern w:val="0"/>
                <w:sz w:val="21"/>
                <w:szCs w:val="21"/>
              </w:rPr>
              <w:t>万</w:t>
            </w:r>
            <w:r>
              <w:rPr>
                <w:rFonts w:eastAsia="等线"/>
                <w:color w:val="000000"/>
                <w:kern w:val="0"/>
                <w:sz w:val="21"/>
                <w:szCs w:val="21"/>
              </w:rPr>
              <w:t>m</w:t>
            </w:r>
            <w:r>
              <w:rPr>
                <w:rFonts w:eastAsia="等线"/>
                <w:color w:val="000000"/>
                <w:kern w:val="0"/>
                <w:sz w:val="21"/>
                <w:szCs w:val="21"/>
                <w:vertAlign w:val="superscript"/>
              </w:rPr>
              <w:t>3</w:t>
            </w:r>
            <w:r>
              <w:rPr>
                <w:rFonts w:eastAsia="等线"/>
                <w:color w:val="000000"/>
                <w:kern w:val="0"/>
                <w:sz w:val="21"/>
                <w:szCs w:val="21"/>
              </w:rPr>
              <w:t>/a</w:t>
            </w: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30</w:t>
            </w:r>
            <w:r>
              <w:rPr>
                <w:rFonts w:hint="eastAsia" w:ascii="宋体" w:hAnsi="宋体"/>
                <w:color w:val="000000"/>
                <w:kern w:val="0"/>
                <w:sz w:val="21"/>
                <w:szCs w:val="21"/>
              </w:rPr>
              <w:t>万</w:t>
            </w:r>
            <w:r>
              <w:rPr>
                <w:rFonts w:eastAsia="等线"/>
                <w:color w:val="000000"/>
                <w:kern w:val="0"/>
                <w:sz w:val="21"/>
                <w:szCs w:val="21"/>
              </w:rPr>
              <w:t>m</w:t>
            </w:r>
            <w:r>
              <w:rPr>
                <w:rFonts w:eastAsia="等线"/>
                <w:color w:val="000000"/>
                <w:kern w:val="0"/>
                <w:sz w:val="21"/>
                <w:szCs w:val="21"/>
                <w:vertAlign w:val="superscript"/>
              </w:rPr>
              <w:t>3</w:t>
            </w:r>
            <w:r>
              <w:rPr>
                <w:rFonts w:eastAsia="等线"/>
                <w:color w:val="000000"/>
                <w:kern w:val="0"/>
                <w:sz w:val="21"/>
                <w:szCs w:val="21"/>
              </w:rPr>
              <w:t>/a</w:t>
            </w: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r>
      <w:tr>
        <w:tblPrEx>
          <w:tblCellMar>
            <w:top w:w="0" w:type="dxa"/>
            <w:left w:w="108" w:type="dxa"/>
            <w:bottom w:w="0" w:type="dxa"/>
            <w:right w:w="108" w:type="dxa"/>
          </w:tblCellMar>
        </w:tblPrEx>
        <w:trPr>
          <w:trHeight w:val="345"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地质资源量</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万</w:t>
            </w:r>
            <w:r>
              <w:rPr>
                <w:color w:val="000000"/>
                <w:kern w:val="0"/>
                <w:sz w:val="21"/>
                <w:szCs w:val="21"/>
              </w:rPr>
              <w:t>m</w:t>
            </w:r>
            <w:r>
              <w:rPr>
                <w:color w:val="000000"/>
                <w:kern w:val="0"/>
                <w:sz w:val="21"/>
                <w:szCs w:val="21"/>
                <w:vertAlign w:val="superscript"/>
              </w:rPr>
              <w:t>3</w:t>
            </w:r>
          </w:p>
        </w:tc>
        <w:tc>
          <w:tcPr>
            <w:tcW w:w="4100"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566.2</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　</w:t>
            </w:r>
          </w:p>
        </w:tc>
      </w:tr>
      <w:tr>
        <w:tblPrEx>
          <w:tblCellMar>
            <w:top w:w="0" w:type="dxa"/>
            <w:left w:w="108" w:type="dxa"/>
            <w:bottom w:w="0" w:type="dxa"/>
            <w:right w:w="108" w:type="dxa"/>
          </w:tblCellMar>
        </w:tblPrEx>
        <w:trPr>
          <w:trHeight w:val="345"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设计利用资源量</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万</w:t>
            </w:r>
            <w:r>
              <w:rPr>
                <w:color w:val="000000"/>
                <w:kern w:val="0"/>
                <w:sz w:val="21"/>
                <w:szCs w:val="21"/>
              </w:rPr>
              <w:t>m</w:t>
            </w:r>
            <w:r>
              <w:rPr>
                <w:color w:val="000000"/>
                <w:kern w:val="0"/>
                <w:sz w:val="21"/>
                <w:szCs w:val="21"/>
                <w:vertAlign w:val="superscript"/>
              </w:rPr>
              <w:t>3</w:t>
            </w:r>
          </w:p>
        </w:tc>
        <w:tc>
          <w:tcPr>
            <w:tcW w:w="4100"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529.4</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　</w:t>
            </w:r>
          </w:p>
        </w:tc>
      </w:tr>
      <w:tr>
        <w:tblPrEx>
          <w:tblCellMar>
            <w:top w:w="0" w:type="dxa"/>
            <w:left w:w="108" w:type="dxa"/>
            <w:bottom w:w="0" w:type="dxa"/>
            <w:right w:w="108" w:type="dxa"/>
          </w:tblCellMar>
        </w:tblPrEx>
        <w:trPr>
          <w:trHeight w:val="345"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设计可采资源量</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万</w:t>
            </w:r>
            <w:r>
              <w:rPr>
                <w:color w:val="000000"/>
                <w:kern w:val="0"/>
                <w:sz w:val="21"/>
                <w:szCs w:val="21"/>
              </w:rPr>
              <w:t>m</w:t>
            </w:r>
            <w:r>
              <w:rPr>
                <w:color w:val="000000"/>
                <w:kern w:val="0"/>
                <w:sz w:val="21"/>
                <w:szCs w:val="21"/>
                <w:vertAlign w:val="superscript"/>
              </w:rPr>
              <w:t>3</w:t>
            </w:r>
          </w:p>
        </w:tc>
        <w:tc>
          <w:tcPr>
            <w:tcW w:w="4100"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502.93</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　</w:t>
            </w:r>
          </w:p>
        </w:tc>
      </w:tr>
      <w:tr>
        <w:tblPrEx>
          <w:tblCellMar>
            <w:top w:w="0" w:type="dxa"/>
            <w:left w:w="108" w:type="dxa"/>
            <w:bottom w:w="0" w:type="dxa"/>
            <w:right w:w="108" w:type="dxa"/>
          </w:tblCellMar>
        </w:tblPrEx>
        <w:trPr>
          <w:trHeight w:val="300"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服务年限</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a</w:t>
            </w:r>
          </w:p>
        </w:tc>
        <w:tc>
          <w:tcPr>
            <w:tcW w:w="1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50.29</w:t>
            </w:r>
          </w:p>
        </w:tc>
        <w:tc>
          <w:tcPr>
            <w:tcW w:w="13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25.15</w:t>
            </w: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16.76</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　</w:t>
            </w:r>
          </w:p>
        </w:tc>
      </w:tr>
      <w:tr>
        <w:tblPrEx>
          <w:tblCellMar>
            <w:top w:w="0" w:type="dxa"/>
            <w:left w:w="108" w:type="dxa"/>
            <w:bottom w:w="0" w:type="dxa"/>
            <w:right w:w="108" w:type="dxa"/>
          </w:tblCellMar>
        </w:tblPrEx>
        <w:trPr>
          <w:trHeight w:val="525" w:hRule="atLeast"/>
        </w:trPr>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经济核算</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总投资</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万元</w:t>
            </w:r>
          </w:p>
        </w:tc>
        <w:tc>
          <w:tcPr>
            <w:tcW w:w="140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690.00</w:t>
            </w:r>
          </w:p>
        </w:tc>
        <w:tc>
          <w:tcPr>
            <w:tcW w:w="134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928.89</w:t>
            </w:r>
          </w:p>
        </w:tc>
        <w:tc>
          <w:tcPr>
            <w:tcW w:w="136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1450.00</w:t>
            </w:r>
          </w:p>
        </w:tc>
        <w:tc>
          <w:tcPr>
            <w:tcW w:w="10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类比矿山确定</w:t>
            </w:r>
          </w:p>
        </w:tc>
      </w:tr>
      <w:tr>
        <w:tblPrEx>
          <w:tblCellMar>
            <w:top w:w="0" w:type="dxa"/>
            <w:left w:w="108" w:type="dxa"/>
            <w:bottom w:w="0" w:type="dxa"/>
            <w:right w:w="108" w:type="dxa"/>
          </w:tblCellMar>
        </w:tblPrEx>
        <w:trPr>
          <w:trHeight w:val="52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年生产成本</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万元</w:t>
            </w:r>
          </w:p>
        </w:tc>
        <w:tc>
          <w:tcPr>
            <w:tcW w:w="140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300.00</w:t>
            </w:r>
          </w:p>
        </w:tc>
        <w:tc>
          <w:tcPr>
            <w:tcW w:w="134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600.00</w:t>
            </w:r>
          </w:p>
        </w:tc>
        <w:tc>
          <w:tcPr>
            <w:tcW w:w="136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900.00</w:t>
            </w:r>
          </w:p>
        </w:tc>
        <w:tc>
          <w:tcPr>
            <w:tcW w:w="10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30</w:t>
            </w:r>
            <w:r>
              <w:rPr>
                <w:rFonts w:hint="eastAsia" w:ascii="宋体" w:hAnsi="宋体"/>
                <w:color w:val="000000"/>
                <w:kern w:val="0"/>
                <w:sz w:val="21"/>
                <w:szCs w:val="21"/>
              </w:rPr>
              <w:t>元</w:t>
            </w:r>
            <w:r>
              <w:rPr>
                <w:rFonts w:eastAsia="等线"/>
                <w:color w:val="000000"/>
                <w:kern w:val="0"/>
                <w:sz w:val="21"/>
                <w:szCs w:val="21"/>
              </w:rPr>
              <w:t>/m</w:t>
            </w:r>
            <w:r>
              <w:rPr>
                <w:rFonts w:eastAsia="等线"/>
                <w:color w:val="000000"/>
                <w:kern w:val="0"/>
                <w:sz w:val="21"/>
                <w:szCs w:val="21"/>
                <w:vertAlign w:val="superscript"/>
              </w:rPr>
              <w:t>3</w:t>
            </w:r>
          </w:p>
        </w:tc>
      </w:tr>
      <w:tr>
        <w:tblPrEx>
          <w:tblCellMar>
            <w:top w:w="0" w:type="dxa"/>
            <w:left w:w="108" w:type="dxa"/>
            <w:bottom w:w="0" w:type="dxa"/>
            <w:right w:w="108" w:type="dxa"/>
          </w:tblCellMar>
        </w:tblPrEx>
        <w:trPr>
          <w:trHeight w:val="52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年销售收入</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万元</w:t>
            </w:r>
          </w:p>
        </w:tc>
        <w:tc>
          <w:tcPr>
            <w:tcW w:w="140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500.00</w:t>
            </w:r>
          </w:p>
        </w:tc>
        <w:tc>
          <w:tcPr>
            <w:tcW w:w="134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1000.00</w:t>
            </w:r>
          </w:p>
        </w:tc>
        <w:tc>
          <w:tcPr>
            <w:tcW w:w="136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1500.00</w:t>
            </w:r>
          </w:p>
        </w:tc>
        <w:tc>
          <w:tcPr>
            <w:tcW w:w="10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50</w:t>
            </w:r>
            <w:r>
              <w:rPr>
                <w:rFonts w:hint="eastAsia" w:ascii="宋体" w:hAnsi="宋体"/>
                <w:color w:val="000000"/>
                <w:kern w:val="0"/>
                <w:sz w:val="21"/>
                <w:szCs w:val="21"/>
              </w:rPr>
              <w:t>元</w:t>
            </w:r>
            <w:r>
              <w:rPr>
                <w:rFonts w:eastAsia="等线"/>
                <w:color w:val="000000"/>
                <w:kern w:val="0"/>
                <w:sz w:val="21"/>
                <w:szCs w:val="21"/>
              </w:rPr>
              <w:t>/m</w:t>
            </w:r>
            <w:r>
              <w:rPr>
                <w:rFonts w:eastAsia="等线"/>
                <w:color w:val="000000"/>
                <w:kern w:val="0"/>
                <w:sz w:val="21"/>
                <w:szCs w:val="21"/>
                <w:vertAlign w:val="superscript"/>
              </w:rPr>
              <w:t>3</w:t>
            </w:r>
          </w:p>
        </w:tc>
      </w:tr>
      <w:tr>
        <w:tblPrEx>
          <w:tblCellMar>
            <w:top w:w="0" w:type="dxa"/>
            <w:left w:w="108" w:type="dxa"/>
            <w:bottom w:w="0" w:type="dxa"/>
            <w:right w:w="108" w:type="dxa"/>
          </w:tblCellMar>
        </w:tblPrEx>
        <w:trPr>
          <w:trHeight w:val="54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增值税</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万元</w:t>
            </w:r>
          </w:p>
        </w:tc>
        <w:tc>
          <w:tcPr>
            <w:tcW w:w="140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15.00</w:t>
            </w:r>
          </w:p>
        </w:tc>
        <w:tc>
          <w:tcPr>
            <w:tcW w:w="134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30.00</w:t>
            </w:r>
          </w:p>
        </w:tc>
        <w:tc>
          <w:tcPr>
            <w:tcW w:w="136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45.00</w:t>
            </w:r>
          </w:p>
        </w:tc>
        <w:tc>
          <w:tcPr>
            <w:tcW w:w="10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无进项按</w:t>
            </w:r>
            <w:r>
              <w:rPr>
                <w:color w:val="000000"/>
                <w:kern w:val="0"/>
                <w:sz w:val="21"/>
                <w:szCs w:val="21"/>
              </w:rPr>
              <w:t>3%</w:t>
            </w:r>
            <w:r>
              <w:rPr>
                <w:rFonts w:hint="eastAsia" w:ascii="宋体" w:hAnsi="宋体" w:cs="宋体"/>
                <w:color w:val="000000"/>
                <w:kern w:val="0"/>
                <w:sz w:val="21"/>
                <w:szCs w:val="21"/>
              </w:rPr>
              <w:t>计</w:t>
            </w:r>
          </w:p>
        </w:tc>
      </w:tr>
      <w:tr>
        <w:tblPrEx>
          <w:tblCellMar>
            <w:top w:w="0" w:type="dxa"/>
            <w:left w:w="108" w:type="dxa"/>
            <w:bottom w:w="0" w:type="dxa"/>
            <w:right w:w="108" w:type="dxa"/>
          </w:tblCellMar>
        </w:tblPrEx>
        <w:trPr>
          <w:trHeight w:val="34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资源税</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万元</w:t>
            </w:r>
          </w:p>
        </w:tc>
        <w:tc>
          <w:tcPr>
            <w:tcW w:w="140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10.00</w:t>
            </w:r>
          </w:p>
        </w:tc>
        <w:tc>
          <w:tcPr>
            <w:tcW w:w="134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20.00</w:t>
            </w:r>
          </w:p>
        </w:tc>
        <w:tc>
          <w:tcPr>
            <w:tcW w:w="136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30.00</w:t>
            </w:r>
          </w:p>
        </w:tc>
        <w:tc>
          <w:tcPr>
            <w:tcW w:w="10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1.0</w:t>
            </w:r>
            <w:r>
              <w:rPr>
                <w:rFonts w:hint="eastAsia" w:ascii="宋体" w:hAnsi="宋体"/>
                <w:color w:val="000000"/>
                <w:kern w:val="0"/>
                <w:sz w:val="21"/>
                <w:szCs w:val="21"/>
              </w:rPr>
              <w:t>元</w:t>
            </w:r>
            <w:r>
              <w:rPr>
                <w:rFonts w:eastAsia="等线"/>
                <w:color w:val="000000"/>
                <w:kern w:val="0"/>
                <w:sz w:val="21"/>
                <w:szCs w:val="21"/>
              </w:rPr>
              <w:t>/m</w:t>
            </w:r>
            <w:r>
              <w:rPr>
                <w:rFonts w:eastAsia="等线"/>
                <w:color w:val="000000"/>
                <w:kern w:val="0"/>
                <w:sz w:val="21"/>
                <w:szCs w:val="21"/>
                <w:vertAlign w:val="superscript"/>
              </w:rPr>
              <w:t>3</w:t>
            </w:r>
          </w:p>
        </w:tc>
      </w:tr>
      <w:tr>
        <w:tblPrEx>
          <w:tblCellMar>
            <w:top w:w="0" w:type="dxa"/>
            <w:left w:w="108" w:type="dxa"/>
            <w:bottom w:w="0" w:type="dxa"/>
            <w:right w:w="108" w:type="dxa"/>
          </w:tblCellMar>
        </w:tblPrEx>
        <w:trPr>
          <w:trHeight w:val="52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城乡维护建设税</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万元</w:t>
            </w:r>
          </w:p>
        </w:tc>
        <w:tc>
          <w:tcPr>
            <w:tcW w:w="1400" w:type="dxa"/>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0.07</w:t>
            </w:r>
          </w:p>
        </w:tc>
        <w:tc>
          <w:tcPr>
            <w:tcW w:w="1340" w:type="dxa"/>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0.14</w:t>
            </w:r>
          </w:p>
        </w:tc>
        <w:tc>
          <w:tcPr>
            <w:tcW w:w="1360" w:type="dxa"/>
            <w:vMerge w:val="restart"/>
            <w:tcBorders>
              <w:top w:val="nil"/>
              <w:left w:val="single" w:color="auto" w:sz="8" w:space="0"/>
              <w:bottom w:val="single" w:color="000000"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0.21</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增值税</w:t>
            </w:r>
            <w:r>
              <w:rPr>
                <w:color w:val="000000"/>
                <w:kern w:val="0"/>
                <w:sz w:val="21"/>
                <w:szCs w:val="21"/>
              </w:rPr>
              <w:t>*5%</w:t>
            </w:r>
          </w:p>
        </w:tc>
      </w:tr>
      <w:tr>
        <w:tblPrEx>
          <w:tblCellMar>
            <w:top w:w="0" w:type="dxa"/>
            <w:left w:w="108" w:type="dxa"/>
            <w:bottom w:w="0" w:type="dxa"/>
            <w:right w:w="108" w:type="dxa"/>
          </w:tblCellMar>
        </w:tblPrEx>
        <w:trPr>
          <w:trHeight w:val="52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教育附加费</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万元</w:t>
            </w:r>
          </w:p>
        </w:tc>
        <w:tc>
          <w:tcPr>
            <w:tcW w:w="1400"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eastAsia="等线"/>
                <w:color w:val="000000"/>
                <w:kern w:val="0"/>
                <w:sz w:val="21"/>
                <w:szCs w:val="21"/>
              </w:rPr>
            </w:pPr>
          </w:p>
        </w:tc>
        <w:tc>
          <w:tcPr>
            <w:tcW w:w="1340"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eastAsia="等线"/>
                <w:color w:val="000000"/>
                <w:kern w:val="0"/>
                <w:sz w:val="21"/>
                <w:szCs w:val="21"/>
              </w:rPr>
            </w:pPr>
          </w:p>
        </w:tc>
        <w:tc>
          <w:tcPr>
            <w:tcW w:w="1360" w:type="dxa"/>
            <w:vMerge w:val="continue"/>
            <w:tcBorders>
              <w:top w:val="nil"/>
              <w:left w:val="single" w:color="auto" w:sz="8" w:space="0"/>
              <w:bottom w:val="single" w:color="000000" w:sz="8" w:space="0"/>
              <w:right w:val="single" w:color="auto" w:sz="8" w:space="0"/>
            </w:tcBorders>
            <w:vAlign w:val="center"/>
          </w:tcPr>
          <w:p>
            <w:pPr>
              <w:widowControl/>
              <w:spacing w:line="240" w:lineRule="auto"/>
              <w:ind w:firstLine="0" w:firstLineChars="0"/>
              <w:jc w:val="left"/>
              <w:rPr>
                <w:rFonts w:eastAsia="等线"/>
                <w:color w:val="000000"/>
                <w:kern w:val="0"/>
                <w:sz w:val="21"/>
                <w:szCs w:val="21"/>
              </w:rPr>
            </w:pPr>
          </w:p>
        </w:tc>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r>
      <w:tr>
        <w:tblPrEx>
          <w:tblCellMar>
            <w:top w:w="0" w:type="dxa"/>
            <w:left w:w="108" w:type="dxa"/>
            <w:bottom w:w="0" w:type="dxa"/>
            <w:right w:w="108" w:type="dxa"/>
          </w:tblCellMar>
        </w:tblPrEx>
        <w:trPr>
          <w:trHeight w:val="54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年总利润</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万元</w:t>
            </w:r>
          </w:p>
        </w:tc>
        <w:tc>
          <w:tcPr>
            <w:tcW w:w="140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164.17</w:t>
            </w:r>
          </w:p>
        </w:tc>
        <w:tc>
          <w:tcPr>
            <w:tcW w:w="134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328.33</w:t>
            </w:r>
          </w:p>
        </w:tc>
        <w:tc>
          <w:tcPr>
            <w:tcW w:w="136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492.50</w:t>
            </w:r>
          </w:p>
        </w:tc>
        <w:tc>
          <w:tcPr>
            <w:tcW w:w="10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收入</w:t>
            </w:r>
            <w:r>
              <w:rPr>
                <w:color w:val="000000"/>
                <w:kern w:val="0"/>
                <w:sz w:val="21"/>
                <w:szCs w:val="21"/>
              </w:rPr>
              <w:t>-</w:t>
            </w:r>
            <w:r>
              <w:rPr>
                <w:rFonts w:hint="eastAsia" w:ascii="宋体" w:hAnsi="宋体" w:cs="宋体"/>
                <w:color w:val="000000"/>
                <w:kern w:val="0"/>
                <w:sz w:val="21"/>
                <w:szCs w:val="21"/>
              </w:rPr>
              <w:t>成本</w:t>
            </w:r>
            <w:r>
              <w:rPr>
                <w:color w:val="000000"/>
                <w:kern w:val="0"/>
                <w:sz w:val="21"/>
                <w:szCs w:val="21"/>
              </w:rPr>
              <w:t>-</w:t>
            </w:r>
            <w:r>
              <w:rPr>
                <w:rFonts w:hint="eastAsia" w:ascii="宋体" w:hAnsi="宋体" w:cs="宋体"/>
                <w:color w:val="000000"/>
                <w:kern w:val="0"/>
                <w:sz w:val="21"/>
                <w:szCs w:val="21"/>
              </w:rPr>
              <w:t>税费</w:t>
            </w:r>
          </w:p>
        </w:tc>
      </w:tr>
      <w:tr>
        <w:tblPrEx>
          <w:tblCellMar>
            <w:top w:w="0" w:type="dxa"/>
            <w:left w:w="108" w:type="dxa"/>
            <w:bottom w:w="0" w:type="dxa"/>
            <w:right w:w="108" w:type="dxa"/>
          </w:tblCellMar>
        </w:tblPrEx>
        <w:trPr>
          <w:trHeight w:val="54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年所得税</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万元</w:t>
            </w:r>
          </w:p>
        </w:tc>
        <w:tc>
          <w:tcPr>
            <w:tcW w:w="140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41.04</w:t>
            </w:r>
          </w:p>
        </w:tc>
        <w:tc>
          <w:tcPr>
            <w:tcW w:w="134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82.08</w:t>
            </w:r>
          </w:p>
        </w:tc>
        <w:tc>
          <w:tcPr>
            <w:tcW w:w="136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123.12</w:t>
            </w:r>
          </w:p>
        </w:tc>
        <w:tc>
          <w:tcPr>
            <w:tcW w:w="10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总利润</w:t>
            </w:r>
            <w:r>
              <w:rPr>
                <w:color w:val="000000"/>
                <w:kern w:val="0"/>
                <w:sz w:val="21"/>
                <w:szCs w:val="21"/>
              </w:rPr>
              <w:t>25%</w:t>
            </w:r>
          </w:p>
        </w:tc>
      </w:tr>
      <w:tr>
        <w:tblPrEx>
          <w:tblCellMar>
            <w:top w:w="0" w:type="dxa"/>
            <w:left w:w="108" w:type="dxa"/>
            <w:bottom w:w="0" w:type="dxa"/>
            <w:right w:w="108" w:type="dxa"/>
          </w:tblCellMar>
        </w:tblPrEx>
        <w:trPr>
          <w:trHeight w:val="54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年净利润</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万元</w:t>
            </w:r>
          </w:p>
        </w:tc>
        <w:tc>
          <w:tcPr>
            <w:tcW w:w="140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123.12</w:t>
            </w:r>
          </w:p>
        </w:tc>
        <w:tc>
          <w:tcPr>
            <w:tcW w:w="134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246.25</w:t>
            </w:r>
          </w:p>
        </w:tc>
        <w:tc>
          <w:tcPr>
            <w:tcW w:w="1360"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369.37</w:t>
            </w:r>
          </w:p>
        </w:tc>
        <w:tc>
          <w:tcPr>
            <w:tcW w:w="10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总利润</w:t>
            </w:r>
            <w:r>
              <w:rPr>
                <w:color w:val="000000"/>
                <w:kern w:val="0"/>
                <w:sz w:val="21"/>
                <w:szCs w:val="21"/>
              </w:rPr>
              <w:t>-</w:t>
            </w:r>
            <w:r>
              <w:rPr>
                <w:rFonts w:hint="eastAsia" w:ascii="宋体" w:hAnsi="宋体" w:cs="宋体"/>
                <w:color w:val="000000"/>
                <w:kern w:val="0"/>
                <w:sz w:val="21"/>
                <w:szCs w:val="21"/>
              </w:rPr>
              <w:t>所得税</w:t>
            </w:r>
          </w:p>
        </w:tc>
      </w:tr>
      <w:tr>
        <w:tblPrEx>
          <w:tblCellMar>
            <w:top w:w="0" w:type="dxa"/>
            <w:left w:w="108" w:type="dxa"/>
            <w:bottom w:w="0" w:type="dxa"/>
            <w:right w:w="108" w:type="dxa"/>
          </w:tblCellMar>
        </w:tblPrEx>
        <w:trPr>
          <w:trHeight w:val="525" w:hRule="atLeast"/>
        </w:trPr>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财务评价</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投资利润率</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w:t>
            </w:r>
          </w:p>
        </w:tc>
        <w:tc>
          <w:tcPr>
            <w:tcW w:w="14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17.84</w:t>
            </w:r>
          </w:p>
        </w:tc>
        <w:tc>
          <w:tcPr>
            <w:tcW w:w="134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26.51</w:t>
            </w:r>
          </w:p>
        </w:tc>
        <w:tc>
          <w:tcPr>
            <w:tcW w:w="13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25.47</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　</w:t>
            </w:r>
          </w:p>
        </w:tc>
      </w:tr>
      <w:tr>
        <w:tblPrEx>
          <w:tblCellMar>
            <w:top w:w="0" w:type="dxa"/>
            <w:left w:w="108" w:type="dxa"/>
            <w:bottom w:w="0" w:type="dxa"/>
            <w:right w:w="108" w:type="dxa"/>
          </w:tblCellMar>
        </w:tblPrEx>
        <w:trPr>
          <w:trHeight w:val="54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内部收益率</w:t>
            </w:r>
            <w:r>
              <w:rPr>
                <w:color w:val="000000"/>
                <w:kern w:val="0"/>
                <w:sz w:val="21"/>
                <w:szCs w:val="21"/>
              </w:rPr>
              <w:t>(</w:t>
            </w:r>
            <w:r>
              <w:rPr>
                <w:rFonts w:hint="eastAsia" w:ascii="宋体" w:hAnsi="宋体" w:cs="宋体"/>
                <w:color w:val="000000"/>
                <w:kern w:val="0"/>
                <w:sz w:val="21"/>
                <w:szCs w:val="21"/>
              </w:rPr>
              <w:t>税后</w:t>
            </w:r>
            <w:r>
              <w:rPr>
                <w:color w:val="000000"/>
                <w:kern w:val="0"/>
                <w:sz w:val="21"/>
                <w:szCs w:val="21"/>
              </w:rPr>
              <w:t>)</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w:t>
            </w:r>
          </w:p>
        </w:tc>
        <w:tc>
          <w:tcPr>
            <w:tcW w:w="1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　</w:t>
            </w:r>
          </w:p>
        </w:tc>
        <w:tc>
          <w:tcPr>
            <w:tcW w:w="13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　</w:t>
            </w: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　</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　</w:t>
            </w:r>
          </w:p>
        </w:tc>
      </w:tr>
      <w:tr>
        <w:tblPrEx>
          <w:tblCellMar>
            <w:top w:w="0" w:type="dxa"/>
            <w:left w:w="108" w:type="dxa"/>
            <w:bottom w:w="0" w:type="dxa"/>
            <w:right w:w="108" w:type="dxa"/>
          </w:tblCellMar>
        </w:tblPrEx>
        <w:trPr>
          <w:trHeight w:val="54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ascii="宋体" w:hAnsi="宋体" w:cs="宋体"/>
                <w:color w:val="000000"/>
                <w:kern w:val="0"/>
                <w:sz w:val="21"/>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投资回收期</w:t>
            </w:r>
            <w:r>
              <w:rPr>
                <w:color w:val="000000"/>
                <w:kern w:val="0"/>
                <w:sz w:val="21"/>
                <w:szCs w:val="21"/>
              </w:rPr>
              <w:t>(</w:t>
            </w:r>
            <w:r>
              <w:rPr>
                <w:rFonts w:hint="eastAsia" w:ascii="宋体" w:hAnsi="宋体" w:cs="宋体"/>
                <w:color w:val="000000"/>
                <w:kern w:val="0"/>
                <w:sz w:val="21"/>
                <w:szCs w:val="21"/>
              </w:rPr>
              <w:t>静态</w:t>
            </w:r>
            <w:r>
              <w:rPr>
                <w:color w:val="000000"/>
                <w:kern w:val="0"/>
                <w:sz w:val="21"/>
                <w:szCs w:val="21"/>
              </w:rPr>
              <w:t>)</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a</w:t>
            </w:r>
          </w:p>
        </w:tc>
        <w:tc>
          <w:tcPr>
            <w:tcW w:w="140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5.6</w:t>
            </w:r>
          </w:p>
        </w:tc>
        <w:tc>
          <w:tcPr>
            <w:tcW w:w="134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3.8</w:t>
            </w:r>
          </w:p>
        </w:tc>
        <w:tc>
          <w:tcPr>
            <w:tcW w:w="13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4.0</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eastAsia="等线"/>
                <w:color w:val="000000"/>
                <w:kern w:val="0"/>
                <w:sz w:val="21"/>
                <w:szCs w:val="21"/>
              </w:rPr>
            </w:pPr>
            <w:r>
              <w:rPr>
                <w:rFonts w:eastAsia="等线"/>
                <w:color w:val="000000"/>
                <w:kern w:val="0"/>
                <w:sz w:val="21"/>
                <w:szCs w:val="21"/>
              </w:rPr>
              <w:t>　</w:t>
            </w:r>
          </w:p>
        </w:tc>
      </w:tr>
    </w:tbl>
    <w:p>
      <w:pPr>
        <w:ind w:firstLine="560"/>
      </w:pPr>
      <w:r>
        <w:rPr>
          <w:rFonts w:hint="eastAsia"/>
        </w:rPr>
        <w:t>通过三个方案比较以及《临泽县梨西4号电站东南侧建筑用砂矿普查报告》，建设规模20万立方米/年的投资利润率2</w:t>
      </w:r>
      <w:r>
        <w:t>6.51%</w:t>
      </w:r>
      <w:r>
        <w:rPr>
          <w:rFonts w:hint="eastAsia"/>
        </w:rPr>
        <w:t>为三种方案中最高，投资回收期3</w:t>
      </w:r>
      <w:r>
        <w:t>.8</w:t>
      </w:r>
      <w:r>
        <w:rPr>
          <w:rFonts w:hint="eastAsia"/>
        </w:rPr>
        <w:t>a为三种方案中最低，建设规模20万立方米/年矿山生产能力、矿山服务年限、投资回收期与储量规模相匹配，更为合理，因此本方案推荐建设规模20万立方米/年。</w:t>
      </w:r>
    </w:p>
    <w:p>
      <w:pPr>
        <w:ind w:firstLine="560"/>
      </w:pPr>
      <w:r>
        <w:rPr>
          <w:rFonts w:hint="eastAsia"/>
        </w:rPr>
        <w:t>回采率按9</w:t>
      </w:r>
      <w:r>
        <w:t>5</w:t>
      </w:r>
      <w:r>
        <w:rPr>
          <w:rFonts w:hint="eastAsia"/>
        </w:rPr>
        <w:t>％计算，每年采矿消耗的矿石量为</w:t>
      </w:r>
      <w:r>
        <w:t>21</w:t>
      </w:r>
      <w:r>
        <w:rPr>
          <w:rFonts w:hint="eastAsia"/>
        </w:rPr>
        <w:t>万立方米。矿山确定的可采储量为</w:t>
      </w:r>
      <w:r>
        <w:t>321.33</w:t>
      </w:r>
      <w:r>
        <w:rPr>
          <w:rFonts w:hint="eastAsia"/>
        </w:rPr>
        <w:t>万立方米，矿山服务年限约为</w:t>
      </w:r>
      <w:r>
        <w:t>25.15</w:t>
      </w:r>
      <w:r>
        <w:rPr>
          <w:rFonts w:hint="eastAsia"/>
        </w:rPr>
        <w:t>年（不含基建期）。矿山采用间断工作制，年工作日300天（约10个月），每天一班，每班八小时。基本符合中小型矿山经济合理服务年限的要求。</w:t>
      </w:r>
    </w:p>
    <w:p>
      <w:pPr>
        <w:ind w:firstLine="560"/>
      </w:pPr>
      <w:r>
        <w:rPr>
          <w:rFonts w:hint="eastAsia"/>
        </w:rPr>
        <w:t>⑵产品方案</w:t>
      </w:r>
    </w:p>
    <w:p>
      <w:pPr>
        <w:ind w:firstLine="560"/>
      </w:pPr>
      <w:r>
        <w:rPr>
          <w:rFonts w:hint="eastAsia" w:ascii="宋体" w:hAnsi="宋体" w:cs="宋体"/>
        </w:rPr>
        <w:t>采出的矿石经破碎、筛选、水洗为建筑</w:t>
      </w:r>
      <w:r>
        <w:rPr>
          <w:rFonts w:hint="eastAsia" w:cs="宋体"/>
        </w:rPr>
        <w:t>砂石</w:t>
      </w:r>
      <w:r>
        <w:rPr>
          <w:rFonts w:hint="eastAsia" w:ascii="宋体" w:hAnsi="宋体" w:cs="宋体"/>
        </w:rPr>
        <w:t>销售</w:t>
      </w:r>
      <w:r>
        <w:rPr>
          <w:rFonts w:hint="eastAsia"/>
        </w:rPr>
        <w:t>。</w:t>
      </w:r>
    </w:p>
    <w:p>
      <w:pPr>
        <w:pStyle w:val="5"/>
        <w:ind w:firstLine="562"/>
      </w:pPr>
      <w:bookmarkStart w:id="163" w:name="_Toc395519151"/>
      <w:bookmarkStart w:id="164" w:name="_Toc502783432"/>
      <w:r>
        <w:rPr>
          <w:rFonts w:hint="eastAsia"/>
        </w:rPr>
        <w:t>4.1.3 矿床开采方式</w:t>
      </w:r>
      <w:bookmarkEnd w:id="163"/>
      <w:bookmarkEnd w:id="164"/>
    </w:p>
    <w:p>
      <w:pPr>
        <w:ind w:firstLine="560"/>
      </w:pPr>
      <w:r>
        <w:t>矿体裸露地表，为第四系</w:t>
      </w:r>
      <w:r>
        <w:rPr>
          <w:rFonts w:hint="eastAsia"/>
        </w:rPr>
        <w:t>冲</w:t>
      </w:r>
      <w:r>
        <w:t>积层，较松散，水文地质条件简单，矿体呈近水平产出，形态简单，剥采比小，适合凹陷露天开采。由于矿石质量较好，成份较稳定，只需进行简单的筛选即可利用。开采方式为</w:t>
      </w:r>
      <w:r>
        <w:rPr>
          <w:rFonts w:hint="eastAsia"/>
        </w:rPr>
        <w:t>露天</w:t>
      </w:r>
      <w:r>
        <w:t>开</w:t>
      </w:r>
      <w:r>
        <w:rPr>
          <w:rFonts w:hint="eastAsia"/>
        </w:rPr>
        <w:t>采。</w:t>
      </w:r>
    </w:p>
    <w:p>
      <w:pPr>
        <w:pStyle w:val="5"/>
        <w:ind w:firstLine="562"/>
      </w:pPr>
      <w:bookmarkStart w:id="165" w:name="_Toc291776759"/>
      <w:bookmarkStart w:id="166" w:name="_Toc309487619"/>
      <w:bookmarkStart w:id="167" w:name="_Toc372118884"/>
      <w:bookmarkStart w:id="168" w:name="_Toc322772251"/>
      <w:bookmarkStart w:id="169" w:name="_Toc323392655"/>
      <w:bookmarkStart w:id="170" w:name="_Toc502783435"/>
      <w:bookmarkStart w:id="171" w:name="_Toc11366"/>
      <w:bookmarkStart w:id="172" w:name="_Toc325471794"/>
      <w:bookmarkStart w:id="173" w:name="_Toc12375"/>
      <w:bookmarkStart w:id="174" w:name="_Toc324345664"/>
      <w:bookmarkStart w:id="175" w:name="_Toc323136838"/>
      <w:bookmarkStart w:id="176" w:name="_Toc395519156"/>
      <w:bookmarkStart w:id="177" w:name="_Toc393202165"/>
      <w:bookmarkStart w:id="178" w:name="_Toc394081963"/>
      <w:r>
        <w:rPr>
          <w:rFonts w:hint="eastAsia"/>
        </w:rPr>
        <w:t>4.1.</w:t>
      </w:r>
      <w:r>
        <w:t>4</w:t>
      </w:r>
      <w:r>
        <w:rPr>
          <w:rFonts w:hint="eastAsia"/>
        </w:rPr>
        <w:t xml:space="preserve"> 矿山开拓</w:t>
      </w:r>
      <w:bookmarkEnd w:id="165"/>
      <w:bookmarkEnd w:id="166"/>
      <w:r>
        <w:rPr>
          <w:rFonts w:hint="eastAsia"/>
        </w:rPr>
        <w:t>方式</w:t>
      </w:r>
      <w:bookmarkEnd w:id="167"/>
      <w:bookmarkEnd w:id="168"/>
      <w:bookmarkEnd w:id="169"/>
      <w:bookmarkEnd w:id="170"/>
      <w:bookmarkEnd w:id="171"/>
      <w:bookmarkEnd w:id="172"/>
      <w:bookmarkEnd w:id="173"/>
      <w:bookmarkEnd w:id="174"/>
      <w:bookmarkEnd w:id="175"/>
      <w:bookmarkEnd w:id="176"/>
      <w:bookmarkEnd w:id="177"/>
      <w:bookmarkEnd w:id="178"/>
    </w:p>
    <w:p>
      <w:pPr>
        <w:ind w:firstLine="560"/>
      </w:pPr>
      <w:r>
        <w:rPr>
          <w:rFonts w:hint="eastAsia"/>
        </w:rPr>
        <w:t>矿山采用公路运输的开拓方式。由于该矿地势起伏不大，可直接修建简易道路通往指定采场，并将设备（挖掘机、装载机等）拉运至的首采工作面，直接展开工作，并最终形成工作线。简易道路的布设见附图（总平面布置图）。</w:t>
      </w:r>
    </w:p>
    <w:p>
      <w:pPr>
        <w:pStyle w:val="5"/>
        <w:ind w:firstLine="562"/>
      </w:pPr>
      <w:bookmarkStart w:id="179" w:name="_Toc502783444"/>
      <w:bookmarkStart w:id="180" w:name="_Toc395519183"/>
      <w:bookmarkStart w:id="181" w:name="_Hlk137059145"/>
      <w:r>
        <w:rPr>
          <w:rFonts w:hint="eastAsia"/>
        </w:rPr>
        <w:t>4.1.5 开拓、运输方案及厂址选择</w:t>
      </w:r>
      <w:bookmarkEnd w:id="179"/>
      <w:bookmarkEnd w:id="180"/>
    </w:p>
    <w:bookmarkEnd w:id="181"/>
    <w:p>
      <w:pPr>
        <w:ind w:firstLine="560"/>
      </w:pPr>
      <w:r>
        <w:t>⑴开拓运输方案</w:t>
      </w:r>
    </w:p>
    <w:p>
      <w:pPr>
        <w:ind w:firstLine="560"/>
      </w:pPr>
      <w:r>
        <w:t>开拓方案选择的基本原则：力求基建工程量省、经营费低，便于施工，环节少、管理方便等。</w:t>
      </w:r>
    </w:p>
    <w:p>
      <w:pPr>
        <w:ind w:firstLine="560"/>
      </w:pPr>
      <w:r>
        <w:t>根据矿体赋存特征、矿山生产规模、总体布置、工程设施等条件，矿山采用公路运输、移动坑线开拓方式。采用装载机剥离</w:t>
      </w:r>
      <w:r>
        <w:rPr>
          <w:rFonts w:hint="eastAsia"/>
        </w:rPr>
        <w:t>、</w:t>
      </w:r>
      <w:r>
        <w:t>装载机采、装、运工艺。</w:t>
      </w:r>
    </w:p>
    <w:p>
      <w:pPr>
        <w:ind w:firstLine="560"/>
      </w:pPr>
      <w:r>
        <w:t>矿山采用公路运输的开拓方式。由于该矿地势起伏不大，可直接修建简易道路通往指定采场，并将设备（挖掘机、装载机和穿孔设备移动空压机等）拉运至的首采工作面，直接展开工作，并最终形成工作线。</w:t>
      </w:r>
    </w:p>
    <w:p>
      <w:pPr>
        <w:ind w:firstLine="560"/>
      </w:pPr>
      <w:r>
        <w:t>地表运输道路布线方案：根据该矿区地形地貌结合矿区已有的道路，后续视矿区实际情况再修建新的公路，使之能够到达新的采坑位置。</w:t>
      </w:r>
    </w:p>
    <w:p>
      <w:pPr>
        <w:ind w:firstLine="560"/>
      </w:pPr>
      <w:r>
        <w:t>采坑内开拓运输方案：考虑该矿区地形地貌修建坑内道路，使设备（装载机和穿孔设备移动空压机等）可以直接到采坑内进行剥离和开采。</w:t>
      </w:r>
    </w:p>
    <w:p>
      <w:pPr>
        <w:ind w:firstLine="560"/>
      </w:pPr>
      <w:r>
        <w:t>⑵运输设备</w:t>
      </w:r>
    </w:p>
    <w:p>
      <w:pPr>
        <w:ind w:firstLine="560"/>
      </w:pPr>
      <w:r>
        <w:t>矿山备品、配件及原材料等的运入，均委托社会运输车辆运输，企业运输设备的配备只考虑物料装运、矿山生活物资的运输以及管理等必备车辆。</w:t>
      </w:r>
    </w:p>
    <w:p>
      <w:pPr>
        <w:ind w:firstLine="560"/>
      </w:pPr>
      <w:r>
        <w:t>由于矿山生活物资的运输量不大，故设计考虑配备2辆375马力双桥自卸汽车（20t）承担矿区内部废石运输任务及矿区内部生活物资运输。在废石场配备3台装载机完成辅助平整作业。</w:t>
      </w:r>
    </w:p>
    <w:p>
      <w:pPr>
        <w:ind w:firstLine="560"/>
      </w:pPr>
      <w:r>
        <w:t>⑶厂址选择</w:t>
      </w:r>
    </w:p>
    <w:p>
      <w:pPr>
        <w:pStyle w:val="20"/>
        <w:spacing w:line="360" w:lineRule="auto"/>
        <w:ind w:firstLine="560"/>
        <w:rPr>
          <w:rFonts w:ascii="Times New Roman" w:hAnsi="Times New Roman"/>
          <w:sz w:val="28"/>
          <w:szCs w:val="24"/>
        </w:rPr>
      </w:pPr>
      <w:r>
        <w:rPr>
          <w:rFonts w:hint="eastAsia" w:ascii="Times New Roman" w:hAnsi="Times New Roman"/>
          <w:sz w:val="28"/>
          <w:szCs w:val="24"/>
        </w:rPr>
        <w:t>该矿为拟建矿山，矿山未来建设有排土场、临时堆矿场、工业场地、办公生活区及矿山道路等。</w:t>
      </w:r>
    </w:p>
    <w:p>
      <w:pPr>
        <w:pStyle w:val="20"/>
        <w:numPr>
          <w:ilvl w:val="0"/>
          <w:numId w:val="2"/>
        </w:numPr>
        <w:spacing w:line="360" w:lineRule="auto"/>
        <w:ind w:firstLineChars="0"/>
        <w:rPr>
          <w:rFonts w:ascii="Times New Roman" w:hAnsi="Times New Roman"/>
          <w:sz w:val="28"/>
          <w:szCs w:val="24"/>
        </w:rPr>
      </w:pPr>
      <w:r>
        <w:rPr>
          <w:rFonts w:hint="eastAsia" w:ascii="Times New Roman" w:hAnsi="Times New Roman"/>
          <w:sz w:val="28"/>
          <w:szCs w:val="24"/>
        </w:rPr>
        <w:t>拟建排土场</w:t>
      </w:r>
    </w:p>
    <w:p>
      <w:pPr>
        <w:pStyle w:val="20"/>
        <w:spacing w:line="360" w:lineRule="auto"/>
        <w:ind w:firstLine="560"/>
        <w:rPr>
          <w:rFonts w:ascii="Times New Roman" w:hAnsi="Times New Roman"/>
          <w:sz w:val="28"/>
          <w:szCs w:val="24"/>
        </w:rPr>
      </w:pPr>
      <w:r>
        <w:rPr>
          <w:rFonts w:hint="eastAsia" w:ascii="Times New Roman" w:hAnsi="Times New Roman"/>
          <w:sz w:val="28"/>
          <w:szCs w:val="24"/>
        </w:rPr>
        <w:t>拟建排土场设在矿区内拟建工业场地南侧，设计占地面积</w:t>
      </w:r>
      <w:r>
        <w:rPr>
          <w:rFonts w:ascii="Times New Roman" w:hAnsi="Times New Roman"/>
          <w:sz w:val="28"/>
          <w:szCs w:val="24"/>
        </w:rPr>
        <w:t>9878.96</w:t>
      </w:r>
      <w:r>
        <w:rPr>
          <w:rFonts w:hint="eastAsia" w:ascii="Times New Roman" w:hAnsi="Times New Roman"/>
          <w:sz w:val="28"/>
          <w:szCs w:val="24"/>
        </w:rPr>
        <w:t>m</w:t>
      </w:r>
      <w:r>
        <w:rPr>
          <w:rFonts w:hint="eastAsia" w:ascii="Times New Roman" w:hAnsi="Times New Roman"/>
          <w:sz w:val="28"/>
          <w:szCs w:val="24"/>
          <w:vertAlign w:val="superscript"/>
        </w:rPr>
        <w:t>2</w:t>
      </w:r>
      <w:r>
        <w:rPr>
          <w:rFonts w:hint="eastAsia" w:ascii="Times New Roman" w:hAnsi="Times New Roman"/>
          <w:sz w:val="28"/>
          <w:szCs w:val="24"/>
        </w:rPr>
        <w:t>。</w:t>
      </w:r>
    </w:p>
    <w:p>
      <w:pPr>
        <w:pStyle w:val="20"/>
        <w:numPr>
          <w:ilvl w:val="0"/>
          <w:numId w:val="2"/>
        </w:numPr>
        <w:spacing w:line="360" w:lineRule="auto"/>
        <w:ind w:firstLineChars="0"/>
        <w:rPr>
          <w:rFonts w:ascii="Times New Roman" w:hAnsi="Times New Roman"/>
          <w:sz w:val="28"/>
          <w:szCs w:val="24"/>
        </w:rPr>
      </w:pPr>
      <w:r>
        <w:rPr>
          <w:rFonts w:hint="eastAsia" w:ascii="Times New Roman" w:hAnsi="Times New Roman"/>
          <w:sz w:val="28"/>
          <w:szCs w:val="24"/>
        </w:rPr>
        <w:t>拟建堆矿场</w:t>
      </w:r>
    </w:p>
    <w:p>
      <w:pPr>
        <w:pStyle w:val="20"/>
        <w:spacing w:line="360" w:lineRule="auto"/>
        <w:ind w:firstLine="560"/>
        <w:rPr>
          <w:rFonts w:ascii="Times New Roman" w:hAnsi="Times New Roman"/>
          <w:sz w:val="28"/>
          <w:szCs w:val="24"/>
        </w:rPr>
      </w:pPr>
      <w:r>
        <w:rPr>
          <w:rFonts w:hint="eastAsia" w:ascii="Times New Roman" w:hAnsi="Times New Roman"/>
          <w:sz w:val="28"/>
          <w:szCs w:val="24"/>
        </w:rPr>
        <w:t>拟建堆矿场设在矿区中部，设计占地面积</w:t>
      </w:r>
      <w:r>
        <w:rPr>
          <w:rFonts w:ascii="Times New Roman" w:hAnsi="Times New Roman"/>
          <w:sz w:val="28"/>
          <w:szCs w:val="24"/>
        </w:rPr>
        <w:t>9865.24</w:t>
      </w:r>
      <w:r>
        <w:rPr>
          <w:rFonts w:hint="eastAsia" w:ascii="Times New Roman" w:hAnsi="Times New Roman"/>
          <w:sz w:val="28"/>
          <w:szCs w:val="24"/>
        </w:rPr>
        <w:t>m</w:t>
      </w:r>
      <w:r>
        <w:rPr>
          <w:rFonts w:hint="eastAsia" w:ascii="Times New Roman" w:hAnsi="Times New Roman"/>
          <w:sz w:val="28"/>
          <w:szCs w:val="24"/>
          <w:vertAlign w:val="superscript"/>
        </w:rPr>
        <w:t>2</w:t>
      </w:r>
      <w:r>
        <w:rPr>
          <w:rFonts w:hint="eastAsia" w:ascii="Times New Roman" w:hAnsi="Times New Roman"/>
          <w:sz w:val="28"/>
          <w:szCs w:val="24"/>
        </w:rPr>
        <w:t>。</w:t>
      </w:r>
    </w:p>
    <w:p>
      <w:pPr>
        <w:pStyle w:val="20"/>
        <w:numPr>
          <w:ilvl w:val="0"/>
          <w:numId w:val="2"/>
        </w:numPr>
        <w:spacing w:line="360" w:lineRule="auto"/>
        <w:ind w:firstLineChars="0"/>
        <w:rPr>
          <w:rFonts w:ascii="Times New Roman" w:hAnsi="Times New Roman"/>
          <w:sz w:val="28"/>
          <w:szCs w:val="24"/>
        </w:rPr>
      </w:pPr>
      <w:r>
        <w:rPr>
          <w:rFonts w:hint="eastAsia" w:ascii="Times New Roman" w:hAnsi="Times New Roman"/>
          <w:sz w:val="28"/>
          <w:szCs w:val="24"/>
        </w:rPr>
        <w:t>拟建工业场地</w:t>
      </w:r>
    </w:p>
    <w:p>
      <w:pPr>
        <w:pStyle w:val="20"/>
        <w:spacing w:line="360" w:lineRule="auto"/>
        <w:ind w:firstLine="560"/>
        <w:rPr>
          <w:rFonts w:ascii="Times New Roman" w:hAnsi="Times New Roman"/>
          <w:sz w:val="28"/>
          <w:szCs w:val="24"/>
        </w:rPr>
      </w:pPr>
      <w:r>
        <w:rPr>
          <w:rFonts w:hint="eastAsia" w:ascii="Times New Roman" w:hAnsi="Times New Roman"/>
          <w:sz w:val="28"/>
          <w:szCs w:val="24"/>
        </w:rPr>
        <w:t>拟建工业场地设在堆矿场南侧,设计占地面积</w:t>
      </w:r>
      <w:r>
        <w:rPr>
          <w:rFonts w:ascii="Times New Roman" w:hAnsi="Times New Roman"/>
          <w:sz w:val="28"/>
          <w:szCs w:val="24"/>
        </w:rPr>
        <w:t>9360</w:t>
      </w:r>
      <w:r>
        <w:rPr>
          <w:rFonts w:hint="eastAsia" w:ascii="Times New Roman" w:hAnsi="Times New Roman"/>
          <w:sz w:val="28"/>
          <w:szCs w:val="24"/>
        </w:rPr>
        <w:t>m</w:t>
      </w:r>
      <w:r>
        <w:rPr>
          <w:rFonts w:hint="eastAsia" w:ascii="Times New Roman" w:hAnsi="Times New Roman"/>
          <w:sz w:val="28"/>
          <w:szCs w:val="24"/>
          <w:vertAlign w:val="superscript"/>
        </w:rPr>
        <w:t>2</w:t>
      </w:r>
      <w:r>
        <w:rPr>
          <w:rFonts w:hint="eastAsia" w:ascii="Times New Roman" w:hAnsi="Times New Roman"/>
          <w:sz w:val="28"/>
          <w:szCs w:val="24"/>
        </w:rPr>
        <w:t>。</w:t>
      </w:r>
    </w:p>
    <w:p>
      <w:pPr>
        <w:pStyle w:val="20"/>
        <w:numPr>
          <w:ilvl w:val="0"/>
          <w:numId w:val="2"/>
        </w:numPr>
        <w:spacing w:line="360" w:lineRule="auto"/>
        <w:ind w:firstLineChars="0"/>
        <w:rPr>
          <w:rFonts w:ascii="Times New Roman" w:hAnsi="Times New Roman"/>
          <w:sz w:val="28"/>
          <w:szCs w:val="24"/>
        </w:rPr>
      </w:pPr>
      <w:r>
        <w:rPr>
          <w:rFonts w:hint="eastAsia" w:ascii="Times New Roman" w:hAnsi="Times New Roman"/>
          <w:sz w:val="28"/>
          <w:szCs w:val="24"/>
        </w:rPr>
        <w:t>拟建办公生活区</w:t>
      </w:r>
    </w:p>
    <w:p>
      <w:pPr>
        <w:pStyle w:val="20"/>
        <w:spacing w:line="360" w:lineRule="auto"/>
        <w:ind w:firstLine="560"/>
        <w:rPr>
          <w:rFonts w:ascii="Times New Roman" w:hAnsi="Times New Roman"/>
          <w:sz w:val="28"/>
          <w:szCs w:val="24"/>
        </w:rPr>
      </w:pPr>
      <w:r>
        <w:rPr>
          <w:rFonts w:hint="eastAsia" w:ascii="Times New Roman" w:hAnsi="Times New Roman"/>
          <w:sz w:val="28"/>
          <w:szCs w:val="24"/>
        </w:rPr>
        <w:t>根据现场地形，办公生活区设置在堆矿场北部地势较平坦位置，由矿山道路相连，设计占地面积</w:t>
      </w:r>
      <w:r>
        <w:rPr>
          <w:rFonts w:ascii="Times New Roman" w:hAnsi="Times New Roman"/>
          <w:sz w:val="28"/>
          <w:szCs w:val="24"/>
        </w:rPr>
        <w:t>187</w:t>
      </w:r>
      <w:r>
        <w:rPr>
          <w:rFonts w:hint="eastAsia" w:ascii="Times New Roman" w:hAnsi="Times New Roman"/>
          <w:sz w:val="28"/>
          <w:szCs w:val="24"/>
        </w:rPr>
        <w:t>m</w:t>
      </w:r>
      <w:r>
        <w:rPr>
          <w:rFonts w:hint="eastAsia" w:ascii="Times New Roman" w:hAnsi="Times New Roman"/>
          <w:sz w:val="28"/>
          <w:szCs w:val="24"/>
          <w:vertAlign w:val="superscript"/>
        </w:rPr>
        <w:t>2</w:t>
      </w:r>
      <w:r>
        <w:rPr>
          <w:rFonts w:hint="eastAsia" w:ascii="Times New Roman" w:hAnsi="Times New Roman"/>
          <w:sz w:val="28"/>
          <w:szCs w:val="24"/>
        </w:rPr>
        <w:t>。</w:t>
      </w:r>
    </w:p>
    <w:p>
      <w:pPr>
        <w:pStyle w:val="20"/>
        <w:numPr>
          <w:ilvl w:val="0"/>
          <w:numId w:val="2"/>
        </w:numPr>
        <w:spacing w:line="360" w:lineRule="auto"/>
        <w:ind w:firstLineChars="0"/>
        <w:rPr>
          <w:rFonts w:ascii="Times New Roman" w:hAnsi="Times New Roman"/>
          <w:sz w:val="28"/>
          <w:szCs w:val="24"/>
        </w:rPr>
      </w:pPr>
      <w:r>
        <w:rPr>
          <w:rFonts w:hint="eastAsia" w:ascii="Times New Roman" w:hAnsi="Times New Roman"/>
          <w:sz w:val="28"/>
          <w:szCs w:val="24"/>
        </w:rPr>
        <w:t>矿山道路</w:t>
      </w:r>
    </w:p>
    <w:p>
      <w:pPr>
        <w:spacing w:line="240" w:lineRule="auto"/>
        <w:ind w:firstLine="560"/>
      </w:pPr>
      <w:r>
        <w:rPr>
          <w:rFonts w:hint="eastAsia"/>
        </w:rPr>
        <w:t>矿山拟建道路</w:t>
      </w:r>
      <w:r>
        <w:t>939.85</w:t>
      </w:r>
      <w:r>
        <w:rPr>
          <w:rFonts w:hint="eastAsia"/>
        </w:rPr>
        <w:t>m，道路路基宽6.</w:t>
      </w:r>
      <w:r>
        <w:t>5</w:t>
      </w:r>
      <w:r>
        <w:rPr>
          <w:rFonts w:hint="eastAsia"/>
        </w:rPr>
        <w:t xml:space="preserve"> m，占地面积</w:t>
      </w:r>
      <w:r>
        <w:t>6109</w:t>
      </w:r>
      <w:r>
        <w:rPr>
          <w:rFonts w:hint="eastAsia"/>
        </w:rPr>
        <w:t>m</w:t>
      </w:r>
      <w:r>
        <w:rPr>
          <w:rFonts w:hint="eastAsia"/>
          <w:vertAlign w:val="superscript"/>
        </w:rPr>
        <w:t>2</w:t>
      </w:r>
      <w:r>
        <w:rPr>
          <w:rFonts w:hint="eastAsia"/>
        </w:rPr>
        <w:t>。</w:t>
      </w:r>
    </w:p>
    <w:p>
      <w:pPr>
        <w:pStyle w:val="5"/>
        <w:ind w:firstLine="562"/>
      </w:pPr>
      <w:r>
        <w:rPr>
          <w:rFonts w:hint="eastAsia"/>
        </w:rPr>
        <w:t>4.1.5 矿山机械</w:t>
      </w:r>
    </w:p>
    <w:p>
      <w:pPr>
        <w:pStyle w:val="20"/>
        <w:spacing w:line="360" w:lineRule="auto"/>
        <w:ind w:firstLine="560"/>
        <w:rPr>
          <w:rFonts w:ascii="Times New Roman" w:hAnsi="Times New Roman"/>
          <w:sz w:val="28"/>
          <w:szCs w:val="24"/>
        </w:rPr>
      </w:pPr>
      <w:r>
        <w:rPr>
          <w:rFonts w:hint="eastAsia" w:ascii="Times New Roman" w:hAnsi="Times New Roman"/>
          <w:sz w:val="28"/>
          <w:szCs w:val="24"/>
        </w:rPr>
        <w:t>1．铲装运输方式</w:t>
      </w:r>
    </w:p>
    <w:p>
      <w:pPr>
        <w:pStyle w:val="20"/>
        <w:spacing w:line="360" w:lineRule="auto"/>
        <w:ind w:firstLine="560"/>
        <w:rPr>
          <w:rFonts w:ascii="Times New Roman" w:hAnsi="Times New Roman"/>
          <w:sz w:val="28"/>
          <w:szCs w:val="24"/>
        </w:rPr>
      </w:pPr>
      <w:r>
        <w:rPr>
          <w:rFonts w:hint="eastAsia" w:ascii="Times New Roman" w:hAnsi="Times New Roman"/>
          <w:sz w:val="28"/>
          <w:szCs w:val="24"/>
        </w:rPr>
        <w:t>矿山铲装、运输工序可分为两部分，即采场内的铲装工序和装车运输工序。</w:t>
      </w:r>
    </w:p>
    <w:p>
      <w:pPr>
        <w:pStyle w:val="20"/>
        <w:spacing w:line="360" w:lineRule="auto"/>
        <w:ind w:firstLine="560"/>
        <w:jc w:val="left"/>
        <w:rPr>
          <w:rFonts w:ascii="Times New Roman" w:hAnsi="Times New Roman"/>
          <w:sz w:val="28"/>
          <w:szCs w:val="24"/>
        </w:rPr>
      </w:pPr>
      <w:r>
        <w:rPr>
          <w:rFonts w:hint="eastAsia" w:ascii="Times New Roman" w:hAnsi="Times New Roman"/>
          <w:sz w:val="28"/>
          <w:szCs w:val="24"/>
        </w:rPr>
        <w:t>（1）运输线装运方式：简易公路通向采场，可选用20t以上载重的自卸汽车。</w:t>
      </w:r>
    </w:p>
    <w:p>
      <w:pPr>
        <w:pStyle w:val="20"/>
        <w:spacing w:line="360" w:lineRule="auto"/>
        <w:ind w:firstLine="560"/>
        <w:rPr>
          <w:rFonts w:ascii="Times New Roman" w:hAnsi="Times New Roman"/>
          <w:sz w:val="28"/>
          <w:szCs w:val="24"/>
        </w:rPr>
      </w:pPr>
      <w:r>
        <w:rPr>
          <w:rFonts w:hint="eastAsia" w:ascii="Times New Roman" w:hAnsi="Times New Roman"/>
          <w:sz w:val="28"/>
          <w:szCs w:val="24"/>
        </w:rPr>
        <w:t>（2）采场内生产装运：选用斗容2.8m</w:t>
      </w:r>
      <w:r>
        <w:rPr>
          <w:rFonts w:hint="eastAsia" w:ascii="Times New Roman" w:hAnsi="Times New Roman"/>
          <w:sz w:val="28"/>
          <w:szCs w:val="24"/>
          <w:vertAlign w:val="superscript"/>
        </w:rPr>
        <w:t>3</w:t>
      </w:r>
      <w:r>
        <w:rPr>
          <w:rFonts w:hint="eastAsia" w:ascii="Times New Roman" w:hAnsi="Times New Roman"/>
          <w:sz w:val="28"/>
          <w:szCs w:val="24"/>
        </w:rPr>
        <w:t>以上的装载机直接铲装至翻斗汽车。</w:t>
      </w:r>
    </w:p>
    <w:p>
      <w:pPr>
        <w:pStyle w:val="20"/>
        <w:spacing w:line="360" w:lineRule="auto"/>
        <w:ind w:firstLine="560"/>
        <w:rPr>
          <w:rFonts w:ascii="Times New Roman" w:hAnsi="Times New Roman"/>
          <w:sz w:val="28"/>
          <w:szCs w:val="24"/>
        </w:rPr>
      </w:pPr>
      <w:r>
        <w:rPr>
          <w:rFonts w:hint="eastAsia" w:ascii="Times New Roman" w:hAnsi="Times New Roman"/>
          <w:sz w:val="28"/>
          <w:szCs w:val="24"/>
        </w:rPr>
        <w:t>（3）排土：由装载机装运至翻斗汽车排至排土场内。</w:t>
      </w:r>
    </w:p>
    <w:p>
      <w:pPr>
        <w:pStyle w:val="20"/>
        <w:spacing w:line="360" w:lineRule="auto"/>
        <w:ind w:firstLine="560"/>
        <w:rPr>
          <w:rFonts w:ascii="Times New Roman" w:hAnsi="Times New Roman"/>
          <w:sz w:val="28"/>
          <w:szCs w:val="24"/>
        </w:rPr>
      </w:pPr>
      <w:r>
        <w:rPr>
          <w:rFonts w:hint="eastAsia" w:ascii="Times New Roman" w:hAnsi="Times New Roman"/>
          <w:sz w:val="28"/>
          <w:szCs w:val="24"/>
        </w:rPr>
        <w:t>2．铲装设备选型及数量</w:t>
      </w:r>
    </w:p>
    <w:p>
      <w:pPr>
        <w:pStyle w:val="20"/>
        <w:spacing w:line="360" w:lineRule="auto"/>
        <w:ind w:firstLine="560"/>
        <w:rPr>
          <w:rFonts w:ascii="Times New Roman" w:hAnsi="Times New Roman"/>
          <w:sz w:val="28"/>
          <w:szCs w:val="24"/>
        </w:rPr>
      </w:pPr>
      <w:r>
        <w:rPr>
          <w:rFonts w:hint="eastAsia" w:ascii="Times New Roman" w:hAnsi="Times New Roman"/>
          <w:sz w:val="28"/>
          <w:szCs w:val="24"/>
        </w:rPr>
        <w:t>露天采场铲装设备选型依据采场参数，作业环境、作业顺序、铲装作业量等因素综合考虑。</w:t>
      </w:r>
    </w:p>
    <w:p>
      <w:pPr>
        <w:pStyle w:val="20"/>
        <w:spacing w:line="360" w:lineRule="auto"/>
        <w:ind w:firstLine="560"/>
        <w:rPr>
          <w:rFonts w:ascii="Times New Roman" w:hAnsi="Times New Roman"/>
          <w:sz w:val="28"/>
          <w:szCs w:val="24"/>
        </w:rPr>
      </w:pPr>
      <w:r>
        <w:rPr>
          <w:rFonts w:hint="eastAsia" w:ascii="Times New Roman" w:hAnsi="Times New Roman"/>
          <w:sz w:val="28"/>
          <w:szCs w:val="24"/>
        </w:rPr>
        <w:t>按照设计生产能力20×10</w:t>
      </w:r>
      <w:r>
        <w:rPr>
          <w:rFonts w:hint="eastAsia" w:ascii="Times New Roman" w:hAnsi="Times New Roman"/>
          <w:sz w:val="28"/>
          <w:szCs w:val="24"/>
          <w:vertAlign w:val="superscript"/>
        </w:rPr>
        <w:t>4</w:t>
      </w:r>
      <w:r>
        <w:rPr>
          <w:rFonts w:hint="eastAsia" w:ascii="Times New Roman" w:hAnsi="Times New Roman"/>
          <w:sz w:val="28"/>
          <w:szCs w:val="24"/>
        </w:rPr>
        <w:t>m</w:t>
      </w:r>
      <w:r>
        <w:rPr>
          <w:rFonts w:hint="eastAsia" w:ascii="Times New Roman" w:hAnsi="Times New Roman"/>
          <w:sz w:val="28"/>
          <w:szCs w:val="24"/>
          <w:vertAlign w:val="superscript"/>
        </w:rPr>
        <w:t>3</w:t>
      </w:r>
      <w:r>
        <w:rPr>
          <w:rFonts w:hint="eastAsia" w:ascii="Times New Roman" w:hAnsi="Times New Roman"/>
          <w:sz w:val="28"/>
          <w:szCs w:val="24"/>
        </w:rPr>
        <w:t>/a，年工作时间</w:t>
      </w:r>
      <w:r>
        <w:rPr>
          <w:rFonts w:ascii="Times New Roman" w:hAnsi="Times New Roman"/>
          <w:sz w:val="28"/>
          <w:szCs w:val="24"/>
        </w:rPr>
        <w:t>30</w:t>
      </w:r>
      <w:r>
        <w:rPr>
          <w:rFonts w:hint="eastAsia" w:ascii="Times New Roman" w:hAnsi="Times New Roman"/>
          <w:sz w:val="28"/>
          <w:szCs w:val="24"/>
        </w:rPr>
        <w:t>0天，每天1班工作作业，班工作8小时计算，其每班的采装量为：200000/</w:t>
      </w:r>
      <w:r>
        <w:rPr>
          <w:rFonts w:ascii="Times New Roman" w:hAnsi="Times New Roman"/>
          <w:sz w:val="28"/>
          <w:szCs w:val="24"/>
        </w:rPr>
        <w:t>300</w:t>
      </w:r>
      <w:r>
        <w:rPr>
          <w:rFonts w:hint="eastAsia" w:ascii="Times New Roman" w:hAnsi="Times New Roman"/>
          <w:sz w:val="28"/>
          <w:szCs w:val="24"/>
        </w:rPr>
        <w:t>=</w:t>
      </w:r>
      <w:r>
        <w:rPr>
          <w:rFonts w:ascii="Times New Roman" w:hAnsi="Times New Roman"/>
          <w:sz w:val="28"/>
          <w:szCs w:val="24"/>
        </w:rPr>
        <w:t>667</w:t>
      </w:r>
      <w:r>
        <w:rPr>
          <w:rFonts w:hint="eastAsia" w:ascii="Times New Roman" w:hAnsi="Times New Roman"/>
          <w:sz w:val="28"/>
          <w:szCs w:val="24"/>
        </w:rPr>
        <w:t>m</w:t>
      </w:r>
      <w:r>
        <w:rPr>
          <w:rFonts w:hint="eastAsia" w:ascii="Times New Roman" w:hAnsi="Times New Roman"/>
          <w:sz w:val="28"/>
          <w:szCs w:val="24"/>
          <w:vertAlign w:val="superscript"/>
        </w:rPr>
        <w:t>3</w:t>
      </w:r>
      <w:r>
        <w:rPr>
          <w:rFonts w:hint="eastAsia" w:ascii="Times New Roman" w:hAnsi="Times New Roman"/>
          <w:sz w:val="28"/>
          <w:szCs w:val="24"/>
        </w:rPr>
        <w:t>。</w:t>
      </w:r>
    </w:p>
    <w:p>
      <w:pPr>
        <w:ind w:firstLine="560"/>
      </w:pPr>
      <w:r>
        <w:rPr>
          <w:rFonts w:hint="eastAsia"/>
        </w:rPr>
        <w:t>同时考虑选用的装载机必须完成采、装、运工作。</w:t>
      </w:r>
    </w:p>
    <w:p>
      <w:pPr>
        <w:ind w:firstLine="560"/>
      </w:pPr>
      <w:r>
        <w:rPr>
          <w:rFonts w:hint="eastAsia"/>
        </w:rPr>
        <w:t>采装设备数量一般按下式计算：</w:t>
      </w:r>
    </w:p>
    <w:p>
      <w:pPr>
        <w:ind w:firstLine="560"/>
      </w:pPr>
      <w:bookmarkStart w:id="182" w:name="_Toc220208088"/>
      <w:bookmarkStart w:id="183" w:name="_Toc260144467"/>
      <w:r>
        <w:rPr>
          <w:rFonts w:hint="eastAsia"/>
        </w:rPr>
        <w:t>Q=</w:t>
      </w:r>
      <w:r>
        <w:object>
          <v:shape id="_x0000_i1025" o:spt="75" type="#_x0000_t75" style="height:35.05pt;width:77.6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rPr>
        <w:t>=3600×2.8×0.8×0.75/320.1=18.89 m</w:t>
      </w:r>
      <w:r>
        <w:rPr>
          <w:rFonts w:hint="eastAsia"/>
          <w:vertAlign w:val="superscript"/>
        </w:rPr>
        <w:t>3</w:t>
      </w:r>
      <w:r>
        <w:rPr>
          <w:rFonts w:hint="eastAsia"/>
        </w:rPr>
        <w:t>/h；</w:t>
      </w:r>
      <w:bookmarkEnd w:id="182"/>
      <w:bookmarkEnd w:id="183"/>
    </w:p>
    <w:p>
      <w:pPr>
        <w:ind w:firstLine="560"/>
      </w:pPr>
      <w:r>
        <w:rPr>
          <w:rFonts w:hint="eastAsia"/>
        </w:rPr>
        <w:t>式中：Q——装载机采装运时的生产能力，吨/h；</w:t>
      </w:r>
    </w:p>
    <w:p>
      <w:pPr>
        <w:ind w:firstLine="560"/>
      </w:pPr>
      <w:r>
        <w:rPr>
          <w:rFonts w:hint="eastAsia"/>
        </w:rPr>
        <w:t xml:space="preserve">      V——铲斗容积，m</w:t>
      </w:r>
      <w:r>
        <w:rPr>
          <w:rFonts w:hint="eastAsia"/>
          <w:vertAlign w:val="superscript"/>
        </w:rPr>
        <w:t>3</w:t>
      </w:r>
      <w:r>
        <w:rPr>
          <w:rFonts w:hint="eastAsia"/>
        </w:rPr>
        <w:t>；</w:t>
      </w:r>
    </w:p>
    <w:p>
      <w:pPr>
        <w:ind w:firstLine="560"/>
      </w:pPr>
      <w:r>
        <w:rPr>
          <w:rFonts w:hint="eastAsia"/>
        </w:rPr>
        <w:t xml:space="preserve">      K——铲斗装满系数，取0.8；</w:t>
      </w:r>
    </w:p>
    <w:p>
      <w:pPr>
        <w:ind w:firstLine="1540" w:firstLineChars="550"/>
      </w:pPr>
      <w:r>
        <w:rPr>
          <w:rFonts w:hint="eastAsia"/>
        </w:rPr>
        <w:t>η——时间利用系数，取0.75；</w:t>
      </w:r>
    </w:p>
    <w:p>
      <w:pPr>
        <w:ind w:firstLine="1540" w:firstLineChars="550"/>
      </w:pPr>
      <w:r>
        <w:rPr>
          <w:rFonts w:hint="eastAsia"/>
        </w:rPr>
        <w:t>t——采装运工作循环时间= t1+t2+t3+t4，s；</w:t>
      </w:r>
    </w:p>
    <w:p>
      <w:pPr>
        <w:ind w:firstLine="1540" w:firstLineChars="550"/>
      </w:pPr>
      <w:r>
        <w:rPr>
          <w:rFonts w:hint="eastAsia"/>
        </w:rPr>
        <w:t>t1——装载工序所需时间，s；取12；</w:t>
      </w:r>
    </w:p>
    <w:p>
      <w:pPr>
        <w:ind w:firstLine="1540" w:firstLineChars="550"/>
      </w:pPr>
      <w:r>
        <w:rPr>
          <w:rFonts w:hint="eastAsia"/>
        </w:rPr>
        <w:t>t2——卸载工序所需时间，s；取300(包括等待破碎时间)；</w:t>
      </w:r>
    </w:p>
    <w:p>
      <w:pPr>
        <w:ind w:firstLine="1540" w:firstLineChars="550"/>
      </w:pPr>
      <w:r>
        <w:rPr>
          <w:rFonts w:hint="eastAsia"/>
        </w:rPr>
        <w:t>t3——装载机重载运行到卸载点所需时间，s；</w:t>
      </w:r>
    </w:p>
    <w:p>
      <w:pPr>
        <w:ind w:firstLine="1540" w:firstLineChars="550"/>
      </w:pPr>
      <w:r>
        <w:rPr>
          <w:rFonts w:hint="eastAsia"/>
        </w:rPr>
        <w:t>t4——装载机空载回程运行时间，s；</w:t>
      </w:r>
    </w:p>
    <w:p>
      <w:pPr>
        <w:ind w:firstLine="1540" w:firstLineChars="550"/>
      </w:pPr>
      <w:r>
        <w:rPr>
          <w:rFonts w:hint="eastAsia"/>
        </w:rPr>
        <w:t>t3=L/V1=50/11.1=4.5，s；</w:t>
      </w:r>
    </w:p>
    <w:p>
      <w:pPr>
        <w:ind w:firstLine="1540" w:firstLineChars="550"/>
      </w:pPr>
      <w:r>
        <w:rPr>
          <w:rFonts w:hint="eastAsia"/>
        </w:rPr>
        <w:t>t4=L/V2=50/13.8=3.6，s；</w:t>
      </w:r>
    </w:p>
    <w:p>
      <w:pPr>
        <w:ind w:firstLine="1540" w:firstLineChars="550"/>
      </w:pPr>
      <w:r>
        <w:rPr>
          <w:rFonts w:hint="eastAsia"/>
        </w:rPr>
        <w:t>t= t1+t2+t3+t4=320.1</w:t>
      </w:r>
    </w:p>
    <w:p>
      <w:pPr>
        <w:ind w:firstLine="1540" w:firstLineChars="550"/>
      </w:pPr>
      <w:r>
        <w:rPr>
          <w:rFonts w:hint="eastAsia"/>
        </w:rPr>
        <w:t>L——运行距离，m；</w:t>
      </w:r>
    </w:p>
    <w:p>
      <w:pPr>
        <w:ind w:firstLine="1439" w:firstLineChars="514"/>
      </w:pPr>
      <w:r>
        <w:rPr>
          <w:rFonts w:hint="eastAsia"/>
        </w:rPr>
        <w:t>V1——重载平均运行速度，m/s；取11.1m/s；</w:t>
      </w:r>
    </w:p>
    <w:p>
      <w:pPr>
        <w:pStyle w:val="20"/>
        <w:spacing w:line="360" w:lineRule="auto"/>
        <w:ind w:firstLine="1400" w:firstLineChars="500"/>
        <w:rPr>
          <w:rFonts w:ascii="Times New Roman" w:hAnsi="Times New Roman"/>
          <w:sz w:val="28"/>
          <w:szCs w:val="24"/>
        </w:rPr>
      </w:pPr>
      <w:r>
        <w:rPr>
          <w:rFonts w:hint="eastAsia" w:ascii="Times New Roman" w:hAnsi="Times New Roman"/>
          <w:sz w:val="28"/>
          <w:szCs w:val="24"/>
        </w:rPr>
        <w:t>V2——空程平均运行速度，m/s；取13.8m/s。</w:t>
      </w:r>
    </w:p>
    <w:p>
      <w:pPr>
        <w:pStyle w:val="20"/>
        <w:spacing w:line="360" w:lineRule="auto"/>
        <w:ind w:firstLine="560"/>
        <w:rPr>
          <w:rFonts w:ascii="Times New Roman" w:hAnsi="Times New Roman"/>
          <w:sz w:val="28"/>
          <w:szCs w:val="24"/>
        </w:rPr>
      </w:pPr>
      <w:r>
        <w:rPr>
          <w:rFonts w:hint="eastAsia" w:ascii="Times New Roman" w:hAnsi="Times New Roman"/>
          <w:sz w:val="28"/>
          <w:szCs w:val="24"/>
        </w:rPr>
        <w:t>单台装载机理论班采装运能力为151.12 m</w:t>
      </w:r>
      <w:r>
        <w:rPr>
          <w:rFonts w:hint="eastAsia" w:ascii="Times New Roman" w:hAnsi="Times New Roman"/>
          <w:sz w:val="28"/>
          <w:szCs w:val="24"/>
          <w:vertAlign w:val="superscript"/>
        </w:rPr>
        <w:t>3</w:t>
      </w:r>
      <w:r>
        <w:rPr>
          <w:rFonts w:hint="eastAsia" w:ascii="Times New Roman" w:hAnsi="Times New Roman"/>
          <w:sz w:val="28"/>
          <w:szCs w:val="24"/>
        </w:rPr>
        <w:t>，单台挖掘机理论班采装运能力为86.32 m</w:t>
      </w:r>
      <w:r>
        <w:rPr>
          <w:rFonts w:hint="eastAsia" w:ascii="Times New Roman" w:hAnsi="Times New Roman"/>
          <w:sz w:val="28"/>
          <w:szCs w:val="24"/>
          <w:vertAlign w:val="superscript"/>
        </w:rPr>
        <w:t>3</w:t>
      </w:r>
      <w:r>
        <w:rPr>
          <w:rFonts w:hint="eastAsia" w:ascii="Times New Roman" w:hAnsi="Times New Roman"/>
          <w:sz w:val="28"/>
          <w:szCs w:val="24"/>
        </w:rPr>
        <w:t>，</w:t>
      </w:r>
      <w:r>
        <w:rPr>
          <w:rFonts w:ascii="Times New Roman" w:hAnsi="Times New Roman"/>
          <w:sz w:val="28"/>
          <w:szCs w:val="24"/>
        </w:rPr>
        <w:t>667</w:t>
      </w:r>
      <w:r>
        <w:rPr>
          <w:rFonts w:hint="eastAsia" w:ascii="Times New Roman" w:hAnsi="Times New Roman"/>
          <w:sz w:val="28"/>
          <w:szCs w:val="24"/>
        </w:rPr>
        <w:t>m</w:t>
      </w:r>
      <w:r>
        <w:rPr>
          <w:rFonts w:hint="eastAsia" w:ascii="Times New Roman" w:hAnsi="Times New Roman"/>
          <w:sz w:val="28"/>
          <w:szCs w:val="24"/>
          <w:vertAlign w:val="superscript"/>
        </w:rPr>
        <w:t>3</w:t>
      </w:r>
      <w:r>
        <w:rPr>
          <w:rFonts w:hint="eastAsia" w:ascii="Times New Roman" w:hAnsi="Times New Roman"/>
          <w:sz w:val="28"/>
          <w:szCs w:val="24"/>
        </w:rPr>
        <w:t>/（151.12+86.32）m</w:t>
      </w:r>
      <w:r>
        <w:rPr>
          <w:rFonts w:hint="eastAsia" w:ascii="Times New Roman" w:hAnsi="Times New Roman"/>
          <w:sz w:val="28"/>
          <w:szCs w:val="24"/>
          <w:vertAlign w:val="superscript"/>
        </w:rPr>
        <w:t>3</w:t>
      </w:r>
      <w:r>
        <w:rPr>
          <w:rFonts w:hint="eastAsia" w:ascii="Times New Roman" w:hAnsi="Times New Roman"/>
          <w:sz w:val="28"/>
          <w:szCs w:val="24"/>
        </w:rPr>
        <w:t>=</w:t>
      </w:r>
      <w:r>
        <w:rPr>
          <w:rFonts w:ascii="Times New Roman" w:hAnsi="Times New Roman"/>
          <w:sz w:val="28"/>
          <w:szCs w:val="24"/>
        </w:rPr>
        <w:t>2.8</w:t>
      </w:r>
      <w:r>
        <w:rPr>
          <w:rFonts w:hint="eastAsia" w:ascii="Times New Roman" w:hAnsi="Times New Roman"/>
          <w:sz w:val="28"/>
          <w:szCs w:val="24"/>
        </w:rPr>
        <w:t>台），因此日生产</w:t>
      </w:r>
      <w:r>
        <w:rPr>
          <w:rFonts w:ascii="Times New Roman" w:hAnsi="Times New Roman"/>
          <w:sz w:val="28"/>
          <w:szCs w:val="24"/>
        </w:rPr>
        <w:t>667</w:t>
      </w:r>
      <w:r>
        <w:rPr>
          <w:rFonts w:hint="eastAsia" w:ascii="Times New Roman" w:hAnsi="Times New Roman"/>
          <w:sz w:val="28"/>
          <w:szCs w:val="24"/>
        </w:rPr>
        <w:t>m</w:t>
      </w:r>
      <w:r>
        <w:rPr>
          <w:rFonts w:hint="eastAsia" w:ascii="Times New Roman" w:hAnsi="Times New Roman"/>
          <w:sz w:val="28"/>
          <w:szCs w:val="24"/>
          <w:vertAlign w:val="superscript"/>
        </w:rPr>
        <w:t>3</w:t>
      </w:r>
      <w:r>
        <w:rPr>
          <w:rFonts w:hint="eastAsia" w:ascii="Times New Roman" w:hAnsi="Times New Roman"/>
          <w:sz w:val="28"/>
          <w:szCs w:val="24"/>
        </w:rPr>
        <w:t>砂石需要</w:t>
      </w:r>
      <w:r>
        <w:rPr>
          <w:rFonts w:ascii="Times New Roman" w:hAnsi="Times New Roman"/>
          <w:sz w:val="28"/>
          <w:szCs w:val="24"/>
        </w:rPr>
        <w:t>3</w:t>
      </w:r>
      <w:r>
        <w:rPr>
          <w:rFonts w:hint="eastAsia" w:ascii="Times New Roman" w:hAnsi="Times New Roman"/>
          <w:sz w:val="28"/>
          <w:szCs w:val="24"/>
        </w:rPr>
        <w:t>台ZL50D型装载机和3台神钢SK230-6挖掘机。根据矿体赋存条件和核定生产能力，矿山配置</w:t>
      </w:r>
      <w:r>
        <w:rPr>
          <w:rFonts w:ascii="Times New Roman" w:hAnsi="Times New Roman"/>
          <w:sz w:val="28"/>
          <w:szCs w:val="24"/>
        </w:rPr>
        <w:t>3</w:t>
      </w:r>
      <w:r>
        <w:rPr>
          <w:rFonts w:hint="eastAsia" w:ascii="Times New Roman" w:hAnsi="Times New Roman"/>
          <w:sz w:val="28"/>
          <w:szCs w:val="24"/>
        </w:rPr>
        <w:t xml:space="preserve">台山东山工牌ZL50D型装载机和3台神钢SK230-6挖掘机可满足生产要求。选用的采装设备基本参数如表4-3： </w:t>
      </w:r>
    </w:p>
    <w:p>
      <w:pPr>
        <w:pStyle w:val="26"/>
        <w:ind w:firstLine="560"/>
        <w:rPr>
          <w:rFonts w:ascii="黑体" w:hAnsi="黑体" w:eastAsia="黑体" w:cs="宋体"/>
          <w:b/>
          <w:bCs/>
        </w:rPr>
      </w:pPr>
      <w:r>
        <w:rPr>
          <w:rFonts w:hint="eastAsia" w:ascii="黑体" w:hAnsi="黑体" w:eastAsia="黑体" w:cs="宋体"/>
          <w:b/>
          <w:bCs/>
        </w:rPr>
        <w:t>表4-3：装载机工作参数</w:t>
      </w:r>
    </w:p>
    <w:tbl>
      <w:tblPr>
        <w:tblStyle w:val="1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6"/>
        <w:gridCol w:w="1245"/>
        <w:gridCol w:w="1746"/>
        <w:gridCol w:w="1932"/>
        <w:gridCol w:w="15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2236" w:type="dxa"/>
            <w:vAlign w:val="center"/>
          </w:tcPr>
          <w:p>
            <w:pPr>
              <w:pStyle w:val="27"/>
              <w:rPr>
                <w:rFonts w:ascii="宋体" w:hAnsi="宋体" w:eastAsia="宋体" w:cs="宋体"/>
              </w:rPr>
            </w:pPr>
            <w:r>
              <w:rPr>
                <w:rFonts w:hint="eastAsia" w:ascii="宋体" w:hAnsi="宋体" w:eastAsia="宋体" w:cs="宋体"/>
              </w:rPr>
              <w:t>设备型号</w:t>
            </w:r>
          </w:p>
        </w:tc>
        <w:tc>
          <w:tcPr>
            <w:tcW w:w="1245" w:type="dxa"/>
            <w:vAlign w:val="center"/>
          </w:tcPr>
          <w:p>
            <w:pPr>
              <w:pStyle w:val="27"/>
              <w:rPr>
                <w:rFonts w:ascii="宋体" w:hAnsi="宋体" w:eastAsia="宋体" w:cs="宋体"/>
              </w:rPr>
            </w:pPr>
            <w:r>
              <w:rPr>
                <w:rFonts w:hint="eastAsia" w:ascii="宋体" w:hAnsi="宋体" w:eastAsia="宋体" w:cs="宋体"/>
              </w:rPr>
              <w:t>斗容（m</w:t>
            </w:r>
            <w:r>
              <w:rPr>
                <w:rFonts w:hint="eastAsia" w:ascii="宋体" w:hAnsi="宋体" w:eastAsia="宋体" w:cs="宋体"/>
                <w:vertAlign w:val="superscript"/>
              </w:rPr>
              <w:t>3</w:t>
            </w:r>
            <w:r>
              <w:rPr>
                <w:rFonts w:hint="eastAsia" w:ascii="宋体" w:hAnsi="宋体" w:eastAsia="宋体" w:cs="宋体"/>
              </w:rPr>
              <w:t>）</w:t>
            </w:r>
          </w:p>
        </w:tc>
        <w:tc>
          <w:tcPr>
            <w:tcW w:w="1746" w:type="dxa"/>
            <w:vAlign w:val="center"/>
          </w:tcPr>
          <w:p>
            <w:pPr>
              <w:pStyle w:val="27"/>
              <w:rPr>
                <w:rFonts w:ascii="宋体" w:hAnsi="宋体" w:eastAsia="宋体" w:cs="宋体"/>
              </w:rPr>
            </w:pPr>
            <w:r>
              <w:rPr>
                <w:rFonts w:hint="eastAsia" w:ascii="宋体" w:hAnsi="宋体" w:eastAsia="宋体" w:cs="宋体"/>
              </w:rPr>
              <w:t>最大合理运距（m）</w:t>
            </w:r>
          </w:p>
        </w:tc>
        <w:tc>
          <w:tcPr>
            <w:tcW w:w="1932" w:type="dxa"/>
            <w:vAlign w:val="center"/>
          </w:tcPr>
          <w:p>
            <w:pPr>
              <w:pStyle w:val="27"/>
              <w:rPr>
                <w:rFonts w:ascii="宋体" w:hAnsi="宋体" w:eastAsia="宋体" w:cs="宋体"/>
              </w:rPr>
            </w:pPr>
            <w:r>
              <w:rPr>
                <w:rFonts w:hint="eastAsia" w:ascii="宋体" w:hAnsi="宋体" w:eastAsia="宋体" w:cs="宋体"/>
              </w:rPr>
              <w:t>最下采掘带宽度（m）</w:t>
            </w:r>
          </w:p>
        </w:tc>
        <w:tc>
          <w:tcPr>
            <w:tcW w:w="1561" w:type="dxa"/>
            <w:vAlign w:val="center"/>
          </w:tcPr>
          <w:p>
            <w:pPr>
              <w:pStyle w:val="27"/>
              <w:rPr>
                <w:rFonts w:ascii="宋体" w:hAnsi="宋体" w:eastAsia="宋体" w:cs="宋体"/>
              </w:rPr>
            </w:pPr>
            <w:r>
              <w:rPr>
                <w:rFonts w:hint="eastAsia" w:ascii="宋体" w:hAnsi="宋体" w:eastAsia="宋体" w:cs="宋体"/>
              </w:rPr>
              <w:t>班作业量（m</w:t>
            </w:r>
            <w:r>
              <w:rPr>
                <w:rFonts w:hint="eastAsia" w:ascii="宋体" w:hAnsi="宋体" w:eastAsia="宋体" w:cs="宋体"/>
                <w:vertAlign w:val="superscript"/>
              </w:rPr>
              <w:t>3</w:t>
            </w:r>
            <w:r>
              <w:rPr>
                <w:rFonts w:hint="eastAsia" w:ascii="宋体" w:hAnsi="宋体" w:eastAsia="宋体" w:cs="宋体"/>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2236" w:type="dxa"/>
            <w:vAlign w:val="center"/>
          </w:tcPr>
          <w:p>
            <w:pPr>
              <w:pStyle w:val="27"/>
              <w:rPr>
                <w:rFonts w:ascii="宋体" w:hAnsi="宋体" w:eastAsia="宋体" w:cs="宋体"/>
              </w:rPr>
            </w:pPr>
            <w:r>
              <w:rPr>
                <w:rFonts w:hint="eastAsia" w:ascii="宋体" w:hAnsi="宋体" w:eastAsia="宋体" w:cs="宋体"/>
              </w:rPr>
              <w:t>山工牌ZL－50D装载机</w:t>
            </w:r>
          </w:p>
        </w:tc>
        <w:tc>
          <w:tcPr>
            <w:tcW w:w="1245" w:type="dxa"/>
            <w:vAlign w:val="center"/>
          </w:tcPr>
          <w:p>
            <w:pPr>
              <w:pStyle w:val="27"/>
              <w:rPr>
                <w:rFonts w:ascii="宋体" w:hAnsi="宋体" w:eastAsia="宋体" w:cs="宋体"/>
              </w:rPr>
            </w:pPr>
            <w:r>
              <w:rPr>
                <w:rFonts w:hint="eastAsia" w:ascii="宋体" w:hAnsi="宋体" w:eastAsia="宋体" w:cs="宋体"/>
              </w:rPr>
              <w:t>2.8</w:t>
            </w:r>
          </w:p>
        </w:tc>
        <w:tc>
          <w:tcPr>
            <w:tcW w:w="1746" w:type="dxa"/>
            <w:vAlign w:val="center"/>
          </w:tcPr>
          <w:p>
            <w:pPr>
              <w:pStyle w:val="27"/>
              <w:rPr>
                <w:rFonts w:ascii="宋体" w:hAnsi="宋体" w:eastAsia="宋体" w:cs="宋体"/>
              </w:rPr>
            </w:pPr>
            <w:r>
              <w:rPr>
                <w:rFonts w:hint="eastAsia" w:ascii="宋体" w:hAnsi="宋体" w:eastAsia="宋体" w:cs="宋体"/>
              </w:rPr>
              <w:t>200</w:t>
            </w:r>
          </w:p>
        </w:tc>
        <w:tc>
          <w:tcPr>
            <w:tcW w:w="1932" w:type="dxa"/>
            <w:vAlign w:val="center"/>
          </w:tcPr>
          <w:p>
            <w:pPr>
              <w:pStyle w:val="27"/>
              <w:rPr>
                <w:rFonts w:ascii="宋体" w:hAnsi="宋体" w:eastAsia="宋体" w:cs="宋体"/>
              </w:rPr>
            </w:pPr>
            <w:r>
              <w:rPr>
                <w:rFonts w:hint="eastAsia" w:ascii="宋体" w:hAnsi="宋体" w:eastAsia="宋体" w:cs="宋体"/>
              </w:rPr>
              <w:t>4.5</w:t>
            </w:r>
          </w:p>
        </w:tc>
        <w:tc>
          <w:tcPr>
            <w:tcW w:w="1561" w:type="dxa"/>
            <w:vAlign w:val="center"/>
          </w:tcPr>
          <w:p>
            <w:pPr>
              <w:pStyle w:val="27"/>
              <w:rPr>
                <w:rFonts w:ascii="宋体" w:hAnsi="宋体" w:eastAsia="宋体" w:cs="宋体"/>
              </w:rPr>
            </w:pPr>
            <w:r>
              <w:rPr>
                <w:rFonts w:hint="eastAsia" w:ascii="宋体" w:hAnsi="宋体" w:eastAsia="宋体" w:cs="宋体"/>
              </w:rPr>
              <w:t>151.12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2236" w:type="dxa"/>
            <w:vAlign w:val="center"/>
          </w:tcPr>
          <w:p>
            <w:pPr>
              <w:pStyle w:val="27"/>
              <w:rPr>
                <w:rFonts w:ascii="宋体" w:hAnsi="宋体" w:eastAsia="宋体" w:cs="宋体"/>
              </w:rPr>
            </w:pPr>
            <w:r>
              <w:rPr>
                <w:rFonts w:hint="eastAsia" w:ascii="宋体" w:hAnsi="宋体" w:eastAsia="宋体" w:cs="宋体"/>
              </w:rPr>
              <w:t>神钢SK230-6挖掘机</w:t>
            </w:r>
          </w:p>
        </w:tc>
        <w:tc>
          <w:tcPr>
            <w:tcW w:w="1245" w:type="dxa"/>
            <w:vAlign w:val="center"/>
          </w:tcPr>
          <w:p>
            <w:pPr>
              <w:pStyle w:val="27"/>
              <w:rPr>
                <w:rFonts w:ascii="宋体" w:hAnsi="宋体" w:eastAsia="宋体" w:cs="宋体"/>
              </w:rPr>
            </w:pPr>
            <w:r>
              <w:rPr>
                <w:rFonts w:hint="eastAsia" w:ascii="宋体" w:hAnsi="宋体" w:eastAsia="宋体" w:cs="宋体"/>
              </w:rPr>
              <w:t>0.64</w:t>
            </w:r>
          </w:p>
        </w:tc>
        <w:tc>
          <w:tcPr>
            <w:tcW w:w="1746" w:type="dxa"/>
            <w:vAlign w:val="center"/>
          </w:tcPr>
          <w:p>
            <w:pPr>
              <w:pStyle w:val="27"/>
              <w:rPr>
                <w:rFonts w:ascii="宋体" w:hAnsi="宋体" w:eastAsia="宋体" w:cs="宋体"/>
              </w:rPr>
            </w:pPr>
            <w:r>
              <w:rPr>
                <w:rFonts w:hint="eastAsia" w:ascii="宋体" w:hAnsi="宋体" w:eastAsia="宋体" w:cs="宋体"/>
              </w:rPr>
              <w:t>200</w:t>
            </w:r>
          </w:p>
        </w:tc>
        <w:tc>
          <w:tcPr>
            <w:tcW w:w="1932" w:type="dxa"/>
            <w:vAlign w:val="center"/>
          </w:tcPr>
          <w:p>
            <w:pPr>
              <w:pStyle w:val="27"/>
              <w:rPr>
                <w:rFonts w:ascii="宋体" w:hAnsi="宋体" w:eastAsia="宋体" w:cs="宋体"/>
              </w:rPr>
            </w:pPr>
            <w:r>
              <w:rPr>
                <w:rFonts w:hint="eastAsia" w:ascii="宋体" w:hAnsi="宋体" w:eastAsia="宋体" w:cs="宋体"/>
              </w:rPr>
              <w:t>4.5</w:t>
            </w:r>
          </w:p>
        </w:tc>
        <w:tc>
          <w:tcPr>
            <w:tcW w:w="1561" w:type="dxa"/>
            <w:vAlign w:val="center"/>
          </w:tcPr>
          <w:p>
            <w:pPr>
              <w:pStyle w:val="27"/>
              <w:rPr>
                <w:rFonts w:ascii="宋体" w:hAnsi="宋体" w:eastAsia="宋体" w:cs="宋体"/>
              </w:rPr>
            </w:pPr>
            <w:r>
              <w:rPr>
                <w:rFonts w:hint="eastAsia" w:ascii="宋体" w:hAnsi="宋体" w:eastAsia="宋体" w:cs="宋体"/>
              </w:rPr>
              <w:t>86.32</w:t>
            </w:r>
          </w:p>
        </w:tc>
      </w:tr>
    </w:tbl>
    <w:p>
      <w:pPr>
        <w:pStyle w:val="23"/>
        <w:spacing w:line="360" w:lineRule="auto"/>
        <w:rPr>
          <w:rFonts w:ascii="宋体" w:eastAsia="宋体" w:cs="宋体"/>
        </w:rPr>
      </w:pPr>
      <w:r>
        <w:rPr>
          <w:rFonts w:hint="eastAsia" w:ascii="宋体" w:eastAsia="宋体" w:cs="宋体"/>
        </w:rPr>
        <w:t>4.1.5.2 设备选型及数量</w:t>
      </w:r>
    </w:p>
    <w:p>
      <w:pPr>
        <w:pStyle w:val="20"/>
        <w:spacing w:line="360" w:lineRule="auto"/>
        <w:rPr>
          <w:rFonts w:cs="宋体"/>
          <w:szCs w:val="24"/>
        </w:rPr>
      </w:pPr>
      <w:r>
        <w:rPr>
          <w:rFonts w:hint="eastAsia" w:cs="宋体"/>
          <w:szCs w:val="24"/>
        </w:rPr>
        <w:t>为保证矿山顺利施工，易损设备均应考虑备用，具体采矿设备详见表4-4：</w:t>
      </w:r>
    </w:p>
    <w:p>
      <w:pPr>
        <w:pStyle w:val="20"/>
        <w:spacing w:line="360" w:lineRule="auto"/>
        <w:rPr>
          <w:rFonts w:cs="宋体"/>
          <w:szCs w:val="24"/>
        </w:rPr>
      </w:pPr>
    </w:p>
    <w:p>
      <w:pPr>
        <w:pStyle w:val="20"/>
        <w:spacing w:line="360" w:lineRule="auto"/>
        <w:rPr>
          <w:rFonts w:cs="宋体"/>
          <w:szCs w:val="24"/>
        </w:rPr>
      </w:pPr>
    </w:p>
    <w:tbl>
      <w:tblPr>
        <w:tblStyle w:val="13"/>
        <w:tblW w:w="0" w:type="auto"/>
        <w:jc w:val="center"/>
        <w:tblLayout w:type="fixed"/>
        <w:tblCellMar>
          <w:top w:w="0" w:type="dxa"/>
          <w:left w:w="108" w:type="dxa"/>
          <w:bottom w:w="0" w:type="dxa"/>
          <w:right w:w="108" w:type="dxa"/>
        </w:tblCellMar>
      </w:tblPr>
      <w:tblGrid>
        <w:gridCol w:w="935"/>
        <w:gridCol w:w="3743"/>
        <w:gridCol w:w="1809"/>
        <w:gridCol w:w="1842"/>
      </w:tblGrid>
      <w:tr>
        <w:tblPrEx>
          <w:tblCellMar>
            <w:top w:w="0" w:type="dxa"/>
            <w:left w:w="108" w:type="dxa"/>
            <w:bottom w:w="0" w:type="dxa"/>
            <w:right w:w="108" w:type="dxa"/>
          </w:tblCellMar>
        </w:tblPrEx>
        <w:trPr>
          <w:trHeight w:val="319" w:hRule="atLeast"/>
          <w:tblHeader/>
          <w:jc w:val="center"/>
        </w:trPr>
        <w:tc>
          <w:tcPr>
            <w:tcW w:w="8329" w:type="dxa"/>
            <w:gridSpan w:val="4"/>
            <w:tcBorders>
              <w:bottom w:val="single" w:color="auto" w:sz="12" w:space="0"/>
            </w:tcBorders>
            <w:vAlign w:val="center"/>
          </w:tcPr>
          <w:p>
            <w:pPr>
              <w:pStyle w:val="26"/>
              <w:ind w:firstLine="560"/>
              <w:rPr>
                <w:rFonts w:ascii="黑体" w:hAnsi="黑体" w:eastAsia="黑体" w:cs="宋体"/>
                <w:b/>
                <w:bCs/>
              </w:rPr>
            </w:pPr>
            <w:r>
              <w:rPr>
                <w:rFonts w:hint="eastAsia" w:ascii="黑体" w:hAnsi="黑体" w:eastAsia="黑体" w:cs="宋体"/>
                <w:b/>
                <w:bCs/>
              </w:rPr>
              <w:t>表4-4：采矿设备明细表</w:t>
            </w:r>
          </w:p>
        </w:tc>
      </w:tr>
      <w:tr>
        <w:tblPrEx>
          <w:tblCellMar>
            <w:top w:w="0" w:type="dxa"/>
            <w:left w:w="108" w:type="dxa"/>
            <w:bottom w:w="0" w:type="dxa"/>
            <w:right w:w="108" w:type="dxa"/>
          </w:tblCellMar>
        </w:tblPrEx>
        <w:trPr>
          <w:trHeight w:val="319" w:hRule="atLeast"/>
          <w:tblHeader/>
          <w:jc w:val="center"/>
        </w:trPr>
        <w:tc>
          <w:tcPr>
            <w:tcW w:w="935" w:type="dxa"/>
            <w:tcBorders>
              <w:top w:val="single" w:color="auto" w:sz="12" w:space="0"/>
              <w:left w:val="single" w:color="auto" w:sz="12"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序号</w:t>
            </w:r>
          </w:p>
        </w:tc>
        <w:tc>
          <w:tcPr>
            <w:tcW w:w="3743" w:type="dxa"/>
            <w:tcBorders>
              <w:top w:val="single" w:color="auto" w:sz="12" w:space="0"/>
              <w:left w:val="single" w:color="auto" w:sz="6"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设备名称</w:t>
            </w:r>
          </w:p>
        </w:tc>
        <w:tc>
          <w:tcPr>
            <w:tcW w:w="1809" w:type="dxa"/>
            <w:tcBorders>
              <w:top w:val="single" w:color="auto" w:sz="12" w:space="0"/>
              <w:left w:val="single" w:color="auto" w:sz="6"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单位</w:t>
            </w:r>
          </w:p>
        </w:tc>
        <w:tc>
          <w:tcPr>
            <w:tcW w:w="1842" w:type="dxa"/>
            <w:tcBorders>
              <w:top w:val="single" w:color="auto" w:sz="12" w:space="0"/>
              <w:left w:val="single" w:color="auto" w:sz="6" w:space="0"/>
              <w:bottom w:val="single" w:color="auto" w:sz="6" w:space="0"/>
              <w:right w:val="single" w:color="auto" w:sz="12"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数量</w:t>
            </w:r>
          </w:p>
        </w:tc>
      </w:tr>
      <w:tr>
        <w:tblPrEx>
          <w:tblCellMar>
            <w:top w:w="0" w:type="dxa"/>
            <w:left w:w="108" w:type="dxa"/>
            <w:bottom w:w="0" w:type="dxa"/>
            <w:right w:w="108" w:type="dxa"/>
          </w:tblCellMar>
        </w:tblPrEx>
        <w:trPr>
          <w:trHeight w:val="270" w:hRule="atLeast"/>
          <w:jc w:val="center"/>
        </w:trPr>
        <w:tc>
          <w:tcPr>
            <w:tcW w:w="935" w:type="dxa"/>
            <w:tcBorders>
              <w:top w:val="single" w:color="auto" w:sz="6" w:space="0"/>
              <w:left w:val="single" w:color="auto" w:sz="12"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1</w:t>
            </w:r>
          </w:p>
        </w:tc>
        <w:tc>
          <w:tcPr>
            <w:tcW w:w="3743" w:type="dxa"/>
            <w:tcBorders>
              <w:top w:val="single" w:color="auto" w:sz="6" w:space="0"/>
              <w:left w:val="single" w:color="auto" w:sz="6"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ZL50D型装载机</w:t>
            </w:r>
          </w:p>
        </w:tc>
        <w:tc>
          <w:tcPr>
            <w:tcW w:w="1809" w:type="dxa"/>
            <w:tcBorders>
              <w:top w:val="single" w:color="auto" w:sz="6" w:space="0"/>
              <w:left w:val="single" w:color="auto" w:sz="6"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台</w:t>
            </w:r>
          </w:p>
        </w:tc>
        <w:tc>
          <w:tcPr>
            <w:tcW w:w="1842" w:type="dxa"/>
            <w:tcBorders>
              <w:top w:val="single" w:color="auto" w:sz="6" w:space="0"/>
              <w:left w:val="single" w:color="auto" w:sz="6" w:space="0"/>
              <w:bottom w:val="single" w:color="auto" w:sz="6" w:space="0"/>
              <w:right w:val="single" w:color="auto" w:sz="12" w:space="0"/>
            </w:tcBorders>
            <w:vAlign w:val="center"/>
          </w:tcPr>
          <w:p>
            <w:pPr>
              <w:pStyle w:val="27"/>
              <w:spacing w:line="240" w:lineRule="auto"/>
              <w:ind w:firstLine="560"/>
              <w:rPr>
                <w:rFonts w:ascii="宋体" w:hAnsi="宋体" w:eastAsia="宋体" w:cs="宋体"/>
              </w:rPr>
            </w:pPr>
            <w:r>
              <w:rPr>
                <w:rFonts w:ascii="宋体" w:hAnsi="宋体" w:eastAsia="宋体" w:cs="宋体"/>
                <w:lang w:val="en-US"/>
              </w:rPr>
              <w:t>3</w:t>
            </w:r>
          </w:p>
        </w:tc>
      </w:tr>
      <w:tr>
        <w:tblPrEx>
          <w:tblCellMar>
            <w:top w:w="0" w:type="dxa"/>
            <w:left w:w="108" w:type="dxa"/>
            <w:bottom w:w="0" w:type="dxa"/>
            <w:right w:w="108" w:type="dxa"/>
          </w:tblCellMar>
        </w:tblPrEx>
        <w:trPr>
          <w:trHeight w:val="270" w:hRule="atLeast"/>
          <w:jc w:val="center"/>
        </w:trPr>
        <w:tc>
          <w:tcPr>
            <w:tcW w:w="935" w:type="dxa"/>
            <w:tcBorders>
              <w:top w:val="single" w:color="auto" w:sz="6" w:space="0"/>
              <w:left w:val="single" w:color="auto" w:sz="12"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2</w:t>
            </w:r>
          </w:p>
        </w:tc>
        <w:tc>
          <w:tcPr>
            <w:tcW w:w="3743" w:type="dxa"/>
            <w:tcBorders>
              <w:top w:val="single" w:color="auto" w:sz="6" w:space="0"/>
              <w:left w:val="single" w:color="auto" w:sz="6"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神钢SK230-6挖掘机</w:t>
            </w:r>
          </w:p>
        </w:tc>
        <w:tc>
          <w:tcPr>
            <w:tcW w:w="1809" w:type="dxa"/>
            <w:tcBorders>
              <w:top w:val="single" w:color="auto" w:sz="6" w:space="0"/>
              <w:left w:val="single" w:color="auto" w:sz="6"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台</w:t>
            </w:r>
          </w:p>
        </w:tc>
        <w:tc>
          <w:tcPr>
            <w:tcW w:w="1842" w:type="dxa"/>
            <w:tcBorders>
              <w:top w:val="single" w:color="auto" w:sz="6" w:space="0"/>
              <w:left w:val="single" w:color="auto" w:sz="6" w:space="0"/>
              <w:bottom w:val="single" w:color="auto" w:sz="6" w:space="0"/>
              <w:right w:val="single" w:color="auto" w:sz="12" w:space="0"/>
            </w:tcBorders>
            <w:vAlign w:val="center"/>
          </w:tcPr>
          <w:p>
            <w:pPr>
              <w:pStyle w:val="27"/>
              <w:spacing w:line="240" w:lineRule="auto"/>
              <w:ind w:firstLine="560"/>
              <w:rPr>
                <w:rFonts w:ascii="宋体" w:hAnsi="宋体" w:eastAsia="宋体" w:cs="宋体"/>
              </w:rPr>
            </w:pPr>
            <w:r>
              <w:rPr>
                <w:rFonts w:ascii="宋体" w:hAnsi="宋体" w:eastAsia="宋体" w:cs="宋体"/>
                <w:lang w:val="en-US"/>
              </w:rPr>
              <w:t>3</w:t>
            </w:r>
          </w:p>
        </w:tc>
      </w:tr>
      <w:tr>
        <w:tblPrEx>
          <w:tblCellMar>
            <w:top w:w="0" w:type="dxa"/>
            <w:left w:w="108" w:type="dxa"/>
            <w:bottom w:w="0" w:type="dxa"/>
            <w:right w:w="108" w:type="dxa"/>
          </w:tblCellMar>
        </w:tblPrEx>
        <w:trPr>
          <w:trHeight w:val="220" w:hRule="atLeast"/>
          <w:jc w:val="center"/>
        </w:trPr>
        <w:tc>
          <w:tcPr>
            <w:tcW w:w="935" w:type="dxa"/>
            <w:tcBorders>
              <w:top w:val="single" w:color="auto" w:sz="6" w:space="0"/>
              <w:left w:val="single" w:color="auto" w:sz="12"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3</w:t>
            </w:r>
          </w:p>
        </w:tc>
        <w:tc>
          <w:tcPr>
            <w:tcW w:w="3743" w:type="dxa"/>
            <w:tcBorders>
              <w:top w:val="single" w:color="auto" w:sz="6" w:space="0"/>
              <w:left w:val="single" w:color="auto" w:sz="6"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20t自卸汽车</w:t>
            </w:r>
          </w:p>
        </w:tc>
        <w:tc>
          <w:tcPr>
            <w:tcW w:w="1809" w:type="dxa"/>
            <w:tcBorders>
              <w:top w:val="single" w:color="auto" w:sz="6" w:space="0"/>
              <w:left w:val="single" w:color="auto" w:sz="6"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辆</w:t>
            </w:r>
          </w:p>
        </w:tc>
        <w:tc>
          <w:tcPr>
            <w:tcW w:w="1842" w:type="dxa"/>
            <w:tcBorders>
              <w:top w:val="single" w:color="auto" w:sz="6" w:space="0"/>
              <w:left w:val="single" w:color="auto" w:sz="6" w:space="0"/>
              <w:bottom w:val="single" w:color="auto" w:sz="6" w:space="0"/>
              <w:right w:val="single" w:color="auto" w:sz="12" w:space="0"/>
            </w:tcBorders>
            <w:vAlign w:val="center"/>
          </w:tcPr>
          <w:p>
            <w:pPr>
              <w:pStyle w:val="27"/>
              <w:spacing w:line="240" w:lineRule="auto"/>
              <w:ind w:firstLine="560"/>
              <w:rPr>
                <w:rFonts w:ascii="宋体" w:hAnsi="宋体" w:eastAsia="宋体" w:cs="宋体"/>
                <w:lang w:val="en-US"/>
              </w:rPr>
            </w:pPr>
            <w:r>
              <w:rPr>
                <w:rFonts w:ascii="宋体" w:hAnsi="宋体" w:eastAsia="宋体" w:cs="宋体"/>
                <w:lang w:val="en-US"/>
              </w:rPr>
              <w:t>2</w:t>
            </w:r>
          </w:p>
        </w:tc>
      </w:tr>
      <w:tr>
        <w:tblPrEx>
          <w:tblCellMar>
            <w:top w:w="0" w:type="dxa"/>
            <w:left w:w="108" w:type="dxa"/>
            <w:bottom w:w="0" w:type="dxa"/>
            <w:right w:w="108" w:type="dxa"/>
          </w:tblCellMar>
        </w:tblPrEx>
        <w:trPr>
          <w:trHeight w:val="65" w:hRule="atLeast"/>
          <w:jc w:val="center"/>
        </w:trPr>
        <w:tc>
          <w:tcPr>
            <w:tcW w:w="935" w:type="dxa"/>
            <w:tcBorders>
              <w:top w:val="single" w:color="auto" w:sz="6" w:space="0"/>
              <w:left w:val="single" w:color="auto" w:sz="12"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4</w:t>
            </w:r>
          </w:p>
        </w:tc>
        <w:tc>
          <w:tcPr>
            <w:tcW w:w="3743" w:type="dxa"/>
            <w:tcBorders>
              <w:top w:val="single" w:color="auto" w:sz="6" w:space="0"/>
              <w:left w:val="single" w:color="auto" w:sz="6"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V2200-A型潜水泵</w:t>
            </w:r>
          </w:p>
        </w:tc>
        <w:tc>
          <w:tcPr>
            <w:tcW w:w="1809" w:type="dxa"/>
            <w:tcBorders>
              <w:top w:val="single" w:color="auto" w:sz="6" w:space="0"/>
              <w:left w:val="single" w:color="auto" w:sz="6" w:space="0"/>
              <w:bottom w:val="single" w:color="auto" w:sz="6" w:space="0"/>
              <w:right w:val="single" w:color="auto" w:sz="6" w:space="0"/>
            </w:tcBorders>
            <w:vAlign w:val="center"/>
          </w:tcPr>
          <w:p>
            <w:pPr>
              <w:pStyle w:val="27"/>
              <w:spacing w:line="240" w:lineRule="auto"/>
              <w:ind w:firstLine="560"/>
              <w:rPr>
                <w:rFonts w:ascii="宋体" w:hAnsi="宋体" w:eastAsia="宋体" w:cs="宋体"/>
              </w:rPr>
            </w:pPr>
            <w:r>
              <w:rPr>
                <w:rFonts w:hint="eastAsia" w:ascii="宋体" w:hAnsi="宋体" w:eastAsia="宋体" w:cs="宋体"/>
              </w:rPr>
              <w:t>台</w:t>
            </w:r>
          </w:p>
        </w:tc>
        <w:tc>
          <w:tcPr>
            <w:tcW w:w="1842" w:type="dxa"/>
            <w:tcBorders>
              <w:top w:val="single" w:color="auto" w:sz="6" w:space="0"/>
              <w:left w:val="single" w:color="auto" w:sz="6" w:space="0"/>
              <w:bottom w:val="single" w:color="auto" w:sz="6" w:space="0"/>
              <w:right w:val="single" w:color="auto" w:sz="12" w:space="0"/>
            </w:tcBorders>
            <w:vAlign w:val="center"/>
          </w:tcPr>
          <w:p>
            <w:pPr>
              <w:pStyle w:val="27"/>
              <w:spacing w:line="240" w:lineRule="auto"/>
              <w:ind w:firstLine="560"/>
              <w:rPr>
                <w:rFonts w:ascii="宋体" w:hAnsi="宋体" w:eastAsia="宋体" w:cs="宋体"/>
              </w:rPr>
            </w:pPr>
            <w:r>
              <w:rPr>
                <w:rFonts w:hint="eastAsia" w:ascii="宋体" w:hAnsi="宋体" w:eastAsia="宋体" w:cs="宋体"/>
                <w:lang w:val="en-US"/>
              </w:rPr>
              <w:t>1</w:t>
            </w:r>
          </w:p>
        </w:tc>
      </w:tr>
    </w:tbl>
    <w:p>
      <w:pPr>
        <w:pStyle w:val="2"/>
        <w:jc w:val="both"/>
      </w:pPr>
    </w:p>
    <w:p>
      <w:pPr>
        <w:pStyle w:val="4"/>
      </w:pPr>
      <w:bookmarkStart w:id="184" w:name="_Toc138174254"/>
      <w:bookmarkStart w:id="185" w:name="_Toc147563669"/>
      <w:bookmarkStart w:id="186" w:name="_Toc6335"/>
      <w:r>
        <w:rPr>
          <w:rFonts w:hint="eastAsia"/>
        </w:rPr>
        <w:t>4.</w:t>
      </w:r>
      <w:r>
        <w:t>2</w:t>
      </w:r>
      <w:r>
        <w:rPr>
          <w:rFonts w:hint="eastAsia"/>
        </w:rPr>
        <w:t xml:space="preserve"> 主要生产系统及设施配置</w:t>
      </w:r>
      <w:bookmarkEnd w:id="184"/>
      <w:bookmarkEnd w:id="185"/>
      <w:bookmarkEnd w:id="186"/>
    </w:p>
    <w:p>
      <w:pPr>
        <w:pStyle w:val="5"/>
        <w:ind w:firstLine="562"/>
      </w:pPr>
      <w:bookmarkStart w:id="187" w:name="_Toc8377"/>
      <w:bookmarkStart w:id="188" w:name="_Toc502783443"/>
      <w:bookmarkStart w:id="189" w:name="_Toc395519182"/>
      <w:bookmarkStart w:id="190" w:name="_Toc31126"/>
      <w:bookmarkStart w:id="191" w:name="_Toc8389"/>
      <w:bookmarkStart w:id="192" w:name="_Toc394081989"/>
      <w:r>
        <w:rPr>
          <w:rFonts w:hint="eastAsia"/>
        </w:rPr>
        <w:t>4</w:t>
      </w:r>
      <w:r>
        <w:t>.2.1</w:t>
      </w:r>
      <w:r>
        <w:rPr>
          <w:rFonts w:hint="eastAsia"/>
        </w:rPr>
        <w:t>供、排水方案及设施配置</w:t>
      </w:r>
      <w:bookmarkEnd w:id="187"/>
    </w:p>
    <w:p>
      <w:pPr>
        <w:ind w:firstLine="560"/>
      </w:pPr>
      <w:r>
        <w:rPr>
          <w:rFonts w:hint="eastAsia"/>
        </w:rPr>
        <w:t>⑴供水</w:t>
      </w:r>
    </w:p>
    <w:p>
      <w:pPr>
        <w:autoSpaceDE w:val="0"/>
        <w:autoSpaceDN w:val="0"/>
        <w:adjustRightInd w:val="0"/>
        <w:spacing w:line="240" w:lineRule="auto"/>
        <w:ind w:firstLine="560"/>
        <w:jc w:val="left"/>
      </w:pPr>
      <w:r>
        <w:rPr>
          <w:rFonts w:hint="eastAsia"/>
        </w:rPr>
        <w:t>供水可使用矿区东部农业灌溉水渠及运水车送来的饮用水，生产用水可用农业灌溉水渠供水，生活用水可用运水车运来的饮用水，在矿区生活区设置</w:t>
      </w:r>
      <w:r>
        <w:t>10</w:t>
      </w:r>
      <w:r>
        <w:rPr>
          <w:rFonts w:hint="eastAsia"/>
        </w:rPr>
        <w:t>m</w:t>
      </w:r>
      <w:r>
        <w:rPr>
          <w:rFonts w:hint="eastAsia"/>
          <w:vertAlign w:val="superscript"/>
        </w:rPr>
        <w:t>3</w:t>
      </w:r>
      <w:r>
        <w:rPr>
          <w:rFonts w:hint="eastAsia"/>
        </w:rPr>
        <w:t>蓄水池和采场设置</w:t>
      </w:r>
      <w:r>
        <w:t>1</w:t>
      </w:r>
      <w:r>
        <w:rPr>
          <w:rFonts w:hint="eastAsia"/>
        </w:rPr>
        <w:t>0m</w:t>
      </w:r>
      <w:r>
        <w:rPr>
          <w:rFonts w:hint="eastAsia"/>
          <w:vertAlign w:val="superscript"/>
        </w:rPr>
        <w:t>3</w:t>
      </w:r>
      <w:r>
        <w:rPr>
          <w:rFonts w:hint="eastAsia"/>
        </w:rPr>
        <w:t>高位水罐，分别供生活区生活用水和采场生产用水。</w:t>
      </w:r>
    </w:p>
    <w:p>
      <w:pPr>
        <w:ind w:firstLine="560"/>
      </w:pPr>
      <w:r>
        <w:rPr>
          <w:rFonts w:hint="eastAsia"/>
        </w:rPr>
        <w:t>⑵排水</w:t>
      </w:r>
    </w:p>
    <w:p>
      <w:pPr>
        <w:ind w:firstLine="560"/>
      </w:pPr>
      <w:r>
        <w:rPr>
          <w:rFonts w:hint="eastAsia"/>
        </w:rPr>
        <w:t>该矿区地形地貌条件简单，矿山开采位于当地侵蚀基准面以上，地下水不易聚集。</w:t>
      </w:r>
    </w:p>
    <w:bookmarkEnd w:id="188"/>
    <w:bookmarkEnd w:id="189"/>
    <w:bookmarkEnd w:id="190"/>
    <w:bookmarkEnd w:id="191"/>
    <w:bookmarkEnd w:id="192"/>
    <w:p>
      <w:pPr>
        <w:pStyle w:val="5"/>
        <w:ind w:firstLine="843" w:firstLineChars="300"/>
      </w:pPr>
      <w:bookmarkStart w:id="193" w:name="_Toc214406999"/>
      <w:r>
        <w:rPr>
          <w:rFonts w:hint="eastAsia"/>
        </w:rPr>
        <w:t>4.</w:t>
      </w:r>
      <w:r>
        <w:t>2.</w:t>
      </w:r>
      <w:r>
        <w:rPr>
          <w:rFonts w:hint="eastAsia"/>
        </w:rPr>
        <w:t>2 供配电及通讯设施</w:t>
      </w:r>
    </w:p>
    <w:p>
      <w:pPr>
        <w:ind w:firstLine="560"/>
      </w:pPr>
      <w:r>
        <w:rPr>
          <w:rFonts w:hint="eastAsia"/>
        </w:rPr>
        <w:t>⑴供电</w:t>
      </w:r>
    </w:p>
    <w:p>
      <w:pPr>
        <w:ind w:firstLine="560"/>
      </w:pPr>
      <w:r>
        <w:rPr>
          <w:rFonts w:hint="eastAsia"/>
        </w:rPr>
        <w:t>电网已接入矿区，生活及工业用电可以满足需求。</w:t>
      </w:r>
    </w:p>
    <w:p>
      <w:pPr>
        <w:ind w:firstLine="560"/>
      </w:pPr>
      <w:r>
        <w:rPr>
          <w:rFonts w:hint="eastAsia"/>
        </w:rPr>
        <w:t>⑵通讯设施</w:t>
      </w:r>
    </w:p>
    <w:bookmarkEnd w:id="193"/>
    <w:p>
      <w:pPr>
        <w:autoSpaceDE w:val="0"/>
        <w:autoSpaceDN w:val="0"/>
        <w:adjustRightInd w:val="0"/>
        <w:spacing w:line="240" w:lineRule="auto"/>
        <w:ind w:firstLine="560"/>
        <w:jc w:val="left"/>
      </w:pPr>
      <w:bookmarkStart w:id="194" w:name="_Toc14521"/>
      <w:bookmarkStart w:id="195" w:name="_Toc502783448"/>
      <w:bookmarkStart w:id="196" w:name="_Toc511226416"/>
      <w:bookmarkStart w:id="197" w:name="_Toc138174255"/>
      <w:r>
        <w:rPr>
          <w:rFonts w:hint="eastAsia"/>
        </w:rPr>
        <w:t>中国移动、电信、联通建成的无线通讯网络已覆盖矿区，通讯方便。</w:t>
      </w:r>
    </w:p>
    <w:p>
      <w:pPr>
        <w:pStyle w:val="4"/>
        <w:ind w:firstLine="0" w:firstLineChars="0"/>
      </w:pPr>
      <w:bookmarkStart w:id="198" w:name="_Toc147563670"/>
      <w:r>
        <w:rPr>
          <w:rFonts w:hint="eastAsia"/>
        </w:rPr>
        <w:t>4.</w:t>
      </w:r>
      <w:r>
        <w:t>3</w:t>
      </w:r>
      <w:r>
        <w:rPr>
          <w:rFonts w:hint="eastAsia"/>
        </w:rPr>
        <w:t xml:space="preserve"> 矿山防治水方案</w:t>
      </w:r>
      <w:bookmarkEnd w:id="194"/>
      <w:bookmarkEnd w:id="195"/>
      <w:bookmarkEnd w:id="196"/>
      <w:bookmarkEnd w:id="197"/>
      <w:bookmarkEnd w:id="198"/>
    </w:p>
    <w:p>
      <w:pPr>
        <w:pStyle w:val="20"/>
        <w:spacing w:line="360" w:lineRule="auto"/>
        <w:ind w:firstLine="560"/>
        <w:rPr>
          <w:rFonts w:ascii="Times New Roman" w:hAnsi="Times New Roman"/>
          <w:sz w:val="28"/>
          <w:szCs w:val="24"/>
        </w:rPr>
      </w:pPr>
      <w:r>
        <w:rPr>
          <w:rFonts w:hint="eastAsia" w:ascii="Times New Roman" w:hAnsi="Times New Roman"/>
          <w:sz w:val="28"/>
          <w:szCs w:val="24"/>
        </w:rPr>
        <w:t>该矿处于平原位置，矿石的开采最终将形成凹坑。采矿生产期间，采坑在暴雨季节可能造成采坑积水，影响开采。所以设计在采场内设置临时的150QJ10-50/7型潜水泵一台即可，供采场排水用，且排水必须做到流水畅通，不积水、不断流、遇强降雨能及时排出。积水面积较小可采用积水坑收集雨水。设计采用自流和抽水泵联合排水，前期采用自流排水，后期采用抽水泵排水。</w:t>
      </w:r>
    </w:p>
    <w:p>
      <w:pPr>
        <w:pStyle w:val="2"/>
        <w:sectPr>
          <w:pgSz w:w="11906" w:h="16838"/>
          <w:pgMar w:top="1440" w:right="1800" w:bottom="1440" w:left="1800" w:header="851" w:footer="992" w:gutter="0"/>
          <w:cols w:space="720" w:num="1"/>
          <w:docGrid w:type="lines" w:linePitch="312" w:charSpace="0"/>
        </w:sectPr>
      </w:pPr>
    </w:p>
    <w:p>
      <w:pPr>
        <w:pStyle w:val="3"/>
        <w:spacing w:before="312"/>
        <w:ind w:firstLine="602"/>
      </w:pPr>
      <w:bookmarkStart w:id="199" w:name="_Toc71621581"/>
      <w:bookmarkStart w:id="200" w:name="_Toc23224"/>
      <w:bookmarkStart w:id="201" w:name="_Toc502783449"/>
      <w:bookmarkStart w:id="202" w:name="_Toc147563671"/>
      <w:bookmarkStart w:id="203" w:name="_Toc511226417"/>
      <w:bookmarkStart w:id="204" w:name="_Toc70589747"/>
      <w:r>
        <w:rPr>
          <w:rFonts w:hint="eastAsia"/>
        </w:rPr>
        <w:t>5  矿床开采</w:t>
      </w:r>
      <w:bookmarkEnd w:id="199"/>
      <w:bookmarkEnd w:id="200"/>
      <w:bookmarkEnd w:id="201"/>
      <w:bookmarkEnd w:id="202"/>
      <w:bookmarkEnd w:id="203"/>
      <w:bookmarkEnd w:id="204"/>
    </w:p>
    <w:p>
      <w:pPr>
        <w:pStyle w:val="4"/>
      </w:pPr>
      <w:bookmarkStart w:id="205" w:name="_Toc511226418"/>
      <w:bookmarkStart w:id="206" w:name="_Toc214407006"/>
      <w:bookmarkStart w:id="207" w:name="_Toc24773"/>
      <w:bookmarkStart w:id="208" w:name="_Toc502783450"/>
      <w:bookmarkStart w:id="209" w:name="_Toc70589748"/>
      <w:bookmarkStart w:id="210" w:name="_Toc71621582"/>
      <w:bookmarkStart w:id="211" w:name="_Toc147563672"/>
      <w:r>
        <w:rPr>
          <w:rFonts w:hint="eastAsia"/>
        </w:rPr>
        <w:t xml:space="preserve">5.1 </w:t>
      </w:r>
      <w:bookmarkEnd w:id="205"/>
      <w:bookmarkEnd w:id="206"/>
      <w:bookmarkEnd w:id="207"/>
      <w:bookmarkEnd w:id="208"/>
      <w:bookmarkEnd w:id="209"/>
      <w:bookmarkEnd w:id="210"/>
      <w:r>
        <w:rPr>
          <w:rFonts w:hint="eastAsia" w:ascii="宋体" w:hAnsi="宋体" w:cs="宋体"/>
        </w:rPr>
        <w:t>露天开采境界</w:t>
      </w:r>
      <w:bookmarkEnd w:id="211"/>
    </w:p>
    <w:p>
      <w:pPr>
        <w:pStyle w:val="20"/>
        <w:spacing w:line="360" w:lineRule="auto"/>
        <w:ind w:firstLine="560"/>
        <w:rPr>
          <w:rFonts w:cs="宋体"/>
          <w:sz w:val="28"/>
          <w:szCs w:val="28"/>
        </w:rPr>
      </w:pPr>
      <w:r>
        <w:rPr>
          <w:rFonts w:hint="eastAsia" w:cs="宋体"/>
          <w:sz w:val="28"/>
          <w:szCs w:val="28"/>
        </w:rPr>
        <w:t>1. 露天开采境界确定的原则</w:t>
      </w:r>
    </w:p>
    <w:p>
      <w:pPr>
        <w:pStyle w:val="20"/>
        <w:spacing w:line="360" w:lineRule="auto"/>
        <w:ind w:firstLine="560"/>
        <w:rPr>
          <w:rFonts w:cs="宋体"/>
          <w:sz w:val="28"/>
          <w:szCs w:val="28"/>
        </w:rPr>
      </w:pPr>
      <w:r>
        <w:rPr>
          <w:rFonts w:hint="eastAsia" w:cs="宋体"/>
          <w:sz w:val="28"/>
          <w:szCs w:val="28"/>
        </w:rPr>
        <w:t>本次设计在圈定露天矿开采境界时，最大限度的减少基建投资，降低生产剥采比，并使企业获得最大的经济效益。矿山在今后的开采过程中，充分考虑矿体赋存条件，确定露天开采境界时要确保开采该区域内全部矿体。</w:t>
      </w:r>
    </w:p>
    <w:p>
      <w:pPr>
        <w:ind w:firstLine="560"/>
        <w:rPr>
          <w:rFonts w:ascii="宋体" w:hAnsi="宋体" w:cs="宋体"/>
          <w:szCs w:val="21"/>
        </w:rPr>
      </w:pPr>
      <w:r>
        <w:rPr>
          <w:rFonts w:hint="eastAsia" w:ascii="宋体" w:hAnsi="宋体" w:cs="宋体"/>
          <w:szCs w:val="21"/>
        </w:rPr>
        <w:t>2.</w:t>
      </w:r>
      <w:r>
        <w:rPr>
          <w:rFonts w:hint="eastAsia" w:ascii="宋体" w:hAnsi="宋体" w:cs="宋体"/>
          <w:szCs w:val="28"/>
        </w:rPr>
        <w:t>露天开采境界的确定</w:t>
      </w:r>
    </w:p>
    <w:p>
      <w:pPr>
        <w:pStyle w:val="20"/>
        <w:spacing w:line="360" w:lineRule="auto"/>
        <w:ind w:firstLine="560"/>
        <w:rPr>
          <w:rFonts w:cs="宋体"/>
          <w:sz w:val="28"/>
          <w:szCs w:val="21"/>
        </w:rPr>
      </w:pPr>
      <w:r>
        <w:rPr>
          <w:rFonts w:hint="eastAsia" w:cs="宋体"/>
          <w:sz w:val="28"/>
          <w:szCs w:val="28"/>
        </w:rPr>
        <w:t>本方案设计采用露天开采，露天开采最低标高</w:t>
      </w:r>
      <w:r>
        <w:rPr>
          <w:rFonts w:cs="宋体"/>
          <w:sz w:val="28"/>
          <w:szCs w:val="28"/>
        </w:rPr>
        <w:t>1583</w:t>
      </w:r>
      <w:r>
        <w:rPr>
          <w:rFonts w:hint="eastAsia" w:cs="宋体"/>
          <w:sz w:val="28"/>
          <w:szCs w:val="28"/>
        </w:rPr>
        <w:t>m，最高标高</w:t>
      </w:r>
      <w:r>
        <w:rPr>
          <w:rFonts w:cs="宋体"/>
          <w:sz w:val="28"/>
          <w:szCs w:val="28"/>
        </w:rPr>
        <w:t>1623.5</w:t>
      </w:r>
      <w:r>
        <w:rPr>
          <w:rFonts w:hint="eastAsia" w:cs="宋体"/>
          <w:sz w:val="28"/>
          <w:szCs w:val="28"/>
        </w:rPr>
        <w:t>m，矿体开采厚度大于1</w:t>
      </w:r>
      <w:r>
        <w:rPr>
          <w:rFonts w:cs="宋体"/>
          <w:sz w:val="28"/>
          <w:szCs w:val="28"/>
        </w:rPr>
        <w:t>7</w:t>
      </w:r>
      <w:r>
        <w:rPr>
          <w:rFonts w:hint="eastAsia" w:cs="宋体"/>
          <w:sz w:val="28"/>
          <w:szCs w:val="28"/>
        </w:rPr>
        <w:t>m，平均开采厚度为1</w:t>
      </w:r>
      <w:r>
        <w:rPr>
          <w:rFonts w:cs="宋体"/>
          <w:sz w:val="28"/>
          <w:szCs w:val="28"/>
        </w:rPr>
        <w:t>5</w:t>
      </w:r>
      <w:r>
        <w:rPr>
          <w:rFonts w:hint="eastAsia" w:cs="宋体"/>
          <w:sz w:val="28"/>
          <w:szCs w:val="28"/>
        </w:rPr>
        <w:t>m。</w:t>
      </w:r>
    </w:p>
    <w:p>
      <w:pPr>
        <w:pStyle w:val="20"/>
        <w:spacing w:line="360" w:lineRule="auto"/>
        <w:ind w:firstLine="560"/>
        <w:rPr>
          <w:rFonts w:cs="宋体"/>
          <w:sz w:val="28"/>
          <w:szCs w:val="28"/>
        </w:rPr>
      </w:pPr>
      <w:r>
        <w:rPr>
          <w:rFonts w:hint="eastAsia" w:cs="宋体"/>
          <w:sz w:val="28"/>
          <w:szCs w:val="28"/>
        </w:rPr>
        <w:t>3.经济合理剥采比的确定</w:t>
      </w:r>
    </w:p>
    <w:p>
      <w:pPr>
        <w:adjustRightInd w:val="0"/>
        <w:snapToGrid w:val="0"/>
        <w:ind w:firstLine="560"/>
        <w:rPr>
          <w:rFonts w:ascii="宋体" w:hAnsi="宋体" w:cs="宋体"/>
          <w:szCs w:val="28"/>
        </w:rPr>
      </w:pPr>
      <w:r>
        <w:rPr>
          <w:rFonts w:hint="eastAsia" w:ascii="宋体" w:hAnsi="宋体" w:cs="宋体"/>
          <w:szCs w:val="28"/>
        </w:rPr>
        <w:t>矿山采用露天开采方式，以开采砂石为主。根据目前该矿砂石矿的市场价格，结合开挖围岩的成本等，采用原矿价格法计算该矿区露天开采的经济合理剥采比如下：</w:t>
      </w:r>
    </w:p>
    <w:p>
      <w:pPr>
        <w:snapToGrid w:val="0"/>
        <w:ind w:firstLine="560"/>
        <w:rPr>
          <w:rFonts w:ascii="宋体" w:hAnsi="宋体" w:cs="宋体"/>
          <w:szCs w:val="28"/>
        </w:rPr>
      </w:pPr>
      <w:r>
        <w:rPr>
          <w:rFonts w:hint="eastAsia" w:ascii="宋体" w:hAnsi="宋体" w:cs="宋体"/>
          <w:szCs w:val="28"/>
        </w:rPr>
        <w:t>价格法计算经济合理剥采比的原则是，露天开采的单位产品成本不高于产品的销售价格。当露天开采的最终产品为原矿时，根据价格法原则:</w:t>
      </w:r>
    </w:p>
    <w:p>
      <w:pPr>
        <w:snapToGrid w:val="0"/>
        <w:spacing w:line="480" w:lineRule="exact"/>
        <w:ind w:firstLine="3500" w:firstLineChars="1250"/>
        <w:rPr>
          <w:rFonts w:ascii="宋体" w:hAnsi="宋体" w:cs="宋体"/>
          <w:szCs w:val="28"/>
        </w:rPr>
      </w:pPr>
      <w:r>
        <w:rPr>
          <w:rFonts w:hint="eastAsia" w:ascii="宋体" w:hAnsi="宋体" w:cs="宋体"/>
          <w:position w:val="-12"/>
          <w:szCs w:val="28"/>
        </w:rPr>
        <w:object>
          <v:shape id="_x0000_i1026" o:spt="75" type="#_x0000_t75" style="height:22.55pt;width:92.6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p>
    <w:p>
      <w:pPr>
        <w:snapToGrid w:val="0"/>
        <w:spacing w:after="156" w:afterLines="50" w:line="480" w:lineRule="exact"/>
        <w:ind w:firstLine="560"/>
        <w:rPr>
          <w:rFonts w:ascii="宋体" w:hAnsi="宋体" w:cs="宋体"/>
          <w:szCs w:val="28"/>
        </w:rPr>
      </w:pPr>
      <w:r>
        <w:rPr>
          <w:rFonts w:hint="eastAsia" w:ascii="宋体" w:hAnsi="宋体" w:cs="宋体"/>
          <w:szCs w:val="28"/>
        </w:rPr>
        <w:t xml:space="preserve">故                   </w:t>
      </w:r>
      <w:r>
        <w:rPr>
          <w:rFonts w:hint="eastAsia" w:ascii="宋体" w:hAnsi="宋体" w:cs="宋体"/>
          <w:position w:val="-24"/>
          <w:szCs w:val="28"/>
        </w:rPr>
        <w:object>
          <v:shape id="_x0000_i1027" o:spt="75" type="#_x0000_t75" style="height:35.05pt;width:100.1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宋体" w:hAnsi="宋体" w:cs="宋体"/>
          <w:szCs w:val="28"/>
        </w:rPr>
        <w:t xml:space="preserve"> </w:t>
      </w:r>
    </w:p>
    <w:p>
      <w:pPr>
        <w:snapToGrid w:val="0"/>
        <w:ind w:firstLine="560"/>
        <w:rPr>
          <w:rFonts w:ascii="宋体" w:hAnsi="宋体" w:cs="宋体"/>
          <w:szCs w:val="28"/>
        </w:rPr>
      </w:pPr>
      <w:r>
        <w:rPr>
          <w:rFonts w:hint="eastAsia" w:ascii="宋体" w:hAnsi="宋体" w:cs="宋体"/>
          <w:szCs w:val="28"/>
        </w:rPr>
        <w:t>式中  P</w:t>
      </w:r>
      <w:r>
        <w:rPr>
          <w:rFonts w:hint="eastAsia" w:ascii="宋体" w:hAnsi="宋体" w:cs="宋体"/>
          <w:szCs w:val="28"/>
          <w:vertAlign w:val="subscript"/>
        </w:rPr>
        <w:t>0</w:t>
      </w:r>
      <w:r>
        <w:rPr>
          <w:rFonts w:hint="eastAsia" w:ascii="宋体" w:hAnsi="宋体" w:cs="宋体"/>
          <w:szCs w:val="28"/>
        </w:rPr>
        <w:t>——矿石矿点的价格（目前价格为</w:t>
      </w:r>
      <w:r>
        <w:rPr>
          <w:rFonts w:ascii="宋体" w:hAnsi="宋体" w:cs="宋体"/>
          <w:szCs w:val="28"/>
        </w:rPr>
        <w:t>50</w:t>
      </w:r>
      <w:r>
        <w:rPr>
          <w:rFonts w:hint="eastAsia" w:ascii="宋体" w:hAnsi="宋体" w:cs="宋体"/>
          <w:szCs w:val="28"/>
        </w:rPr>
        <w:t>元/m</w:t>
      </w:r>
      <w:r>
        <w:rPr>
          <w:rFonts w:hint="eastAsia" w:ascii="宋体" w:hAnsi="宋体" w:cs="宋体"/>
          <w:szCs w:val="28"/>
          <w:vertAlign w:val="superscript"/>
        </w:rPr>
        <w:t>3</w:t>
      </w:r>
      <w:r>
        <w:rPr>
          <w:rFonts w:hint="eastAsia" w:ascii="宋体" w:hAnsi="宋体" w:cs="宋体"/>
          <w:szCs w:val="28"/>
        </w:rPr>
        <w:t>）。</w:t>
      </w:r>
    </w:p>
    <w:p>
      <w:pPr>
        <w:snapToGrid w:val="0"/>
        <w:ind w:firstLine="560"/>
        <w:rPr>
          <w:rFonts w:ascii="宋体" w:hAnsi="宋体" w:cs="宋体"/>
          <w:szCs w:val="28"/>
        </w:rPr>
      </w:pPr>
      <w:r>
        <w:rPr>
          <w:rFonts w:hint="eastAsia" w:ascii="宋体" w:hAnsi="宋体" w:cs="宋体"/>
          <w:szCs w:val="28"/>
        </w:rPr>
        <w:t>a——露天开采的纯采矿成本（不包括剥离，当地成本价</w:t>
      </w:r>
      <w:r>
        <w:rPr>
          <w:rFonts w:ascii="宋体" w:hAnsi="宋体" w:cs="宋体"/>
          <w:szCs w:val="28"/>
        </w:rPr>
        <w:t>30</w:t>
      </w:r>
      <w:r>
        <w:rPr>
          <w:rFonts w:hint="eastAsia" w:ascii="宋体" w:hAnsi="宋体" w:cs="宋体"/>
          <w:szCs w:val="28"/>
        </w:rPr>
        <w:t>元/m</w:t>
      </w:r>
      <w:r>
        <w:rPr>
          <w:rFonts w:hint="eastAsia" w:ascii="宋体" w:hAnsi="宋体" w:cs="宋体"/>
          <w:szCs w:val="28"/>
          <w:vertAlign w:val="superscript"/>
        </w:rPr>
        <w:t>3</w:t>
      </w:r>
      <w:r>
        <w:rPr>
          <w:rFonts w:hint="eastAsia" w:ascii="宋体" w:hAnsi="宋体" w:cs="宋体"/>
          <w:szCs w:val="28"/>
        </w:rPr>
        <w:t>）；</w:t>
      </w:r>
    </w:p>
    <w:p>
      <w:pPr>
        <w:snapToGrid w:val="0"/>
        <w:ind w:firstLine="560"/>
        <w:rPr>
          <w:rFonts w:ascii="宋体" w:hAnsi="宋体" w:cs="宋体"/>
          <w:szCs w:val="28"/>
        </w:rPr>
      </w:pPr>
      <w:r>
        <w:rPr>
          <w:rFonts w:hint="eastAsia" w:ascii="宋体" w:hAnsi="宋体" w:cs="宋体"/>
          <w:szCs w:val="28"/>
        </w:rPr>
        <w:t>b——露天开采的剥离成本（当地剥离成本为8元/m</w:t>
      </w:r>
      <w:r>
        <w:rPr>
          <w:rFonts w:hint="eastAsia" w:ascii="宋体" w:hAnsi="宋体" w:cs="宋体"/>
          <w:szCs w:val="28"/>
          <w:vertAlign w:val="superscript"/>
        </w:rPr>
        <w:t>3</w:t>
      </w:r>
      <w:r>
        <w:rPr>
          <w:rFonts w:hint="eastAsia" w:ascii="宋体" w:hAnsi="宋体" w:cs="宋体"/>
          <w:szCs w:val="28"/>
        </w:rPr>
        <w:t>）；</w:t>
      </w:r>
    </w:p>
    <w:p>
      <w:pPr>
        <w:snapToGrid w:val="0"/>
        <w:ind w:firstLine="560"/>
        <w:rPr>
          <w:rFonts w:ascii="宋体" w:hAnsi="宋体" w:cs="宋体"/>
          <w:szCs w:val="28"/>
        </w:rPr>
      </w:pPr>
      <w:r>
        <w:rPr>
          <w:rFonts w:hint="eastAsia" w:ascii="宋体" w:hAnsi="宋体" w:cs="宋体"/>
          <w:position w:val="-14"/>
          <w:szCs w:val="28"/>
        </w:rPr>
        <w:object>
          <v:shape id="_x0000_i1028" o:spt="75" type="#_x0000_t75" style="height:18.15pt;width:16.9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宋体" w:hAnsi="宋体" w:cs="宋体"/>
          <w:szCs w:val="28"/>
        </w:rPr>
        <w:t>——剥采比，m</w:t>
      </w:r>
      <w:r>
        <w:rPr>
          <w:rFonts w:hint="eastAsia" w:ascii="宋体" w:hAnsi="宋体" w:cs="宋体"/>
          <w:szCs w:val="28"/>
          <w:vertAlign w:val="superscript"/>
        </w:rPr>
        <w:t>3</w:t>
      </w:r>
      <w:r>
        <w:rPr>
          <w:rFonts w:hint="eastAsia" w:ascii="宋体" w:hAnsi="宋体" w:cs="宋体"/>
          <w:szCs w:val="28"/>
        </w:rPr>
        <w:t>/m</w:t>
      </w:r>
      <w:r>
        <w:rPr>
          <w:rFonts w:hint="eastAsia" w:ascii="宋体" w:hAnsi="宋体" w:cs="宋体"/>
          <w:szCs w:val="28"/>
          <w:vertAlign w:val="superscript"/>
        </w:rPr>
        <w:t>3</w:t>
      </w:r>
      <w:r>
        <w:rPr>
          <w:rFonts w:hint="eastAsia" w:ascii="宋体" w:hAnsi="宋体" w:cs="宋体"/>
          <w:szCs w:val="28"/>
        </w:rPr>
        <w:t>。</w:t>
      </w:r>
    </w:p>
    <w:p>
      <w:pPr>
        <w:snapToGrid w:val="0"/>
        <w:ind w:firstLine="560"/>
        <w:rPr>
          <w:rFonts w:ascii="宋体" w:hAnsi="宋体" w:cs="宋体"/>
          <w:szCs w:val="28"/>
        </w:rPr>
      </w:pPr>
      <w:r>
        <w:rPr>
          <w:rFonts w:hint="eastAsia" w:ascii="宋体" w:hAnsi="宋体" w:cs="宋体"/>
          <w:szCs w:val="28"/>
        </w:rPr>
        <w:t>若按照保证露天开采的产品能获得预定的最低利润的原则来计算经济合理剥采比的方法，称最低利润法。当露天开采最终产品为原矿时。</w:t>
      </w:r>
    </w:p>
    <w:p>
      <w:pPr>
        <w:snapToGrid w:val="0"/>
        <w:spacing w:after="156" w:afterLines="50" w:line="480" w:lineRule="exact"/>
        <w:ind w:firstLine="560"/>
        <w:jc w:val="center"/>
        <w:rPr>
          <w:rFonts w:ascii="宋体" w:hAnsi="宋体" w:cs="宋体"/>
          <w:szCs w:val="28"/>
        </w:rPr>
      </w:pPr>
      <w:r>
        <w:rPr>
          <w:rFonts w:hint="eastAsia" w:ascii="宋体" w:hAnsi="宋体" w:cs="宋体"/>
          <w:position w:val="-24"/>
          <w:szCs w:val="28"/>
        </w:rPr>
        <w:object>
          <v:shape id="_x0000_i1029" o:spt="75" type="#_x0000_t75" style="height:33.2pt;width:95.1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宋体" w:hAnsi="宋体" w:cs="宋体"/>
          <w:szCs w:val="28"/>
        </w:rPr>
        <w:t xml:space="preserve"> </w:t>
      </w:r>
    </w:p>
    <w:p>
      <w:pPr>
        <w:snapToGrid w:val="0"/>
        <w:ind w:firstLine="560"/>
        <w:rPr>
          <w:rFonts w:ascii="宋体" w:hAnsi="宋体" w:cs="宋体"/>
          <w:szCs w:val="28"/>
        </w:rPr>
      </w:pPr>
      <w:r>
        <w:rPr>
          <w:rFonts w:hint="eastAsia" w:ascii="宋体" w:hAnsi="宋体" w:cs="宋体"/>
          <w:szCs w:val="28"/>
        </w:rPr>
        <w:t>式中  δ——利润率（取0.5）；</w:t>
      </w:r>
    </w:p>
    <w:p>
      <w:pPr>
        <w:adjustRightInd w:val="0"/>
        <w:snapToGrid w:val="0"/>
        <w:ind w:firstLine="560"/>
        <w:rPr>
          <w:rFonts w:ascii="宋体" w:hAnsi="宋体" w:cs="宋体"/>
          <w:szCs w:val="28"/>
        </w:rPr>
      </w:pPr>
      <w:r>
        <w:rPr>
          <w:rFonts w:hint="eastAsia" w:ascii="宋体" w:hAnsi="宋体" w:cs="宋体"/>
          <w:szCs w:val="28"/>
        </w:rPr>
        <w:t xml:space="preserve">      其余符号意义同前。</w:t>
      </w:r>
    </w:p>
    <w:p>
      <w:pPr>
        <w:pStyle w:val="20"/>
        <w:spacing w:line="360" w:lineRule="auto"/>
        <w:ind w:firstLine="560"/>
        <w:rPr>
          <w:rFonts w:cs="宋体"/>
          <w:sz w:val="28"/>
          <w:szCs w:val="28"/>
        </w:rPr>
      </w:pPr>
      <w:r>
        <w:rPr>
          <w:rFonts w:hint="eastAsia" w:cs="宋体"/>
          <w:sz w:val="28"/>
          <w:szCs w:val="21"/>
        </w:rPr>
        <w:t>选择价格法原则进行计算后：该地区采用露天开采的经济合理剥采比为0.</w:t>
      </w:r>
      <w:r>
        <w:rPr>
          <w:rFonts w:cs="宋体"/>
          <w:sz w:val="28"/>
          <w:szCs w:val="21"/>
        </w:rPr>
        <w:t>417</w:t>
      </w:r>
      <w:r>
        <w:rPr>
          <w:rFonts w:hint="eastAsia" w:cs="宋体"/>
          <w:sz w:val="28"/>
          <w:szCs w:val="21"/>
        </w:rPr>
        <w:t>:1。</w:t>
      </w:r>
    </w:p>
    <w:p>
      <w:pPr>
        <w:pStyle w:val="4"/>
      </w:pPr>
      <w:bookmarkStart w:id="212" w:name="_Toc147563673"/>
      <w:r>
        <w:rPr>
          <w:rFonts w:hint="eastAsia"/>
        </w:rPr>
        <w:t>5.</w:t>
      </w:r>
      <w:r>
        <w:t>2</w:t>
      </w:r>
      <w:r>
        <w:rPr>
          <w:rFonts w:hint="eastAsia"/>
        </w:rPr>
        <w:t xml:space="preserve"> </w:t>
      </w:r>
      <w:r>
        <w:rPr>
          <w:rFonts w:hint="eastAsia" w:ascii="宋体" w:hAnsi="宋体" w:cs="宋体"/>
          <w:szCs w:val="24"/>
        </w:rPr>
        <w:t>确定露天采场最终边坡要素</w:t>
      </w:r>
      <w:bookmarkEnd w:id="212"/>
    </w:p>
    <w:p>
      <w:pPr>
        <w:pStyle w:val="20"/>
        <w:spacing w:line="360" w:lineRule="auto"/>
        <w:ind w:firstLine="560"/>
        <w:rPr>
          <w:rFonts w:cs="宋体"/>
          <w:sz w:val="28"/>
          <w:szCs w:val="28"/>
        </w:rPr>
      </w:pPr>
      <w:r>
        <w:rPr>
          <w:rFonts w:hint="eastAsia" w:cs="宋体"/>
          <w:sz w:val="28"/>
          <w:szCs w:val="28"/>
        </w:rPr>
        <w:t>1．最小工作平台宽度的确定</w:t>
      </w:r>
    </w:p>
    <w:p>
      <w:pPr>
        <w:pStyle w:val="20"/>
        <w:spacing w:line="360" w:lineRule="auto"/>
        <w:ind w:firstLine="560"/>
        <w:rPr>
          <w:rFonts w:cs="宋体"/>
          <w:sz w:val="28"/>
          <w:szCs w:val="28"/>
        </w:rPr>
      </w:pPr>
      <w:r>
        <w:rPr>
          <w:rFonts w:hint="eastAsia" w:cs="宋体"/>
          <w:sz w:val="28"/>
          <w:szCs w:val="28"/>
        </w:rPr>
        <w:t>设计选用装载机装矿，汽车（20t载重自卸汽车）转运，采用折返调车场，故其露天采场工作面最小工作平台宽度：</w:t>
      </w:r>
    </w:p>
    <w:p>
      <w:pPr>
        <w:pStyle w:val="20"/>
        <w:spacing w:line="360" w:lineRule="auto"/>
        <w:ind w:firstLine="560"/>
        <w:rPr>
          <w:rFonts w:cs="宋体"/>
          <w:sz w:val="28"/>
          <w:szCs w:val="28"/>
        </w:rPr>
      </w:pPr>
      <w:r>
        <w:rPr>
          <w:rFonts w:hint="eastAsia" w:cs="宋体"/>
          <w:sz w:val="28"/>
          <w:szCs w:val="28"/>
        </w:rPr>
        <w:t>Bmin = 2Ra + 2Rb +C = 2×4.5+2×3.5+3=19(m)</w:t>
      </w:r>
    </w:p>
    <w:p>
      <w:pPr>
        <w:pStyle w:val="20"/>
        <w:spacing w:line="360" w:lineRule="auto"/>
        <w:ind w:firstLine="560"/>
        <w:rPr>
          <w:rFonts w:cs="宋体"/>
          <w:sz w:val="28"/>
          <w:szCs w:val="28"/>
        </w:rPr>
      </w:pPr>
      <w:r>
        <w:rPr>
          <w:rFonts w:hint="eastAsia" w:cs="宋体"/>
          <w:sz w:val="28"/>
          <w:szCs w:val="28"/>
        </w:rPr>
        <w:t>式中：Bmin—工作面最小工作平台宽度19m ；</w:t>
      </w:r>
    </w:p>
    <w:p>
      <w:pPr>
        <w:pStyle w:val="20"/>
        <w:spacing w:line="360" w:lineRule="auto"/>
        <w:ind w:firstLine="560"/>
        <w:rPr>
          <w:rFonts w:cs="宋体"/>
          <w:sz w:val="28"/>
          <w:szCs w:val="28"/>
        </w:rPr>
      </w:pPr>
      <w:r>
        <w:rPr>
          <w:rFonts w:hint="eastAsia" w:cs="宋体"/>
          <w:sz w:val="28"/>
          <w:szCs w:val="28"/>
        </w:rPr>
        <w:t>Ra—20t载重自卸汽车最小转弯半径4.5m；</w:t>
      </w:r>
    </w:p>
    <w:p>
      <w:pPr>
        <w:pStyle w:val="20"/>
        <w:spacing w:line="360" w:lineRule="auto"/>
        <w:ind w:firstLine="1400" w:firstLineChars="500"/>
        <w:rPr>
          <w:rFonts w:cs="宋体"/>
          <w:sz w:val="28"/>
          <w:szCs w:val="28"/>
        </w:rPr>
      </w:pPr>
      <w:r>
        <w:rPr>
          <w:rFonts w:hint="eastAsia" w:cs="宋体"/>
          <w:sz w:val="28"/>
          <w:szCs w:val="28"/>
        </w:rPr>
        <w:t>Rb—山东山工牌ZL50D</w:t>
      </w:r>
      <w:r>
        <w:rPr>
          <w:rFonts w:hint="eastAsia" w:cs="宋体"/>
          <w:kern w:val="0"/>
          <w:sz w:val="28"/>
          <w:szCs w:val="28"/>
        </w:rPr>
        <w:t>型装载机</w:t>
      </w:r>
      <w:r>
        <w:rPr>
          <w:rFonts w:hint="eastAsia" w:cs="宋体"/>
          <w:sz w:val="28"/>
          <w:szCs w:val="28"/>
        </w:rPr>
        <w:t>最小前端转弯半径3.5m；</w:t>
      </w:r>
    </w:p>
    <w:p>
      <w:pPr>
        <w:pStyle w:val="20"/>
        <w:spacing w:line="360" w:lineRule="auto"/>
        <w:ind w:firstLine="560"/>
        <w:rPr>
          <w:rFonts w:cs="宋体"/>
          <w:sz w:val="28"/>
          <w:szCs w:val="28"/>
        </w:rPr>
      </w:pPr>
      <w:r>
        <w:rPr>
          <w:rFonts w:hint="eastAsia" w:cs="宋体"/>
          <w:sz w:val="28"/>
          <w:szCs w:val="28"/>
        </w:rPr>
        <w:t>C—台阶坡顶线至汽车车体边缘的间隙，取3m ；</w:t>
      </w:r>
    </w:p>
    <w:p>
      <w:pPr>
        <w:pStyle w:val="20"/>
        <w:spacing w:line="360" w:lineRule="auto"/>
        <w:ind w:firstLine="560"/>
        <w:rPr>
          <w:rFonts w:cs="宋体"/>
          <w:sz w:val="28"/>
          <w:szCs w:val="28"/>
        </w:rPr>
      </w:pPr>
      <w:r>
        <w:rPr>
          <w:rFonts w:hint="eastAsia" w:cs="宋体"/>
          <w:sz w:val="28"/>
          <w:szCs w:val="28"/>
        </w:rPr>
        <w:t>故露天采场工作面最小工作平台宽度不应小于19m，设计最小工作平台宽度取2</w:t>
      </w:r>
      <w:r>
        <w:rPr>
          <w:rFonts w:cs="宋体"/>
          <w:sz w:val="28"/>
          <w:szCs w:val="28"/>
        </w:rPr>
        <w:t>5</w:t>
      </w:r>
      <w:r>
        <w:rPr>
          <w:rFonts w:hint="eastAsia" w:cs="宋体"/>
          <w:sz w:val="28"/>
          <w:szCs w:val="28"/>
        </w:rPr>
        <w:t>m。</w:t>
      </w:r>
    </w:p>
    <w:p>
      <w:pPr>
        <w:pStyle w:val="20"/>
        <w:spacing w:line="360" w:lineRule="auto"/>
        <w:ind w:firstLine="560"/>
        <w:rPr>
          <w:rFonts w:cs="宋体"/>
          <w:sz w:val="28"/>
          <w:szCs w:val="28"/>
        </w:rPr>
      </w:pPr>
      <w:r>
        <w:rPr>
          <w:rFonts w:hint="eastAsia" w:cs="宋体"/>
          <w:sz w:val="28"/>
          <w:szCs w:val="28"/>
        </w:rPr>
        <w:t>2．露天采场最终边坡要素的确定</w:t>
      </w:r>
    </w:p>
    <w:p>
      <w:pPr>
        <w:pStyle w:val="20"/>
        <w:spacing w:line="360" w:lineRule="auto"/>
        <w:ind w:firstLine="560"/>
        <w:rPr>
          <w:rFonts w:cs="宋体"/>
          <w:sz w:val="28"/>
          <w:szCs w:val="28"/>
        </w:rPr>
      </w:pPr>
      <w:r>
        <w:rPr>
          <w:rFonts w:hint="eastAsia" w:cs="宋体"/>
          <w:sz w:val="28"/>
          <w:szCs w:val="28"/>
        </w:rPr>
        <w:t>本次开发利用方案，除充分利用现有的资料外，又类比其他类似矿山经验，同时根据露天采矿边坡设计原则，结合本区围岩的岩石力学性质确定最终边坡要素，主要边坡参数如下：</w:t>
      </w:r>
    </w:p>
    <w:p>
      <w:pPr>
        <w:pStyle w:val="20"/>
        <w:spacing w:line="360" w:lineRule="auto"/>
        <w:ind w:firstLine="560"/>
        <w:rPr>
          <w:rFonts w:cs="宋体"/>
          <w:sz w:val="28"/>
          <w:szCs w:val="28"/>
        </w:rPr>
      </w:pPr>
      <w:r>
        <w:rPr>
          <w:rFonts w:hint="eastAsia" w:cs="宋体"/>
          <w:sz w:val="28"/>
          <w:szCs w:val="28"/>
        </w:rPr>
        <w:t>台阶高度：5m；</w:t>
      </w:r>
    </w:p>
    <w:p>
      <w:pPr>
        <w:pStyle w:val="20"/>
        <w:spacing w:line="360" w:lineRule="auto"/>
        <w:ind w:firstLine="560"/>
        <w:rPr>
          <w:rFonts w:cs="宋体"/>
          <w:sz w:val="28"/>
          <w:szCs w:val="28"/>
        </w:rPr>
      </w:pPr>
      <w:r>
        <w:rPr>
          <w:rFonts w:hint="eastAsia" w:cs="宋体"/>
          <w:sz w:val="28"/>
          <w:szCs w:val="28"/>
        </w:rPr>
        <w:t>台阶坡面角为：45°；</w:t>
      </w:r>
    </w:p>
    <w:p>
      <w:pPr>
        <w:pStyle w:val="20"/>
        <w:spacing w:line="360" w:lineRule="auto"/>
        <w:ind w:firstLine="560"/>
        <w:rPr>
          <w:rFonts w:cs="宋体"/>
          <w:sz w:val="28"/>
          <w:szCs w:val="28"/>
        </w:rPr>
      </w:pPr>
      <w:r>
        <w:rPr>
          <w:rFonts w:hint="eastAsia" w:cs="宋体"/>
          <w:sz w:val="28"/>
          <w:szCs w:val="28"/>
        </w:rPr>
        <w:t>最终边坡角：</w:t>
      </w:r>
      <w:r>
        <w:rPr>
          <w:rFonts w:cs="宋体"/>
          <w:sz w:val="28"/>
          <w:szCs w:val="28"/>
        </w:rPr>
        <w:t>36</w:t>
      </w:r>
      <w:r>
        <w:rPr>
          <w:rFonts w:hint="eastAsia" w:cs="宋体"/>
          <w:sz w:val="28"/>
          <w:szCs w:val="28"/>
        </w:rPr>
        <w:t>°；</w:t>
      </w:r>
    </w:p>
    <w:p>
      <w:pPr>
        <w:pStyle w:val="20"/>
        <w:spacing w:line="360" w:lineRule="auto"/>
        <w:ind w:firstLine="560"/>
        <w:rPr>
          <w:rFonts w:cs="宋体"/>
          <w:sz w:val="28"/>
          <w:szCs w:val="28"/>
        </w:rPr>
      </w:pPr>
      <w:r>
        <w:rPr>
          <w:rFonts w:hint="eastAsia" w:cs="宋体"/>
          <w:sz w:val="28"/>
          <w:szCs w:val="28"/>
        </w:rPr>
        <w:t>道路路基宽6.5m；</w:t>
      </w:r>
    </w:p>
    <w:p>
      <w:pPr>
        <w:pStyle w:val="20"/>
        <w:spacing w:line="360" w:lineRule="auto"/>
        <w:ind w:firstLine="560"/>
        <w:rPr>
          <w:rFonts w:cs="宋体"/>
          <w:sz w:val="28"/>
          <w:szCs w:val="28"/>
        </w:rPr>
      </w:pPr>
      <w:r>
        <w:rPr>
          <w:rFonts w:hint="eastAsia" w:cs="宋体"/>
          <w:sz w:val="28"/>
          <w:szCs w:val="28"/>
        </w:rPr>
        <w:t>最小工作平台2</w:t>
      </w:r>
      <w:r>
        <w:rPr>
          <w:rFonts w:cs="宋体"/>
          <w:sz w:val="28"/>
          <w:szCs w:val="28"/>
        </w:rPr>
        <w:t>5</w:t>
      </w:r>
      <w:r>
        <w:rPr>
          <w:rFonts w:hint="eastAsia" w:cs="宋体"/>
          <w:sz w:val="28"/>
          <w:szCs w:val="28"/>
        </w:rPr>
        <w:t>m。</w:t>
      </w:r>
    </w:p>
    <w:p>
      <w:pPr>
        <w:pStyle w:val="20"/>
        <w:spacing w:line="360" w:lineRule="auto"/>
        <w:ind w:firstLine="560"/>
        <w:rPr>
          <w:rFonts w:cs="宋体"/>
          <w:sz w:val="28"/>
          <w:szCs w:val="28"/>
        </w:rPr>
      </w:pPr>
      <w:r>
        <w:rPr>
          <w:rFonts w:hint="eastAsia" w:cs="宋体"/>
          <w:sz w:val="28"/>
          <w:szCs w:val="28"/>
        </w:rPr>
        <w:t>由于生产能力为</w:t>
      </w:r>
      <w:r>
        <w:rPr>
          <w:rFonts w:hint="eastAsia" w:cs="宋体"/>
          <w:sz w:val="28"/>
        </w:rPr>
        <w:t>20×10</w:t>
      </w:r>
      <w:r>
        <w:rPr>
          <w:rFonts w:hint="eastAsia" w:cs="宋体"/>
          <w:sz w:val="28"/>
          <w:vertAlign w:val="superscript"/>
        </w:rPr>
        <w:t>4</w:t>
      </w:r>
      <w:r>
        <w:rPr>
          <w:rFonts w:hint="eastAsia" w:cs="宋体"/>
          <w:sz w:val="28"/>
          <w:szCs w:val="28"/>
        </w:rPr>
        <w:t>m</w:t>
      </w:r>
      <w:r>
        <w:rPr>
          <w:rFonts w:hint="eastAsia" w:cs="宋体"/>
          <w:sz w:val="28"/>
          <w:szCs w:val="28"/>
          <w:vertAlign w:val="superscript"/>
        </w:rPr>
        <w:t>3</w:t>
      </w:r>
      <w:r>
        <w:rPr>
          <w:rFonts w:hint="eastAsia" w:cs="宋体"/>
          <w:sz w:val="28"/>
          <w:szCs w:val="28"/>
        </w:rPr>
        <w:t>/a，全矿只布置一个采场开采，可满足生产要求，且可节省设备。为实现合理开采，采区沿剥离形成的工作线开始，按单台阶水平推进开采。</w:t>
      </w:r>
    </w:p>
    <w:p>
      <w:pPr>
        <w:pStyle w:val="20"/>
        <w:spacing w:line="360" w:lineRule="auto"/>
        <w:ind w:firstLine="560"/>
        <w:rPr>
          <w:rFonts w:cs="宋体"/>
          <w:sz w:val="28"/>
          <w:szCs w:val="28"/>
        </w:rPr>
      </w:pPr>
      <w:r>
        <w:rPr>
          <w:rFonts w:hint="eastAsia" w:cs="宋体"/>
          <w:sz w:val="28"/>
          <w:szCs w:val="28"/>
        </w:rPr>
        <w:t>影响采区最终边帮稳定性的因素有：</w:t>
      </w:r>
    </w:p>
    <w:p>
      <w:pPr>
        <w:pStyle w:val="20"/>
        <w:spacing w:line="360" w:lineRule="auto"/>
        <w:ind w:firstLine="560"/>
        <w:rPr>
          <w:rFonts w:cs="宋体"/>
          <w:sz w:val="28"/>
          <w:szCs w:val="28"/>
        </w:rPr>
      </w:pPr>
      <w:r>
        <w:rPr>
          <w:rFonts w:hint="eastAsia" w:cs="宋体"/>
          <w:sz w:val="28"/>
          <w:szCs w:val="28"/>
        </w:rPr>
        <w:t>①岩石的物理力学性质：包括岩石硬度、凝聚力和内摩擦角等；</w:t>
      </w:r>
    </w:p>
    <w:p>
      <w:pPr>
        <w:pStyle w:val="20"/>
        <w:spacing w:line="360" w:lineRule="auto"/>
        <w:ind w:firstLine="560"/>
        <w:rPr>
          <w:rFonts w:cs="宋体"/>
          <w:sz w:val="28"/>
          <w:szCs w:val="28"/>
        </w:rPr>
      </w:pPr>
      <w:r>
        <w:rPr>
          <w:rFonts w:hint="eastAsia" w:cs="宋体"/>
          <w:sz w:val="28"/>
          <w:szCs w:val="28"/>
        </w:rPr>
        <w:t>②地质构造：包括由破碎带、断层、节理裂隙和层理构成的软弱结构面。不稳定的软岩夹层，以及遇水膨胀的软岩等；</w:t>
      </w:r>
    </w:p>
    <w:p>
      <w:pPr>
        <w:pStyle w:val="20"/>
        <w:spacing w:line="360" w:lineRule="auto"/>
        <w:ind w:firstLine="560"/>
        <w:rPr>
          <w:rFonts w:cs="宋体"/>
          <w:sz w:val="28"/>
          <w:szCs w:val="28"/>
        </w:rPr>
      </w:pPr>
      <w:r>
        <w:rPr>
          <w:rFonts w:hint="eastAsia" w:cs="宋体"/>
          <w:sz w:val="28"/>
          <w:szCs w:val="28"/>
        </w:rPr>
        <w:t>③水文地质条件：地下水的净压力和动压力，地下水活动对岩层稳定性的影响；</w:t>
      </w:r>
    </w:p>
    <w:p>
      <w:pPr>
        <w:pStyle w:val="20"/>
        <w:spacing w:line="360" w:lineRule="auto"/>
        <w:ind w:firstLine="560"/>
        <w:rPr>
          <w:rFonts w:cs="宋体"/>
          <w:sz w:val="28"/>
          <w:szCs w:val="28"/>
        </w:rPr>
      </w:pPr>
      <w:r>
        <w:rPr>
          <w:rFonts w:hint="eastAsia" w:cs="宋体"/>
          <w:sz w:val="28"/>
          <w:szCs w:val="28"/>
        </w:rPr>
        <w:t>④强烈地震区地震的影响；</w:t>
      </w:r>
    </w:p>
    <w:p>
      <w:pPr>
        <w:pStyle w:val="20"/>
        <w:spacing w:line="360" w:lineRule="auto"/>
        <w:ind w:firstLine="560"/>
        <w:rPr>
          <w:rFonts w:cs="宋体"/>
          <w:sz w:val="28"/>
          <w:szCs w:val="28"/>
        </w:rPr>
      </w:pPr>
      <w:r>
        <w:rPr>
          <w:rFonts w:hint="eastAsia" w:cs="宋体"/>
          <w:sz w:val="28"/>
          <w:szCs w:val="28"/>
        </w:rPr>
        <w:t>⑤开采技术条件和边帮存在的时间。</w:t>
      </w:r>
    </w:p>
    <w:p>
      <w:pPr>
        <w:pStyle w:val="20"/>
        <w:spacing w:line="360" w:lineRule="auto"/>
        <w:ind w:firstLine="560"/>
        <w:rPr>
          <w:rFonts w:cs="宋体"/>
          <w:sz w:val="28"/>
          <w:szCs w:val="28"/>
        </w:rPr>
      </w:pPr>
      <w:r>
        <w:rPr>
          <w:rFonts w:hint="eastAsia" w:cs="宋体"/>
          <w:sz w:val="28"/>
          <w:szCs w:val="28"/>
        </w:rPr>
        <w:t>综合考虑该矿区的各种条件、特点，采用类比法和类似矿山的比较，并考虑目前生产的实际情况，确定了采区的相关技术参数。</w:t>
      </w:r>
    </w:p>
    <w:p>
      <w:pPr>
        <w:pStyle w:val="4"/>
      </w:pPr>
      <w:bookmarkStart w:id="213" w:name="_Toc147563674"/>
      <w:r>
        <w:rPr>
          <w:rFonts w:hint="eastAsia"/>
        </w:rPr>
        <w:t>5.</w:t>
      </w:r>
      <w:r>
        <w:t>3</w:t>
      </w:r>
      <w:r>
        <w:rPr>
          <w:rFonts w:hint="eastAsia"/>
        </w:rPr>
        <w:t xml:space="preserve"> </w:t>
      </w:r>
      <w:r>
        <w:rPr>
          <w:rFonts w:hint="eastAsia" w:ascii="宋体" w:hAnsi="宋体" w:cs="宋体"/>
          <w:szCs w:val="24"/>
        </w:rPr>
        <w:t>剥离工艺</w:t>
      </w:r>
      <w:bookmarkEnd w:id="213"/>
    </w:p>
    <w:p>
      <w:pPr>
        <w:pStyle w:val="20"/>
        <w:spacing w:line="360" w:lineRule="auto"/>
        <w:rPr>
          <w:rFonts w:cs="宋体"/>
          <w:szCs w:val="24"/>
        </w:rPr>
      </w:pPr>
      <w:r>
        <w:rPr>
          <w:rFonts w:cs="宋体"/>
          <w:szCs w:val="24"/>
        </w:rPr>
        <w:t>由于</w:t>
      </w:r>
      <w:r>
        <w:rPr>
          <w:rFonts w:cs="宋体"/>
          <w:szCs w:val="24"/>
        </w:rPr>
        <mc:AlternateContent>
          <mc:Choice Requires="wps">
            <w:drawing>
              <wp:anchor distT="0" distB="0" distL="114300" distR="114300" simplePos="0" relativeHeight="251662336" behindDoc="0" locked="0" layoutInCell="0" allowOverlap="1">
                <wp:simplePos x="0" y="0"/>
                <wp:positionH relativeFrom="page">
                  <wp:posOffset>7464425</wp:posOffset>
                </wp:positionH>
                <wp:positionV relativeFrom="paragraph">
                  <wp:posOffset>318770</wp:posOffset>
                </wp:positionV>
                <wp:extent cx="102235" cy="473710"/>
                <wp:effectExtent l="0" t="0" r="12065" b="2540"/>
                <wp:wrapNone/>
                <wp:docPr id="187515299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2235" cy="473710"/>
                        </a:xfrm>
                        <a:prstGeom prst="rect">
                          <a:avLst/>
                        </a:prstGeom>
                        <a:noFill/>
                        <a:ln>
                          <a:noFill/>
                        </a:ln>
                      </wps:spPr>
                      <wps:txbx>
                        <w:txbxContent>
                          <w:p>
                            <w:pPr>
                              <w:pStyle w:val="7"/>
                              <w:kinsoku w:val="0"/>
                              <w:overflowPunct w:val="0"/>
                              <w:spacing w:line="156" w:lineRule="auto"/>
                              <w:ind w:left="20" w:firstLine="220"/>
                              <w:rPr>
                                <w:color w:val="DFDFE2"/>
                                <w:w w:val="99"/>
                                <w:position w:val="-3"/>
                                <w:sz w:val="8"/>
                                <w:szCs w:val="8"/>
                              </w:rPr>
                            </w:pPr>
                            <w:r>
                              <w:rPr>
                                <w:color w:val="CFCFD1"/>
                                <w:position w:val="2"/>
                                <w:sz w:val="11"/>
                                <w:szCs w:val="11"/>
                              </w:rPr>
                              <w:t xml:space="preserve">, </w:t>
                            </w:r>
                            <w:r>
                              <w:rPr>
                                <w:color w:val="CFCFD1"/>
                                <w:spacing w:val="2"/>
                                <w:sz w:val="11"/>
                                <w:szCs w:val="11"/>
                              </w:rPr>
                              <w:t>i</w:t>
                            </w:r>
                            <w:r>
                              <w:rPr>
                                <w:color w:val="CFCFD1"/>
                                <w:position w:val="2"/>
                                <w:sz w:val="11"/>
                                <w:szCs w:val="11"/>
                              </w:rPr>
                              <w:t xml:space="preserve">' </w:t>
                            </w:r>
                            <w:r>
                              <w:rPr>
                                <w:color w:val="DFDFE2"/>
                                <w:spacing w:val="-41"/>
                                <w:w w:val="99"/>
                                <w:sz w:val="8"/>
                                <w:szCs w:val="8"/>
                              </w:rPr>
                              <w:t>,</w:t>
                            </w:r>
                            <w:r>
                              <w:rPr>
                                <w:rFonts w:hint="eastAsia"/>
                                <w:color w:val="A8A7AA"/>
                                <w:w w:val="99"/>
                                <w:position w:val="-3"/>
                                <w:sz w:val="8"/>
                                <w:szCs w:val="8"/>
                              </w:rPr>
                              <w:t>｀</w:t>
                            </w:r>
                            <w:r>
                              <w:rPr>
                                <w:color w:val="DFDFE2"/>
                                <w:w w:val="99"/>
                                <w:sz w:val="8"/>
                                <w:szCs w:val="8"/>
                              </w:rPr>
                              <w:t>'</w:t>
                            </w:r>
                            <w:r>
                              <w:rPr>
                                <w:rFonts w:hint="eastAsia"/>
                                <w:color w:val="DFDFE2"/>
                                <w:spacing w:val="-76"/>
                                <w:w w:val="99"/>
                                <w:position w:val="-2"/>
                                <w:sz w:val="8"/>
                                <w:szCs w:val="8"/>
                              </w:rPr>
                              <w:t>·</w:t>
                            </w:r>
                            <w:r>
                              <w:rPr>
                                <w:rFonts w:hint="eastAsia"/>
                                <w:color w:val="DFDFE2"/>
                                <w:w w:val="99"/>
                                <w:position w:val="-3"/>
                                <w:sz w:val="8"/>
                                <w:szCs w:val="8"/>
                              </w:rPr>
                              <w:t>，</w:t>
                            </w:r>
                          </w:p>
                        </w:txbxContent>
                      </wps:txbx>
                      <wps:bodyPr rot="0" vert="eaVert" wrap="square" lIns="0" tIns="0" rIns="0" bIns="0" anchor="t" anchorCtr="0" upright="1">
                        <a:noAutofit/>
                      </wps:bodyPr>
                    </wps:wsp>
                  </a:graphicData>
                </a:graphic>
              </wp:anchor>
            </w:drawing>
          </mc:Choice>
          <mc:Fallback>
            <w:pict>
              <v:shape id="文本框 2" o:spid="_x0000_s1026" o:spt="202" type="#_x0000_t202" style="position:absolute;left:0pt;margin-left:587.75pt;margin-top:25.1pt;height:37.3pt;width:8.05pt;mso-position-horizontal-relative:page;z-index:251662336;mso-width-relative:page;mso-height-relative:page;" filled="f" stroked="f" coordsize="21600,21600" o:allowincell="f" o:gfxdata="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HrelNgAAAAMAQAADwAA&#10;AAAAAAABACAAAAAiAAAAZHJzL2Rvd25yZXYueG1sUEsBAhQAFAAAAAgAh07iQJuT52IWAgAADwQA&#10;AA4AAAAAAAAAAQAgAAAAJwEAAGRycy9lMm9Eb2MueG1sUEsFBgAAAAAGAAYAWQEAAK8FAAAAAA==&#10;">
                <v:fill on="f" focussize="0,0"/>
                <v:stroke on="f"/>
                <v:imagedata o:title=""/>
                <o:lock v:ext="edit" aspectratio="f"/>
                <v:textbox inset="0mm,0mm,0mm,0mm" style="layout-flow:vertical-ideographic;">
                  <w:txbxContent>
                    <w:p>
                      <w:pPr>
                        <w:pStyle w:val="7"/>
                        <w:kinsoku w:val="0"/>
                        <w:overflowPunct w:val="0"/>
                        <w:spacing w:line="156" w:lineRule="auto"/>
                        <w:ind w:left="20" w:firstLine="220"/>
                        <w:rPr>
                          <w:color w:val="DFDFE2"/>
                          <w:w w:val="99"/>
                          <w:position w:val="-3"/>
                          <w:sz w:val="8"/>
                          <w:szCs w:val="8"/>
                        </w:rPr>
                      </w:pPr>
                      <w:r>
                        <w:rPr>
                          <w:color w:val="CFCFD1"/>
                          <w:position w:val="2"/>
                          <w:sz w:val="11"/>
                          <w:szCs w:val="11"/>
                        </w:rPr>
                        <w:t xml:space="preserve">, </w:t>
                      </w:r>
                      <w:r>
                        <w:rPr>
                          <w:color w:val="CFCFD1"/>
                          <w:spacing w:val="2"/>
                          <w:sz w:val="11"/>
                          <w:szCs w:val="11"/>
                        </w:rPr>
                        <w:t>i</w:t>
                      </w:r>
                      <w:r>
                        <w:rPr>
                          <w:color w:val="CFCFD1"/>
                          <w:position w:val="2"/>
                          <w:sz w:val="11"/>
                          <w:szCs w:val="11"/>
                        </w:rPr>
                        <w:t xml:space="preserve">' </w:t>
                      </w:r>
                      <w:r>
                        <w:rPr>
                          <w:color w:val="DFDFE2"/>
                          <w:spacing w:val="-41"/>
                          <w:w w:val="99"/>
                          <w:sz w:val="8"/>
                          <w:szCs w:val="8"/>
                        </w:rPr>
                        <w:t>,</w:t>
                      </w:r>
                      <w:r>
                        <w:rPr>
                          <w:rFonts w:hint="eastAsia"/>
                          <w:color w:val="A8A7AA"/>
                          <w:w w:val="99"/>
                          <w:position w:val="-3"/>
                          <w:sz w:val="8"/>
                          <w:szCs w:val="8"/>
                        </w:rPr>
                        <w:t>｀</w:t>
                      </w:r>
                      <w:r>
                        <w:rPr>
                          <w:color w:val="DFDFE2"/>
                          <w:w w:val="99"/>
                          <w:sz w:val="8"/>
                          <w:szCs w:val="8"/>
                        </w:rPr>
                        <w:t>'</w:t>
                      </w:r>
                      <w:r>
                        <w:rPr>
                          <w:rFonts w:hint="eastAsia"/>
                          <w:color w:val="DFDFE2"/>
                          <w:spacing w:val="-76"/>
                          <w:w w:val="99"/>
                          <w:position w:val="-2"/>
                          <w:sz w:val="8"/>
                          <w:szCs w:val="8"/>
                        </w:rPr>
                        <w:t>·</w:t>
                      </w:r>
                      <w:r>
                        <w:rPr>
                          <w:rFonts w:hint="eastAsia"/>
                          <w:color w:val="DFDFE2"/>
                          <w:w w:val="99"/>
                          <w:position w:val="-3"/>
                          <w:sz w:val="8"/>
                          <w:szCs w:val="8"/>
                        </w:rPr>
                        <w:t>，</w:t>
                      </w:r>
                    </w:p>
                  </w:txbxContent>
                </v:textbox>
              </v:shape>
            </w:pict>
          </mc:Fallback>
        </mc:AlternateContent>
      </w:r>
      <w:r>
        <w:rPr>
          <w:rFonts w:cs="宋体"/>
          <w:szCs w:val="24"/>
        </w:rPr>
        <w:t>矿山矿体出露较好</w:t>
      </w:r>
      <w:r>
        <w:rPr>
          <w:rFonts w:hint="eastAsia" w:cs="宋体"/>
          <w:szCs w:val="24"/>
        </w:rPr>
        <w:t>，</w:t>
      </w:r>
      <w:r>
        <w:rPr>
          <w:rFonts w:cs="宋体"/>
          <w:szCs w:val="24"/>
        </w:rPr>
        <w:t>矿体可直接开采直接利用</w:t>
      </w:r>
      <w:r>
        <w:rPr>
          <w:rFonts w:hint="eastAsia" w:cs="宋体"/>
          <w:szCs w:val="24"/>
        </w:rPr>
        <w:t>，</w:t>
      </w:r>
      <w:r>
        <w:rPr>
          <w:rFonts w:cs="宋体"/>
          <w:szCs w:val="24"/>
        </w:rPr>
        <w:t>故剥离量可忽略不计</w:t>
      </w:r>
      <w:r>
        <w:rPr>
          <w:rFonts w:hint="eastAsia" w:cs="宋体"/>
          <w:szCs w:val="24"/>
        </w:rPr>
        <w:t>。</w:t>
      </w:r>
    </w:p>
    <w:p>
      <w:pPr>
        <w:pStyle w:val="4"/>
      </w:pPr>
      <w:bookmarkStart w:id="214" w:name="_Toc147563675"/>
      <w:bookmarkStart w:id="215" w:name="_Toc502783451"/>
      <w:bookmarkStart w:id="216" w:name="_Toc12913"/>
      <w:bookmarkStart w:id="217" w:name="_Toc71621583"/>
      <w:bookmarkStart w:id="218" w:name="_Toc70589749"/>
      <w:bookmarkStart w:id="219" w:name="_Toc511226419"/>
      <w:bookmarkStart w:id="220" w:name="_Toc214407007"/>
      <w:r>
        <w:rPr>
          <w:rFonts w:hint="eastAsia"/>
        </w:rPr>
        <w:t>5.</w:t>
      </w:r>
      <w:r>
        <w:t xml:space="preserve">4 </w:t>
      </w:r>
      <w:r>
        <w:rPr>
          <w:rFonts w:hint="eastAsia"/>
        </w:rPr>
        <w:t>矿山工作制度</w:t>
      </w:r>
      <w:bookmarkEnd w:id="214"/>
      <w:bookmarkEnd w:id="215"/>
      <w:bookmarkEnd w:id="216"/>
      <w:bookmarkEnd w:id="217"/>
      <w:bookmarkEnd w:id="218"/>
      <w:bookmarkEnd w:id="219"/>
      <w:bookmarkEnd w:id="220"/>
    </w:p>
    <w:p>
      <w:pPr>
        <w:ind w:firstLine="560"/>
      </w:pPr>
      <w:r>
        <w:rPr>
          <w:rFonts w:hint="eastAsia"/>
        </w:rPr>
        <w:t>矿山年工作天数为300天，每天一班作业，每班8小时工作制。</w:t>
      </w:r>
    </w:p>
    <w:p>
      <w:pPr>
        <w:pStyle w:val="4"/>
      </w:pPr>
      <w:bookmarkStart w:id="221" w:name="_Toc23072"/>
      <w:bookmarkStart w:id="222" w:name="_Toc502783452"/>
      <w:bookmarkStart w:id="223" w:name="_Toc211070085"/>
      <w:bookmarkStart w:id="224" w:name="_Toc511226420"/>
      <w:bookmarkStart w:id="225" w:name="_Toc71621584"/>
      <w:bookmarkStart w:id="226" w:name="_Toc70589750"/>
      <w:bookmarkStart w:id="227" w:name="_Toc214407008"/>
      <w:bookmarkStart w:id="228" w:name="_Toc147563676"/>
      <w:bookmarkStart w:id="229" w:name="_Toc213683056"/>
      <w:r>
        <w:rPr>
          <w:rFonts w:hint="eastAsia"/>
        </w:rPr>
        <w:t>5.</w:t>
      </w:r>
      <w:r>
        <w:t xml:space="preserve">5 </w:t>
      </w:r>
      <w:r>
        <w:rPr>
          <w:rFonts w:hint="eastAsia"/>
        </w:rPr>
        <w:t>矿山服务年限</w:t>
      </w:r>
      <w:bookmarkEnd w:id="221"/>
      <w:bookmarkEnd w:id="222"/>
      <w:bookmarkEnd w:id="223"/>
      <w:bookmarkEnd w:id="224"/>
      <w:bookmarkEnd w:id="225"/>
      <w:bookmarkEnd w:id="226"/>
      <w:bookmarkEnd w:id="227"/>
      <w:bookmarkEnd w:id="228"/>
      <w:bookmarkEnd w:id="229"/>
    </w:p>
    <w:p>
      <w:pPr>
        <w:ind w:firstLine="560"/>
      </w:pPr>
      <w:bookmarkStart w:id="230" w:name="_Toc213683061"/>
      <w:bookmarkStart w:id="231" w:name="_Toc211070090"/>
      <w:bookmarkStart w:id="232" w:name="_Toc214407009"/>
      <w:r>
        <w:rPr>
          <w:rFonts w:hint="eastAsia"/>
        </w:rPr>
        <w:t>在第四章4.1.1节中对该矿的设计可利用的资源储量已做了合理计算，该矿开采范围内建筑用砂矿设计可利用资源量为</w:t>
      </w:r>
      <w:r>
        <w:t>529.4×</w:t>
      </w:r>
      <w:r>
        <w:rPr>
          <w:rFonts w:hint="eastAsia"/>
        </w:rPr>
        <w:t>10</w:t>
      </w:r>
      <w:r>
        <w:rPr>
          <w:rFonts w:hint="eastAsia"/>
          <w:vertAlign w:val="superscript"/>
        </w:rPr>
        <w:t>4</w:t>
      </w:r>
      <w:r>
        <w:rPr>
          <w:rFonts w:hint="eastAsia"/>
        </w:rPr>
        <w:t>m</w:t>
      </w:r>
      <w:r>
        <w:rPr>
          <w:rFonts w:hint="eastAsia"/>
          <w:vertAlign w:val="superscript"/>
        </w:rPr>
        <w:t>3</w:t>
      </w:r>
      <w:r>
        <w:rPr>
          <w:rFonts w:hint="eastAsia"/>
        </w:rPr>
        <w:t>，设计可采资源量为</w:t>
      </w:r>
      <w:r>
        <w:t>502.93</w:t>
      </w:r>
      <w:r>
        <w:rPr>
          <w:rFonts w:hint="eastAsia"/>
        </w:rPr>
        <w:t>×10</w:t>
      </w:r>
      <w:r>
        <w:rPr>
          <w:rFonts w:hint="eastAsia"/>
          <w:vertAlign w:val="superscript"/>
        </w:rPr>
        <w:t>4</w:t>
      </w:r>
      <w:r>
        <w:rPr>
          <w:rFonts w:hint="eastAsia"/>
        </w:rPr>
        <w:t>m</w:t>
      </w:r>
      <w:r>
        <w:rPr>
          <w:rFonts w:hint="eastAsia"/>
          <w:vertAlign w:val="superscript"/>
        </w:rPr>
        <w:t>3</w:t>
      </w:r>
      <w:r>
        <w:rPr>
          <w:rFonts w:hint="eastAsia"/>
        </w:rPr>
        <w:t>。本次开发利用方案根据提供的矿山普查报告、以及该矿矿石市场的需求量将开采规模定为20</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/a。</w:t>
      </w:r>
    </w:p>
    <w:p>
      <w:pPr>
        <w:ind w:firstLine="560"/>
      </w:pPr>
      <w:r>
        <w:rPr>
          <w:rFonts w:hint="eastAsia"/>
        </w:rPr>
        <w:t>则矿山服务年限为：n=</w:t>
      </w:r>
      <w:r>
        <w:t>502.93×</w:t>
      </w:r>
      <w:r>
        <w:rPr>
          <w:rFonts w:hint="eastAsia"/>
        </w:rPr>
        <w:t>10</w:t>
      </w:r>
      <w:r>
        <w:rPr>
          <w:rFonts w:hint="eastAsia"/>
          <w:vertAlign w:val="superscript"/>
        </w:rPr>
        <w:t>4</w:t>
      </w:r>
      <w:r>
        <w:rPr>
          <w:rFonts w:hint="eastAsia"/>
        </w:rPr>
        <w:t>m</w:t>
      </w:r>
      <w:r>
        <w:rPr>
          <w:rFonts w:hint="eastAsia"/>
          <w:vertAlign w:val="superscript"/>
        </w:rPr>
        <w:t>3</w:t>
      </w:r>
      <w:r>
        <w:rPr>
          <w:rFonts w:hint="eastAsia"/>
        </w:rPr>
        <w:t>÷20</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/a=</w:t>
      </w:r>
      <w:r>
        <w:t>25.51</w:t>
      </w:r>
      <w:r>
        <w:rPr>
          <w:rFonts w:hint="eastAsia"/>
        </w:rPr>
        <w:t>a（不包含基建期）。</w:t>
      </w:r>
    </w:p>
    <w:p>
      <w:pPr>
        <w:pStyle w:val="4"/>
      </w:pPr>
      <w:bookmarkStart w:id="233" w:name="_Toc147563677"/>
      <w:r>
        <w:rPr>
          <w:rFonts w:hint="eastAsia"/>
        </w:rPr>
        <w:t>5.</w:t>
      </w:r>
      <w:r>
        <w:t xml:space="preserve">7 </w:t>
      </w:r>
      <w:r>
        <w:rPr>
          <w:rFonts w:hint="eastAsia"/>
        </w:rPr>
        <w:t>主要设备选型</w:t>
      </w:r>
      <w:bookmarkEnd w:id="233"/>
    </w:p>
    <w:p>
      <w:pPr>
        <w:pStyle w:val="20"/>
        <w:spacing w:line="360" w:lineRule="auto"/>
        <w:rPr>
          <w:rFonts w:cs="宋体"/>
          <w:szCs w:val="24"/>
        </w:rPr>
      </w:pPr>
      <w:r>
        <w:rPr>
          <w:rFonts w:hint="eastAsia" w:cs="宋体"/>
          <w:szCs w:val="24"/>
        </w:rPr>
        <w:t>为保证矿山顺利施工，所选设备均应考虑备用，具体采矿设备详见表4-4。</w:t>
      </w:r>
    </w:p>
    <w:bookmarkEnd w:id="230"/>
    <w:bookmarkEnd w:id="231"/>
    <w:bookmarkEnd w:id="232"/>
    <w:p>
      <w:pPr>
        <w:pStyle w:val="4"/>
      </w:pPr>
      <w:bookmarkStart w:id="234" w:name="_Toc147563678"/>
      <w:r>
        <w:rPr>
          <w:rFonts w:hint="eastAsia"/>
        </w:rPr>
        <w:t>5.</w:t>
      </w:r>
      <w:r>
        <w:t xml:space="preserve">7 </w:t>
      </w:r>
      <w:r>
        <w:rPr>
          <w:rFonts w:hint="eastAsia"/>
        </w:rPr>
        <w:t>矿床开采工艺</w:t>
      </w:r>
      <w:bookmarkEnd w:id="234"/>
    </w:p>
    <w:p>
      <w:pPr>
        <w:ind w:firstLine="560"/>
      </w:pPr>
      <w:r>
        <w:rPr>
          <w:rFonts w:hint="eastAsia"/>
        </w:rPr>
        <w:t>根据矿山地质地形条件、矿体赋存特征，设计采用挖掘机采挖，分一层开采的方式进行开采。</w:t>
      </w:r>
    </w:p>
    <w:p>
      <w:pPr>
        <w:ind w:firstLine="560"/>
      </w:pPr>
      <w:r>
        <w:rPr>
          <w:rFonts w:hint="eastAsia"/>
        </w:rPr>
        <w:t>矿山拟采用公路运输开拓。采用装载机配合挖掘机进行采、装、运工艺。开采工作按照正规作业循环组织安排各工序，工艺流程为：开采→运输→筛分→水洗→装→运→堆矿场。堆砂场及弃料处理：设置采砂区、成品料堆放区、废石堆放区、生活区四个区域。各区域间配套建成运输专用通道，成品料堆放区、生活区一律设在拟设采矿权范围。运输专用通道尽量利用现有运矿道路和牧道，沿道路走向布设，铺设砂砾石并进行碾压夯实。</w:t>
      </w:r>
    </w:p>
    <w:p>
      <w:pPr>
        <w:ind w:firstLine="560"/>
        <w:sectPr>
          <w:pgSz w:w="11906" w:h="16838"/>
          <w:pgMar w:top="1440" w:right="1800" w:bottom="1440" w:left="1800" w:header="851" w:footer="992" w:gutter="0"/>
          <w:cols w:space="720" w:num="1"/>
          <w:docGrid w:type="lines" w:linePitch="312" w:charSpace="0"/>
        </w:sectPr>
      </w:pPr>
    </w:p>
    <w:p>
      <w:pPr>
        <w:pStyle w:val="3"/>
        <w:spacing w:before="312"/>
        <w:ind w:firstLine="602"/>
      </w:pPr>
      <w:bookmarkStart w:id="235" w:name="_Toc214407014"/>
      <w:bookmarkStart w:id="236" w:name="_Toc70589755"/>
      <w:bookmarkStart w:id="237" w:name="_Toc71621586"/>
      <w:bookmarkStart w:id="238" w:name="_Toc502783457"/>
      <w:bookmarkStart w:id="239" w:name="_Toc31546"/>
      <w:bookmarkStart w:id="240" w:name="_Toc511226422"/>
      <w:bookmarkStart w:id="241" w:name="_Toc147563679"/>
      <w:r>
        <w:rPr>
          <w:rFonts w:hint="eastAsia"/>
        </w:rPr>
        <w:t xml:space="preserve">6 </w:t>
      </w:r>
      <w:bookmarkEnd w:id="235"/>
      <w:bookmarkEnd w:id="236"/>
      <w:bookmarkEnd w:id="237"/>
      <w:bookmarkEnd w:id="238"/>
      <w:bookmarkEnd w:id="239"/>
      <w:bookmarkEnd w:id="240"/>
      <w:r>
        <w:rPr>
          <w:rFonts w:hint="eastAsia" w:ascii="宋体" w:hAnsi="宋体" w:eastAsia="宋体" w:cs="宋体"/>
          <w:color w:val="000000"/>
        </w:rPr>
        <w:t>选矿及尾矿设施</w:t>
      </w:r>
      <w:bookmarkEnd w:id="241"/>
    </w:p>
    <w:p>
      <w:pPr>
        <w:pStyle w:val="4"/>
      </w:pPr>
      <w:bookmarkStart w:id="242" w:name="_Toc286682871"/>
      <w:bookmarkStart w:id="243" w:name="_Toc286680785"/>
      <w:bookmarkStart w:id="244" w:name="_Toc347669328"/>
      <w:bookmarkStart w:id="245" w:name="_Toc171330229"/>
      <w:bookmarkStart w:id="246" w:name="_Toc187743286"/>
      <w:bookmarkStart w:id="247" w:name="_Toc109464277"/>
      <w:bookmarkStart w:id="248" w:name="_Toc195347941"/>
      <w:bookmarkStart w:id="249" w:name="_Toc187296260"/>
      <w:bookmarkStart w:id="250" w:name="_Toc286681441"/>
      <w:bookmarkStart w:id="251" w:name="_Toc159416147"/>
      <w:bookmarkStart w:id="252" w:name="_Toc171306655"/>
      <w:bookmarkStart w:id="253" w:name="_Toc286681300"/>
      <w:bookmarkStart w:id="254" w:name="_Toc107227140"/>
      <w:bookmarkStart w:id="255" w:name="_Toc195355272"/>
      <w:bookmarkStart w:id="256" w:name="_Toc171247207"/>
      <w:bookmarkStart w:id="257" w:name="_Toc109464072"/>
      <w:bookmarkStart w:id="258" w:name="_Toc194312895"/>
      <w:bookmarkStart w:id="259" w:name="_Toc70589756"/>
      <w:bookmarkStart w:id="260" w:name="_Toc147742395"/>
      <w:bookmarkStart w:id="261" w:name="_Toc159415574"/>
      <w:bookmarkStart w:id="262" w:name="_Toc286682370"/>
      <w:bookmarkStart w:id="263" w:name="_Toc286682710"/>
      <w:bookmarkStart w:id="264" w:name="_Toc171306579"/>
      <w:bookmarkStart w:id="265" w:name="_Toc171230894"/>
      <w:bookmarkStart w:id="266" w:name="_Toc147563680"/>
      <w:bookmarkStart w:id="267" w:name="_Toc159414653"/>
      <w:bookmarkStart w:id="268" w:name="_Toc159415824"/>
      <w:bookmarkStart w:id="269" w:name="_Toc171247399"/>
      <w:bookmarkStart w:id="270" w:name="_Toc58601622"/>
      <w:bookmarkStart w:id="271" w:name="_Toc194628141"/>
      <w:bookmarkStart w:id="272" w:name="_Toc187743479"/>
      <w:bookmarkStart w:id="273" w:name="_Toc147316832"/>
      <w:bookmarkStart w:id="274" w:name="_Toc187743700"/>
      <w:bookmarkStart w:id="275" w:name="_Toc109462176"/>
      <w:bookmarkStart w:id="276" w:name="_Toc381198411"/>
      <w:bookmarkStart w:id="277" w:name="_Toc186976799"/>
      <w:bookmarkStart w:id="278" w:name="_Toc187743368"/>
      <w:bookmarkStart w:id="279" w:name="_Toc187743813"/>
      <w:bookmarkStart w:id="280" w:name="_Toc159414560"/>
      <w:bookmarkStart w:id="281" w:name="_Toc381622783"/>
      <w:bookmarkStart w:id="282" w:name="_Toc171229371"/>
      <w:bookmarkStart w:id="283" w:name="_Toc2228"/>
      <w:bookmarkStart w:id="284" w:name="_Toc107226788"/>
      <w:bookmarkStart w:id="285" w:name="_Toc171306439"/>
      <w:bookmarkStart w:id="286" w:name="_Toc71621587"/>
      <w:bookmarkStart w:id="287" w:name="_Toc186983547"/>
      <w:bookmarkStart w:id="288" w:name="_Toc214407017"/>
      <w:bookmarkStart w:id="289" w:name="_Toc212543879"/>
      <w:r>
        <w:rPr>
          <w:rFonts w:hint="eastAsia"/>
        </w:rPr>
        <w:t>6.1选矿方案</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pPr>
        <w:pStyle w:val="28"/>
        <w:rPr>
          <w:bCs w:val="0"/>
          <w:szCs w:val="24"/>
        </w:rPr>
      </w:pPr>
      <w:r>
        <w:rPr>
          <w:bCs w:val="0"/>
          <w:szCs w:val="24"/>
        </w:rPr>
        <mc:AlternateContent>
          <mc:Choice Requires="wps">
            <w:drawing>
              <wp:anchor distT="0" distB="0" distL="114300" distR="114300" simplePos="0" relativeHeight="251660288" behindDoc="0" locked="0" layoutInCell="1" allowOverlap="1">
                <wp:simplePos x="0" y="0"/>
                <wp:positionH relativeFrom="column">
                  <wp:posOffset>295275</wp:posOffset>
                </wp:positionH>
                <wp:positionV relativeFrom="paragraph">
                  <wp:posOffset>6383020</wp:posOffset>
                </wp:positionV>
                <wp:extent cx="4309110" cy="635"/>
                <wp:effectExtent l="0" t="0" r="0" b="0"/>
                <wp:wrapTopAndBottom/>
                <wp:docPr id="504705218" name="文本框 1"/>
                <wp:cNvGraphicFramePr/>
                <a:graphic xmlns:a="http://schemas.openxmlformats.org/drawingml/2006/main">
                  <a:graphicData uri="http://schemas.microsoft.com/office/word/2010/wordprocessingShape">
                    <wps:wsp>
                      <wps:cNvSpPr txBox="1"/>
                      <wps:spPr>
                        <a:xfrm>
                          <a:off x="0" y="0"/>
                          <a:ext cx="4309110" cy="635"/>
                        </a:xfrm>
                        <a:prstGeom prst="rect">
                          <a:avLst/>
                        </a:prstGeom>
                        <a:solidFill>
                          <a:prstClr val="white"/>
                        </a:solidFill>
                        <a:ln>
                          <a:noFill/>
                        </a:ln>
                      </wps:spPr>
                      <wps:txbx>
                        <w:txbxContent>
                          <w:p>
                            <w:pPr>
                              <w:pStyle w:val="20"/>
                              <w:spacing w:line="360" w:lineRule="auto"/>
                              <w:ind w:firstLine="482"/>
                              <w:jc w:val="center"/>
                              <w:rPr>
                                <w:b/>
                                <w:bCs/>
                                <w:szCs w:val="24"/>
                              </w:rPr>
                            </w:pPr>
                            <w:r>
                              <w:rPr>
                                <w:rFonts w:hint="eastAsia"/>
                                <w:b/>
                                <w:bCs/>
                                <w:kern w:val="0"/>
                                <w:szCs w:val="21"/>
                              </w:rPr>
                              <w:t>图6-1 砂石加工工艺流程图</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left:23.25pt;margin-top:502.6pt;height:0.05pt;width:339.3pt;mso-wrap-distance-bottom:0pt;mso-wrap-distance-top:0pt;z-index:251660288;mso-width-relative:page;mso-height-relative:page;" fillcolor="#FFFFFF" filled="t" stroked="f" coordsize="21600,21600" o:gfxdata="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S+/DDaAAAADAEAAA8AAAAAAAAAAQAgAAAA&#10;IgAAAGRycy9kb3ducmV2LnhtbFBLAQIUABQAAAAIAIdO4kBwDqM0QgIAAHoEAAAOAAAAAAAAAAEA&#10;IAAAACkBAABkcnMvZTJvRG9jLnhtbFBLBQYAAAAABgAGAFkBAADdBQAAAAA=&#10;">
                <v:fill on="t" focussize="0,0"/>
                <v:stroke on="f"/>
                <v:imagedata o:title=""/>
                <o:lock v:ext="edit" aspectratio="f"/>
                <v:textbox inset="0mm,0mm,0mm,0mm" style="mso-fit-shape-to-text:t;">
                  <w:txbxContent>
                    <w:p>
                      <w:pPr>
                        <w:pStyle w:val="20"/>
                        <w:spacing w:line="360" w:lineRule="auto"/>
                        <w:ind w:firstLine="482"/>
                        <w:jc w:val="center"/>
                        <w:rPr>
                          <w:b/>
                          <w:bCs/>
                          <w:szCs w:val="24"/>
                        </w:rPr>
                      </w:pPr>
                      <w:r>
                        <w:rPr>
                          <w:rFonts w:hint="eastAsia"/>
                          <w:b/>
                          <w:bCs/>
                          <w:kern w:val="0"/>
                          <w:szCs w:val="21"/>
                        </w:rPr>
                        <w:t>图6-1 砂石加工工艺流程图</w:t>
                      </w:r>
                    </w:p>
                  </w:txbxContent>
                </v:textbox>
                <w10:wrap type="topAndBottom"/>
              </v:shape>
            </w:pict>
          </mc:Fallback>
        </mc:AlternateContent>
      </w:r>
      <w:r>
        <w:rPr>
          <w:bCs w:val="0"/>
          <w:szCs w:val="24"/>
        </w:rPr>
        <w:drawing>
          <wp:anchor distT="0" distB="0" distL="114300" distR="114300" simplePos="0" relativeHeight="251659264" behindDoc="0" locked="0" layoutInCell="1" allowOverlap="1">
            <wp:simplePos x="0" y="0"/>
            <wp:positionH relativeFrom="column">
              <wp:posOffset>295275</wp:posOffset>
            </wp:positionH>
            <wp:positionV relativeFrom="paragraph">
              <wp:posOffset>2409825</wp:posOffset>
            </wp:positionV>
            <wp:extent cx="4309110" cy="3916045"/>
            <wp:effectExtent l="19050" t="19050" r="15240" b="27305"/>
            <wp:wrapTopAndBottom/>
            <wp:docPr id="897713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13425"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b="7614"/>
                    <a:stretch>
                      <a:fillRect/>
                    </a:stretch>
                  </pic:blipFill>
                  <pic:spPr>
                    <a:xfrm>
                      <a:off x="0" y="0"/>
                      <a:ext cx="4309110" cy="3916045"/>
                    </a:xfrm>
                    <a:prstGeom prst="rect">
                      <a:avLst/>
                    </a:prstGeom>
                    <a:noFill/>
                    <a:ln>
                      <a:solidFill>
                        <a:schemeClr val="tx1"/>
                      </a:solidFill>
                    </a:ln>
                  </pic:spPr>
                </pic:pic>
              </a:graphicData>
            </a:graphic>
          </wp:anchor>
        </w:drawing>
      </w:r>
      <w:r>
        <w:rPr>
          <w:rFonts w:hint="eastAsia"/>
          <w:bCs w:val="0"/>
          <w:szCs w:val="24"/>
        </w:rPr>
        <w:t>建筑用砂矿作为建设用砂石骨料，矿石为第四纪全新世洪积砂砾石，只需将其按一定粒级进行分选，淘洗后获得的产品即可作为符合建设标准的砂石骨料，因此加工技术性能简单，具体工艺流程如下，具体加工工艺流程见图6-1。选矿流程为：原料就地用装载机采挖装自卸车→自卸车运输至料仓→经胶带运输机输送至振动筛→经预筛分后弃除泥土及废料(＞4.00cm砾石)后大骨料(0.95～4.00cm)直接经胶带运输至洗石机→砂及小骨料(＜0.95cm砾石)经胶带输送至制砂机→制砂机筛分分级成砂及小骨料→成品砂及骨料经洗砂机和洗石机分别水洗→出料口胶带运输机输送堆放→装载机运至成品堆放场待售。</w:t>
      </w:r>
    </w:p>
    <w:p>
      <w:pPr>
        <w:pStyle w:val="4"/>
      </w:pPr>
      <w:bookmarkStart w:id="290" w:name="_Toc147563681"/>
      <w:r>
        <w:rPr>
          <w:rFonts w:hint="eastAsia"/>
        </w:rPr>
        <w:t>6.</w:t>
      </w:r>
      <w:r>
        <w:t>2</w:t>
      </w:r>
      <w:r>
        <w:rPr>
          <w:rFonts w:hint="eastAsia" w:ascii="宋体" w:hAnsi="宋体" w:cs="宋体"/>
          <w:color w:val="000000"/>
        </w:rPr>
        <w:t>尾矿设施</w:t>
      </w:r>
      <w:bookmarkEnd w:id="290"/>
    </w:p>
    <w:p>
      <w:pPr>
        <w:ind w:firstLine="560"/>
      </w:pPr>
      <w:r>
        <w:rPr>
          <w:rFonts w:hint="eastAsia"/>
        </w:rPr>
        <w:t>该矿矿体赋存于第四系冲积松散的砂砾石层中，是地表砂砾卵石和岩石的风化碎屑物经溪流、河水搬运而形成的砂矿床，矿床自上而下可分为小砾石层、粗砾石层。</w:t>
      </w:r>
      <w:r>
        <w:rPr>
          <w:rFonts w:hAnsi="Arial"/>
          <w:spacing w:val="-15"/>
        </w:rPr>
        <w:t>由于</w:t>
      </w:r>
      <w:r>
        <w:rPr>
          <w:rFonts w:hAnsi="宋体"/>
        </w:rPr>
        <mc:AlternateContent>
          <mc:Choice Requires="wps">
            <w:drawing>
              <wp:anchor distT="0" distB="0" distL="114300" distR="114300" simplePos="0" relativeHeight="251663360" behindDoc="0" locked="0" layoutInCell="0" allowOverlap="1">
                <wp:simplePos x="0" y="0"/>
                <wp:positionH relativeFrom="page">
                  <wp:posOffset>7464425</wp:posOffset>
                </wp:positionH>
                <wp:positionV relativeFrom="paragraph">
                  <wp:posOffset>318770</wp:posOffset>
                </wp:positionV>
                <wp:extent cx="102235" cy="473710"/>
                <wp:effectExtent l="0" t="0" r="12065" b="2540"/>
                <wp:wrapNone/>
                <wp:docPr id="449196621"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02235" cy="473710"/>
                        </a:xfrm>
                        <a:prstGeom prst="rect">
                          <a:avLst/>
                        </a:prstGeom>
                        <a:noFill/>
                        <a:ln>
                          <a:noFill/>
                        </a:ln>
                      </wps:spPr>
                      <wps:txbx>
                        <w:txbxContent>
                          <w:p>
                            <w:pPr>
                              <w:pStyle w:val="7"/>
                              <w:kinsoku w:val="0"/>
                              <w:overflowPunct w:val="0"/>
                              <w:spacing w:line="156" w:lineRule="auto"/>
                              <w:ind w:left="20" w:firstLine="220"/>
                              <w:rPr>
                                <w:color w:val="DFDFE2"/>
                                <w:w w:val="99"/>
                                <w:position w:val="-3"/>
                                <w:sz w:val="8"/>
                                <w:szCs w:val="8"/>
                              </w:rPr>
                            </w:pPr>
                            <w:r>
                              <w:rPr>
                                <w:color w:val="CFCFD1"/>
                                <w:position w:val="2"/>
                                <w:sz w:val="11"/>
                                <w:szCs w:val="11"/>
                              </w:rPr>
                              <w:t xml:space="preserve">, </w:t>
                            </w:r>
                            <w:r>
                              <w:rPr>
                                <w:color w:val="CFCFD1"/>
                                <w:spacing w:val="2"/>
                                <w:sz w:val="11"/>
                                <w:szCs w:val="11"/>
                              </w:rPr>
                              <w:t>i</w:t>
                            </w:r>
                            <w:r>
                              <w:rPr>
                                <w:color w:val="CFCFD1"/>
                                <w:position w:val="2"/>
                                <w:sz w:val="11"/>
                                <w:szCs w:val="11"/>
                              </w:rPr>
                              <w:t xml:space="preserve">' </w:t>
                            </w:r>
                            <w:r>
                              <w:rPr>
                                <w:color w:val="DFDFE2"/>
                                <w:spacing w:val="-41"/>
                                <w:w w:val="99"/>
                                <w:sz w:val="8"/>
                                <w:szCs w:val="8"/>
                              </w:rPr>
                              <w:t>,</w:t>
                            </w:r>
                            <w:r>
                              <w:rPr>
                                <w:rFonts w:hint="eastAsia"/>
                                <w:color w:val="A8A7AA"/>
                                <w:w w:val="99"/>
                                <w:position w:val="-3"/>
                                <w:sz w:val="8"/>
                                <w:szCs w:val="8"/>
                              </w:rPr>
                              <w:t>｀</w:t>
                            </w:r>
                            <w:r>
                              <w:rPr>
                                <w:color w:val="DFDFE2"/>
                                <w:w w:val="99"/>
                                <w:sz w:val="8"/>
                                <w:szCs w:val="8"/>
                              </w:rPr>
                              <w:t>'</w:t>
                            </w:r>
                            <w:r>
                              <w:rPr>
                                <w:rFonts w:hint="eastAsia"/>
                                <w:color w:val="DFDFE2"/>
                                <w:spacing w:val="-76"/>
                                <w:w w:val="99"/>
                                <w:position w:val="-2"/>
                                <w:sz w:val="8"/>
                                <w:szCs w:val="8"/>
                              </w:rPr>
                              <w:t>·</w:t>
                            </w:r>
                            <w:r>
                              <w:rPr>
                                <w:rFonts w:hint="eastAsia"/>
                                <w:color w:val="DFDFE2"/>
                                <w:w w:val="99"/>
                                <w:position w:val="-3"/>
                                <w:sz w:val="8"/>
                                <w:szCs w:val="8"/>
                              </w:rPr>
                              <w:t>，</w:t>
                            </w:r>
                          </w:p>
                        </w:txbxContent>
                      </wps:txbx>
                      <wps:bodyPr rot="0" vert="eaVert" wrap="square" lIns="0" tIns="0" rIns="0" bIns="0" anchor="t" anchorCtr="0" upright="1">
                        <a:noAutofit/>
                      </wps:bodyPr>
                    </wps:wsp>
                  </a:graphicData>
                </a:graphic>
              </wp:anchor>
            </w:drawing>
          </mc:Choice>
          <mc:Fallback>
            <w:pict>
              <v:shape id="文本框 3" o:spid="_x0000_s1026" o:spt="202" type="#_x0000_t202" style="position:absolute;left:0pt;margin-left:587.75pt;margin-top:25.1pt;height:37.3pt;width:8.05pt;mso-position-horizontal-relative:page;z-index:251663360;mso-width-relative:page;mso-height-relative:page;" filled="f" stroked="f" coordsize="21600,21600" o:allowincell="f" o:gfxdata="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0et6U2AAAAAwBAAAPAAAA&#10;AAAAAAEAIAAAACIAAABkcnMvZG93bnJldi54bWxQSwECFAAUAAAACACHTuJAZwm2exUCAAAOBAAA&#10;DgAAAAAAAAABACAAAAAnAQAAZHJzL2Uyb0RvYy54bWxQSwUGAAAAAAYABgBZAQAArgUAAAAA&#10;">
                <v:fill on="f" focussize="0,0"/>
                <v:stroke on="f"/>
                <v:imagedata o:title=""/>
                <o:lock v:ext="edit" aspectratio="f"/>
                <v:textbox inset="0mm,0mm,0mm,0mm" style="layout-flow:vertical-ideographic;">
                  <w:txbxContent>
                    <w:p>
                      <w:pPr>
                        <w:pStyle w:val="7"/>
                        <w:kinsoku w:val="0"/>
                        <w:overflowPunct w:val="0"/>
                        <w:spacing w:line="156" w:lineRule="auto"/>
                        <w:ind w:left="20" w:firstLine="220"/>
                        <w:rPr>
                          <w:color w:val="DFDFE2"/>
                          <w:w w:val="99"/>
                          <w:position w:val="-3"/>
                          <w:sz w:val="8"/>
                          <w:szCs w:val="8"/>
                        </w:rPr>
                      </w:pPr>
                      <w:r>
                        <w:rPr>
                          <w:color w:val="CFCFD1"/>
                          <w:position w:val="2"/>
                          <w:sz w:val="11"/>
                          <w:szCs w:val="11"/>
                        </w:rPr>
                        <w:t xml:space="preserve">, </w:t>
                      </w:r>
                      <w:r>
                        <w:rPr>
                          <w:color w:val="CFCFD1"/>
                          <w:spacing w:val="2"/>
                          <w:sz w:val="11"/>
                          <w:szCs w:val="11"/>
                        </w:rPr>
                        <w:t>i</w:t>
                      </w:r>
                      <w:r>
                        <w:rPr>
                          <w:color w:val="CFCFD1"/>
                          <w:position w:val="2"/>
                          <w:sz w:val="11"/>
                          <w:szCs w:val="11"/>
                        </w:rPr>
                        <w:t xml:space="preserve">' </w:t>
                      </w:r>
                      <w:r>
                        <w:rPr>
                          <w:color w:val="DFDFE2"/>
                          <w:spacing w:val="-41"/>
                          <w:w w:val="99"/>
                          <w:sz w:val="8"/>
                          <w:szCs w:val="8"/>
                        </w:rPr>
                        <w:t>,</w:t>
                      </w:r>
                      <w:r>
                        <w:rPr>
                          <w:rFonts w:hint="eastAsia"/>
                          <w:color w:val="A8A7AA"/>
                          <w:w w:val="99"/>
                          <w:position w:val="-3"/>
                          <w:sz w:val="8"/>
                          <w:szCs w:val="8"/>
                        </w:rPr>
                        <w:t>｀</w:t>
                      </w:r>
                      <w:r>
                        <w:rPr>
                          <w:color w:val="DFDFE2"/>
                          <w:w w:val="99"/>
                          <w:sz w:val="8"/>
                          <w:szCs w:val="8"/>
                        </w:rPr>
                        <w:t>'</w:t>
                      </w:r>
                      <w:r>
                        <w:rPr>
                          <w:rFonts w:hint="eastAsia"/>
                          <w:color w:val="DFDFE2"/>
                          <w:spacing w:val="-76"/>
                          <w:w w:val="99"/>
                          <w:position w:val="-2"/>
                          <w:sz w:val="8"/>
                          <w:szCs w:val="8"/>
                        </w:rPr>
                        <w:t>·</w:t>
                      </w:r>
                      <w:r>
                        <w:rPr>
                          <w:rFonts w:hint="eastAsia"/>
                          <w:color w:val="DFDFE2"/>
                          <w:w w:val="99"/>
                          <w:position w:val="-3"/>
                          <w:sz w:val="8"/>
                          <w:szCs w:val="8"/>
                        </w:rPr>
                        <w:t>，</w:t>
                      </w:r>
                    </w:p>
                  </w:txbxContent>
                </v:textbox>
              </v:shape>
            </w:pict>
          </mc:Fallback>
        </mc:AlternateContent>
      </w:r>
      <w:r>
        <w:rPr>
          <w:rFonts w:hAnsi="Arial"/>
          <w:spacing w:val="-15"/>
        </w:rPr>
        <w:t>矿山矿体出露较好</w:t>
      </w:r>
      <w:r>
        <w:rPr>
          <w:rFonts w:hint="eastAsia" w:hAnsi="Arial"/>
          <w:spacing w:val="-15"/>
        </w:rPr>
        <w:t>，</w:t>
      </w:r>
      <w:r>
        <w:rPr>
          <w:rFonts w:hAnsi="Arial"/>
          <w:spacing w:val="-15"/>
        </w:rPr>
        <w:t>矿体可直接开采直接</w:t>
      </w:r>
      <w:r>
        <w:t>利用</w:t>
      </w:r>
      <w:r>
        <w:rPr>
          <w:rFonts w:hint="eastAsia"/>
        </w:rPr>
        <w:t>，</w:t>
      </w:r>
      <w:r>
        <w:t>故</w:t>
      </w:r>
      <w:r>
        <w:rPr>
          <w:rFonts w:hint="eastAsia"/>
        </w:rPr>
        <w:t>在开采过程中</w:t>
      </w:r>
      <w:r>
        <w:t>剥离量可忽略不计</w:t>
      </w:r>
      <w:r>
        <w:rPr>
          <w:rFonts w:hint="eastAsia"/>
        </w:rPr>
        <w:t>。在选矿过程中将产生一定的废弃物，主要为砾径小于0</w:t>
      </w:r>
      <w:r>
        <w:t>.16</w:t>
      </w:r>
      <w:r>
        <w:rPr>
          <w:rFonts w:hint="eastAsia"/>
        </w:rPr>
        <w:t>mm的泥质物，需设置排土场。</w:t>
      </w:r>
    </w:p>
    <w:p>
      <w:pPr>
        <w:ind w:firstLine="560"/>
      </w:pPr>
      <w:r>
        <w:rPr>
          <w:rFonts w:hint="eastAsia"/>
        </w:rPr>
        <w:t>1.废石总量</w:t>
      </w:r>
    </w:p>
    <w:p>
      <w:pPr>
        <w:ind w:firstLine="560"/>
      </w:pPr>
      <w:r>
        <w:rPr>
          <w:rFonts w:hint="eastAsia"/>
        </w:rPr>
        <w:t>砾径小于0</w:t>
      </w:r>
      <w:r>
        <w:t>.16</w:t>
      </w:r>
      <w:r>
        <w:rPr>
          <w:rFonts w:hint="eastAsia"/>
        </w:rPr>
        <w:t>mm的泥质物约占总量的</w:t>
      </w:r>
      <w:r>
        <w:t>6.5%</w:t>
      </w:r>
      <w:r>
        <w:rPr>
          <w:rFonts w:hint="eastAsia"/>
        </w:rPr>
        <w:t>，泥质物总量为3</w:t>
      </w:r>
      <w:r>
        <w:t>6.8</w:t>
      </w:r>
      <w:r>
        <w:rPr>
          <w:rFonts w:hint="eastAsia"/>
        </w:rPr>
        <w:t>×1</w:t>
      </w:r>
      <w:r>
        <w:t>0</w:t>
      </w:r>
      <w:r>
        <w:rPr>
          <w:vertAlign w:val="superscript"/>
        </w:rPr>
        <w:t>4</w:t>
      </w:r>
      <w:r>
        <w:rPr>
          <w:rFonts w:hint="eastAsia"/>
        </w:rPr>
        <w:t>m</w:t>
      </w:r>
      <w:r>
        <w:rPr>
          <w:rFonts w:hint="eastAsia"/>
          <w:vertAlign w:val="superscript"/>
        </w:rPr>
        <w:t>3</w:t>
      </w:r>
      <w:r>
        <w:rPr>
          <w:rFonts w:hint="eastAsia"/>
        </w:rPr>
        <w:t>。</w:t>
      </w:r>
    </w:p>
    <w:p>
      <w:pPr>
        <w:ind w:firstLine="560"/>
      </w:pPr>
      <w:r>
        <w:rPr>
          <w:rFonts w:hint="eastAsia"/>
        </w:rPr>
        <w:t>2.排土场设置</w:t>
      </w:r>
    </w:p>
    <w:p>
      <w:pPr>
        <w:pStyle w:val="20"/>
        <w:spacing w:line="360" w:lineRule="auto"/>
        <w:ind w:firstLine="560"/>
        <w:rPr>
          <w:rFonts w:ascii="Times New Roman" w:hAnsi="Times New Roman"/>
          <w:sz w:val="28"/>
          <w:szCs w:val="24"/>
        </w:rPr>
      </w:pPr>
      <w:r>
        <w:rPr>
          <w:rFonts w:hint="eastAsia" w:ascii="Times New Roman" w:hAnsi="Times New Roman"/>
          <w:sz w:val="28"/>
          <w:szCs w:val="24"/>
        </w:rPr>
        <w:t>排土场布置在矿区中部，用于堆放泥土和不符合规格的砂等。根据现场条件，新设立1个排土场，排土场位于工业场地南侧，直距约</w:t>
      </w:r>
      <w:r>
        <w:rPr>
          <w:rFonts w:ascii="Times New Roman" w:hAnsi="Times New Roman"/>
          <w:sz w:val="28"/>
          <w:szCs w:val="24"/>
        </w:rPr>
        <w:t>43</w:t>
      </w:r>
      <w:r>
        <w:rPr>
          <w:rFonts w:hint="eastAsia" w:ascii="Times New Roman" w:hAnsi="Times New Roman"/>
          <w:sz w:val="28"/>
          <w:szCs w:val="24"/>
        </w:rPr>
        <w:t>m。排土场南侧设置道路与场内外连接，排土过程应是由里向外逐渐堆弃，满铺一层后由装载机整平，经适当碾压第二层开始堆弃，逐层填高。排土场四周设置简易截水沟，断面形状梯形，上口宽1.5m，下口宽1.0m，深度0.8m。排水方向与地形自然方向一致。</w:t>
      </w:r>
    </w:p>
    <w:p>
      <w:pPr>
        <w:ind w:firstLine="560"/>
      </w:pPr>
      <w:bookmarkStart w:id="291" w:name="_Toc314476905"/>
      <w:bookmarkStart w:id="292" w:name="_Toc238871436"/>
      <w:r>
        <w:rPr>
          <w:rFonts w:hint="eastAsia"/>
        </w:rPr>
        <w:t>3.排土场容量</w:t>
      </w:r>
      <w:bookmarkEnd w:id="291"/>
      <w:bookmarkEnd w:id="292"/>
    </w:p>
    <w:p>
      <w:pPr>
        <w:pStyle w:val="20"/>
        <w:spacing w:line="360" w:lineRule="auto"/>
        <w:ind w:firstLine="560"/>
        <w:rPr>
          <w:rFonts w:ascii="Times New Roman" w:hAnsi="Times New Roman"/>
          <w:sz w:val="28"/>
          <w:szCs w:val="24"/>
        </w:rPr>
      </w:pPr>
      <w:r>
        <w:rPr>
          <w:rFonts w:hint="eastAsia" w:ascii="Times New Roman" w:hAnsi="Times New Roman"/>
          <w:sz w:val="28"/>
          <w:szCs w:val="24"/>
        </w:rPr>
        <w:t>为节省初期工程量及运输费用，汽车进入废石场就近卸载，由近向远前进式推排。其扩展方式为顺着地形向前推进，然后逐步向旁扩展，卸载平台最小宽度取60m，卸载长度根据地形和排废量确定。卸载场要求按3%的反坡推排，卸车边缘堆成安全卸车堆，堆的高度一般为0.55～0.6倍的车轮高度，堤顶宽不小于2.5m，堤的内侧边坡为1:0.75～1:1。</w:t>
      </w:r>
    </w:p>
    <w:p>
      <w:pPr>
        <w:ind w:firstLine="560"/>
      </w:pPr>
      <w:r>
        <w:rPr>
          <w:rFonts w:hint="eastAsia"/>
        </w:rPr>
        <w:t>排土场容积按照以下公式计算：</w:t>
      </w:r>
    </w:p>
    <w:p>
      <w:pPr>
        <w:ind w:firstLine="560"/>
        <w:rPr>
          <w:vertAlign w:val="subscript"/>
        </w:rPr>
      </w:pPr>
      <w:bookmarkStart w:id="293" w:name="_Toc352752324"/>
      <w:r>
        <w:rPr>
          <w:rFonts w:hint="eastAsia"/>
        </w:rPr>
        <w:t>V=V</w:t>
      </w:r>
      <w:r>
        <w:rPr>
          <w:rFonts w:hint="eastAsia"/>
          <w:vertAlign w:val="subscript"/>
        </w:rPr>
        <w:t>0</w:t>
      </w:r>
      <w:r>
        <w:rPr>
          <w:rFonts w:hint="eastAsia"/>
        </w:rPr>
        <w:t xml:space="preserve"> K</w:t>
      </w:r>
      <w:r>
        <w:rPr>
          <w:rFonts w:hint="eastAsia"/>
          <w:vertAlign w:val="subscript"/>
        </w:rPr>
        <w:t>s</w:t>
      </w:r>
      <w:r>
        <w:rPr>
          <w:rFonts w:hint="eastAsia"/>
        </w:rPr>
        <w:t xml:space="preserve"> / K</w:t>
      </w:r>
      <w:r>
        <w:rPr>
          <w:rFonts w:hint="eastAsia"/>
          <w:vertAlign w:val="subscript"/>
        </w:rPr>
        <w:t>c</w:t>
      </w:r>
      <w:bookmarkEnd w:id="293"/>
    </w:p>
    <w:p>
      <w:pPr>
        <w:ind w:firstLine="560"/>
      </w:pPr>
      <w:bookmarkStart w:id="294" w:name="_Toc314476907"/>
      <w:r>
        <w:rPr>
          <w:rFonts w:hint="eastAsia"/>
        </w:rPr>
        <w:t>V-排土场</w:t>
      </w:r>
    </w:p>
    <w:p>
      <w:pPr>
        <w:ind w:firstLine="560"/>
      </w:pPr>
      <w:r>
        <w:rPr>
          <w:rFonts w:hint="eastAsia"/>
        </w:rPr>
        <w:t>的有效容积，m</w:t>
      </w:r>
      <w:r>
        <w:rPr>
          <w:rFonts w:hint="eastAsia"/>
          <w:vertAlign w:val="superscript"/>
        </w:rPr>
        <w:t>3</w:t>
      </w:r>
      <w:r>
        <w:rPr>
          <w:rFonts w:hint="eastAsia"/>
        </w:rPr>
        <w:t>；</w:t>
      </w:r>
      <w:bookmarkEnd w:id="294"/>
    </w:p>
    <w:p>
      <w:pPr>
        <w:ind w:firstLine="560"/>
      </w:pPr>
      <w:r>
        <w:rPr>
          <w:rFonts w:hint="eastAsia"/>
        </w:rPr>
        <w:t>V</w:t>
      </w:r>
      <w:r>
        <w:rPr>
          <w:rFonts w:hint="eastAsia"/>
          <w:vertAlign w:val="subscript"/>
        </w:rPr>
        <w:t>0</w:t>
      </w:r>
      <w:r>
        <w:rPr>
          <w:rFonts w:hint="eastAsia"/>
        </w:rPr>
        <w:t>-废石的石方量，取m</w:t>
      </w:r>
      <w:r>
        <w:rPr>
          <w:rFonts w:hint="eastAsia"/>
          <w:vertAlign w:val="superscript"/>
        </w:rPr>
        <w:t>3</w:t>
      </w:r>
      <w:r>
        <w:rPr>
          <w:rFonts w:hint="eastAsia"/>
        </w:rPr>
        <w:t>；</w:t>
      </w:r>
    </w:p>
    <w:p>
      <w:pPr>
        <w:ind w:firstLine="560"/>
      </w:pPr>
      <w:r>
        <w:rPr>
          <w:rFonts w:hint="eastAsia"/>
        </w:rPr>
        <w:t>Ks-三类土的松散系数,1.30；</w:t>
      </w:r>
    </w:p>
    <w:p>
      <w:pPr>
        <w:ind w:firstLine="560"/>
      </w:pPr>
      <w:r>
        <w:rPr>
          <w:rFonts w:hint="eastAsia"/>
        </w:rPr>
        <w:t>Kc-排土场沉降系数,（1.1～1.2）；</w:t>
      </w:r>
    </w:p>
    <w:p>
      <w:pPr>
        <w:pStyle w:val="20"/>
        <w:spacing w:line="360" w:lineRule="auto"/>
        <w:ind w:firstLine="560"/>
        <w:rPr>
          <w:rFonts w:ascii="Times New Roman" w:hAnsi="Times New Roman"/>
          <w:sz w:val="28"/>
          <w:szCs w:val="24"/>
        </w:rPr>
      </w:pPr>
      <w:r>
        <w:rPr>
          <w:rFonts w:hint="eastAsia" w:ascii="Times New Roman" w:hAnsi="Times New Roman"/>
          <w:sz w:val="28"/>
          <w:szCs w:val="24"/>
        </w:rPr>
        <w:t>生产期内废石总量为</w:t>
      </w:r>
      <w:r>
        <w:rPr>
          <w:rFonts w:ascii="Times New Roman" w:hAnsi="Times New Roman"/>
          <w:sz w:val="28"/>
          <w:szCs w:val="24"/>
        </w:rPr>
        <w:t>36.8</w:t>
      </w:r>
      <w:r>
        <w:rPr>
          <w:rFonts w:hint="eastAsia" w:ascii="Times New Roman" w:hAnsi="Times New Roman"/>
          <w:sz w:val="28"/>
          <w:szCs w:val="24"/>
        </w:rPr>
        <w:t>×10</w:t>
      </w:r>
      <w:r>
        <w:rPr>
          <w:rFonts w:hint="eastAsia" w:ascii="Times New Roman" w:hAnsi="Times New Roman"/>
          <w:sz w:val="28"/>
          <w:szCs w:val="24"/>
          <w:vertAlign w:val="superscript"/>
        </w:rPr>
        <w:t>4</w:t>
      </w:r>
      <w:r>
        <w:rPr>
          <w:rFonts w:hint="eastAsia" w:ascii="Times New Roman" w:hAnsi="Times New Roman"/>
          <w:sz w:val="28"/>
          <w:szCs w:val="24"/>
        </w:rPr>
        <w:t>m</w:t>
      </w:r>
      <w:r>
        <w:rPr>
          <w:rFonts w:hint="eastAsia" w:ascii="Times New Roman" w:hAnsi="Times New Roman"/>
          <w:sz w:val="28"/>
          <w:szCs w:val="24"/>
          <w:vertAlign w:val="superscript"/>
        </w:rPr>
        <w:t>3</w:t>
      </w:r>
      <w:r>
        <w:rPr>
          <w:rFonts w:hint="eastAsia" w:ascii="Times New Roman" w:hAnsi="Times New Roman"/>
          <w:sz w:val="28"/>
          <w:szCs w:val="24"/>
        </w:rPr>
        <w:t>，本方案设计排土场一处，面积为</w:t>
      </w:r>
      <w:r>
        <w:rPr>
          <w:rFonts w:ascii="Times New Roman" w:hAnsi="Times New Roman"/>
          <w:sz w:val="28"/>
          <w:szCs w:val="24"/>
        </w:rPr>
        <w:t>9878.96</w:t>
      </w:r>
      <w:r>
        <w:rPr>
          <w:rFonts w:hint="eastAsia" w:ascii="Times New Roman" w:hAnsi="Times New Roman"/>
          <w:sz w:val="28"/>
          <w:szCs w:val="24"/>
        </w:rPr>
        <w:t>m</w:t>
      </w:r>
      <w:r>
        <w:rPr>
          <w:rFonts w:hint="eastAsia" w:ascii="Times New Roman" w:hAnsi="Times New Roman"/>
          <w:sz w:val="28"/>
          <w:szCs w:val="24"/>
          <w:vertAlign w:val="superscript"/>
        </w:rPr>
        <w:t>2</w:t>
      </w:r>
      <w:r>
        <w:rPr>
          <w:rFonts w:hint="eastAsia" w:ascii="Times New Roman" w:hAnsi="Times New Roman"/>
          <w:sz w:val="28"/>
          <w:szCs w:val="24"/>
        </w:rPr>
        <w:t>。</w:t>
      </w:r>
    </w:p>
    <w:p>
      <w:pPr>
        <w:pStyle w:val="20"/>
        <w:spacing w:line="360" w:lineRule="auto"/>
        <w:ind w:firstLine="560"/>
        <w:rPr>
          <w:rFonts w:ascii="Times New Roman" w:hAnsi="Times New Roman"/>
          <w:sz w:val="28"/>
          <w:szCs w:val="24"/>
        </w:rPr>
      </w:pPr>
      <w:r>
        <w:rPr>
          <w:rFonts w:hint="eastAsia" w:ascii="Times New Roman" w:hAnsi="Times New Roman"/>
          <w:sz w:val="28"/>
          <w:szCs w:val="24"/>
        </w:rPr>
        <w:t>废弃物运输采用自卸翻斗汽车拉运，装载机辅助场内平整作业。</w:t>
      </w:r>
    </w:p>
    <w:p>
      <w:pPr>
        <w:pStyle w:val="20"/>
        <w:spacing w:line="360" w:lineRule="auto"/>
        <w:ind w:firstLine="560"/>
        <w:rPr>
          <w:rFonts w:ascii="Times New Roman" w:hAnsi="Times New Roman"/>
          <w:sz w:val="28"/>
          <w:szCs w:val="24"/>
        </w:rPr>
      </w:pPr>
      <w:r>
        <w:rPr>
          <w:rFonts w:hint="eastAsia" w:ascii="Times New Roman" w:hAnsi="Times New Roman"/>
          <w:sz w:val="28"/>
          <w:szCs w:val="24"/>
        </w:rPr>
        <w:t>废弃物严禁乱采乱倒，破坏矿区整体布局和堵塞自然排水沟。排土场不应形成大面积的积水，发现大量积水应尽快排水并将其填平，否则会造成堆弃场堆弃物滑塌或形成泥石流，威胁人员安全。</w:t>
      </w:r>
    </w:p>
    <w:p>
      <w:pPr>
        <w:pStyle w:val="25"/>
        <w:spacing w:line="360" w:lineRule="auto"/>
        <w:ind w:firstLine="560"/>
        <w:rPr>
          <w:rFonts w:ascii="Times New Roman" w:hAnsi="Times New Roman" w:eastAsia="宋体" w:cs="Times New Roman"/>
          <w:sz w:val="28"/>
          <w:szCs w:val="24"/>
        </w:rPr>
      </w:pPr>
      <w:r>
        <w:rPr>
          <w:rFonts w:hint="eastAsia" w:ascii="Times New Roman" w:hAnsi="Times New Roman" w:eastAsia="宋体" w:cs="Times New Roman"/>
          <w:sz w:val="28"/>
          <w:szCs w:val="24"/>
        </w:rPr>
        <w:t>废弃物用于闭坑后的采坑回填。</w:t>
      </w:r>
    </w:p>
    <w:p>
      <w:pPr>
        <w:pStyle w:val="2"/>
      </w:pPr>
    </w:p>
    <w:p>
      <w:pPr>
        <w:pStyle w:val="2"/>
      </w:pPr>
    </w:p>
    <w:p>
      <w:pPr>
        <w:pStyle w:val="2"/>
        <w:jc w:val="both"/>
      </w:pPr>
    </w:p>
    <w:p>
      <w:pPr>
        <w:pStyle w:val="3"/>
        <w:spacing w:before="312"/>
        <w:ind w:firstLine="602"/>
      </w:pPr>
      <w:bookmarkStart w:id="295" w:name="_Toc511226425"/>
      <w:bookmarkStart w:id="296" w:name="_Toc22340"/>
      <w:bookmarkStart w:id="297" w:name="_Toc147563682"/>
      <w:bookmarkStart w:id="298" w:name="_Toc70589761"/>
      <w:bookmarkStart w:id="299" w:name="_Toc502783460"/>
      <w:bookmarkStart w:id="300" w:name="_Toc71621592"/>
      <w:r>
        <w:rPr>
          <w:rFonts w:hint="eastAsia"/>
        </w:rPr>
        <w:t>7  矿区道路</w:t>
      </w:r>
      <w:bookmarkEnd w:id="295"/>
      <w:bookmarkEnd w:id="296"/>
      <w:bookmarkEnd w:id="297"/>
      <w:bookmarkEnd w:id="298"/>
      <w:bookmarkEnd w:id="299"/>
      <w:bookmarkEnd w:id="300"/>
    </w:p>
    <w:p>
      <w:pPr>
        <w:pStyle w:val="4"/>
      </w:pPr>
      <w:bookmarkStart w:id="301" w:name="_Toc70589762"/>
      <w:bookmarkStart w:id="302" w:name="_Toc214407019"/>
      <w:bookmarkStart w:id="303" w:name="_Toc147563683"/>
      <w:bookmarkStart w:id="304" w:name="_Toc511226426"/>
      <w:bookmarkStart w:id="305" w:name="_Toc502783461"/>
      <w:bookmarkStart w:id="306" w:name="_Toc71621593"/>
      <w:bookmarkStart w:id="307" w:name="_Toc22955"/>
      <w:r>
        <w:rPr>
          <w:rFonts w:hint="eastAsia"/>
        </w:rPr>
        <w:t>7.1 布线方式及道路标准</w:t>
      </w:r>
      <w:bookmarkEnd w:id="301"/>
      <w:bookmarkEnd w:id="302"/>
      <w:bookmarkEnd w:id="303"/>
      <w:bookmarkEnd w:id="304"/>
      <w:bookmarkEnd w:id="305"/>
      <w:bookmarkEnd w:id="306"/>
      <w:bookmarkEnd w:id="307"/>
    </w:p>
    <w:p>
      <w:pPr>
        <w:ind w:firstLine="560"/>
      </w:pPr>
      <w:bookmarkStart w:id="308" w:name="_Toc211070096"/>
      <w:bookmarkStart w:id="309" w:name="_Toc214407020"/>
      <w:bookmarkStart w:id="310" w:name="_Toc213683068"/>
      <w:r>
        <w:rPr>
          <w:rFonts w:hint="eastAsia"/>
        </w:rPr>
        <w:t>因该矿是新建矿山，经实地勘察，在矿区内已经存在一些简易道路。根据矿山地质地形条件、矿体赋存特征，设计采用装载机配合挖掘机进行采挖。为使设备能到达矿体指定首采作业面，路面的宽度为6</w:t>
      </w:r>
      <w:r>
        <w:t>.5</w:t>
      </w:r>
      <w:r>
        <w:rPr>
          <w:rFonts w:hint="eastAsia"/>
        </w:rPr>
        <w:t>m，拟设道路长度为</w:t>
      </w:r>
      <w:r>
        <w:t>939.85</w:t>
      </w:r>
      <w:r>
        <w:rPr>
          <w:rFonts w:hint="eastAsia"/>
        </w:rPr>
        <w:t>m，占地面积为</w:t>
      </w:r>
      <w:r>
        <w:t>6109</w:t>
      </w:r>
      <w:r>
        <w:rPr>
          <w:rFonts w:hint="eastAsia"/>
        </w:rPr>
        <w:t>m²，具体位置见总平面布置图，设计要求新增的矿山道路应符合简易行车要求，具体要求如下：</w:t>
      </w:r>
    </w:p>
    <w:p>
      <w:pPr>
        <w:ind w:firstLine="560"/>
      </w:pPr>
      <w:r>
        <w:rPr>
          <w:rFonts w:hint="eastAsia"/>
        </w:rPr>
        <w:t>道路布线、展线遵循最小半径15m，一般控制在16～20m，展线沿等高线逐段爬升抬高，回头曲线设置在较缓的坡面上，采用半填半挖的半路堑方式布线。路线如经过山谷地段均按过水路面考虑，不设置涵洞，过水路面高出流水底面高度控制在40～60cm，并在上游侧设置40cm的墩台，间距50cm，以便拦堵上游冲刷或滚落的岩石。</w:t>
      </w:r>
    </w:p>
    <w:p>
      <w:pPr>
        <w:ind w:firstLine="560"/>
      </w:pPr>
      <w:r>
        <w:rPr>
          <w:rFonts w:hint="eastAsia"/>
        </w:rPr>
        <w:t>道路标准按简易行车要求设置，路面宽度</w:t>
      </w:r>
      <w:r>
        <w:t>6.5</w:t>
      </w:r>
      <w:r>
        <w:rPr>
          <w:rFonts w:hint="eastAsia"/>
        </w:rPr>
        <w:t>m，一般不设超高，但在回头曲线段设置2～2.5%的超高，路线纵坡最大可达9%。纵坡大于8%时，路线长度控制在300m，然后选择50～100m的缓冲路段。</w:t>
      </w:r>
    </w:p>
    <w:p>
      <w:pPr>
        <w:ind w:firstLine="560"/>
      </w:pPr>
      <w:r>
        <w:rPr>
          <w:rFonts w:hint="eastAsia"/>
        </w:rPr>
        <w:t>道路每隔400～600m设置一处错车段，长度15～20m，要求错车段选择在视线条件好的地段，上下通视也可作为选择的依据。通视条件差时行车应鸣笛驾驶，避免无法错车。</w:t>
      </w:r>
    </w:p>
    <w:p>
      <w:pPr>
        <w:pStyle w:val="4"/>
      </w:pPr>
      <w:bookmarkStart w:id="311" w:name="_Toc502783462"/>
      <w:bookmarkStart w:id="312" w:name="_Toc71621594"/>
      <w:bookmarkStart w:id="313" w:name="_Toc70589763"/>
      <w:bookmarkStart w:id="314" w:name="_Toc511226427"/>
      <w:bookmarkStart w:id="315" w:name="_Toc147563684"/>
      <w:bookmarkStart w:id="316" w:name="_Toc7234"/>
      <w:r>
        <w:rPr>
          <w:rFonts w:hint="eastAsia"/>
        </w:rPr>
        <w:t>7.2 道路工程量</w:t>
      </w:r>
      <w:bookmarkEnd w:id="308"/>
      <w:bookmarkEnd w:id="309"/>
      <w:bookmarkEnd w:id="310"/>
      <w:bookmarkEnd w:id="311"/>
      <w:bookmarkEnd w:id="312"/>
      <w:bookmarkEnd w:id="313"/>
      <w:bookmarkEnd w:id="314"/>
      <w:bookmarkEnd w:id="315"/>
      <w:bookmarkEnd w:id="316"/>
    </w:p>
    <w:p>
      <w:pPr>
        <w:ind w:firstLine="560"/>
      </w:pPr>
      <w:r>
        <w:t>采场外固定线路为简易道路</w:t>
      </w:r>
      <w:r>
        <w:rPr>
          <w:rFonts w:hint="eastAsia"/>
        </w:rPr>
        <w:t>，矿区道路施工应采取多段平行作业的方式，尽可能地利用开挖方量填筑路基，最大限度地做到半挖半填，设计建议：因地制宜尽快修建矿山道路，部分地段可砌筑石块修建路肩墙，从而减少开挖量，干砌路肩墙就地取材，厚度适当加大，一般1.5～2.0m，其稳定性能满足行车要求即可，墙内填充破碎小块岩石。</w:t>
      </w:r>
    </w:p>
    <w:p>
      <w:pPr>
        <w:pStyle w:val="2"/>
        <w:sectPr>
          <w:pgSz w:w="11906" w:h="16838"/>
          <w:pgMar w:top="1440" w:right="1800" w:bottom="1440" w:left="1800" w:header="851" w:footer="992" w:gutter="0"/>
          <w:cols w:space="720" w:num="1"/>
          <w:docGrid w:type="lines" w:linePitch="312" w:charSpace="0"/>
        </w:sectPr>
      </w:pPr>
    </w:p>
    <w:p>
      <w:pPr>
        <w:pStyle w:val="3"/>
        <w:spacing w:before="312"/>
        <w:ind w:firstLine="602"/>
      </w:pPr>
      <w:bookmarkStart w:id="317" w:name="_Toc502783463"/>
      <w:bookmarkStart w:id="318" w:name="_Toc147563685"/>
      <w:bookmarkStart w:id="319" w:name="_Toc511226428"/>
      <w:bookmarkStart w:id="320" w:name="_Toc71621595"/>
      <w:bookmarkStart w:id="321" w:name="_Toc16068"/>
      <w:bookmarkStart w:id="322" w:name="_Toc70589764"/>
      <w:r>
        <w:rPr>
          <w:rFonts w:hint="eastAsia"/>
        </w:rPr>
        <w:t>8  供配电及供水</w:t>
      </w:r>
      <w:bookmarkEnd w:id="317"/>
      <w:bookmarkEnd w:id="318"/>
      <w:bookmarkEnd w:id="319"/>
      <w:bookmarkEnd w:id="320"/>
      <w:bookmarkEnd w:id="321"/>
      <w:bookmarkEnd w:id="322"/>
    </w:p>
    <w:p>
      <w:pPr>
        <w:pStyle w:val="4"/>
      </w:pPr>
      <w:bookmarkStart w:id="323" w:name="_Toc214407022"/>
      <w:bookmarkStart w:id="324" w:name="_Toc349"/>
      <w:bookmarkStart w:id="325" w:name="_Toc71621596"/>
      <w:bookmarkStart w:id="326" w:name="_Toc511226429"/>
      <w:bookmarkStart w:id="327" w:name="_Toc147563686"/>
      <w:bookmarkStart w:id="328" w:name="_Toc502783464"/>
      <w:bookmarkStart w:id="329" w:name="_Toc70589765"/>
      <w:r>
        <w:rPr>
          <w:rFonts w:hint="eastAsia"/>
        </w:rPr>
        <w:t>8.1</w:t>
      </w:r>
      <w:bookmarkEnd w:id="323"/>
      <w:r>
        <w:rPr>
          <w:rFonts w:hint="eastAsia"/>
        </w:rPr>
        <w:t xml:space="preserve"> 供水</w:t>
      </w:r>
      <w:bookmarkEnd w:id="324"/>
      <w:bookmarkEnd w:id="325"/>
      <w:bookmarkEnd w:id="326"/>
      <w:bookmarkEnd w:id="327"/>
      <w:bookmarkEnd w:id="328"/>
      <w:bookmarkEnd w:id="329"/>
    </w:p>
    <w:p>
      <w:pPr>
        <w:autoSpaceDE w:val="0"/>
        <w:autoSpaceDN w:val="0"/>
        <w:adjustRightInd w:val="0"/>
        <w:spacing w:line="240" w:lineRule="auto"/>
        <w:ind w:firstLine="560"/>
        <w:jc w:val="left"/>
      </w:pPr>
      <w:bookmarkStart w:id="330" w:name="_Toc211070099"/>
      <w:bookmarkStart w:id="331" w:name="_Toc214407023"/>
      <w:bookmarkStart w:id="332" w:name="_Toc213683073"/>
      <w:r>
        <w:rPr>
          <w:rFonts w:hint="eastAsia"/>
        </w:rPr>
        <w:t>供水可使用矿区东部农业灌溉水渠及运水车送来的饮用水，生产用水可用农业灌溉水渠供水，生活用水可用运水车运来的饮用水在矿区生活区设置</w:t>
      </w:r>
      <w:r>
        <w:t>10</w:t>
      </w:r>
      <w:r>
        <w:rPr>
          <w:rFonts w:hint="eastAsia"/>
        </w:rPr>
        <w:t>m</w:t>
      </w:r>
      <w:r>
        <w:rPr>
          <w:rFonts w:hint="eastAsia"/>
          <w:vertAlign w:val="superscript"/>
        </w:rPr>
        <w:t>3</w:t>
      </w:r>
      <w:r>
        <w:rPr>
          <w:rFonts w:hint="eastAsia"/>
        </w:rPr>
        <w:t>蓄水池和采场设置</w:t>
      </w:r>
      <w:r>
        <w:t>10</w:t>
      </w:r>
      <w:r>
        <w:rPr>
          <w:rFonts w:hint="eastAsia"/>
        </w:rPr>
        <w:t>m</w:t>
      </w:r>
      <w:r>
        <w:rPr>
          <w:rFonts w:hint="eastAsia"/>
          <w:vertAlign w:val="superscript"/>
        </w:rPr>
        <w:t>3</w:t>
      </w:r>
      <w:r>
        <w:rPr>
          <w:rFonts w:hint="eastAsia"/>
        </w:rPr>
        <w:t>高位水罐，分别供作业人员用水和矿山开采过程中洒水降尘等需要。</w:t>
      </w:r>
    </w:p>
    <w:p>
      <w:pPr>
        <w:ind w:firstLine="560"/>
      </w:pPr>
      <w:r>
        <w:rPr>
          <w:rFonts w:hint="eastAsia"/>
        </w:rPr>
        <w:t>矿区内配备相应的抽水泵，保证储水的安全和便利，各用水点以静压方式通过PVC管道输水，管径Dg25，主供水管沿采场上下贯通，支管横向布置，支管可选用加芯塑料胶管。</w:t>
      </w:r>
    </w:p>
    <w:p>
      <w:pPr>
        <w:ind w:firstLine="560"/>
      </w:pPr>
      <w:r>
        <w:rPr>
          <w:rFonts w:hint="eastAsia"/>
        </w:rPr>
        <w:t>为保证用水安全，矿区生产用水的废弃排放，生活垃圾和泥质物均不得乱堆乱排，保护矿区环境。</w:t>
      </w:r>
    </w:p>
    <w:p>
      <w:pPr>
        <w:pStyle w:val="4"/>
      </w:pPr>
      <w:bookmarkStart w:id="333" w:name="_Toc70589766"/>
      <w:bookmarkStart w:id="334" w:name="_Toc502783465"/>
      <w:bookmarkStart w:id="335" w:name="_Toc71621597"/>
      <w:bookmarkStart w:id="336" w:name="_Toc147563687"/>
      <w:bookmarkStart w:id="337" w:name="_Toc16483"/>
      <w:bookmarkStart w:id="338" w:name="_Toc511226430"/>
      <w:r>
        <w:rPr>
          <w:rFonts w:hint="eastAsia"/>
        </w:rPr>
        <w:t xml:space="preserve">8.2 </w:t>
      </w:r>
      <w:bookmarkEnd w:id="330"/>
      <w:bookmarkEnd w:id="331"/>
      <w:bookmarkEnd w:id="332"/>
      <w:r>
        <w:rPr>
          <w:rFonts w:hint="eastAsia"/>
        </w:rPr>
        <w:t>供电</w:t>
      </w:r>
      <w:bookmarkEnd w:id="333"/>
      <w:bookmarkEnd w:id="334"/>
      <w:bookmarkEnd w:id="335"/>
      <w:bookmarkEnd w:id="336"/>
      <w:bookmarkEnd w:id="337"/>
      <w:bookmarkEnd w:id="338"/>
      <w:r>
        <w:rPr>
          <w:rFonts w:hint="eastAsia"/>
        </w:rPr>
        <w:t xml:space="preserve"> </w:t>
      </w:r>
    </w:p>
    <w:p>
      <w:pPr>
        <w:ind w:firstLine="560"/>
      </w:pPr>
      <w:r>
        <w:rPr>
          <w:rFonts w:hint="eastAsia"/>
        </w:rPr>
        <w:t>电网已接入矿区，生活及工业用电可以满足需求。</w:t>
      </w:r>
    </w:p>
    <w:p>
      <w:pPr>
        <w:ind w:firstLine="560"/>
      </w:pPr>
    </w:p>
    <w:p>
      <w:pPr>
        <w:pStyle w:val="2"/>
      </w:pPr>
    </w:p>
    <w:p>
      <w:pPr>
        <w:pStyle w:val="2"/>
        <w:jc w:val="both"/>
      </w:pPr>
    </w:p>
    <w:p>
      <w:pPr>
        <w:pStyle w:val="2"/>
      </w:pPr>
    </w:p>
    <w:p>
      <w:pPr>
        <w:pStyle w:val="2"/>
      </w:pPr>
    </w:p>
    <w:p>
      <w:pPr>
        <w:pStyle w:val="2"/>
      </w:pPr>
    </w:p>
    <w:bookmarkEnd w:id="288"/>
    <w:bookmarkEnd w:id="289"/>
    <w:p>
      <w:pPr>
        <w:pStyle w:val="2"/>
        <w:sectPr>
          <w:pgSz w:w="11906" w:h="16838"/>
          <w:pgMar w:top="1440" w:right="1800" w:bottom="1440" w:left="1800" w:header="851" w:footer="992" w:gutter="0"/>
          <w:cols w:space="720" w:num="1"/>
          <w:docGrid w:type="lines" w:linePitch="312" w:charSpace="0"/>
        </w:sectPr>
      </w:pPr>
      <w:bookmarkStart w:id="339" w:name="_Toc213683066"/>
    </w:p>
    <w:p>
      <w:pPr>
        <w:pStyle w:val="3"/>
        <w:spacing w:before="312"/>
        <w:ind w:firstLine="602"/>
      </w:pPr>
      <w:bookmarkStart w:id="340" w:name="_Toc81227698"/>
      <w:bookmarkStart w:id="341" w:name="_Toc147563688"/>
      <w:bookmarkStart w:id="342" w:name="_Toc8015"/>
      <w:r>
        <w:t>9</w:t>
      </w:r>
      <w:r>
        <w:rPr>
          <w:rFonts w:hint="eastAsia"/>
        </w:rPr>
        <w:t xml:space="preserve">  环境保护</w:t>
      </w:r>
      <w:bookmarkEnd w:id="340"/>
      <w:bookmarkEnd w:id="341"/>
      <w:bookmarkEnd w:id="342"/>
    </w:p>
    <w:p>
      <w:pPr>
        <w:pStyle w:val="4"/>
      </w:pPr>
      <w:bookmarkStart w:id="343" w:name="_Toc70589768"/>
      <w:bookmarkStart w:id="344" w:name="_Toc23877"/>
      <w:bookmarkStart w:id="345" w:name="_Toc147563689"/>
      <w:bookmarkStart w:id="346" w:name="_Toc81227699"/>
      <w:r>
        <w:rPr>
          <w:rFonts w:hint="eastAsia"/>
        </w:rPr>
        <w:t>9.1 环保标准</w:t>
      </w:r>
      <w:bookmarkEnd w:id="343"/>
      <w:r>
        <w:rPr>
          <w:rFonts w:hint="eastAsia"/>
        </w:rPr>
        <w:t>及法规</w:t>
      </w:r>
      <w:bookmarkEnd w:id="344"/>
      <w:bookmarkEnd w:id="345"/>
      <w:bookmarkEnd w:id="346"/>
    </w:p>
    <w:p>
      <w:pPr>
        <w:ind w:firstLine="560"/>
      </w:pPr>
      <w:r>
        <w:rPr>
          <w:rFonts w:hint="eastAsia"/>
        </w:rPr>
        <w:t>(1)环保标准</w:t>
      </w:r>
    </w:p>
    <w:p>
      <w:pPr>
        <w:ind w:firstLine="560"/>
      </w:pPr>
      <w:r>
        <w:rPr>
          <w:rFonts w:hint="eastAsia"/>
        </w:rPr>
        <w:t>①《环境空气质量标准》(GB3095－2012)；</w:t>
      </w:r>
    </w:p>
    <w:p>
      <w:pPr>
        <w:ind w:firstLine="560"/>
      </w:pPr>
      <w:r>
        <w:rPr>
          <w:rFonts w:hint="eastAsia"/>
        </w:rPr>
        <w:t>②《地表水环境质量标准》(GB3838-2002)；</w:t>
      </w:r>
    </w:p>
    <w:p>
      <w:pPr>
        <w:ind w:firstLine="560"/>
      </w:pPr>
      <w:r>
        <w:rPr>
          <w:rFonts w:hint="eastAsia"/>
        </w:rPr>
        <w:t>③《地下水质量标准》((GB/T14848-2017)；</w:t>
      </w:r>
    </w:p>
    <w:p>
      <w:pPr>
        <w:ind w:firstLine="560"/>
      </w:pPr>
      <w:r>
        <w:rPr>
          <w:rFonts w:hint="eastAsia"/>
        </w:rPr>
        <w:t>④《水土保持监测技术规程》(SL277—2002)；</w:t>
      </w:r>
    </w:p>
    <w:p>
      <w:pPr>
        <w:ind w:firstLine="560"/>
      </w:pPr>
      <w:r>
        <w:rPr>
          <w:rFonts w:hint="eastAsia"/>
        </w:rPr>
        <w:t>⑤《声环境质量标准》(GB3096-2008)；</w:t>
      </w:r>
    </w:p>
    <w:p>
      <w:pPr>
        <w:ind w:firstLine="560"/>
      </w:pPr>
      <w:r>
        <w:rPr>
          <w:rFonts w:hint="eastAsia"/>
        </w:rPr>
        <w:t>⑥《工业企业厂界环境噪声排放标准》(GB12348-2008)；</w:t>
      </w:r>
    </w:p>
    <w:p>
      <w:pPr>
        <w:ind w:firstLine="560"/>
      </w:pPr>
      <w:r>
        <w:rPr>
          <w:rFonts w:hint="eastAsia"/>
        </w:rPr>
        <w:t>⑦《社会生活环境噪声排放标准》(GB22337－2008)；</w:t>
      </w:r>
    </w:p>
    <w:p>
      <w:pPr>
        <w:ind w:firstLine="560"/>
      </w:pPr>
      <w:r>
        <w:rPr>
          <w:rFonts w:hint="eastAsia"/>
        </w:rPr>
        <w:t>⑧《土壤环境质量标准》(GB15618-2018)；</w:t>
      </w:r>
    </w:p>
    <w:p>
      <w:pPr>
        <w:ind w:firstLine="560"/>
      </w:pPr>
      <w:r>
        <w:rPr>
          <w:rFonts w:hint="eastAsia"/>
        </w:rPr>
        <w:t>⑨《土壤侵蚀分类分级标准》(SL190－2008)；</w:t>
      </w:r>
    </w:p>
    <w:p>
      <w:pPr>
        <w:ind w:firstLine="560"/>
      </w:pPr>
      <w:r>
        <w:rPr>
          <w:rFonts w:hint="eastAsia"/>
        </w:rPr>
        <w:t>⑩《生活垃圾填埋场污染控制标准》(GB16889－2008)；</w:t>
      </w:r>
    </w:p>
    <w:p>
      <w:pPr>
        <w:ind w:firstLine="560"/>
      </w:pPr>
      <w:r>
        <w:t>⑪</w:t>
      </w:r>
      <w:r>
        <w:rPr>
          <w:rFonts w:hint="eastAsia"/>
        </w:rPr>
        <w:t>《生态环境状况评价技术规范(试行)》(HJ/T192-2015)；</w:t>
      </w:r>
    </w:p>
    <w:p>
      <w:pPr>
        <w:ind w:firstLine="560"/>
      </w:pPr>
      <w:r>
        <w:t>⑫</w:t>
      </w:r>
      <w:r>
        <w:rPr>
          <w:rFonts w:hint="eastAsia"/>
        </w:rPr>
        <w:t>《一般工业固体废物贮存、处置场污染控制标准》(GB18599－2020)；</w:t>
      </w:r>
    </w:p>
    <w:p>
      <w:pPr>
        <w:ind w:firstLine="560"/>
      </w:pPr>
      <w:r>
        <w:t>⑬</w:t>
      </w:r>
      <w:r>
        <w:rPr>
          <w:rFonts w:hint="eastAsia"/>
        </w:rPr>
        <w:t>《污水综合排放标准》(GB8978-2002)。</w:t>
      </w:r>
    </w:p>
    <w:p>
      <w:pPr>
        <w:ind w:firstLine="560"/>
      </w:pPr>
      <w:bookmarkStart w:id="347" w:name="_Toc70589769"/>
      <w:r>
        <w:rPr>
          <w:rFonts w:hint="eastAsia"/>
        </w:rPr>
        <w:t>(2)环保法规</w:t>
      </w:r>
      <w:bookmarkEnd w:id="347"/>
    </w:p>
    <w:p>
      <w:pPr>
        <w:ind w:firstLine="560"/>
      </w:pPr>
      <w:r>
        <w:rPr>
          <w:rFonts w:hint="eastAsia"/>
        </w:rPr>
        <w:t>①《中华人民共和国环境保护法》(2015 年 1 月 1 日)；</w:t>
      </w:r>
    </w:p>
    <w:p>
      <w:pPr>
        <w:ind w:firstLine="560"/>
      </w:pPr>
      <w:r>
        <w:rPr>
          <w:rFonts w:hint="eastAsia"/>
        </w:rPr>
        <w:t>②《中华人民共和国水土保持法实施条例》(国务院 1993 年第 120 号令)；</w:t>
      </w:r>
    </w:p>
    <w:p>
      <w:pPr>
        <w:ind w:firstLine="560"/>
      </w:pPr>
      <w:r>
        <w:rPr>
          <w:rFonts w:hint="eastAsia"/>
        </w:rPr>
        <w:t>③《建设项目环境保护管理条例》(国务院第 253 号令，1998 年 11 月)；</w:t>
      </w:r>
    </w:p>
    <w:p>
      <w:pPr>
        <w:ind w:firstLine="560"/>
      </w:pPr>
      <w:r>
        <w:rPr>
          <w:rFonts w:hint="eastAsia"/>
        </w:rPr>
        <w:t>④《开发建设项目水土保持设施验收管理规定》(水利部第 16 号令)；</w:t>
      </w:r>
    </w:p>
    <w:p>
      <w:pPr>
        <w:ind w:firstLine="560"/>
      </w:pPr>
      <w:r>
        <w:rPr>
          <w:rFonts w:hint="eastAsia"/>
        </w:rPr>
        <w:t>⑤《开发建设项目水土保持方案管理办法》(水保[1994]513 号文)。</w:t>
      </w:r>
    </w:p>
    <w:p>
      <w:pPr>
        <w:pStyle w:val="4"/>
      </w:pPr>
      <w:bookmarkStart w:id="348" w:name="_bookmark30"/>
      <w:bookmarkEnd w:id="348"/>
      <w:bookmarkStart w:id="349" w:name="_Toc147563690"/>
      <w:bookmarkStart w:id="350" w:name="_Toc81227700"/>
      <w:bookmarkStart w:id="351" w:name="_Toc70589770"/>
      <w:bookmarkStart w:id="352" w:name="_Toc18206"/>
      <w:r>
        <w:rPr>
          <w:rFonts w:hint="eastAsia"/>
        </w:rPr>
        <w:t>9</w:t>
      </w:r>
      <w:r>
        <w:t>.2</w:t>
      </w:r>
      <w:r>
        <w:rPr>
          <w:rFonts w:hint="eastAsia"/>
        </w:rPr>
        <w:t xml:space="preserve"> 矿山主要污染物及治理措施</w:t>
      </w:r>
      <w:bookmarkEnd w:id="349"/>
      <w:bookmarkEnd w:id="350"/>
      <w:bookmarkEnd w:id="351"/>
      <w:bookmarkEnd w:id="352"/>
    </w:p>
    <w:p>
      <w:pPr>
        <w:pStyle w:val="5"/>
        <w:ind w:firstLine="562"/>
      </w:pPr>
      <w:bookmarkStart w:id="353" w:name="_Toc81227701"/>
      <w:bookmarkStart w:id="354" w:name="_Toc70589771"/>
      <w:r>
        <w:rPr>
          <w:rFonts w:hint="eastAsia"/>
        </w:rPr>
        <w:t>9</w:t>
      </w:r>
      <w:r>
        <w:t>.2</w:t>
      </w:r>
      <w:r>
        <w:rPr>
          <w:rFonts w:hint="eastAsia"/>
        </w:rPr>
        <w:t>.1 主要污染物</w:t>
      </w:r>
      <w:bookmarkEnd w:id="353"/>
      <w:bookmarkEnd w:id="354"/>
    </w:p>
    <w:p>
      <w:pPr>
        <w:ind w:firstLine="560"/>
      </w:pPr>
      <w:r>
        <w:rPr>
          <w:rFonts w:hint="eastAsia"/>
        </w:rPr>
        <w:t>⑴</w:t>
      </w:r>
      <w:r>
        <w:t>露天采矿产生的废料、采矿废水、粉尘、噪声等；</w:t>
      </w:r>
    </w:p>
    <w:p>
      <w:pPr>
        <w:ind w:firstLine="560"/>
      </w:pPr>
      <w:r>
        <w:rPr>
          <w:rFonts w:hint="eastAsia"/>
        </w:rPr>
        <w:t>⑵</w:t>
      </w:r>
      <w:r>
        <w:t>废渣、生活污水和生活垃圾；</w:t>
      </w:r>
    </w:p>
    <w:p>
      <w:pPr>
        <w:ind w:firstLine="560"/>
      </w:pPr>
      <w:r>
        <w:rPr>
          <w:rFonts w:hint="eastAsia"/>
        </w:rPr>
        <w:t>⑶</w:t>
      </w:r>
      <w:r>
        <w:t>机械设备运行产生的烟尘等。</w:t>
      </w:r>
    </w:p>
    <w:p>
      <w:pPr>
        <w:pStyle w:val="5"/>
        <w:ind w:firstLine="562"/>
      </w:pPr>
      <w:bookmarkStart w:id="355" w:name="_Toc70589772"/>
      <w:bookmarkStart w:id="356" w:name="_Toc81227702"/>
      <w:r>
        <w:rPr>
          <w:rFonts w:hint="eastAsia"/>
        </w:rPr>
        <w:t>9</w:t>
      </w:r>
      <w:r>
        <w:t>.2.</w:t>
      </w:r>
      <w:r>
        <w:rPr>
          <w:rFonts w:hint="eastAsia"/>
        </w:rPr>
        <w:t>2 主要污染物的预防和治理措施</w:t>
      </w:r>
      <w:bookmarkEnd w:id="355"/>
      <w:bookmarkEnd w:id="356"/>
    </w:p>
    <w:p>
      <w:pPr>
        <w:ind w:firstLine="560"/>
      </w:pPr>
      <w:r>
        <w:rPr>
          <w:rFonts w:hint="eastAsia"/>
        </w:rPr>
        <w:t>⑴废渣</w:t>
      </w:r>
    </w:p>
    <w:p>
      <w:pPr>
        <w:ind w:firstLine="560"/>
      </w:pPr>
      <w:r>
        <w:rPr>
          <w:rFonts w:hint="eastAsia"/>
        </w:rPr>
        <w:t>本项目产生的废渣主要是废石、少量洗砂产生的沉淀物等，基本全部可用于铺垫道路和回填采坑，有利于减少后续复垦的工作量。生活垃圾产生量小，采取集中堆放和掩埋，即可减小对环境的影响。</w:t>
      </w:r>
    </w:p>
    <w:p>
      <w:pPr>
        <w:ind w:firstLine="560"/>
      </w:pPr>
      <w:r>
        <w:rPr>
          <w:rFonts w:hint="eastAsia"/>
        </w:rPr>
        <w:t>⑵废水</w:t>
      </w:r>
    </w:p>
    <w:p>
      <w:pPr>
        <w:ind w:firstLine="560"/>
      </w:pPr>
      <w:r>
        <w:rPr>
          <w:rFonts w:hint="eastAsia"/>
        </w:rPr>
        <w:t>采矿产生的废水主要是设备冷却产生的废水、洗砂产生的废水，此类废水除浊度偏高外，不含有害物质，此水和坑内涌水经集水坑自然沉淀后自流排放。生活污水及办公生活区产生的污水水量较少，经沉淀后利用于采场及矿区道路的除尘，或集中排放至矿区附近沟谷，有利于环境治理。</w:t>
      </w:r>
    </w:p>
    <w:p>
      <w:pPr>
        <w:ind w:firstLine="560"/>
      </w:pPr>
      <w:r>
        <w:rPr>
          <w:rFonts w:hint="eastAsia"/>
        </w:rPr>
        <w:t>⑶防、降尘</w:t>
      </w:r>
    </w:p>
    <w:p>
      <w:pPr>
        <w:ind w:firstLine="560"/>
      </w:pPr>
      <w:r>
        <w:rPr>
          <w:rFonts w:hint="eastAsia"/>
        </w:rPr>
        <w:t>作业的主要产尘地点有采场装卸、筛选以及有关的运输车辆环节等。为使采场空气含尘量小于2mg/m</w:t>
      </w:r>
      <w:r>
        <w:rPr>
          <w:rFonts w:hint="eastAsia"/>
          <w:vertAlign w:val="superscript"/>
        </w:rPr>
        <w:t>3</w:t>
      </w:r>
      <w:r>
        <w:rPr>
          <w:rFonts w:hint="eastAsia"/>
        </w:rPr>
        <w:t>以下。设计采取了以下防尘措施：</w:t>
      </w:r>
    </w:p>
    <w:p>
      <w:pPr>
        <w:ind w:firstLine="560"/>
      </w:pPr>
      <w:r>
        <w:rPr>
          <w:rFonts w:hint="eastAsia"/>
        </w:rPr>
        <w:t>①对各产尘点进行喷雾洒水，定期对露天坑壁和道路进行洒水冲洗；</w:t>
      </w:r>
    </w:p>
    <w:p>
      <w:pPr>
        <w:ind w:firstLine="560"/>
      </w:pPr>
      <w:r>
        <w:rPr>
          <w:rFonts w:hint="eastAsia"/>
        </w:rPr>
        <w:t>②地表砂石堆放点覆盖降尘；</w:t>
      </w:r>
    </w:p>
    <w:p>
      <w:pPr>
        <w:ind w:firstLine="560"/>
      </w:pPr>
      <w:r>
        <w:rPr>
          <w:rFonts w:hint="eastAsia"/>
        </w:rPr>
        <w:t>③拉运过程中，给运输车辆准备盖顶或篷布；对于装载机操作手在装卸过程中按要求规范作业，避免由于装车的散乱而造成运输中的矿体粉尘遗撒和扬尘；</w:t>
      </w:r>
    </w:p>
    <w:p>
      <w:pPr>
        <w:ind w:firstLine="560"/>
      </w:pPr>
      <w:r>
        <w:rPr>
          <w:rFonts w:hint="eastAsia"/>
        </w:rPr>
        <w:t>④严格要求运输人员在运输过程中不能超速行驶，避免造成车辆颠簸而导致的砂矿遗撒和扬尘；</w:t>
      </w:r>
    </w:p>
    <w:p>
      <w:pPr>
        <w:ind w:firstLine="560"/>
      </w:pPr>
      <w:r>
        <w:rPr>
          <w:rFonts w:hint="eastAsia"/>
        </w:rPr>
        <w:t>⑤由于运输设备产生的燃油废气及生活燃煤废气的总产生量不大，又不集中，故对环境影响不大；</w:t>
      </w:r>
    </w:p>
    <w:p>
      <w:pPr>
        <w:ind w:firstLine="560"/>
      </w:pPr>
      <w:r>
        <w:rPr>
          <w:rFonts w:hint="eastAsia"/>
        </w:rPr>
        <w:t>⑥强个人防护，佩戴防尘口罩等。</w:t>
      </w:r>
    </w:p>
    <w:p>
      <w:pPr>
        <w:ind w:firstLine="560"/>
      </w:pPr>
      <w:r>
        <w:rPr>
          <w:rFonts w:hint="eastAsia"/>
        </w:rPr>
        <w:t>⑷噪声</w:t>
      </w:r>
    </w:p>
    <w:p>
      <w:pPr>
        <w:ind w:firstLine="560"/>
      </w:pPr>
      <w:r>
        <w:rPr>
          <w:rFonts w:hint="eastAsia"/>
        </w:rPr>
        <w:t>该砂矿噪音主要来源于装载机和露天采场装运等作业产生的噪音，由于是露天开采，适当采取个体防护措施后(可采用耳塞、防声棉等)，可将噪声控制在《工业企业噪声卫生标准》规定的范围之内。设计采取了以下防、降噪声措施。</w:t>
      </w:r>
    </w:p>
    <w:p>
      <w:pPr>
        <w:ind w:firstLine="560"/>
      </w:pPr>
      <w:r>
        <w:rPr>
          <w:rFonts w:hint="eastAsia"/>
        </w:rPr>
        <w:t>①机械加装消声装置；</w:t>
      </w:r>
    </w:p>
    <w:p>
      <w:pPr>
        <w:ind w:firstLine="560"/>
      </w:pPr>
      <w:r>
        <w:rPr>
          <w:rFonts w:hint="eastAsia"/>
        </w:rPr>
        <w:t>②将生活区与采矿场分隔布置；</w:t>
      </w:r>
    </w:p>
    <w:p>
      <w:pPr>
        <w:ind w:firstLine="560"/>
      </w:pPr>
      <w:r>
        <w:rPr>
          <w:rFonts w:hint="eastAsia"/>
        </w:rPr>
        <w:t>③对操作工人加强劳动保护和个人防护措施。</w:t>
      </w:r>
    </w:p>
    <w:p>
      <w:pPr>
        <w:pStyle w:val="5"/>
        <w:ind w:firstLine="562"/>
      </w:pPr>
      <w:bookmarkStart w:id="357" w:name="_Toc70589773"/>
      <w:bookmarkStart w:id="358" w:name="_Toc81227703"/>
      <w:r>
        <w:rPr>
          <w:rFonts w:hint="eastAsia"/>
        </w:rPr>
        <w:t>9</w:t>
      </w:r>
      <w:r>
        <w:t>.2</w:t>
      </w:r>
      <w:r>
        <w:rPr>
          <w:rFonts w:hint="eastAsia"/>
        </w:rPr>
        <w:t>.3 其它环境保护措施</w:t>
      </w:r>
      <w:bookmarkEnd w:id="357"/>
      <w:bookmarkEnd w:id="358"/>
    </w:p>
    <w:p>
      <w:pPr>
        <w:ind w:firstLine="560"/>
      </w:pPr>
      <w:r>
        <w:t>方案总体布局时，根据矿区自然条件及生产特点，对生产区、生活区进行合理布置</w:t>
      </w:r>
      <w:r>
        <w:rPr>
          <w:rFonts w:hint="eastAsia"/>
        </w:rPr>
        <w:t>，</w:t>
      </w:r>
      <w:r>
        <w:t>保证相互之间的安全防护距离。另</w:t>
      </w:r>
      <w:r>
        <w:rPr>
          <w:rFonts w:hint="eastAsia"/>
        </w:rPr>
        <w:t>外</w:t>
      </w:r>
      <w:r>
        <w:t>绿化是保护和改善环境的一项有效措施</w:t>
      </w:r>
      <w:r>
        <w:rPr>
          <w:rFonts w:hint="eastAsia"/>
        </w:rPr>
        <w:t>，</w:t>
      </w:r>
      <w:r>
        <w:t>企业建成后应利用当地自然条件，在生活区适当区域可种草植树，美化环境，减少环境污染。矿山闭坑后地表应基本恢复到采矿前的状态，对存在的地质灾害隐患应采取相应防治措施，使矿山地质环境问题得到有效治理，保证矿区经济社会发展和周围居民生命财产安全。</w:t>
      </w:r>
    </w:p>
    <w:p>
      <w:pPr>
        <w:pStyle w:val="5"/>
        <w:ind w:firstLine="562"/>
      </w:pPr>
      <w:bookmarkStart w:id="359" w:name="_Toc70589774"/>
      <w:bookmarkStart w:id="360" w:name="_Toc81227704"/>
      <w:r>
        <w:rPr>
          <w:rFonts w:hint="eastAsia"/>
        </w:rPr>
        <w:t>9</w:t>
      </w:r>
      <w:r>
        <w:t>.2</w:t>
      </w:r>
      <w:r>
        <w:rPr>
          <w:rFonts w:hint="eastAsia"/>
        </w:rPr>
        <w:t>.4 环境影响评价分析</w:t>
      </w:r>
      <w:bookmarkEnd w:id="359"/>
      <w:bookmarkEnd w:id="360"/>
    </w:p>
    <w:p>
      <w:pPr>
        <w:ind w:firstLine="560"/>
      </w:pPr>
      <w:r>
        <w:t>方案编制中，对企业废水排放、废渣及噪音等污染物均提出了有效的治理措施，只要认真落实这些措施，并加强环保监测工作，企业建成后不会对环境造成大的影响。</w:t>
      </w:r>
    </w:p>
    <w:p>
      <w:pPr>
        <w:pStyle w:val="4"/>
      </w:pPr>
      <w:bookmarkStart w:id="361" w:name="_Toc70589775"/>
      <w:bookmarkStart w:id="362" w:name="_Toc81227705"/>
      <w:bookmarkStart w:id="363" w:name="_Toc147563691"/>
      <w:bookmarkStart w:id="364" w:name="_Toc17042"/>
      <w:r>
        <w:rPr>
          <w:rFonts w:hint="eastAsia"/>
        </w:rPr>
        <w:t>9</w:t>
      </w:r>
      <w:r>
        <w:t>.3</w:t>
      </w:r>
      <w:r>
        <w:rPr>
          <w:rFonts w:hint="eastAsia"/>
        </w:rPr>
        <w:t xml:space="preserve"> 水土保持与环境恢复技术措施</w:t>
      </w:r>
      <w:bookmarkEnd w:id="361"/>
      <w:bookmarkEnd w:id="362"/>
      <w:bookmarkEnd w:id="363"/>
      <w:bookmarkEnd w:id="364"/>
    </w:p>
    <w:p>
      <w:pPr>
        <w:pStyle w:val="5"/>
        <w:ind w:firstLine="562"/>
      </w:pPr>
      <w:bookmarkStart w:id="365" w:name="_Toc81227706"/>
      <w:bookmarkStart w:id="366" w:name="_Toc70589776"/>
      <w:r>
        <w:rPr>
          <w:rFonts w:hint="eastAsia"/>
        </w:rPr>
        <w:t>9</w:t>
      </w:r>
      <w:r>
        <w:t>.3</w:t>
      </w:r>
      <w:r>
        <w:rPr>
          <w:rFonts w:hint="eastAsia"/>
        </w:rPr>
        <w:t>.1 水土保持</w:t>
      </w:r>
      <w:bookmarkEnd w:id="365"/>
      <w:bookmarkEnd w:id="366"/>
    </w:p>
    <w:p>
      <w:pPr>
        <w:ind w:firstLine="560"/>
      </w:pPr>
      <w:r>
        <w:rPr>
          <w:rFonts w:hint="eastAsia"/>
        </w:rPr>
        <w:t>由于该矿属于新建矿山，</w:t>
      </w:r>
      <w:r>
        <w:t>矿山的建设由于修建公路、办公房屋、生活设施和选矿废渣堆放等，不可避免地破坏了原有的地表状况，公路的建设、场地的平整，造成许多边坡开挖。坑道开挖的弃方、生产中的弃渣等对环境会造成一定的影响，为此，建议在此上游地段修建拦挡水坝体，减少流水对矿区矿体及边坡的冲刷，减少边坡的水土流失；在各场地和公路的平台内边坡下，修建排水沟，减少雨水对场地及填方边坡的冲刷，达到防治的目的。</w:t>
      </w:r>
    </w:p>
    <w:p>
      <w:pPr>
        <w:pStyle w:val="5"/>
        <w:ind w:firstLine="562"/>
      </w:pPr>
      <w:bookmarkStart w:id="367" w:name="_Toc70589777"/>
      <w:bookmarkStart w:id="368" w:name="_Toc81227707"/>
      <w:r>
        <w:rPr>
          <w:rFonts w:hint="eastAsia"/>
        </w:rPr>
        <w:t>9</w:t>
      </w:r>
      <w:r>
        <w:t>.3</w:t>
      </w:r>
      <w:r>
        <w:rPr>
          <w:rFonts w:hint="eastAsia"/>
        </w:rPr>
        <w:t>.2 环境恢复技术措施</w:t>
      </w:r>
      <w:bookmarkEnd w:id="367"/>
      <w:bookmarkEnd w:id="368"/>
    </w:p>
    <w:p>
      <w:pPr>
        <w:ind w:firstLine="560"/>
      </w:pPr>
      <w:r>
        <w:rPr>
          <w:rFonts w:hint="eastAsia"/>
        </w:rPr>
        <w:t>矿山的开采、构建筑物和矿区道路的修建对矿区和周围环境会造成不同程度的破坏。因此，在矿山开采结束后，应对矿区和周围环境进行恢复治理，主要采取如下措施进行恢复治理：</w:t>
      </w:r>
    </w:p>
    <w:p>
      <w:pPr>
        <w:ind w:firstLine="560"/>
      </w:pPr>
      <w:r>
        <w:rPr>
          <w:rFonts w:hint="eastAsia"/>
        </w:rPr>
        <w:t>⑴矿山开采完毕后，应对露天采坑边坡等不安全隐患进行修整和处理，回填采坑，撤除废弃构建筑物，使其达到自然稳定状态。</w:t>
      </w:r>
    </w:p>
    <w:p>
      <w:pPr>
        <w:ind w:firstLine="560"/>
      </w:pPr>
      <w:r>
        <w:rPr>
          <w:rFonts w:hint="eastAsia"/>
        </w:rPr>
        <w:t>⑵平整：主要是对为该矿矿区和周围破坏的区域进行平整，平整厚度0.2～0.3m，通过平整，使其自然恢复，达到水土保持的要求。</w:t>
      </w:r>
    </w:p>
    <w:p>
      <w:pPr>
        <w:pStyle w:val="5"/>
        <w:ind w:firstLine="562"/>
      </w:pPr>
      <w:bookmarkStart w:id="369" w:name="_Toc70589778"/>
      <w:bookmarkStart w:id="370" w:name="_Toc81227708"/>
      <w:r>
        <w:rPr>
          <w:rFonts w:hint="eastAsia"/>
        </w:rPr>
        <w:t>9</w:t>
      </w:r>
      <w:r>
        <w:t>.3</w:t>
      </w:r>
      <w:r>
        <w:rPr>
          <w:rFonts w:hint="eastAsia"/>
        </w:rPr>
        <w:t>.3 闭坑后的矿山管理</w:t>
      </w:r>
      <w:bookmarkEnd w:id="369"/>
      <w:bookmarkEnd w:id="370"/>
      <w:r>
        <w:rPr>
          <w:rFonts w:hint="eastAsia"/>
        </w:rPr>
        <w:t xml:space="preserve"> </w:t>
      </w:r>
    </w:p>
    <w:p>
      <w:pPr>
        <w:ind w:firstLine="560"/>
      </w:pPr>
      <w:r>
        <w:rPr>
          <w:rFonts w:hint="eastAsia"/>
        </w:rPr>
        <w:t>矿山开采完毕，应及时提出闭坑报告及有关采剥工程、不安全隐患、土地复垦利用、环境保护的资料，并按规定报请上级主管部门审查批准。</w:t>
      </w:r>
    </w:p>
    <w:p>
      <w:pPr>
        <w:ind w:firstLine="560"/>
      </w:pPr>
      <w:r>
        <w:rPr>
          <w:rFonts w:hint="eastAsia"/>
        </w:rPr>
        <w:t>⑴对地表采空区进行回填治理；</w:t>
      </w:r>
    </w:p>
    <w:p>
      <w:pPr>
        <w:ind w:firstLine="560"/>
      </w:pPr>
      <w:r>
        <w:rPr>
          <w:rFonts w:hint="eastAsia"/>
        </w:rPr>
        <w:t>⑵对废弃场地平整；</w:t>
      </w:r>
    </w:p>
    <w:p>
      <w:pPr>
        <w:ind w:firstLine="560"/>
      </w:pPr>
      <w:r>
        <w:rPr>
          <w:rFonts w:hint="eastAsia"/>
        </w:rPr>
        <w:t>⑶回填、清除建筑及生活垃圾。</w:t>
      </w:r>
    </w:p>
    <w:p>
      <w:pPr>
        <w:pStyle w:val="4"/>
      </w:pPr>
      <w:bookmarkStart w:id="371" w:name="_bookmark32"/>
      <w:bookmarkEnd w:id="371"/>
      <w:bookmarkStart w:id="372" w:name="_Toc81227709"/>
      <w:bookmarkStart w:id="373" w:name="_Toc147563692"/>
      <w:bookmarkStart w:id="374" w:name="_Toc30891"/>
      <w:r>
        <w:rPr>
          <w:rFonts w:hint="eastAsia"/>
        </w:rPr>
        <w:t>9</w:t>
      </w:r>
      <w:r>
        <w:t>.4</w:t>
      </w:r>
      <w:r>
        <w:rPr>
          <w:rFonts w:hint="eastAsia"/>
        </w:rPr>
        <w:t xml:space="preserve"> 环保投资</w:t>
      </w:r>
      <w:bookmarkEnd w:id="372"/>
      <w:bookmarkEnd w:id="373"/>
      <w:bookmarkEnd w:id="374"/>
    </w:p>
    <w:p>
      <w:pPr>
        <w:ind w:firstLine="560"/>
      </w:pPr>
      <w:r>
        <w:rPr>
          <w:rFonts w:hint="eastAsia"/>
        </w:rPr>
        <w:t>本矿估算环保投资为</w:t>
      </w:r>
      <w:r>
        <w:t>19.46</w:t>
      </w:r>
      <w:r>
        <w:rPr>
          <w:rFonts w:hint="eastAsia"/>
        </w:rPr>
        <w:t>万元，企业应委托有资质的环境影响评价机构编制项目环境影响评价报告，并报有关主管部门审批。企业生产只要严格按照环境影响报告及审批意见提出的有关要求采取相应措施，就完全可以达到国家对小矿点采矿生产的环保要求，详细的环保投资估算见下表所示。</w:t>
      </w:r>
    </w:p>
    <w:p>
      <w:pPr>
        <w:pStyle w:val="2"/>
      </w:pPr>
    </w:p>
    <w:tbl>
      <w:tblPr>
        <w:tblStyle w:val="14"/>
        <w:tblW w:w="88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9"/>
        <w:gridCol w:w="1701"/>
        <w:gridCol w:w="1418"/>
        <w:gridCol w:w="1417"/>
        <w:gridCol w:w="1418"/>
        <w:gridCol w:w="20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8816" w:type="dxa"/>
            <w:gridSpan w:val="6"/>
            <w:tcBorders>
              <w:top w:val="nil"/>
              <w:left w:val="nil"/>
              <w:right w:val="nil"/>
            </w:tcBorders>
            <w:vAlign w:val="center"/>
          </w:tcPr>
          <w:p>
            <w:pPr>
              <w:pStyle w:val="7"/>
              <w:spacing w:after="0"/>
              <w:ind w:firstLine="0" w:firstLineChars="0"/>
              <w:jc w:val="center"/>
            </w:pPr>
            <w:r>
              <w:rPr>
                <w:rFonts w:hint="eastAsia" w:eastAsia="黑体"/>
                <w:b/>
                <w:spacing w:val="-4"/>
                <w:sz w:val="24"/>
              </w:rPr>
              <w:t>表9</w:t>
            </w:r>
            <w:r>
              <w:rPr>
                <w:rFonts w:eastAsia="黑体"/>
                <w:b/>
                <w:spacing w:val="-4"/>
                <w:sz w:val="24"/>
              </w:rPr>
              <w:t xml:space="preserve">-1 </w:t>
            </w:r>
            <w:r>
              <w:rPr>
                <w:rFonts w:hint="eastAsia" w:eastAsia="黑体"/>
                <w:b/>
                <w:spacing w:val="-4"/>
                <w:sz w:val="24"/>
              </w:rPr>
              <w:t>环保投资估算表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9" w:type="dxa"/>
            <w:vAlign w:val="center"/>
          </w:tcPr>
          <w:p>
            <w:pPr>
              <w:pStyle w:val="7"/>
              <w:spacing w:after="0"/>
              <w:ind w:firstLine="0" w:firstLineChars="0"/>
              <w:jc w:val="center"/>
              <w:rPr>
                <w:spacing w:val="-4"/>
                <w:sz w:val="21"/>
                <w:szCs w:val="21"/>
              </w:rPr>
            </w:pPr>
            <w:r>
              <w:rPr>
                <w:rFonts w:hint="eastAsia"/>
                <w:sz w:val="21"/>
                <w:szCs w:val="21"/>
              </w:rPr>
              <w:t>序号</w:t>
            </w:r>
          </w:p>
        </w:tc>
        <w:tc>
          <w:tcPr>
            <w:tcW w:w="1701" w:type="dxa"/>
            <w:vAlign w:val="center"/>
          </w:tcPr>
          <w:p>
            <w:pPr>
              <w:pStyle w:val="7"/>
              <w:spacing w:after="0"/>
              <w:ind w:firstLine="0" w:firstLineChars="0"/>
              <w:jc w:val="center"/>
              <w:rPr>
                <w:spacing w:val="-4"/>
                <w:sz w:val="21"/>
                <w:szCs w:val="21"/>
              </w:rPr>
            </w:pPr>
            <w:r>
              <w:rPr>
                <w:rFonts w:hint="eastAsia"/>
                <w:sz w:val="21"/>
                <w:szCs w:val="21"/>
              </w:rPr>
              <w:t>名称</w:t>
            </w:r>
          </w:p>
        </w:tc>
        <w:tc>
          <w:tcPr>
            <w:tcW w:w="1418" w:type="dxa"/>
            <w:vAlign w:val="center"/>
          </w:tcPr>
          <w:p>
            <w:pPr>
              <w:pStyle w:val="7"/>
              <w:spacing w:after="0"/>
              <w:ind w:firstLine="0" w:firstLineChars="0"/>
              <w:jc w:val="center"/>
              <w:rPr>
                <w:spacing w:val="-4"/>
                <w:sz w:val="21"/>
                <w:szCs w:val="21"/>
              </w:rPr>
            </w:pPr>
            <w:r>
              <w:rPr>
                <w:rFonts w:hint="eastAsia"/>
                <w:sz w:val="21"/>
                <w:szCs w:val="21"/>
              </w:rPr>
              <w:t>数量</w:t>
            </w:r>
          </w:p>
        </w:tc>
        <w:tc>
          <w:tcPr>
            <w:tcW w:w="1417" w:type="dxa"/>
            <w:vAlign w:val="center"/>
          </w:tcPr>
          <w:p>
            <w:pPr>
              <w:pStyle w:val="7"/>
              <w:spacing w:after="0"/>
              <w:ind w:firstLine="0" w:firstLineChars="0"/>
              <w:jc w:val="center"/>
              <w:rPr>
                <w:spacing w:val="-4"/>
                <w:sz w:val="21"/>
                <w:szCs w:val="21"/>
              </w:rPr>
            </w:pPr>
            <w:r>
              <w:rPr>
                <w:rFonts w:hint="eastAsia"/>
                <w:sz w:val="21"/>
                <w:szCs w:val="21"/>
              </w:rPr>
              <w:t>成本</w:t>
            </w:r>
          </w:p>
        </w:tc>
        <w:tc>
          <w:tcPr>
            <w:tcW w:w="1418" w:type="dxa"/>
            <w:vAlign w:val="center"/>
          </w:tcPr>
          <w:p>
            <w:pPr>
              <w:pStyle w:val="7"/>
              <w:spacing w:after="0"/>
              <w:ind w:firstLine="0" w:firstLineChars="0"/>
              <w:jc w:val="center"/>
              <w:rPr>
                <w:spacing w:val="-4"/>
                <w:sz w:val="21"/>
                <w:szCs w:val="21"/>
              </w:rPr>
            </w:pPr>
            <w:r>
              <w:rPr>
                <w:rFonts w:hint="eastAsia"/>
                <w:sz w:val="21"/>
                <w:szCs w:val="21"/>
              </w:rPr>
              <w:t>费用(万元)</w:t>
            </w:r>
          </w:p>
        </w:tc>
        <w:tc>
          <w:tcPr>
            <w:tcW w:w="2043" w:type="dxa"/>
            <w:vAlign w:val="center"/>
          </w:tcPr>
          <w:p>
            <w:pPr>
              <w:pStyle w:val="7"/>
              <w:spacing w:after="0"/>
              <w:ind w:firstLine="0" w:firstLineChars="0"/>
              <w:jc w:val="center"/>
              <w:rPr>
                <w:spacing w:val="-4"/>
                <w:sz w:val="21"/>
                <w:szCs w:val="21"/>
              </w:rPr>
            </w:pPr>
            <w:r>
              <w:rPr>
                <w:rFonts w:hint="eastAsia"/>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9" w:type="dxa"/>
            <w:vAlign w:val="center"/>
          </w:tcPr>
          <w:p>
            <w:pPr>
              <w:pStyle w:val="7"/>
              <w:spacing w:after="0"/>
              <w:ind w:firstLine="0" w:firstLineChars="0"/>
              <w:jc w:val="center"/>
              <w:rPr>
                <w:spacing w:val="-4"/>
                <w:sz w:val="21"/>
                <w:szCs w:val="21"/>
              </w:rPr>
            </w:pPr>
            <w:r>
              <w:rPr>
                <w:sz w:val="21"/>
                <w:szCs w:val="21"/>
              </w:rPr>
              <w:t>1</w:t>
            </w:r>
          </w:p>
        </w:tc>
        <w:tc>
          <w:tcPr>
            <w:tcW w:w="1701" w:type="dxa"/>
            <w:vAlign w:val="center"/>
          </w:tcPr>
          <w:p>
            <w:pPr>
              <w:widowControl/>
              <w:ind w:firstLine="0" w:firstLineChars="0"/>
              <w:textAlignment w:val="top"/>
              <w:rPr>
                <w:sz w:val="21"/>
                <w:szCs w:val="21"/>
              </w:rPr>
            </w:pPr>
            <w:r>
              <w:rPr>
                <w:rFonts w:hint="eastAsia"/>
                <w:sz w:val="21"/>
                <w:szCs w:val="21"/>
              </w:rPr>
              <w:t>土地平整</w:t>
            </w:r>
          </w:p>
        </w:tc>
        <w:tc>
          <w:tcPr>
            <w:tcW w:w="1418" w:type="dxa"/>
            <w:vAlign w:val="center"/>
          </w:tcPr>
          <w:p>
            <w:pPr>
              <w:pStyle w:val="7"/>
              <w:spacing w:after="0"/>
              <w:ind w:firstLine="0" w:firstLineChars="0"/>
              <w:jc w:val="center"/>
              <w:rPr>
                <w:spacing w:val="-4"/>
                <w:sz w:val="21"/>
                <w:szCs w:val="21"/>
              </w:rPr>
            </w:pPr>
            <w:r>
              <w:rPr>
                <w:sz w:val="21"/>
                <w:szCs w:val="21"/>
              </w:rPr>
              <w:t>84680</w:t>
            </w:r>
            <w:r>
              <w:rPr>
                <w:rFonts w:hint="eastAsia"/>
                <w:sz w:val="21"/>
                <w:szCs w:val="21"/>
              </w:rPr>
              <w:t>m</w:t>
            </w:r>
            <w:r>
              <w:rPr>
                <w:rFonts w:hint="eastAsia"/>
                <w:sz w:val="21"/>
                <w:szCs w:val="21"/>
                <w:vertAlign w:val="superscript"/>
              </w:rPr>
              <w:t>3</w:t>
            </w:r>
          </w:p>
        </w:tc>
        <w:tc>
          <w:tcPr>
            <w:tcW w:w="1417" w:type="dxa"/>
            <w:vAlign w:val="center"/>
          </w:tcPr>
          <w:p>
            <w:pPr>
              <w:pStyle w:val="7"/>
              <w:spacing w:after="0"/>
              <w:ind w:firstLine="0" w:firstLineChars="0"/>
              <w:jc w:val="center"/>
              <w:rPr>
                <w:spacing w:val="-4"/>
                <w:sz w:val="21"/>
                <w:szCs w:val="21"/>
              </w:rPr>
            </w:pPr>
            <w:r>
              <w:rPr>
                <w:rFonts w:hint="eastAsia"/>
                <w:sz w:val="21"/>
                <w:szCs w:val="21"/>
              </w:rPr>
              <w:t>1</w:t>
            </w:r>
            <w:r>
              <w:rPr>
                <w:sz w:val="21"/>
                <w:szCs w:val="21"/>
              </w:rPr>
              <w:t>.</w:t>
            </w:r>
            <w:r>
              <w:rPr>
                <w:rFonts w:hint="eastAsia"/>
                <w:sz w:val="21"/>
                <w:szCs w:val="21"/>
              </w:rPr>
              <w:t>2元/m</w:t>
            </w:r>
            <w:r>
              <w:rPr>
                <w:rFonts w:hint="eastAsia"/>
                <w:sz w:val="21"/>
                <w:szCs w:val="21"/>
                <w:vertAlign w:val="superscript"/>
              </w:rPr>
              <w:t>3</w:t>
            </w:r>
          </w:p>
        </w:tc>
        <w:tc>
          <w:tcPr>
            <w:tcW w:w="1418" w:type="dxa"/>
            <w:vAlign w:val="center"/>
          </w:tcPr>
          <w:p>
            <w:pPr>
              <w:pStyle w:val="7"/>
              <w:spacing w:after="0"/>
              <w:ind w:firstLine="0" w:firstLineChars="0"/>
              <w:jc w:val="center"/>
              <w:rPr>
                <w:spacing w:val="-4"/>
                <w:sz w:val="21"/>
                <w:szCs w:val="21"/>
              </w:rPr>
            </w:pPr>
            <w:r>
              <w:rPr>
                <w:sz w:val="21"/>
                <w:szCs w:val="21"/>
              </w:rPr>
              <w:t>10.16</w:t>
            </w:r>
          </w:p>
        </w:tc>
        <w:tc>
          <w:tcPr>
            <w:tcW w:w="2043" w:type="dxa"/>
            <w:vAlign w:val="center"/>
          </w:tcPr>
          <w:p>
            <w:pPr>
              <w:pStyle w:val="7"/>
              <w:spacing w:after="0"/>
              <w:ind w:firstLine="0" w:firstLineChars="0"/>
              <w:jc w:val="center"/>
              <w:rPr>
                <w:spacing w:val="-4"/>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9" w:type="dxa"/>
            <w:vAlign w:val="center"/>
          </w:tcPr>
          <w:p>
            <w:pPr>
              <w:pStyle w:val="7"/>
              <w:spacing w:after="0"/>
              <w:ind w:firstLine="0" w:firstLineChars="0"/>
              <w:jc w:val="center"/>
              <w:rPr>
                <w:spacing w:val="-4"/>
                <w:sz w:val="21"/>
                <w:szCs w:val="21"/>
              </w:rPr>
            </w:pPr>
            <w:r>
              <w:rPr>
                <w:sz w:val="21"/>
                <w:szCs w:val="21"/>
              </w:rPr>
              <w:t>2</w:t>
            </w:r>
          </w:p>
        </w:tc>
        <w:tc>
          <w:tcPr>
            <w:tcW w:w="1701" w:type="dxa"/>
            <w:vAlign w:val="center"/>
          </w:tcPr>
          <w:p>
            <w:pPr>
              <w:widowControl/>
              <w:ind w:firstLine="0" w:firstLineChars="0"/>
              <w:textAlignment w:val="top"/>
              <w:rPr>
                <w:sz w:val="21"/>
                <w:szCs w:val="21"/>
              </w:rPr>
            </w:pPr>
            <w:r>
              <w:rPr>
                <w:rFonts w:hint="eastAsia"/>
                <w:sz w:val="21"/>
                <w:szCs w:val="21"/>
              </w:rPr>
              <w:t>构建筑物拆除</w:t>
            </w:r>
          </w:p>
        </w:tc>
        <w:tc>
          <w:tcPr>
            <w:tcW w:w="1418" w:type="dxa"/>
            <w:vAlign w:val="center"/>
          </w:tcPr>
          <w:p>
            <w:pPr>
              <w:pStyle w:val="7"/>
              <w:spacing w:after="0"/>
              <w:ind w:firstLine="0" w:firstLineChars="0"/>
              <w:jc w:val="center"/>
              <w:rPr>
                <w:spacing w:val="-4"/>
                <w:sz w:val="21"/>
                <w:szCs w:val="21"/>
              </w:rPr>
            </w:pPr>
            <w:r>
              <w:rPr>
                <w:sz w:val="21"/>
                <w:szCs w:val="21"/>
              </w:rPr>
              <w:t>6</w:t>
            </w:r>
            <w:r>
              <w:rPr>
                <w:rFonts w:hint="eastAsia"/>
                <w:sz w:val="21"/>
                <w:szCs w:val="21"/>
              </w:rPr>
              <w:t>00m</w:t>
            </w:r>
            <w:r>
              <w:rPr>
                <w:rFonts w:hint="eastAsia"/>
                <w:sz w:val="21"/>
                <w:szCs w:val="21"/>
                <w:vertAlign w:val="superscript"/>
              </w:rPr>
              <w:t>3</w:t>
            </w:r>
          </w:p>
        </w:tc>
        <w:tc>
          <w:tcPr>
            <w:tcW w:w="1417" w:type="dxa"/>
            <w:vAlign w:val="center"/>
          </w:tcPr>
          <w:p>
            <w:pPr>
              <w:pStyle w:val="7"/>
              <w:spacing w:after="0"/>
              <w:ind w:firstLine="0" w:firstLineChars="0"/>
              <w:jc w:val="center"/>
              <w:rPr>
                <w:spacing w:val="-4"/>
                <w:sz w:val="21"/>
                <w:szCs w:val="21"/>
              </w:rPr>
            </w:pPr>
            <w:r>
              <w:rPr>
                <w:rFonts w:hint="eastAsia"/>
                <w:sz w:val="21"/>
                <w:szCs w:val="21"/>
              </w:rPr>
              <w:t>50元/m</w:t>
            </w:r>
            <w:r>
              <w:rPr>
                <w:rFonts w:hint="eastAsia"/>
                <w:sz w:val="21"/>
                <w:szCs w:val="21"/>
                <w:vertAlign w:val="superscript"/>
              </w:rPr>
              <w:t>3</w:t>
            </w:r>
          </w:p>
        </w:tc>
        <w:tc>
          <w:tcPr>
            <w:tcW w:w="1418" w:type="dxa"/>
            <w:vAlign w:val="center"/>
          </w:tcPr>
          <w:p>
            <w:pPr>
              <w:pStyle w:val="7"/>
              <w:spacing w:after="0"/>
              <w:ind w:firstLine="0" w:firstLineChars="0"/>
              <w:jc w:val="center"/>
              <w:rPr>
                <w:spacing w:val="-4"/>
                <w:sz w:val="21"/>
                <w:szCs w:val="21"/>
              </w:rPr>
            </w:pPr>
            <w:r>
              <w:rPr>
                <w:sz w:val="21"/>
                <w:szCs w:val="21"/>
              </w:rPr>
              <w:t>3.00</w:t>
            </w:r>
          </w:p>
        </w:tc>
        <w:tc>
          <w:tcPr>
            <w:tcW w:w="2043" w:type="dxa"/>
            <w:vAlign w:val="center"/>
          </w:tcPr>
          <w:p>
            <w:pPr>
              <w:pStyle w:val="7"/>
              <w:spacing w:after="0"/>
              <w:ind w:firstLine="0" w:firstLineChars="0"/>
              <w:jc w:val="center"/>
              <w:rPr>
                <w:spacing w:val="-4"/>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9" w:type="dxa"/>
            <w:vAlign w:val="center"/>
          </w:tcPr>
          <w:p>
            <w:pPr>
              <w:pStyle w:val="7"/>
              <w:spacing w:after="0"/>
              <w:ind w:firstLine="0" w:firstLineChars="0"/>
              <w:jc w:val="center"/>
              <w:rPr>
                <w:spacing w:val="-4"/>
                <w:sz w:val="21"/>
                <w:szCs w:val="21"/>
              </w:rPr>
            </w:pPr>
            <w:r>
              <w:rPr>
                <w:sz w:val="21"/>
                <w:szCs w:val="21"/>
              </w:rPr>
              <w:t>3</w:t>
            </w:r>
          </w:p>
        </w:tc>
        <w:tc>
          <w:tcPr>
            <w:tcW w:w="1701" w:type="dxa"/>
            <w:vAlign w:val="center"/>
          </w:tcPr>
          <w:p>
            <w:pPr>
              <w:widowControl/>
              <w:ind w:firstLine="0" w:firstLineChars="0"/>
              <w:textAlignment w:val="top"/>
              <w:rPr>
                <w:sz w:val="21"/>
                <w:szCs w:val="21"/>
              </w:rPr>
            </w:pPr>
            <w:r>
              <w:rPr>
                <w:rFonts w:hint="eastAsia"/>
                <w:sz w:val="21"/>
                <w:szCs w:val="21"/>
              </w:rPr>
              <w:t>防护栏架设</w:t>
            </w:r>
          </w:p>
        </w:tc>
        <w:tc>
          <w:tcPr>
            <w:tcW w:w="1418" w:type="dxa"/>
            <w:vAlign w:val="center"/>
          </w:tcPr>
          <w:p>
            <w:pPr>
              <w:pStyle w:val="7"/>
              <w:spacing w:after="0"/>
              <w:ind w:firstLine="0" w:firstLineChars="0"/>
              <w:jc w:val="center"/>
              <w:rPr>
                <w:spacing w:val="-4"/>
                <w:sz w:val="21"/>
                <w:szCs w:val="21"/>
              </w:rPr>
            </w:pPr>
            <w:r>
              <w:rPr>
                <w:sz w:val="21"/>
                <w:szCs w:val="21"/>
              </w:rPr>
              <w:t>1260</w:t>
            </w:r>
            <w:r>
              <w:rPr>
                <w:rFonts w:hint="eastAsia"/>
                <w:sz w:val="21"/>
                <w:szCs w:val="21"/>
              </w:rPr>
              <w:t>m</w:t>
            </w:r>
            <w:r>
              <w:rPr>
                <w:rFonts w:hint="eastAsia"/>
                <w:sz w:val="21"/>
                <w:szCs w:val="21"/>
                <w:vertAlign w:val="superscript"/>
              </w:rPr>
              <w:t>2</w:t>
            </w:r>
          </w:p>
        </w:tc>
        <w:tc>
          <w:tcPr>
            <w:tcW w:w="1417" w:type="dxa"/>
            <w:vAlign w:val="center"/>
          </w:tcPr>
          <w:p>
            <w:pPr>
              <w:pStyle w:val="7"/>
              <w:spacing w:after="0"/>
              <w:ind w:firstLine="0" w:firstLineChars="0"/>
              <w:jc w:val="center"/>
              <w:rPr>
                <w:spacing w:val="-4"/>
                <w:sz w:val="21"/>
                <w:szCs w:val="21"/>
              </w:rPr>
            </w:pPr>
            <w:r>
              <w:rPr>
                <w:rFonts w:hint="eastAsia"/>
                <w:sz w:val="21"/>
                <w:szCs w:val="21"/>
              </w:rPr>
              <w:t>50元/m</w:t>
            </w:r>
            <w:r>
              <w:rPr>
                <w:rFonts w:hint="eastAsia"/>
                <w:sz w:val="21"/>
                <w:szCs w:val="21"/>
                <w:vertAlign w:val="superscript"/>
              </w:rPr>
              <w:t>2</w:t>
            </w:r>
          </w:p>
        </w:tc>
        <w:tc>
          <w:tcPr>
            <w:tcW w:w="1418" w:type="dxa"/>
            <w:vAlign w:val="center"/>
          </w:tcPr>
          <w:p>
            <w:pPr>
              <w:pStyle w:val="7"/>
              <w:spacing w:after="0"/>
              <w:ind w:firstLine="0" w:firstLineChars="0"/>
              <w:jc w:val="center"/>
              <w:rPr>
                <w:spacing w:val="-4"/>
                <w:sz w:val="21"/>
                <w:szCs w:val="21"/>
              </w:rPr>
            </w:pPr>
            <w:r>
              <w:rPr>
                <w:sz w:val="21"/>
                <w:szCs w:val="21"/>
              </w:rPr>
              <w:t>6.30</w:t>
            </w:r>
          </w:p>
        </w:tc>
        <w:tc>
          <w:tcPr>
            <w:tcW w:w="2043" w:type="dxa"/>
            <w:vAlign w:val="center"/>
          </w:tcPr>
          <w:p>
            <w:pPr>
              <w:pStyle w:val="7"/>
              <w:spacing w:after="0"/>
              <w:ind w:firstLine="0" w:firstLineChars="0"/>
              <w:jc w:val="center"/>
              <w:rPr>
                <w:spacing w:val="-4"/>
                <w:sz w:val="21"/>
                <w:szCs w:val="21"/>
              </w:rPr>
            </w:pPr>
            <w:r>
              <w:rPr>
                <w:rFonts w:hint="eastAsia"/>
                <w:spacing w:val="-4"/>
                <w:sz w:val="21"/>
                <w:szCs w:val="21"/>
              </w:rPr>
              <w:t>采场全部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355" w:type="dxa"/>
            <w:gridSpan w:val="4"/>
            <w:vAlign w:val="center"/>
          </w:tcPr>
          <w:p>
            <w:pPr>
              <w:pStyle w:val="7"/>
              <w:spacing w:after="0"/>
              <w:ind w:firstLine="420"/>
              <w:jc w:val="center"/>
              <w:rPr>
                <w:sz w:val="21"/>
                <w:szCs w:val="21"/>
              </w:rPr>
            </w:pPr>
            <w:r>
              <w:rPr>
                <w:rFonts w:hint="eastAsia"/>
                <w:sz w:val="21"/>
                <w:szCs w:val="21"/>
              </w:rPr>
              <w:t>合计</w:t>
            </w:r>
          </w:p>
        </w:tc>
        <w:tc>
          <w:tcPr>
            <w:tcW w:w="1418" w:type="dxa"/>
            <w:vAlign w:val="center"/>
          </w:tcPr>
          <w:p>
            <w:pPr>
              <w:pStyle w:val="7"/>
              <w:spacing w:after="0"/>
              <w:ind w:firstLine="0" w:firstLineChars="0"/>
              <w:jc w:val="center"/>
              <w:rPr>
                <w:sz w:val="21"/>
                <w:szCs w:val="21"/>
              </w:rPr>
            </w:pPr>
            <w:r>
              <w:rPr>
                <w:sz w:val="21"/>
                <w:szCs w:val="21"/>
              </w:rPr>
              <w:t>19.46</w:t>
            </w:r>
          </w:p>
        </w:tc>
        <w:tc>
          <w:tcPr>
            <w:tcW w:w="2043" w:type="dxa"/>
            <w:vAlign w:val="center"/>
          </w:tcPr>
          <w:p>
            <w:pPr>
              <w:pStyle w:val="7"/>
              <w:spacing w:after="0"/>
              <w:ind w:firstLine="420"/>
              <w:jc w:val="center"/>
              <w:rPr>
                <w:sz w:val="21"/>
                <w:szCs w:val="21"/>
              </w:rPr>
            </w:pPr>
          </w:p>
        </w:tc>
      </w:tr>
    </w:tbl>
    <w:p>
      <w:pPr>
        <w:pStyle w:val="4"/>
      </w:pPr>
      <w:bookmarkStart w:id="375" w:name="_Toc81227710"/>
      <w:bookmarkStart w:id="376" w:name="_Toc147563693"/>
      <w:bookmarkStart w:id="377" w:name="_Toc70589780"/>
      <w:bookmarkStart w:id="378" w:name="_Toc8881"/>
      <w:r>
        <w:rPr>
          <w:rFonts w:hint="eastAsia"/>
        </w:rPr>
        <w:t>9.5 绿色矿山建设</w:t>
      </w:r>
      <w:bookmarkEnd w:id="375"/>
      <w:bookmarkEnd w:id="376"/>
      <w:bookmarkEnd w:id="377"/>
      <w:bookmarkEnd w:id="378"/>
    </w:p>
    <w:p>
      <w:pPr>
        <w:ind w:firstLine="560"/>
      </w:pPr>
      <w:r>
        <w:rPr>
          <w:rFonts w:hint="eastAsia"/>
        </w:rPr>
        <w:t>矿产资源高效开发与综合利用是建设绿色矿山的整体要求。建设绿色矿山应将绿色矿业的理念贯穿于矿产资源开发利用的全过程，强调开采方法科学化、资源利用高效化、企业管理规范化、生产工艺环保化、矿山环境生态化，实现矿产资源开发利用的经济效益、生态效益和社会效益最大化。</w:t>
      </w:r>
    </w:p>
    <w:p>
      <w:pPr>
        <w:ind w:firstLine="560"/>
      </w:pPr>
      <w:r>
        <w:rPr>
          <w:rFonts w:hint="eastAsia"/>
        </w:rPr>
        <w:t>矿山在开采过程中应坚持以保护环境、资源利用和社区和谐作为绿色矿山建设的工作核心，坚持可持续发展的经营理念，高效开发利用矿山资源，合理有效保护周边生态环境，积极主动的与地方政府、设计科研单位等进行项目合作和沟通往来，在依法办矿、规范管理、科技创新、节能减排、环境保护、土地复垦、社区和谐和企业文化等方面进行合作及建设。主要表现在如下几方面：</w:t>
      </w:r>
    </w:p>
    <w:p>
      <w:pPr>
        <w:ind w:firstLine="560"/>
      </w:pPr>
      <w:r>
        <w:rPr>
          <w:rFonts w:hint="eastAsia"/>
        </w:rPr>
        <w:t>(</w:t>
      </w:r>
      <w:r>
        <w:t>1</w:t>
      </w:r>
      <w:r>
        <w:rPr>
          <w:rFonts w:hint="eastAsia"/>
        </w:rPr>
        <w:t>)依法办矿，规范管理</w:t>
      </w:r>
    </w:p>
    <w:p>
      <w:pPr>
        <w:ind w:firstLine="560"/>
      </w:pPr>
      <w:r>
        <w:rPr>
          <w:rFonts w:hint="eastAsia"/>
        </w:rPr>
        <w:t>①矿山应根据国家统一规划和产业布局合理进行开发建设，在运营发展过程中，始终坚持依法办矿的经营理念。严格遵守国家制定的各项法律法规。矿山自觉接受各级监督审查，足额缴纳采矿权使用费、矿产资源补偿费和矿产资源税等相关税费，使公司的生产经营管理处在法律、法规许可范围内，真正做到了依法办矿，合法经营。</w:t>
      </w:r>
    </w:p>
    <w:p>
      <w:pPr>
        <w:ind w:firstLine="560"/>
      </w:pPr>
      <w:r>
        <w:rPr>
          <w:rFonts w:hint="eastAsia"/>
        </w:rPr>
        <w:t>②认真贯彻执行国家相关技术政策，始终坚持合理的采掘顺序。对此，矿山精心准备，组织地、测、采等各方技术力量，认真编写年度采掘技术计划和长远采掘技术规划。在实际管理中，积极协调，加强管理，确保每年年度计划得以保质保量地完成。同时，按照自然资源部、甘肃省自然资源厅要求，全面开展矿山储量动态管理工作。</w:t>
      </w:r>
    </w:p>
    <w:p>
      <w:pPr>
        <w:ind w:firstLine="560"/>
      </w:pPr>
      <w:r>
        <w:rPr>
          <w:rFonts w:hint="eastAsia"/>
        </w:rPr>
        <w:t>(</w:t>
      </w:r>
      <w:r>
        <w:t>2</w:t>
      </w:r>
      <w:r>
        <w:rPr>
          <w:rFonts w:hint="eastAsia"/>
        </w:rPr>
        <w:t>)走矿山绿色开发道路，搞好矿区绿化工作</w:t>
      </w:r>
    </w:p>
    <w:p>
      <w:pPr>
        <w:ind w:firstLine="560"/>
      </w:pPr>
      <w:r>
        <w:rPr>
          <w:rFonts w:hint="eastAsia"/>
        </w:rPr>
        <w:t>矿山开发过程中，要始终坚持建设绿色矿山的理念，美化环境，在矿山生活区开展植树活动，将矿山生活办公区开辟成绿色、和谐的办公环境。</w:t>
      </w:r>
    </w:p>
    <w:p>
      <w:pPr>
        <w:ind w:firstLine="560"/>
      </w:pPr>
      <w:r>
        <w:rPr>
          <w:rFonts w:hint="eastAsia"/>
        </w:rPr>
        <w:t>(</w:t>
      </w:r>
      <w:r>
        <w:t>3</w:t>
      </w:r>
      <w:r>
        <w:rPr>
          <w:rFonts w:hint="eastAsia"/>
        </w:rPr>
        <w:t>)创建企业文化，彰显企业魅力</w:t>
      </w:r>
    </w:p>
    <w:p>
      <w:pPr>
        <w:ind w:firstLine="560"/>
      </w:pPr>
      <w:r>
        <w:rPr>
          <w:rFonts w:hint="eastAsia"/>
        </w:rPr>
        <w:t>矿山应坚持以人为本的管理理念，深入开展企业文化建设，着力打造具有企业精神的企业文化。积极宣传国家的方针政策、各级党代会精神、安全生产和环境保护理念，进一步提高矿区的美化、亮化档次，宣传企业文化、廉政文化、传统文化及习近平总书记系列重要讲话精神。形成“爱岗敬业、主动作为、开放自信、感恩奉献、担当创新、追求卓越”的工作精神。</w:t>
      </w:r>
    </w:p>
    <w:p>
      <w:pPr>
        <w:ind w:firstLine="560"/>
      </w:pPr>
      <w:r>
        <w:rPr>
          <w:rFonts w:hint="eastAsia"/>
        </w:rPr>
        <w:t>(</w:t>
      </w:r>
      <w:r>
        <w:t>4</w:t>
      </w:r>
      <w:r>
        <w:rPr>
          <w:rFonts w:hint="eastAsia"/>
        </w:rPr>
        <w:t>)履行社会责任，造福社会</w:t>
      </w:r>
    </w:p>
    <w:p>
      <w:pPr>
        <w:ind w:firstLine="560"/>
      </w:pPr>
      <w:r>
        <w:rPr>
          <w:rFonts w:hint="eastAsia"/>
        </w:rPr>
        <w:t>矿山应主动履行企业的社会责任，本着办实事、办真事，办好事的原则，尽最大努力履行社会责任，创造工作岗位，积极带动当地人民就业，造福社会。为切实巩固保障矿山的矿产资源基础，全面提高矿产资源对矿山持续发展的保障能力。充分发挥矿山的规模、技术和管理优势，落实企业做大做强的发展方针，坚持“以依法办矿为前提，以安全生产为保障，以科技创新为先导，以综合利用为突破，以资源高效开发为中心，以节能环保为重点，以数字化矿山建设为契机，以夯实管理基础为手段”。以绿色矿山建设为目标，在污染物防治、矿山环境恢复治理、土地复垦、科技创新、社区和谐和企业文化建设等方面做更大的引导与投入，努力探寻满足矿山开发的资源效益、环境效益、经济效益、社会效益四者相统一的矿山发展模式。</w:t>
      </w:r>
    </w:p>
    <w:p>
      <w:pPr>
        <w:ind w:firstLine="560"/>
      </w:pPr>
      <w:r>
        <w:rPr>
          <w:rFonts w:hint="eastAsia"/>
        </w:rPr>
        <w:t>近些年坚持绿色矿山道路，在本次矿山活动与完工建设中，要实现资源效益、环境效益、经济效益、社会效益相和谐统一的作业模式，应特别注意一下几点的建设工作：</w:t>
      </w:r>
    </w:p>
    <w:p>
      <w:pPr>
        <w:ind w:firstLine="560"/>
      </w:pPr>
      <w:r>
        <w:rPr>
          <w:rFonts w:hint="eastAsia"/>
        </w:rPr>
        <w:t>①矿区功能布局合理，标识、标牌规范统一、清晰美观；</w:t>
      </w:r>
    </w:p>
    <w:p>
      <w:pPr>
        <w:ind w:firstLine="560"/>
      </w:pPr>
      <w:r>
        <w:rPr>
          <w:rFonts w:hint="eastAsia"/>
        </w:rPr>
        <w:t>②生产、运输、储存过程中采取封闭、洒水喷雾降尘、加设除尘装置等措施，做好防尘保洁；</w:t>
      </w:r>
    </w:p>
    <w:p>
      <w:pPr>
        <w:ind w:firstLine="560"/>
      </w:pPr>
      <w:r>
        <w:rPr>
          <w:rFonts w:hint="eastAsia"/>
        </w:rPr>
        <w:t>③矿山生产区、运输系统、办公区和生活区实现洁化、绿化、美化，矿区主要运输道路实现硬化、绿化覆盖率达到可绿化面积的</w:t>
      </w:r>
      <w:r>
        <w:t>20%</w:t>
      </w:r>
      <w:r>
        <w:rPr>
          <w:rFonts w:hint="eastAsia"/>
        </w:rPr>
        <w:t>；</w:t>
      </w:r>
    </w:p>
    <w:p>
      <w:pPr>
        <w:ind w:firstLine="560"/>
      </w:pPr>
      <w:r>
        <w:rPr>
          <w:rFonts w:hint="eastAsia"/>
        </w:rPr>
        <w:t>④符合安全、环保、安监等相关规定；</w:t>
      </w:r>
    </w:p>
    <w:p>
      <w:pPr>
        <w:ind w:firstLine="560"/>
      </w:pPr>
      <w:r>
        <w:rPr>
          <w:rFonts w:hint="eastAsia"/>
        </w:rPr>
        <w:t>⑤办公区、生活区具有完善的生活污水和垃圾处置设施；</w:t>
      </w:r>
    </w:p>
    <w:p>
      <w:pPr>
        <w:ind w:firstLine="560"/>
      </w:pPr>
      <w:r>
        <w:rPr>
          <w:rFonts w:hint="eastAsia"/>
        </w:rPr>
        <w:t>⑥各种完善的资料、规章制度、培训等等符合相关规定；</w:t>
      </w:r>
    </w:p>
    <w:p>
      <w:pPr>
        <w:ind w:firstLine="560"/>
      </w:pPr>
      <w:r>
        <w:rPr>
          <w:rFonts w:hint="eastAsia"/>
        </w:rPr>
        <w:t>⑦绿化范围包括进场道路两侧、生活区、采矿区、生产空闲区及周边扰动区，重视绿化过程，定期监管，保证高存活率。</w:t>
      </w:r>
    </w:p>
    <w:p>
      <w:pPr>
        <w:pStyle w:val="4"/>
      </w:pPr>
      <w:bookmarkStart w:id="379" w:name="_bookmark33"/>
      <w:bookmarkEnd w:id="379"/>
      <w:bookmarkStart w:id="380" w:name="_Toc70589781"/>
      <w:bookmarkStart w:id="381" w:name="_Toc147563694"/>
      <w:bookmarkStart w:id="382" w:name="_Toc11939"/>
      <w:bookmarkStart w:id="383" w:name="_Toc81227711"/>
      <w:r>
        <w:rPr>
          <w:rFonts w:hint="eastAsia"/>
        </w:rPr>
        <w:t>9</w:t>
      </w:r>
      <w:r>
        <w:t>.</w:t>
      </w:r>
      <w:r>
        <w:rPr>
          <w:rFonts w:hint="eastAsia"/>
        </w:rPr>
        <w:t>6 环境影响评述</w:t>
      </w:r>
      <w:bookmarkEnd w:id="380"/>
      <w:bookmarkEnd w:id="381"/>
      <w:bookmarkEnd w:id="382"/>
      <w:bookmarkEnd w:id="383"/>
    </w:p>
    <w:p>
      <w:pPr>
        <w:ind w:firstLine="560"/>
      </w:pPr>
      <w:r>
        <w:rPr>
          <w:rFonts w:hint="eastAsia"/>
        </w:rPr>
        <w:t>针对采矿工艺污染物进行分析，采取有效的治理措施。矿山采用露天开采，对自然环境破坏较小。生活污水经处理达标后排放。采矿挖土产生的粉尘均采取了有效的除尘、通风措施。</w:t>
      </w:r>
    </w:p>
    <w:p>
      <w:pPr>
        <w:ind w:firstLine="560"/>
        <w:sectPr>
          <w:pgSz w:w="11906" w:h="16838"/>
          <w:pgMar w:top="1440" w:right="1800" w:bottom="1440" w:left="1800" w:header="851" w:footer="992" w:gutter="0"/>
          <w:cols w:space="720" w:num="1"/>
          <w:docGrid w:type="lines" w:linePitch="312" w:charSpace="0"/>
        </w:sectPr>
      </w:pPr>
      <w:r>
        <w:rPr>
          <w:rFonts w:hint="eastAsia"/>
        </w:rPr>
        <w:t>噪声采取了减振防噪及个体防护措施。针对基建和生产中的水土流失因素采取了防治措施，安排了复垦工作。企业应当成立环保领导小组，并设置环保办公室。因此，项目在基建和生产过程中不会对生态环境造成明显危害。</w:t>
      </w:r>
    </w:p>
    <w:p>
      <w:pPr>
        <w:pStyle w:val="3"/>
        <w:spacing w:before="312"/>
        <w:ind w:firstLine="602"/>
      </w:pPr>
      <w:bookmarkStart w:id="384" w:name="_Toc71621607"/>
      <w:bookmarkStart w:id="385" w:name="_Toc147563695"/>
      <w:bookmarkStart w:id="386" w:name="_Toc70589782"/>
      <w:bookmarkStart w:id="387" w:name="_Toc24563"/>
      <w:r>
        <w:rPr>
          <w:rFonts w:hint="eastAsia"/>
        </w:rPr>
        <w:t>10  投资估算及技术经济评价</w:t>
      </w:r>
      <w:bookmarkEnd w:id="384"/>
      <w:bookmarkEnd w:id="385"/>
      <w:bookmarkEnd w:id="386"/>
      <w:bookmarkEnd w:id="387"/>
    </w:p>
    <w:p>
      <w:pPr>
        <w:pStyle w:val="4"/>
      </w:pPr>
      <w:bookmarkStart w:id="388" w:name="_Toc214407034"/>
      <w:bookmarkStart w:id="389" w:name="_Toc502783478"/>
      <w:bookmarkStart w:id="390" w:name="_Toc71621608"/>
      <w:bookmarkStart w:id="391" w:name="_Toc13052"/>
      <w:bookmarkStart w:id="392" w:name="_Toc511226437"/>
      <w:bookmarkStart w:id="393" w:name="_Toc70589783"/>
      <w:bookmarkStart w:id="394" w:name="_Toc147563696"/>
      <w:r>
        <w:rPr>
          <w:rFonts w:hint="eastAsia"/>
        </w:rPr>
        <w:t>10.1生产规模及产品销售</w:t>
      </w:r>
      <w:bookmarkEnd w:id="388"/>
      <w:bookmarkEnd w:id="389"/>
      <w:bookmarkEnd w:id="390"/>
      <w:bookmarkEnd w:id="391"/>
      <w:bookmarkEnd w:id="392"/>
      <w:bookmarkEnd w:id="393"/>
      <w:bookmarkEnd w:id="394"/>
    </w:p>
    <w:p>
      <w:pPr>
        <w:pStyle w:val="5"/>
        <w:ind w:firstLine="562"/>
      </w:pPr>
      <w:bookmarkStart w:id="395" w:name="_Toc395519217"/>
      <w:bookmarkStart w:id="396" w:name="_Toc70589784"/>
      <w:bookmarkStart w:id="397" w:name="_Toc502783479"/>
      <w:bookmarkStart w:id="398" w:name="_Toc214407035"/>
      <w:bookmarkStart w:id="399" w:name="_Toc211070121"/>
      <w:r>
        <w:rPr>
          <w:rFonts w:hint="eastAsia"/>
        </w:rPr>
        <w:t>10.1.1生产规模</w:t>
      </w:r>
      <w:bookmarkEnd w:id="395"/>
      <w:bookmarkEnd w:id="396"/>
      <w:bookmarkEnd w:id="397"/>
      <w:bookmarkEnd w:id="398"/>
    </w:p>
    <w:bookmarkEnd w:id="399"/>
    <w:p>
      <w:pPr>
        <w:ind w:firstLine="560"/>
      </w:pPr>
      <w:bookmarkStart w:id="400" w:name="_Toc213683101"/>
      <w:bookmarkStart w:id="401" w:name="_Toc211070123"/>
      <w:bookmarkStart w:id="402" w:name="_Toc214407036"/>
      <w:r>
        <w:rPr>
          <w:rFonts w:hint="eastAsia"/>
        </w:rPr>
        <w:t>该矿生产规模为日采建筑用砂矿667m</w:t>
      </w:r>
      <w:r>
        <w:rPr>
          <w:rFonts w:hint="eastAsia"/>
          <w:vertAlign w:val="superscript"/>
        </w:rPr>
        <w:t>3</w:t>
      </w:r>
      <w:r>
        <w:rPr>
          <w:rFonts w:hint="eastAsia"/>
        </w:rPr>
        <w:t>，年采建筑用砂矿20</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pPr>
        <w:pStyle w:val="5"/>
        <w:ind w:firstLine="562"/>
      </w:pPr>
      <w:bookmarkStart w:id="403" w:name="_Toc502783480"/>
      <w:bookmarkStart w:id="404" w:name="_Toc395519218"/>
      <w:bookmarkStart w:id="405" w:name="_Toc70589785"/>
      <w:r>
        <w:rPr>
          <w:rFonts w:hint="eastAsia"/>
        </w:rPr>
        <w:t>10.1.2 产品方案</w:t>
      </w:r>
      <w:bookmarkEnd w:id="400"/>
      <w:bookmarkEnd w:id="401"/>
      <w:bookmarkEnd w:id="402"/>
      <w:bookmarkEnd w:id="403"/>
      <w:bookmarkEnd w:id="404"/>
      <w:bookmarkEnd w:id="405"/>
    </w:p>
    <w:p>
      <w:pPr>
        <w:ind w:firstLine="560"/>
      </w:pPr>
      <w:r>
        <w:rPr>
          <w:rFonts w:hint="eastAsia"/>
        </w:rPr>
        <w:t>项目的产品方案为：建筑用砂矿。</w:t>
      </w:r>
    </w:p>
    <w:p>
      <w:pPr>
        <w:pStyle w:val="5"/>
        <w:ind w:firstLine="562"/>
      </w:pPr>
      <w:bookmarkStart w:id="406" w:name="_Toc211070124"/>
      <w:bookmarkStart w:id="407" w:name="_Toc502783481"/>
      <w:bookmarkStart w:id="408" w:name="_Toc70589786"/>
      <w:bookmarkStart w:id="409" w:name="_Toc395519219"/>
      <w:bookmarkStart w:id="410" w:name="_Toc213683102"/>
      <w:bookmarkStart w:id="411" w:name="_Toc214407037"/>
      <w:r>
        <w:rPr>
          <w:rFonts w:hint="eastAsia"/>
        </w:rPr>
        <w:t>10.1.3 产品销售</w:t>
      </w:r>
      <w:bookmarkEnd w:id="406"/>
      <w:bookmarkEnd w:id="407"/>
      <w:bookmarkEnd w:id="408"/>
      <w:bookmarkEnd w:id="409"/>
      <w:bookmarkEnd w:id="410"/>
      <w:bookmarkEnd w:id="411"/>
    </w:p>
    <w:p>
      <w:pPr>
        <w:ind w:firstLine="560"/>
      </w:pPr>
      <w:bookmarkStart w:id="412" w:name="_Toc213683103"/>
      <w:bookmarkStart w:id="413" w:name="_Toc214407038"/>
      <w:bookmarkStart w:id="414" w:name="_Toc211070125"/>
      <w:r>
        <w:rPr>
          <w:rFonts w:hint="eastAsia"/>
        </w:rPr>
        <w:t>项目每年生产的建筑用砂矿主要经过筛分精选后销售。</w:t>
      </w:r>
    </w:p>
    <w:p>
      <w:pPr>
        <w:pStyle w:val="5"/>
        <w:ind w:firstLine="562"/>
      </w:pPr>
      <w:bookmarkStart w:id="415" w:name="_Toc502783482"/>
      <w:bookmarkStart w:id="416" w:name="_Toc395519220"/>
      <w:bookmarkStart w:id="417" w:name="_Toc70589787"/>
      <w:r>
        <w:rPr>
          <w:rFonts w:hint="eastAsia"/>
        </w:rPr>
        <w:t>10.1.4 产品销售价格</w:t>
      </w:r>
      <w:bookmarkEnd w:id="412"/>
      <w:bookmarkEnd w:id="413"/>
      <w:bookmarkEnd w:id="414"/>
      <w:bookmarkEnd w:id="415"/>
      <w:bookmarkEnd w:id="416"/>
      <w:bookmarkEnd w:id="417"/>
    </w:p>
    <w:p>
      <w:pPr>
        <w:ind w:firstLine="560"/>
      </w:pPr>
      <w:bookmarkStart w:id="418" w:name="_Toc213683104"/>
      <w:bookmarkStart w:id="419" w:name="_Toc211070126"/>
      <w:bookmarkStart w:id="420" w:name="_Toc214407039"/>
      <w:r>
        <w:rPr>
          <w:rFonts w:hint="eastAsia"/>
        </w:rPr>
        <w:t>目前建筑用砂矿在矿点经简单筛分后才进行销售，售价约</w:t>
      </w:r>
      <w:r>
        <w:t>50</w:t>
      </w:r>
      <w:r>
        <w:rPr>
          <w:rFonts w:hint="eastAsia"/>
        </w:rPr>
        <w:t>元/m</w:t>
      </w:r>
      <w:r>
        <w:rPr>
          <w:rFonts w:hint="eastAsia"/>
          <w:vertAlign w:val="superscript"/>
        </w:rPr>
        <w:t>3</w:t>
      </w:r>
      <w:r>
        <w:rPr>
          <w:rFonts w:hint="eastAsia"/>
        </w:rPr>
        <w:t>左右，本矿开采成本约</w:t>
      </w:r>
      <w:r>
        <w:t>30</w:t>
      </w:r>
      <w:r>
        <w:rPr>
          <w:rFonts w:hint="eastAsia"/>
        </w:rPr>
        <w:t>元/m</w:t>
      </w:r>
      <w:r>
        <w:rPr>
          <w:rFonts w:hint="eastAsia"/>
          <w:vertAlign w:val="superscript"/>
        </w:rPr>
        <w:t>3</w:t>
      </w:r>
      <w:r>
        <w:rPr>
          <w:rFonts w:hint="eastAsia"/>
        </w:rPr>
        <w:t>。</w:t>
      </w:r>
    </w:p>
    <w:p>
      <w:pPr>
        <w:pStyle w:val="4"/>
      </w:pPr>
      <w:bookmarkStart w:id="421" w:name="_Toc71621609"/>
      <w:bookmarkStart w:id="422" w:name="_Toc511226438"/>
      <w:bookmarkStart w:id="423" w:name="_Toc70589788"/>
      <w:bookmarkStart w:id="424" w:name="_Toc147563697"/>
      <w:bookmarkStart w:id="425" w:name="_Toc4511"/>
      <w:bookmarkStart w:id="426" w:name="_Toc502783483"/>
      <w:r>
        <w:rPr>
          <w:rFonts w:hint="eastAsia"/>
        </w:rPr>
        <w:t>10.2 劳动组织及定员</w:t>
      </w:r>
      <w:bookmarkEnd w:id="418"/>
      <w:bookmarkEnd w:id="419"/>
      <w:bookmarkEnd w:id="420"/>
      <w:bookmarkEnd w:id="421"/>
      <w:bookmarkEnd w:id="422"/>
      <w:bookmarkEnd w:id="423"/>
      <w:bookmarkEnd w:id="424"/>
      <w:bookmarkEnd w:id="425"/>
      <w:bookmarkEnd w:id="426"/>
    </w:p>
    <w:p>
      <w:pPr>
        <w:pStyle w:val="5"/>
        <w:ind w:firstLine="562"/>
      </w:pPr>
      <w:bookmarkStart w:id="427" w:name="_Toc70589789"/>
      <w:bookmarkStart w:id="428" w:name="_Toc502783484"/>
      <w:bookmarkStart w:id="429" w:name="_Toc214407040"/>
      <w:bookmarkStart w:id="430" w:name="_Toc211070127"/>
      <w:bookmarkStart w:id="431" w:name="_Toc213683105"/>
      <w:bookmarkStart w:id="432" w:name="_Toc395519222"/>
      <w:r>
        <w:rPr>
          <w:rFonts w:hint="eastAsia"/>
        </w:rPr>
        <w:t>10.2.1 组织机构及工作制度</w:t>
      </w:r>
      <w:bookmarkEnd w:id="427"/>
      <w:bookmarkEnd w:id="428"/>
      <w:bookmarkEnd w:id="429"/>
      <w:bookmarkEnd w:id="430"/>
      <w:bookmarkEnd w:id="431"/>
      <w:bookmarkEnd w:id="432"/>
    </w:p>
    <w:p>
      <w:pPr>
        <w:ind w:firstLine="560"/>
      </w:pPr>
      <w:r>
        <w:rPr>
          <w:rFonts w:hint="eastAsia"/>
        </w:rPr>
        <w:t>该矿按矿山采场一级设置管理机构，年工作日300天，每天一班生产，每班工作8小时。</w:t>
      </w:r>
    </w:p>
    <w:p>
      <w:pPr>
        <w:pStyle w:val="5"/>
        <w:ind w:firstLine="562"/>
      </w:pPr>
      <w:bookmarkStart w:id="433" w:name="_Toc70589790"/>
      <w:bookmarkStart w:id="434" w:name="_Toc502783485"/>
      <w:bookmarkStart w:id="435" w:name="_Toc213683106"/>
      <w:bookmarkStart w:id="436" w:name="_Toc211070128"/>
      <w:bookmarkStart w:id="437" w:name="_Toc214407041"/>
      <w:bookmarkStart w:id="438" w:name="_Toc395519223"/>
      <w:r>
        <w:rPr>
          <w:rFonts w:hint="eastAsia"/>
        </w:rPr>
        <w:t>10.2.2 定岗人数</w:t>
      </w:r>
      <w:bookmarkEnd w:id="433"/>
      <w:bookmarkEnd w:id="434"/>
      <w:bookmarkEnd w:id="435"/>
      <w:bookmarkEnd w:id="436"/>
      <w:bookmarkEnd w:id="437"/>
      <w:bookmarkEnd w:id="438"/>
    </w:p>
    <w:p>
      <w:pPr>
        <w:ind w:firstLine="560"/>
      </w:pPr>
      <w:r>
        <w:rPr>
          <w:rFonts w:hint="eastAsia"/>
        </w:rPr>
        <w:t>根据矿山开采需要，该矿山共需要20人，分别是：挖掘机驾驶员3人；装载机驾驶员</w:t>
      </w:r>
      <w:r>
        <w:t>3</w:t>
      </w:r>
      <w:r>
        <w:rPr>
          <w:rFonts w:hint="eastAsia"/>
        </w:rPr>
        <w:t>人；自卸汽车驾驶员4人；普工</w:t>
      </w:r>
      <w:r>
        <w:t>5</w:t>
      </w:r>
      <w:r>
        <w:rPr>
          <w:rFonts w:hint="eastAsia"/>
        </w:rPr>
        <w:t>人；管理及安全专职人员5人。见表10-1。</w:t>
      </w:r>
    </w:p>
    <w:p>
      <w:pPr>
        <w:pStyle w:val="2"/>
      </w:pPr>
    </w:p>
    <w:p>
      <w:pPr>
        <w:pStyle w:val="2"/>
      </w:pPr>
    </w:p>
    <w:p>
      <w:pPr>
        <w:pStyle w:val="2"/>
      </w:pPr>
    </w:p>
    <w:p>
      <w:pPr>
        <w:pStyle w:val="2"/>
        <w:jc w:val="both"/>
      </w:pP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912"/>
        <w:gridCol w:w="3532"/>
        <w:gridCol w:w="1636"/>
        <w:gridCol w:w="2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00" w:hRule="atLeast"/>
          <w:jc w:val="center"/>
        </w:trPr>
        <w:tc>
          <w:tcPr>
            <w:tcW w:w="5000" w:type="pct"/>
            <w:gridSpan w:val="4"/>
            <w:tcBorders>
              <w:top w:val="nil"/>
              <w:left w:val="nil"/>
              <w:right w:val="nil"/>
            </w:tcBorders>
            <w:shd w:val="clear" w:color="auto" w:fill="FFFFFF"/>
            <w:vAlign w:val="center"/>
          </w:tcPr>
          <w:p>
            <w:pPr>
              <w:pStyle w:val="19"/>
              <w:spacing w:line="280" w:lineRule="exact"/>
              <w:ind w:firstLine="0" w:firstLineChars="0"/>
              <w:jc w:val="center"/>
              <w:rPr>
                <w:rFonts w:eastAsia="黑体" w:cs="宋体"/>
                <w:b/>
                <w:sz w:val="24"/>
              </w:rPr>
            </w:pPr>
            <w:r>
              <w:rPr>
                <w:rFonts w:hint="eastAsia" w:eastAsia="黑体" w:cs="宋体"/>
                <w:b/>
                <w:sz w:val="24"/>
              </w:rPr>
              <w:t xml:space="preserve">甘肃省临泽县梨西4号电站东南侧建筑用砂矿区建筑用砂矿工作人员一览表       </w:t>
            </w:r>
            <w:r>
              <w:rPr>
                <w:rFonts w:eastAsia="黑体" w:cs="宋体"/>
                <w:b/>
                <w:sz w:val="24"/>
              </w:rPr>
              <w:t xml:space="preserve">       </w:t>
            </w:r>
            <w:r>
              <w:rPr>
                <w:rFonts w:hint="eastAsia" w:eastAsia="黑体" w:cs="宋体"/>
                <w:b/>
                <w:sz w:val="24"/>
              </w:rPr>
              <w:t>表10</w:t>
            </w:r>
            <w:r>
              <w:rPr>
                <w:rFonts w:eastAsia="黑体" w:cs="宋体"/>
                <w:b/>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exact"/>
          <w:jc w:val="center"/>
        </w:trPr>
        <w:tc>
          <w:tcPr>
            <w:tcW w:w="549"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序号</w:t>
            </w:r>
          </w:p>
        </w:tc>
        <w:tc>
          <w:tcPr>
            <w:tcW w:w="2126"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工程名称</w:t>
            </w:r>
          </w:p>
        </w:tc>
        <w:tc>
          <w:tcPr>
            <w:tcW w:w="985"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人数(人)</w:t>
            </w:r>
          </w:p>
        </w:tc>
        <w:tc>
          <w:tcPr>
            <w:tcW w:w="1340"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exact"/>
          <w:jc w:val="center"/>
        </w:trPr>
        <w:tc>
          <w:tcPr>
            <w:tcW w:w="549"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1</w:t>
            </w:r>
          </w:p>
        </w:tc>
        <w:tc>
          <w:tcPr>
            <w:tcW w:w="2126"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挖掘机驾驶员</w:t>
            </w:r>
          </w:p>
        </w:tc>
        <w:tc>
          <w:tcPr>
            <w:tcW w:w="985"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3</w:t>
            </w:r>
          </w:p>
        </w:tc>
        <w:tc>
          <w:tcPr>
            <w:tcW w:w="1340" w:type="pct"/>
            <w:shd w:val="clear" w:color="auto" w:fill="FFFFFF"/>
            <w:vAlign w:val="center"/>
          </w:tcPr>
          <w:p>
            <w:pPr>
              <w:pStyle w:val="19"/>
              <w:spacing w:line="280" w:lineRule="exact"/>
              <w:ind w:firstLine="420"/>
              <w:jc w:val="center"/>
              <w:rPr>
                <w:rFonts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exact"/>
          <w:jc w:val="center"/>
        </w:trPr>
        <w:tc>
          <w:tcPr>
            <w:tcW w:w="549"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2</w:t>
            </w:r>
          </w:p>
        </w:tc>
        <w:tc>
          <w:tcPr>
            <w:tcW w:w="2126"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装载机驾驶员</w:t>
            </w:r>
          </w:p>
        </w:tc>
        <w:tc>
          <w:tcPr>
            <w:tcW w:w="985" w:type="pct"/>
            <w:shd w:val="clear" w:color="auto" w:fill="FFFFFF"/>
            <w:vAlign w:val="center"/>
          </w:tcPr>
          <w:p>
            <w:pPr>
              <w:pStyle w:val="19"/>
              <w:spacing w:line="280" w:lineRule="exact"/>
              <w:ind w:firstLine="0" w:firstLineChars="0"/>
              <w:jc w:val="center"/>
              <w:rPr>
                <w:rFonts w:cs="宋体"/>
                <w:sz w:val="21"/>
                <w:szCs w:val="21"/>
              </w:rPr>
            </w:pPr>
            <w:r>
              <w:rPr>
                <w:rFonts w:cs="宋体"/>
                <w:sz w:val="21"/>
                <w:szCs w:val="21"/>
              </w:rPr>
              <w:t>3</w:t>
            </w:r>
          </w:p>
        </w:tc>
        <w:tc>
          <w:tcPr>
            <w:tcW w:w="1340" w:type="pct"/>
            <w:shd w:val="clear" w:color="auto" w:fill="FFFFFF"/>
            <w:vAlign w:val="center"/>
          </w:tcPr>
          <w:p>
            <w:pPr>
              <w:spacing w:line="280" w:lineRule="exact"/>
              <w:ind w:firstLine="420"/>
              <w:jc w:val="center"/>
              <w:rPr>
                <w:rFonts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exact"/>
          <w:jc w:val="center"/>
        </w:trPr>
        <w:tc>
          <w:tcPr>
            <w:tcW w:w="549"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3</w:t>
            </w:r>
          </w:p>
        </w:tc>
        <w:tc>
          <w:tcPr>
            <w:tcW w:w="2126"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自卸汽车驾驶员</w:t>
            </w:r>
          </w:p>
        </w:tc>
        <w:tc>
          <w:tcPr>
            <w:tcW w:w="985"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4</w:t>
            </w:r>
          </w:p>
        </w:tc>
        <w:tc>
          <w:tcPr>
            <w:tcW w:w="1340" w:type="pct"/>
            <w:shd w:val="clear" w:color="auto" w:fill="FFFFFF"/>
            <w:vAlign w:val="center"/>
          </w:tcPr>
          <w:p>
            <w:pPr>
              <w:spacing w:line="280" w:lineRule="exact"/>
              <w:ind w:firstLine="420"/>
              <w:jc w:val="center"/>
              <w:rPr>
                <w:rFonts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exact"/>
          <w:jc w:val="center"/>
        </w:trPr>
        <w:tc>
          <w:tcPr>
            <w:tcW w:w="549"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4</w:t>
            </w:r>
          </w:p>
        </w:tc>
        <w:tc>
          <w:tcPr>
            <w:tcW w:w="2126"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普工</w:t>
            </w:r>
          </w:p>
        </w:tc>
        <w:tc>
          <w:tcPr>
            <w:tcW w:w="985" w:type="pct"/>
            <w:shd w:val="clear" w:color="auto" w:fill="FFFFFF"/>
            <w:vAlign w:val="center"/>
          </w:tcPr>
          <w:p>
            <w:pPr>
              <w:pStyle w:val="19"/>
              <w:spacing w:line="280" w:lineRule="exact"/>
              <w:ind w:firstLine="0" w:firstLineChars="0"/>
              <w:jc w:val="center"/>
              <w:rPr>
                <w:rFonts w:cs="宋体"/>
                <w:sz w:val="21"/>
                <w:szCs w:val="21"/>
              </w:rPr>
            </w:pPr>
            <w:r>
              <w:rPr>
                <w:rFonts w:cs="宋体"/>
                <w:sz w:val="21"/>
                <w:szCs w:val="21"/>
              </w:rPr>
              <w:t>5</w:t>
            </w:r>
          </w:p>
        </w:tc>
        <w:tc>
          <w:tcPr>
            <w:tcW w:w="1340" w:type="pct"/>
            <w:shd w:val="clear" w:color="auto" w:fill="FFFFFF"/>
            <w:vAlign w:val="center"/>
          </w:tcPr>
          <w:p>
            <w:pPr>
              <w:spacing w:line="280" w:lineRule="exact"/>
              <w:ind w:firstLine="420"/>
              <w:jc w:val="center"/>
              <w:rPr>
                <w:rFonts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exact"/>
          <w:jc w:val="center"/>
        </w:trPr>
        <w:tc>
          <w:tcPr>
            <w:tcW w:w="549"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5</w:t>
            </w:r>
          </w:p>
        </w:tc>
        <w:tc>
          <w:tcPr>
            <w:tcW w:w="2126"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管理及专职安全员</w:t>
            </w:r>
          </w:p>
        </w:tc>
        <w:tc>
          <w:tcPr>
            <w:tcW w:w="985"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5</w:t>
            </w:r>
          </w:p>
        </w:tc>
        <w:tc>
          <w:tcPr>
            <w:tcW w:w="1340" w:type="pct"/>
            <w:shd w:val="clear" w:color="auto" w:fill="FFFFFF"/>
            <w:vAlign w:val="center"/>
          </w:tcPr>
          <w:p>
            <w:pPr>
              <w:spacing w:line="280" w:lineRule="exact"/>
              <w:ind w:firstLine="420"/>
              <w:jc w:val="center"/>
              <w:rPr>
                <w:rFonts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exact"/>
          <w:jc w:val="center"/>
        </w:trPr>
        <w:tc>
          <w:tcPr>
            <w:tcW w:w="549"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合计</w:t>
            </w:r>
          </w:p>
        </w:tc>
        <w:tc>
          <w:tcPr>
            <w:tcW w:w="2126" w:type="pct"/>
            <w:shd w:val="clear" w:color="auto" w:fill="FFFFFF"/>
            <w:vAlign w:val="center"/>
          </w:tcPr>
          <w:p>
            <w:pPr>
              <w:pStyle w:val="19"/>
              <w:spacing w:line="280" w:lineRule="exact"/>
              <w:ind w:firstLine="0" w:firstLineChars="0"/>
              <w:jc w:val="center"/>
              <w:rPr>
                <w:rFonts w:cs="宋体"/>
                <w:sz w:val="21"/>
                <w:szCs w:val="21"/>
              </w:rPr>
            </w:pPr>
          </w:p>
        </w:tc>
        <w:tc>
          <w:tcPr>
            <w:tcW w:w="985" w:type="pct"/>
            <w:shd w:val="clear" w:color="auto" w:fill="FFFFFF"/>
            <w:vAlign w:val="center"/>
          </w:tcPr>
          <w:p>
            <w:pPr>
              <w:pStyle w:val="19"/>
              <w:spacing w:line="280" w:lineRule="exact"/>
              <w:ind w:firstLine="0" w:firstLineChars="0"/>
              <w:jc w:val="center"/>
              <w:rPr>
                <w:rFonts w:cs="宋体"/>
                <w:sz w:val="21"/>
                <w:szCs w:val="21"/>
              </w:rPr>
            </w:pPr>
            <w:r>
              <w:rPr>
                <w:rFonts w:hint="eastAsia" w:cs="宋体"/>
                <w:sz w:val="21"/>
                <w:szCs w:val="21"/>
              </w:rPr>
              <w:t>20</w:t>
            </w:r>
          </w:p>
        </w:tc>
        <w:tc>
          <w:tcPr>
            <w:tcW w:w="1340" w:type="pct"/>
            <w:shd w:val="clear" w:color="auto" w:fill="FFFFFF"/>
            <w:vAlign w:val="center"/>
          </w:tcPr>
          <w:p>
            <w:pPr>
              <w:spacing w:line="280" w:lineRule="exact"/>
              <w:ind w:firstLine="420"/>
              <w:jc w:val="center"/>
              <w:rPr>
                <w:rFonts w:cs="宋体"/>
                <w:sz w:val="21"/>
                <w:szCs w:val="21"/>
              </w:rPr>
            </w:pPr>
          </w:p>
        </w:tc>
      </w:tr>
    </w:tbl>
    <w:p>
      <w:pPr>
        <w:pStyle w:val="4"/>
      </w:pPr>
      <w:bookmarkStart w:id="439" w:name="_Toc502783486"/>
      <w:bookmarkStart w:id="440" w:name="_Toc511226439"/>
      <w:bookmarkStart w:id="441" w:name="_Toc211070129"/>
      <w:bookmarkStart w:id="442" w:name="_Toc214407042"/>
      <w:bookmarkStart w:id="443" w:name="_Toc147563698"/>
      <w:bookmarkStart w:id="444" w:name="_Toc2158"/>
      <w:bookmarkStart w:id="445" w:name="_Toc70589791"/>
      <w:bookmarkStart w:id="446" w:name="_Toc213683107"/>
      <w:bookmarkStart w:id="447" w:name="_Toc71621610"/>
      <w:r>
        <w:rPr>
          <w:rFonts w:hint="eastAsia"/>
        </w:rPr>
        <w:t>10.3 建设资金及资金来源</w:t>
      </w:r>
      <w:bookmarkEnd w:id="439"/>
      <w:bookmarkEnd w:id="440"/>
      <w:bookmarkEnd w:id="441"/>
      <w:bookmarkEnd w:id="442"/>
      <w:bookmarkEnd w:id="443"/>
      <w:bookmarkEnd w:id="444"/>
      <w:bookmarkEnd w:id="445"/>
      <w:bookmarkEnd w:id="446"/>
      <w:bookmarkEnd w:id="447"/>
      <w:r>
        <w:rPr>
          <w:rFonts w:hint="eastAsia"/>
        </w:rPr>
        <w:tab/>
      </w:r>
    </w:p>
    <w:p>
      <w:pPr>
        <w:pStyle w:val="20"/>
        <w:spacing w:line="360" w:lineRule="auto"/>
        <w:rPr>
          <w:rFonts w:cs="宋体"/>
          <w:szCs w:val="24"/>
        </w:rPr>
      </w:pPr>
      <w:r>
        <w:rPr>
          <w:rFonts w:hint="eastAsia" w:cs="宋体"/>
          <w:szCs w:val="24"/>
        </w:rPr>
        <w:t>该矿的投资构成主要包括：矿山开采的剥采工程、采矿设备购置、运输、供电与电信、辅助设施以及不可预见费，总投资</w:t>
      </w:r>
      <w:r>
        <w:rPr>
          <w:rFonts w:cs="宋体"/>
          <w:szCs w:val="24"/>
        </w:rPr>
        <w:t>928.89</w:t>
      </w:r>
      <w:r>
        <w:rPr>
          <w:rFonts w:hint="eastAsia" w:cs="宋体"/>
          <w:szCs w:val="24"/>
        </w:rPr>
        <w:t>万元(含50万元流动资金)，资金主要靠企业自筹解决。具体见项目工程投资估算表</w:t>
      </w:r>
      <w:r>
        <w:rPr>
          <w:rFonts w:cs="宋体"/>
          <w:szCs w:val="24"/>
        </w:rPr>
        <w:t>10</w:t>
      </w:r>
      <w:r>
        <w:rPr>
          <w:rFonts w:hint="eastAsia" w:cs="宋体"/>
          <w:szCs w:val="24"/>
        </w:rPr>
        <w:t>-2。</w:t>
      </w:r>
    </w:p>
    <w:tbl>
      <w:tblPr>
        <w:tblStyle w:val="13"/>
        <w:tblW w:w="8546"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36"/>
        <w:gridCol w:w="1888"/>
        <w:gridCol w:w="2076"/>
        <w:gridCol w:w="709"/>
        <w:gridCol w:w="808"/>
        <w:gridCol w:w="1035"/>
        <w:gridCol w:w="139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8546" w:type="dxa"/>
            <w:gridSpan w:val="7"/>
            <w:tcBorders>
              <w:top w:val="nil"/>
              <w:left w:val="nil"/>
              <w:bottom w:val="single" w:color="000000" w:sz="12" w:space="0"/>
              <w:right w:val="nil"/>
            </w:tcBorders>
            <w:vAlign w:val="center"/>
          </w:tcPr>
          <w:p>
            <w:pPr>
              <w:pStyle w:val="26"/>
              <w:spacing w:line="240" w:lineRule="exact"/>
              <w:rPr>
                <w:rFonts w:ascii="黑体" w:hAnsi="黑体" w:eastAsia="黑体" w:cs="宋体"/>
                <w:b/>
                <w:bCs/>
              </w:rPr>
            </w:pPr>
            <w:r>
              <w:rPr>
                <w:rFonts w:hint="eastAsia" w:ascii="黑体" w:hAnsi="黑体" w:eastAsia="黑体" w:cs="宋体"/>
                <w:b/>
                <w:bCs/>
              </w:rPr>
              <w:t>表</w:t>
            </w:r>
            <w:r>
              <w:rPr>
                <w:rFonts w:ascii="黑体" w:hAnsi="黑体" w:eastAsia="黑体" w:cs="宋体"/>
                <w:b/>
                <w:bCs/>
              </w:rPr>
              <w:t>10</w:t>
            </w:r>
            <w:r>
              <w:rPr>
                <w:rFonts w:hint="eastAsia" w:ascii="黑体" w:hAnsi="黑体" w:eastAsia="黑体" w:cs="宋体"/>
                <w:b/>
                <w:bCs/>
              </w:rPr>
              <w:t>-2：项目工程投资估算表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tblHeader/>
          <w:jc w:val="center"/>
        </w:trPr>
        <w:tc>
          <w:tcPr>
            <w:tcW w:w="636" w:type="dxa"/>
            <w:tcBorders>
              <w:top w:val="single" w:color="000000" w:sz="12" w:space="0"/>
            </w:tcBorders>
            <w:vAlign w:val="center"/>
          </w:tcPr>
          <w:p>
            <w:pPr>
              <w:pStyle w:val="27"/>
              <w:spacing w:line="240" w:lineRule="exact"/>
              <w:rPr>
                <w:rFonts w:ascii="宋体" w:hAnsi="宋体" w:eastAsia="宋体" w:cs="宋体"/>
              </w:rPr>
            </w:pPr>
            <w:r>
              <w:rPr>
                <w:rFonts w:hint="eastAsia" w:ascii="宋体" w:hAnsi="宋体" w:eastAsia="宋体" w:cs="宋体"/>
              </w:rPr>
              <w:t>序号</w:t>
            </w:r>
          </w:p>
        </w:tc>
        <w:tc>
          <w:tcPr>
            <w:tcW w:w="1888" w:type="dxa"/>
            <w:tcBorders>
              <w:top w:val="single" w:color="000000" w:sz="12" w:space="0"/>
            </w:tcBorders>
            <w:vAlign w:val="center"/>
          </w:tcPr>
          <w:p>
            <w:pPr>
              <w:pStyle w:val="27"/>
              <w:spacing w:line="240" w:lineRule="exact"/>
              <w:rPr>
                <w:rFonts w:ascii="宋体" w:hAnsi="宋体" w:eastAsia="宋体" w:cs="宋体"/>
              </w:rPr>
            </w:pPr>
            <w:r>
              <w:rPr>
                <w:rFonts w:hint="eastAsia" w:ascii="宋体" w:hAnsi="宋体" w:eastAsia="宋体" w:cs="宋体"/>
              </w:rPr>
              <w:t>工程项目名称</w:t>
            </w:r>
          </w:p>
        </w:tc>
        <w:tc>
          <w:tcPr>
            <w:tcW w:w="2076" w:type="dxa"/>
            <w:tcBorders>
              <w:top w:val="single" w:color="000000" w:sz="12" w:space="0"/>
            </w:tcBorders>
            <w:vAlign w:val="center"/>
          </w:tcPr>
          <w:p>
            <w:pPr>
              <w:pStyle w:val="27"/>
              <w:spacing w:line="240" w:lineRule="exact"/>
              <w:rPr>
                <w:rFonts w:ascii="宋体" w:hAnsi="宋体" w:eastAsia="宋体" w:cs="宋体"/>
              </w:rPr>
            </w:pPr>
            <w:r>
              <w:rPr>
                <w:rFonts w:hint="eastAsia" w:ascii="宋体" w:hAnsi="宋体" w:eastAsia="宋体" w:cs="宋体"/>
              </w:rPr>
              <w:t>技术规格</w:t>
            </w:r>
          </w:p>
        </w:tc>
        <w:tc>
          <w:tcPr>
            <w:tcW w:w="709" w:type="dxa"/>
            <w:tcBorders>
              <w:top w:val="single" w:color="000000" w:sz="12" w:space="0"/>
            </w:tcBorders>
            <w:vAlign w:val="center"/>
          </w:tcPr>
          <w:p>
            <w:pPr>
              <w:pStyle w:val="27"/>
              <w:spacing w:line="240" w:lineRule="exact"/>
              <w:rPr>
                <w:rFonts w:ascii="宋体" w:hAnsi="宋体" w:eastAsia="宋体" w:cs="宋体"/>
              </w:rPr>
            </w:pPr>
            <w:r>
              <w:rPr>
                <w:rFonts w:hint="eastAsia" w:ascii="宋体" w:hAnsi="宋体" w:eastAsia="宋体" w:cs="宋体"/>
              </w:rPr>
              <w:t>单位</w:t>
            </w:r>
          </w:p>
        </w:tc>
        <w:tc>
          <w:tcPr>
            <w:tcW w:w="808" w:type="dxa"/>
            <w:tcBorders>
              <w:top w:val="single" w:color="000000" w:sz="12" w:space="0"/>
            </w:tcBorders>
            <w:vAlign w:val="center"/>
          </w:tcPr>
          <w:p>
            <w:pPr>
              <w:pStyle w:val="27"/>
              <w:spacing w:line="240" w:lineRule="exact"/>
              <w:rPr>
                <w:rFonts w:ascii="宋体" w:hAnsi="宋体" w:eastAsia="宋体" w:cs="宋体"/>
              </w:rPr>
            </w:pPr>
            <w:r>
              <w:rPr>
                <w:rFonts w:hint="eastAsia" w:ascii="宋体" w:hAnsi="宋体" w:eastAsia="宋体" w:cs="宋体"/>
              </w:rPr>
              <w:t>数量</w:t>
            </w:r>
          </w:p>
        </w:tc>
        <w:tc>
          <w:tcPr>
            <w:tcW w:w="1035" w:type="dxa"/>
            <w:tcBorders>
              <w:top w:val="single" w:color="000000" w:sz="12" w:space="0"/>
            </w:tcBorders>
            <w:vAlign w:val="center"/>
          </w:tcPr>
          <w:p>
            <w:pPr>
              <w:pStyle w:val="27"/>
              <w:spacing w:line="240" w:lineRule="exact"/>
              <w:rPr>
                <w:rFonts w:ascii="宋体" w:hAnsi="宋体" w:eastAsia="宋体" w:cs="宋体"/>
              </w:rPr>
            </w:pPr>
            <w:r>
              <w:rPr>
                <w:rFonts w:hint="eastAsia" w:ascii="宋体" w:hAnsi="宋体" w:eastAsia="宋体" w:cs="宋体"/>
              </w:rPr>
              <w:t>单价（元）</w:t>
            </w:r>
          </w:p>
        </w:tc>
        <w:tc>
          <w:tcPr>
            <w:tcW w:w="1394" w:type="dxa"/>
            <w:tcBorders>
              <w:top w:val="single" w:color="000000" w:sz="12" w:space="0"/>
            </w:tcBorders>
            <w:vAlign w:val="center"/>
          </w:tcPr>
          <w:p>
            <w:pPr>
              <w:pStyle w:val="27"/>
              <w:spacing w:line="240" w:lineRule="exact"/>
              <w:rPr>
                <w:rFonts w:ascii="宋体" w:hAnsi="宋体" w:eastAsia="宋体" w:cs="宋体"/>
              </w:rPr>
            </w:pPr>
            <w:r>
              <w:rPr>
                <w:rFonts w:hint="eastAsia" w:ascii="宋体" w:hAnsi="宋体" w:eastAsia="宋体" w:cs="宋体"/>
              </w:rPr>
              <w:t>总额（万元）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一</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土建工程</w:t>
            </w:r>
          </w:p>
        </w:tc>
        <w:tc>
          <w:tcPr>
            <w:tcW w:w="2076" w:type="dxa"/>
            <w:vAlign w:val="center"/>
          </w:tcPr>
          <w:p>
            <w:pPr>
              <w:pStyle w:val="27"/>
              <w:spacing w:line="240" w:lineRule="exact"/>
              <w:rPr>
                <w:rFonts w:ascii="宋体" w:hAnsi="宋体" w:eastAsia="宋体" w:cs="宋体"/>
                <w:sz w:val="24"/>
                <w:szCs w:val="24"/>
              </w:rPr>
            </w:pPr>
          </w:p>
        </w:tc>
        <w:tc>
          <w:tcPr>
            <w:tcW w:w="709" w:type="dxa"/>
            <w:vAlign w:val="center"/>
          </w:tcPr>
          <w:p>
            <w:pPr>
              <w:pStyle w:val="27"/>
              <w:spacing w:line="240" w:lineRule="exact"/>
              <w:rPr>
                <w:rFonts w:ascii="宋体" w:hAnsi="宋体" w:eastAsia="宋体" w:cs="宋体"/>
                <w:sz w:val="24"/>
                <w:szCs w:val="24"/>
              </w:rPr>
            </w:pP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　</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　</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b/>
                <w:bCs/>
                <w:color w:val="000000"/>
                <w:sz w:val="20"/>
                <w:szCs w:val="20"/>
              </w:rPr>
              <w:t>5.64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1</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矿山剥离</w:t>
            </w:r>
          </w:p>
        </w:tc>
        <w:tc>
          <w:tcPr>
            <w:tcW w:w="2076" w:type="dxa"/>
            <w:vAlign w:val="center"/>
          </w:tcPr>
          <w:p>
            <w:pPr>
              <w:pStyle w:val="27"/>
              <w:spacing w:line="240" w:lineRule="exact"/>
              <w:rPr>
                <w:rFonts w:ascii="宋体" w:hAnsi="宋体" w:eastAsia="宋体" w:cs="宋体"/>
              </w:rPr>
            </w:pPr>
            <w:r>
              <w:rPr>
                <w:rFonts w:hint="eastAsia" w:ascii="宋体" w:hAnsi="宋体" w:eastAsia="宋体" w:cs="宋体"/>
              </w:rPr>
              <w:t>机械</w:t>
            </w:r>
          </w:p>
        </w:tc>
        <w:tc>
          <w:tcPr>
            <w:tcW w:w="709" w:type="dxa"/>
            <w:vAlign w:val="center"/>
          </w:tcPr>
          <w:p>
            <w:pPr>
              <w:pStyle w:val="27"/>
              <w:spacing w:line="240" w:lineRule="exact"/>
              <w:rPr>
                <w:rFonts w:ascii="宋体" w:hAnsi="宋体" w:eastAsia="宋体" w:cs="宋体"/>
              </w:rPr>
            </w:pPr>
            <w:r>
              <w:rPr>
                <w:rFonts w:hint="eastAsia" w:ascii="宋体" w:hAnsi="宋体" w:eastAsia="宋体" w:cs="宋体"/>
              </w:rPr>
              <w:t>万m</w:t>
            </w:r>
            <w:r>
              <w:rPr>
                <w:rFonts w:hint="eastAsia" w:ascii="宋体" w:hAnsi="宋体" w:eastAsia="宋体" w:cs="宋体"/>
                <w:vertAlign w:val="superscript"/>
              </w:rPr>
              <w:t>3</w:t>
            </w:r>
          </w:p>
        </w:tc>
        <w:tc>
          <w:tcPr>
            <w:tcW w:w="808" w:type="dxa"/>
            <w:vAlign w:val="center"/>
          </w:tcPr>
          <w:p>
            <w:pPr>
              <w:widowControl/>
              <w:spacing w:line="240" w:lineRule="exact"/>
              <w:ind w:firstLine="0" w:firstLineChars="0"/>
              <w:jc w:val="center"/>
              <w:textAlignment w:val="center"/>
              <w:rPr>
                <w:rFonts w:ascii="宋体" w:hAnsi="宋体" w:cs="宋体"/>
                <w:sz w:val="20"/>
              </w:rPr>
            </w:pPr>
            <w:r>
              <w:rPr>
                <w:color w:val="000000"/>
                <w:sz w:val="20"/>
                <w:szCs w:val="20"/>
              </w:rPr>
              <w:t>0</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2</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2</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运输道路</w:t>
            </w:r>
          </w:p>
        </w:tc>
        <w:tc>
          <w:tcPr>
            <w:tcW w:w="2076" w:type="dxa"/>
            <w:vAlign w:val="center"/>
          </w:tcPr>
          <w:p>
            <w:pPr>
              <w:pStyle w:val="27"/>
              <w:spacing w:line="240" w:lineRule="exact"/>
              <w:rPr>
                <w:rFonts w:ascii="宋体" w:hAnsi="宋体" w:eastAsia="宋体" w:cs="宋体"/>
              </w:rPr>
            </w:pPr>
            <w:r>
              <w:rPr>
                <w:rFonts w:hint="eastAsia" w:ascii="宋体" w:hAnsi="宋体" w:eastAsia="宋体" w:cs="宋体"/>
              </w:rPr>
              <w:t>B=6.5m，渣石面</w:t>
            </w:r>
          </w:p>
        </w:tc>
        <w:tc>
          <w:tcPr>
            <w:tcW w:w="709" w:type="dxa"/>
            <w:vAlign w:val="center"/>
          </w:tcPr>
          <w:p>
            <w:pPr>
              <w:pStyle w:val="27"/>
              <w:spacing w:line="240" w:lineRule="exact"/>
              <w:rPr>
                <w:rFonts w:ascii="宋体" w:hAnsi="宋体" w:eastAsia="宋体" w:cs="宋体"/>
              </w:rPr>
            </w:pPr>
            <w:r>
              <w:rPr>
                <w:rFonts w:hint="eastAsia" w:ascii="宋体" w:hAnsi="宋体" w:eastAsia="宋体" w:cs="宋体"/>
              </w:rPr>
              <w:t>m</w:t>
            </w:r>
          </w:p>
        </w:tc>
        <w:tc>
          <w:tcPr>
            <w:tcW w:w="808" w:type="dxa"/>
            <w:vAlign w:val="center"/>
          </w:tcPr>
          <w:p>
            <w:pPr>
              <w:widowControl/>
              <w:spacing w:line="240" w:lineRule="exact"/>
              <w:ind w:firstLine="0" w:firstLineChars="0"/>
              <w:jc w:val="center"/>
              <w:textAlignment w:val="center"/>
              <w:rPr>
                <w:rFonts w:ascii="宋体" w:hAnsi="宋体" w:cs="宋体"/>
                <w:sz w:val="20"/>
              </w:rPr>
            </w:pPr>
            <w:r>
              <w:rPr>
                <w:color w:val="000000"/>
                <w:sz w:val="20"/>
                <w:szCs w:val="20"/>
              </w:rPr>
              <w:t>730</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15</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1.10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3</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蓄水池</w:t>
            </w:r>
          </w:p>
        </w:tc>
        <w:tc>
          <w:tcPr>
            <w:tcW w:w="2076" w:type="dxa"/>
            <w:vAlign w:val="center"/>
          </w:tcPr>
          <w:p>
            <w:pPr>
              <w:pStyle w:val="27"/>
              <w:spacing w:line="240" w:lineRule="exact"/>
              <w:rPr>
                <w:rFonts w:ascii="宋体" w:hAnsi="宋体" w:eastAsia="宋体" w:cs="宋体"/>
              </w:rPr>
            </w:pPr>
            <w:r>
              <w:rPr>
                <w:rFonts w:hint="eastAsia" w:ascii="宋体" w:hAnsi="宋体" w:eastAsia="宋体" w:cs="宋体"/>
              </w:rPr>
              <w:t>钢混，防水处理</w:t>
            </w:r>
          </w:p>
        </w:tc>
        <w:tc>
          <w:tcPr>
            <w:tcW w:w="709" w:type="dxa"/>
            <w:vAlign w:val="center"/>
          </w:tcPr>
          <w:p>
            <w:pPr>
              <w:pStyle w:val="27"/>
              <w:spacing w:line="240" w:lineRule="exact"/>
              <w:rPr>
                <w:rFonts w:ascii="宋体" w:hAnsi="宋体" w:eastAsia="宋体" w:cs="宋体"/>
              </w:rPr>
            </w:pPr>
            <w:r>
              <w:rPr>
                <w:rFonts w:hint="eastAsia" w:ascii="宋体" w:hAnsi="宋体" w:eastAsia="宋体" w:cs="宋体"/>
              </w:rPr>
              <w:t>座</w:t>
            </w: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1</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3000</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0.30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4</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排土场</w:t>
            </w:r>
          </w:p>
        </w:tc>
        <w:tc>
          <w:tcPr>
            <w:tcW w:w="2076" w:type="dxa"/>
            <w:vAlign w:val="center"/>
          </w:tcPr>
          <w:p>
            <w:pPr>
              <w:pStyle w:val="27"/>
              <w:spacing w:line="240" w:lineRule="exact"/>
              <w:rPr>
                <w:rFonts w:ascii="宋体" w:hAnsi="宋体" w:eastAsia="宋体" w:cs="宋体"/>
              </w:rPr>
            </w:pPr>
            <w:r>
              <w:rPr>
                <w:rFonts w:hint="eastAsia" w:ascii="宋体" w:hAnsi="宋体" w:eastAsia="宋体" w:cs="宋体"/>
              </w:rPr>
              <w:t>毛石干砌</w:t>
            </w:r>
          </w:p>
        </w:tc>
        <w:tc>
          <w:tcPr>
            <w:tcW w:w="709" w:type="dxa"/>
            <w:vAlign w:val="center"/>
          </w:tcPr>
          <w:p>
            <w:pPr>
              <w:pStyle w:val="27"/>
              <w:spacing w:line="240" w:lineRule="exact"/>
              <w:rPr>
                <w:rFonts w:ascii="宋体" w:hAnsi="宋体" w:eastAsia="宋体" w:cs="宋体"/>
              </w:rPr>
            </w:pPr>
            <w:r>
              <w:rPr>
                <w:rFonts w:hint="eastAsia" w:ascii="宋体" w:hAnsi="宋体" w:eastAsia="宋体" w:cs="宋体"/>
              </w:rPr>
              <w:t>座</w:t>
            </w: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1</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5000</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0.50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5</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办公生活区基础</w:t>
            </w:r>
          </w:p>
        </w:tc>
        <w:tc>
          <w:tcPr>
            <w:tcW w:w="2076" w:type="dxa"/>
            <w:vAlign w:val="center"/>
          </w:tcPr>
          <w:p>
            <w:pPr>
              <w:pStyle w:val="27"/>
              <w:spacing w:line="240" w:lineRule="exact"/>
              <w:rPr>
                <w:rFonts w:ascii="宋体" w:hAnsi="宋体" w:eastAsia="宋体" w:cs="宋体"/>
              </w:rPr>
            </w:pPr>
            <w:r>
              <w:rPr>
                <w:rFonts w:hint="eastAsia" w:ascii="宋体" w:hAnsi="宋体" w:eastAsia="宋体" w:cs="宋体"/>
              </w:rPr>
              <w:t>毛石边，黄土夯实</w:t>
            </w:r>
          </w:p>
        </w:tc>
        <w:tc>
          <w:tcPr>
            <w:tcW w:w="709" w:type="dxa"/>
            <w:vAlign w:val="center"/>
          </w:tcPr>
          <w:p>
            <w:pPr>
              <w:pStyle w:val="27"/>
              <w:spacing w:line="240" w:lineRule="exact"/>
              <w:rPr>
                <w:rFonts w:ascii="宋体" w:hAnsi="宋体" w:eastAsia="宋体" w:cs="宋体"/>
              </w:rPr>
            </w:pPr>
            <w:r>
              <w:rPr>
                <w:rFonts w:hint="eastAsia" w:ascii="宋体" w:hAnsi="宋体" w:eastAsia="宋体" w:cs="宋体"/>
              </w:rPr>
              <w:t>m</w:t>
            </w:r>
            <w:r>
              <w:rPr>
                <w:rFonts w:hint="eastAsia" w:ascii="宋体" w:hAnsi="宋体" w:eastAsia="宋体" w:cs="宋体"/>
                <w:vertAlign w:val="superscript"/>
              </w:rPr>
              <w:t>3</w:t>
            </w: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187</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80</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1.50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6</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办公及生活用房</w:t>
            </w:r>
          </w:p>
        </w:tc>
        <w:tc>
          <w:tcPr>
            <w:tcW w:w="2076" w:type="dxa"/>
            <w:vAlign w:val="center"/>
          </w:tcPr>
          <w:p>
            <w:pPr>
              <w:pStyle w:val="27"/>
              <w:spacing w:line="240" w:lineRule="exact"/>
              <w:rPr>
                <w:rFonts w:ascii="宋体" w:hAnsi="宋体" w:eastAsia="宋体" w:cs="宋体"/>
              </w:rPr>
            </w:pPr>
            <w:r>
              <w:rPr>
                <w:rFonts w:hint="eastAsia" w:ascii="宋体" w:hAnsi="宋体" w:eastAsia="宋体" w:cs="宋体"/>
              </w:rPr>
              <w:t>彩钢</w:t>
            </w:r>
          </w:p>
        </w:tc>
        <w:tc>
          <w:tcPr>
            <w:tcW w:w="709" w:type="dxa"/>
            <w:vAlign w:val="center"/>
          </w:tcPr>
          <w:p>
            <w:pPr>
              <w:pStyle w:val="27"/>
              <w:spacing w:line="240" w:lineRule="exact"/>
              <w:rPr>
                <w:rFonts w:ascii="宋体" w:hAnsi="宋体" w:eastAsia="宋体" w:cs="宋体"/>
              </w:rPr>
            </w:pPr>
            <w:r>
              <w:rPr>
                <w:rFonts w:hint="eastAsia" w:ascii="宋体" w:hAnsi="宋体" w:eastAsia="宋体" w:cs="宋体"/>
              </w:rPr>
              <w:t>m</w:t>
            </w:r>
            <w:r>
              <w:rPr>
                <w:rFonts w:hint="eastAsia" w:ascii="宋体" w:hAnsi="宋体" w:eastAsia="宋体" w:cs="宋体"/>
                <w:vertAlign w:val="superscript"/>
              </w:rPr>
              <w:t>2</w:t>
            </w: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187</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120</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2.24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二</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设备购置</w:t>
            </w:r>
          </w:p>
        </w:tc>
        <w:tc>
          <w:tcPr>
            <w:tcW w:w="2076" w:type="dxa"/>
            <w:vAlign w:val="center"/>
          </w:tcPr>
          <w:p>
            <w:pPr>
              <w:pStyle w:val="27"/>
              <w:spacing w:line="240" w:lineRule="exact"/>
              <w:rPr>
                <w:rFonts w:ascii="宋体" w:hAnsi="宋体" w:eastAsia="宋体" w:cs="宋体"/>
                <w:sz w:val="24"/>
                <w:szCs w:val="24"/>
              </w:rPr>
            </w:pPr>
          </w:p>
        </w:tc>
        <w:tc>
          <w:tcPr>
            <w:tcW w:w="709" w:type="dxa"/>
            <w:vAlign w:val="center"/>
          </w:tcPr>
          <w:p>
            <w:pPr>
              <w:pStyle w:val="27"/>
              <w:spacing w:line="240" w:lineRule="exact"/>
              <w:rPr>
                <w:rFonts w:ascii="宋体" w:hAnsi="宋体" w:eastAsia="宋体" w:cs="宋体"/>
                <w:sz w:val="24"/>
                <w:szCs w:val="24"/>
              </w:rPr>
            </w:pP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　</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　</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b/>
                <w:bCs/>
                <w:color w:val="000000"/>
                <w:sz w:val="20"/>
                <w:szCs w:val="20"/>
              </w:rPr>
              <w:t>868.25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1</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ZL50D型装载机</w:t>
            </w:r>
          </w:p>
        </w:tc>
        <w:tc>
          <w:tcPr>
            <w:tcW w:w="2076" w:type="dxa"/>
            <w:vAlign w:val="center"/>
          </w:tcPr>
          <w:p>
            <w:pPr>
              <w:pStyle w:val="27"/>
              <w:spacing w:line="240" w:lineRule="exact"/>
              <w:rPr>
                <w:rFonts w:ascii="宋体" w:hAnsi="宋体" w:eastAsia="宋体" w:cs="宋体"/>
              </w:rPr>
            </w:pPr>
            <w:r>
              <w:rPr>
                <w:rFonts w:hint="eastAsia" w:ascii="宋体" w:hAnsi="宋体" w:eastAsia="宋体" w:cs="宋体"/>
              </w:rPr>
              <w:t>ZL50D</w:t>
            </w:r>
          </w:p>
        </w:tc>
        <w:tc>
          <w:tcPr>
            <w:tcW w:w="709" w:type="dxa"/>
            <w:vAlign w:val="center"/>
          </w:tcPr>
          <w:p>
            <w:pPr>
              <w:pStyle w:val="27"/>
              <w:spacing w:line="240" w:lineRule="exact"/>
              <w:rPr>
                <w:rFonts w:ascii="宋体" w:hAnsi="宋体" w:eastAsia="宋体" w:cs="宋体"/>
              </w:rPr>
            </w:pPr>
            <w:r>
              <w:rPr>
                <w:rFonts w:hint="eastAsia" w:ascii="宋体" w:hAnsi="宋体" w:eastAsia="宋体" w:cs="宋体"/>
              </w:rPr>
              <w:t>台</w:t>
            </w: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3</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500000</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150.00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2</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神钢SK210挖掘机</w:t>
            </w:r>
          </w:p>
        </w:tc>
        <w:tc>
          <w:tcPr>
            <w:tcW w:w="2076" w:type="dxa"/>
            <w:vAlign w:val="center"/>
          </w:tcPr>
          <w:p>
            <w:pPr>
              <w:pStyle w:val="27"/>
              <w:spacing w:line="240" w:lineRule="exact"/>
              <w:rPr>
                <w:rFonts w:ascii="宋体" w:hAnsi="宋体" w:eastAsia="宋体" w:cs="宋体"/>
              </w:rPr>
            </w:pPr>
            <w:r>
              <w:rPr>
                <w:rFonts w:hint="eastAsia" w:ascii="宋体" w:hAnsi="宋体" w:eastAsia="宋体" w:cs="宋体"/>
              </w:rPr>
              <w:t>SK230-6</w:t>
            </w:r>
          </w:p>
        </w:tc>
        <w:tc>
          <w:tcPr>
            <w:tcW w:w="709" w:type="dxa"/>
            <w:vAlign w:val="center"/>
          </w:tcPr>
          <w:p>
            <w:pPr>
              <w:pStyle w:val="27"/>
              <w:spacing w:line="240" w:lineRule="exact"/>
              <w:rPr>
                <w:rFonts w:ascii="宋体" w:hAnsi="宋体" w:eastAsia="宋体" w:cs="宋体"/>
              </w:rPr>
            </w:pPr>
            <w:r>
              <w:rPr>
                <w:rFonts w:hint="eastAsia" w:ascii="宋体" w:hAnsi="宋体" w:eastAsia="宋体" w:cs="宋体"/>
              </w:rPr>
              <w:t>台</w:t>
            </w: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3</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580000</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174.00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3</w:t>
            </w:r>
          </w:p>
        </w:tc>
        <w:tc>
          <w:tcPr>
            <w:tcW w:w="1888" w:type="dxa"/>
            <w:vAlign w:val="center"/>
          </w:tcPr>
          <w:p>
            <w:pPr>
              <w:pStyle w:val="27"/>
              <w:spacing w:line="240" w:lineRule="exact"/>
              <w:rPr>
                <w:rFonts w:ascii="宋体" w:hAnsi="宋体" w:eastAsia="宋体" w:cs="宋体"/>
                <w:sz w:val="18"/>
              </w:rPr>
            </w:pPr>
            <w:r>
              <w:rPr>
                <w:rFonts w:hint="eastAsia" w:ascii="宋体" w:hAnsi="宋体" w:eastAsia="宋体" w:cs="宋体"/>
                <w:sz w:val="18"/>
              </w:rPr>
              <w:t>20t自卸汽车</w:t>
            </w:r>
          </w:p>
        </w:tc>
        <w:tc>
          <w:tcPr>
            <w:tcW w:w="2076" w:type="dxa"/>
            <w:vAlign w:val="center"/>
          </w:tcPr>
          <w:p>
            <w:pPr>
              <w:pStyle w:val="27"/>
              <w:spacing w:line="240" w:lineRule="exact"/>
              <w:rPr>
                <w:rFonts w:ascii="宋体" w:hAnsi="宋体" w:eastAsia="宋体" w:cs="宋体"/>
              </w:rPr>
            </w:pPr>
            <w:r>
              <w:rPr>
                <w:rFonts w:hint="eastAsia" w:ascii="宋体" w:hAnsi="宋体" w:eastAsia="宋体" w:cs="宋体"/>
              </w:rPr>
              <w:t>20t</w:t>
            </w:r>
          </w:p>
        </w:tc>
        <w:tc>
          <w:tcPr>
            <w:tcW w:w="709" w:type="dxa"/>
            <w:vAlign w:val="center"/>
          </w:tcPr>
          <w:p>
            <w:pPr>
              <w:pStyle w:val="27"/>
              <w:spacing w:line="240" w:lineRule="exact"/>
              <w:rPr>
                <w:rFonts w:ascii="宋体" w:hAnsi="宋体" w:eastAsia="宋体" w:cs="宋体"/>
              </w:rPr>
            </w:pPr>
            <w:r>
              <w:rPr>
                <w:rFonts w:hint="eastAsia" w:ascii="宋体" w:hAnsi="宋体" w:eastAsia="宋体" w:cs="宋体"/>
              </w:rPr>
              <w:t>台</w:t>
            </w: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2</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200000</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40.00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4</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kern w:val="0"/>
                <w:szCs w:val="24"/>
              </w:rPr>
              <w:t>潜水泵</w:t>
            </w:r>
          </w:p>
        </w:tc>
        <w:tc>
          <w:tcPr>
            <w:tcW w:w="2076" w:type="dxa"/>
            <w:vAlign w:val="center"/>
          </w:tcPr>
          <w:p>
            <w:pPr>
              <w:pStyle w:val="27"/>
              <w:spacing w:line="240" w:lineRule="exact"/>
              <w:rPr>
                <w:rFonts w:ascii="宋体" w:hAnsi="宋体" w:eastAsia="宋体" w:cs="宋体"/>
              </w:rPr>
            </w:pPr>
            <w:r>
              <w:rPr>
                <w:rFonts w:hint="eastAsia" w:ascii="宋体" w:hAnsi="宋体" w:eastAsia="宋体" w:cs="宋体"/>
                <w:kern w:val="0"/>
                <w:szCs w:val="24"/>
              </w:rPr>
              <w:t>WQ20-32-5.5S</w:t>
            </w:r>
          </w:p>
        </w:tc>
        <w:tc>
          <w:tcPr>
            <w:tcW w:w="709" w:type="dxa"/>
            <w:vAlign w:val="center"/>
          </w:tcPr>
          <w:p>
            <w:pPr>
              <w:pStyle w:val="27"/>
              <w:spacing w:line="240" w:lineRule="exact"/>
              <w:rPr>
                <w:rFonts w:ascii="宋体" w:hAnsi="宋体" w:eastAsia="宋体" w:cs="宋体"/>
              </w:rPr>
            </w:pPr>
            <w:r>
              <w:rPr>
                <w:rFonts w:hint="eastAsia" w:ascii="宋体" w:hAnsi="宋体" w:eastAsia="宋体" w:cs="宋体"/>
              </w:rPr>
              <w:t>台</w:t>
            </w: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1</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2500</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5</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生产设备</w:t>
            </w:r>
          </w:p>
        </w:tc>
        <w:tc>
          <w:tcPr>
            <w:tcW w:w="2076" w:type="dxa"/>
            <w:vAlign w:val="center"/>
          </w:tcPr>
          <w:p>
            <w:pPr>
              <w:pStyle w:val="27"/>
              <w:spacing w:line="240" w:lineRule="exact"/>
              <w:rPr>
                <w:rFonts w:ascii="宋体" w:hAnsi="宋体" w:eastAsia="宋体" w:cs="宋体"/>
              </w:rPr>
            </w:pPr>
          </w:p>
        </w:tc>
        <w:tc>
          <w:tcPr>
            <w:tcW w:w="709" w:type="dxa"/>
            <w:vAlign w:val="center"/>
          </w:tcPr>
          <w:p>
            <w:pPr>
              <w:pStyle w:val="27"/>
              <w:spacing w:line="240" w:lineRule="exact"/>
              <w:rPr>
                <w:rFonts w:ascii="宋体" w:hAnsi="宋体" w:eastAsia="宋体" w:cs="宋体"/>
              </w:rPr>
            </w:pP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　</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　</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500.00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6</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安装工程及运杂费</w:t>
            </w:r>
          </w:p>
        </w:tc>
        <w:tc>
          <w:tcPr>
            <w:tcW w:w="2076" w:type="dxa"/>
            <w:vAlign w:val="center"/>
          </w:tcPr>
          <w:p>
            <w:pPr>
              <w:pStyle w:val="27"/>
              <w:spacing w:line="240" w:lineRule="exact"/>
              <w:rPr>
                <w:rFonts w:ascii="宋体" w:hAnsi="宋体" w:eastAsia="宋体" w:cs="宋体"/>
              </w:rPr>
            </w:pPr>
          </w:p>
        </w:tc>
        <w:tc>
          <w:tcPr>
            <w:tcW w:w="709" w:type="dxa"/>
            <w:vAlign w:val="center"/>
          </w:tcPr>
          <w:p>
            <w:pPr>
              <w:pStyle w:val="27"/>
              <w:spacing w:line="240" w:lineRule="exact"/>
              <w:rPr>
                <w:rFonts w:ascii="宋体" w:hAnsi="宋体" w:eastAsia="宋体" w:cs="宋体"/>
              </w:rPr>
            </w:pP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　</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　</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4.00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三</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其他工程费用</w:t>
            </w:r>
          </w:p>
        </w:tc>
        <w:tc>
          <w:tcPr>
            <w:tcW w:w="2076" w:type="dxa"/>
            <w:vAlign w:val="center"/>
          </w:tcPr>
          <w:p>
            <w:pPr>
              <w:pStyle w:val="27"/>
              <w:spacing w:line="240" w:lineRule="exact"/>
              <w:rPr>
                <w:rFonts w:ascii="宋体" w:hAnsi="宋体" w:eastAsia="宋体" w:cs="宋体"/>
                <w:sz w:val="24"/>
                <w:szCs w:val="24"/>
              </w:rPr>
            </w:pPr>
          </w:p>
        </w:tc>
        <w:tc>
          <w:tcPr>
            <w:tcW w:w="709" w:type="dxa"/>
            <w:vAlign w:val="center"/>
          </w:tcPr>
          <w:p>
            <w:pPr>
              <w:pStyle w:val="27"/>
              <w:spacing w:line="240" w:lineRule="exact"/>
              <w:rPr>
                <w:rFonts w:ascii="宋体" w:hAnsi="宋体" w:eastAsia="宋体" w:cs="宋体"/>
                <w:sz w:val="24"/>
                <w:szCs w:val="24"/>
              </w:rPr>
            </w:pP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　</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　</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5.00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rPr>
            </w:pPr>
            <w:r>
              <w:rPr>
                <w:rFonts w:hint="eastAsia" w:ascii="宋体" w:hAnsi="宋体" w:eastAsia="宋体" w:cs="宋体"/>
              </w:rPr>
              <w:t>四</w:t>
            </w: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流动资金</w:t>
            </w:r>
          </w:p>
        </w:tc>
        <w:tc>
          <w:tcPr>
            <w:tcW w:w="2076" w:type="dxa"/>
            <w:vAlign w:val="center"/>
          </w:tcPr>
          <w:p>
            <w:pPr>
              <w:pStyle w:val="27"/>
              <w:spacing w:line="240" w:lineRule="exact"/>
              <w:rPr>
                <w:rFonts w:ascii="宋体" w:hAnsi="宋体" w:eastAsia="宋体" w:cs="宋体"/>
                <w:sz w:val="24"/>
                <w:szCs w:val="24"/>
              </w:rPr>
            </w:pPr>
          </w:p>
        </w:tc>
        <w:tc>
          <w:tcPr>
            <w:tcW w:w="709" w:type="dxa"/>
            <w:vAlign w:val="center"/>
          </w:tcPr>
          <w:p>
            <w:pPr>
              <w:pStyle w:val="27"/>
              <w:spacing w:line="240" w:lineRule="exact"/>
              <w:rPr>
                <w:rFonts w:ascii="宋体" w:hAnsi="宋体" w:eastAsia="宋体" w:cs="宋体"/>
                <w:sz w:val="24"/>
                <w:szCs w:val="24"/>
              </w:rPr>
            </w:pP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　</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　</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b/>
                <w:bCs/>
                <w:color w:val="000000"/>
                <w:sz w:val="20"/>
                <w:szCs w:val="20"/>
              </w:rPr>
              <w:t>50.00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3" w:hRule="atLeast"/>
          <w:jc w:val="center"/>
        </w:trPr>
        <w:tc>
          <w:tcPr>
            <w:tcW w:w="636" w:type="dxa"/>
            <w:vAlign w:val="center"/>
          </w:tcPr>
          <w:p>
            <w:pPr>
              <w:pStyle w:val="27"/>
              <w:spacing w:line="240" w:lineRule="exact"/>
              <w:rPr>
                <w:rFonts w:ascii="宋体" w:hAnsi="宋体" w:eastAsia="宋体" w:cs="宋体"/>
                <w:sz w:val="24"/>
                <w:szCs w:val="24"/>
              </w:rPr>
            </w:pPr>
          </w:p>
        </w:tc>
        <w:tc>
          <w:tcPr>
            <w:tcW w:w="1888" w:type="dxa"/>
            <w:vAlign w:val="center"/>
          </w:tcPr>
          <w:p>
            <w:pPr>
              <w:pStyle w:val="27"/>
              <w:spacing w:line="240" w:lineRule="exact"/>
              <w:rPr>
                <w:rFonts w:ascii="宋体" w:hAnsi="宋体" w:eastAsia="宋体" w:cs="宋体"/>
              </w:rPr>
            </w:pPr>
            <w:r>
              <w:rPr>
                <w:rFonts w:hint="eastAsia" w:ascii="宋体" w:hAnsi="宋体" w:eastAsia="宋体" w:cs="宋体"/>
              </w:rPr>
              <w:t>总     计</w:t>
            </w:r>
          </w:p>
        </w:tc>
        <w:tc>
          <w:tcPr>
            <w:tcW w:w="2076" w:type="dxa"/>
            <w:vAlign w:val="center"/>
          </w:tcPr>
          <w:p>
            <w:pPr>
              <w:pStyle w:val="27"/>
              <w:spacing w:line="240" w:lineRule="exact"/>
              <w:rPr>
                <w:rFonts w:ascii="宋体" w:hAnsi="宋体" w:eastAsia="宋体" w:cs="宋体"/>
                <w:sz w:val="24"/>
                <w:szCs w:val="24"/>
              </w:rPr>
            </w:pPr>
          </w:p>
        </w:tc>
        <w:tc>
          <w:tcPr>
            <w:tcW w:w="709" w:type="dxa"/>
            <w:vAlign w:val="center"/>
          </w:tcPr>
          <w:p>
            <w:pPr>
              <w:pStyle w:val="27"/>
              <w:spacing w:line="240" w:lineRule="exact"/>
              <w:rPr>
                <w:rFonts w:ascii="宋体" w:hAnsi="宋体" w:eastAsia="宋体" w:cs="宋体"/>
                <w:sz w:val="24"/>
                <w:szCs w:val="24"/>
              </w:rPr>
            </w:pPr>
          </w:p>
        </w:tc>
        <w:tc>
          <w:tcPr>
            <w:tcW w:w="808"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　</w:t>
            </w:r>
          </w:p>
        </w:tc>
        <w:tc>
          <w:tcPr>
            <w:tcW w:w="1035" w:type="dxa"/>
            <w:vAlign w:val="center"/>
          </w:tcPr>
          <w:p>
            <w:pPr>
              <w:widowControl/>
              <w:spacing w:line="240" w:lineRule="exact"/>
              <w:ind w:firstLine="0" w:firstLineChars="0"/>
              <w:jc w:val="center"/>
              <w:textAlignment w:val="center"/>
              <w:rPr>
                <w:rFonts w:ascii="宋体" w:hAnsi="宋体" w:cs="宋体"/>
                <w:sz w:val="20"/>
              </w:rPr>
            </w:pPr>
            <w:r>
              <w:rPr>
                <w:rFonts w:hint="eastAsia"/>
                <w:color w:val="000000"/>
                <w:sz w:val="20"/>
                <w:szCs w:val="20"/>
              </w:rPr>
              <w:t>　</w:t>
            </w:r>
          </w:p>
        </w:tc>
        <w:tc>
          <w:tcPr>
            <w:tcW w:w="1394" w:type="dxa"/>
            <w:vAlign w:val="center"/>
          </w:tcPr>
          <w:p>
            <w:pPr>
              <w:widowControl/>
              <w:spacing w:line="240" w:lineRule="exact"/>
              <w:ind w:firstLine="0" w:firstLineChars="0"/>
              <w:jc w:val="center"/>
              <w:textAlignment w:val="center"/>
              <w:rPr>
                <w:rFonts w:ascii="宋体" w:hAnsi="宋体" w:cs="宋体"/>
                <w:sz w:val="20"/>
              </w:rPr>
            </w:pPr>
            <w:r>
              <w:rPr>
                <w:rFonts w:hint="eastAsia"/>
                <w:b/>
                <w:bCs/>
                <w:color w:val="000000"/>
                <w:sz w:val="20"/>
                <w:szCs w:val="20"/>
              </w:rPr>
              <w:t>928.89</w:t>
            </w:r>
          </w:p>
        </w:tc>
      </w:tr>
    </w:tbl>
    <w:p>
      <w:pPr>
        <w:pStyle w:val="31"/>
        <w:rPr>
          <w:rFonts w:ascii="宋体" w:eastAsia="宋体" w:cs="宋体"/>
        </w:rPr>
      </w:pPr>
      <w:bookmarkStart w:id="448" w:name="_Toc14983"/>
      <w:r>
        <w:rPr>
          <w:rFonts w:ascii="宋体" w:eastAsia="宋体" w:cs="宋体"/>
        </w:rPr>
        <w:t>10</w:t>
      </w:r>
      <w:r>
        <w:rPr>
          <w:rFonts w:hint="eastAsia" w:ascii="宋体" w:eastAsia="宋体" w:cs="宋体"/>
        </w:rPr>
        <w:t>.</w:t>
      </w:r>
      <w:r>
        <w:rPr>
          <w:rFonts w:ascii="宋体" w:eastAsia="宋体" w:cs="宋体"/>
        </w:rPr>
        <w:t>3</w:t>
      </w:r>
      <w:r>
        <w:rPr>
          <w:rFonts w:hint="eastAsia" w:ascii="宋体" w:eastAsia="宋体" w:cs="宋体"/>
        </w:rPr>
        <w:t>.1销售收入及成本估算</w:t>
      </w:r>
      <w:bookmarkEnd w:id="448"/>
    </w:p>
    <w:p>
      <w:pPr>
        <w:pStyle w:val="25"/>
        <w:spacing w:line="360" w:lineRule="auto"/>
        <w:rPr>
          <w:rFonts w:cs="宋体"/>
          <w:kern w:val="0"/>
        </w:rPr>
      </w:pPr>
      <w:r>
        <w:rPr>
          <w:rFonts w:hint="eastAsia" w:cs="宋体"/>
          <w:szCs w:val="24"/>
        </w:rPr>
        <w:t>建筑用砂矿</w:t>
      </w:r>
      <w:r>
        <w:rPr>
          <w:rFonts w:hint="eastAsia" w:cs="宋体"/>
          <w:kern w:val="0"/>
          <w:szCs w:val="24"/>
        </w:rPr>
        <w:t>产量</w:t>
      </w:r>
      <w:r>
        <w:rPr>
          <w:rFonts w:hint="eastAsia" w:cs="宋体"/>
          <w:szCs w:val="24"/>
        </w:rPr>
        <w:t>20×10</w:t>
      </w:r>
      <w:r>
        <w:rPr>
          <w:rFonts w:hint="eastAsia" w:cs="宋体"/>
          <w:szCs w:val="24"/>
          <w:vertAlign w:val="superscript"/>
        </w:rPr>
        <w:t>4</w:t>
      </w:r>
      <w:r>
        <w:rPr>
          <w:rFonts w:hint="eastAsia" w:cs="宋体"/>
          <w:szCs w:val="24"/>
        </w:rPr>
        <w:t>m</w:t>
      </w:r>
      <w:r>
        <w:rPr>
          <w:rFonts w:hint="eastAsia" w:cs="宋体"/>
          <w:szCs w:val="24"/>
          <w:vertAlign w:val="superscript"/>
        </w:rPr>
        <w:t>3</w:t>
      </w:r>
      <w:r>
        <w:rPr>
          <w:rFonts w:hint="eastAsia" w:cs="宋体"/>
          <w:szCs w:val="24"/>
        </w:rPr>
        <w:t>/a</w:t>
      </w:r>
      <w:r>
        <w:rPr>
          <w:rFonts w:hint="eastAsia" w:cs="宋体"/>
          <w:kern w:val="0"/>
          <w:szCs w:val="24"/>
        </w:rPr>
        <w:t>，</w:t>
      </w:r>
      <w:r>
        <w:rPr>
          <w:rFonts w:hint="eastAsia" w:cs="宋体"/>
          <w:kern w:val="0"/>
        </w:rPr>
        <w:t>原矿矿点售价按</w:t>
      </w:r>
      <w:r>
        <w:rPr>
          <w:rFonts w:cs="宋体"/>
          <w:szCs w:val="24"/>
        </w:rPr>
        <w:t>50</w:t>
      </w:r>
      <w:r>
        <w:rPr>
          <w:rFonts w:hint="eastAsia" w:cs="宋体"/>
          <w:szCs w:val="24"/>
        </w:rPr>
        <w:t>元</w:t>
      </w:r>
      <w:r>
        <w:rPr>
          <w:rFonts w:hint="eastAsia" w:cs="宋体"/>
          <w:kern w:val="0"/>
        </w:rPr>
        <w:t>/</w:t>
      </w:r>
      <w:r>
        <w:rPr>
          <w:rFonts w:hint="eastAsia" w:cs="宋体"/>
          <w:szCs w:val="24"/>
        </w:rPr>
        <w:t>m</w:t>
      </w:r>
      <w:r>
        <w:rPr>
          <w:rFonts w:hint="eastAsia" w:cs="宋体"/>
          <w:szCs w:val="24"/>
          <w:vertAlign w:val="superscript"/>
        </w:rPr>
        <w:t>3</w:t>
      </w:r>
      <w:r>
        <w:rPr>
          <w:rFonts w:hint="eastAsia" w:cs="宋体"/>
          <w:kern w:val="0"/>
        </w:rPr>
        <w:t>计算，项目年平均销售收入</w:t>
      </w:r>
      <w:r>
        <w:rPr>
          <w:rFonts w:cs="宋体"/>
          <w:szCs w:val="24"/>
        </w:rPr>
        <w:t>1000</w:t>
      </w:r>
      <w:r>
        <w:rPr>
          <w:rFonts w:hint="eastAsia" w:cs="宋体"/>
          <w:kern w:val="0"/>
        </w:rPr>
        <w:t>万元。开采成本</w:t>
      </w:r>
      <w:r>
        <w:rPr>
          <w:rFonts w:cs="宋体"/>
          <w:szCs w:val="24"/>
        </w:rPr>
        <w:t>30</w:t>
      </w:r>
      <w:r>
        <w:rPr>
          <w:rFonts w:hint="eastAsia" w:cs="宋体"/>
          <w:kern w:val="0"/>
        </w:rPr>
        <w:t>元/</w:t>
      </w:r>
      <w:r>
        <w:rPr>
          <w:rFonts w:hint="eastAsia"/>
        </w:rPr>
        <w:t>m</w:t>
      </w:r>
      <w:r>
        <w:rPr>
          <w:rFonts w:hint="eastAsia"/>
          <w:vertAlign w:val="superscript"/>
        </w:rPr>
        <w:t>3</w:t>
      </w:r>
      <w:r>
        <w:rPr>
          <w:rFonts w:hint="eastAsia" w:cs="宋体"/>
          <w:kern w:val="0"/>
        </w:rPr>
        <w:t>，</w:t>
      </w:r>
      <w:r>
        <w:rPr>
          <w:rFonts w:hint="eastAsia"/>
        </w:rPr>
        <w:t>其中采矿10元/m</w:t>
      </w:r>
      <w:r>
        <w:rPr>
          <w:rFonts w:hint="eastAsia"/>
          <w:vertAlign w:val="superscript"/>
        </w:rPr>
        <w:t>3</w:t>
      </w:r>
      <w:r>
        <w:rPr>
          <w:rFonts w:hint="eastAsia"/>
        </w:rPr>
        <w:t>；运输、企业管理费、矿山维检费以及矿权使用费</w:t>
      </w:r>
      <w:r>
        <w:t>5</w:t>
      </w:r>
      <w:r>
        <w:rPr>
          <w:rFonts w:hint="eastAsia"/>
        </w:rPr>
        <w:t>元/m</w:t>
      </w:r>
      <w:r>
        <w:rPr>
          <w:rFonts w:hint="eastAsia"/>
          <w:vertAlign w:val="superscript"/>
        </w:rPr>
        <w:t>3</w:t>
      </w:r>
      <w:r>
        <w:rPr>
          <w:rFonts w:hint="eastAsia"/>
        </w:rPr>
        <w:t>，机物料消耗（包括柴油、润滑油、汽油等）</w:t>
      </w:r>
      <w:r>
        <w:t>5</w:t>
      </w:r>
      <w:r>
        <w:rPr>
          <w:rFonts w:hint="eastAsia"/>
        </w:rPr>
        <w:t>元；工人工资10元</w:t>
      </w:r>
      <w:r>
        <w:rPr>
          <w:rFonts w:hint="eastAsia" w:cs="宋体"/>
          <w:kern w:val="0"/>
          <w:szCs w:val="24"/>
        </w:rPr>
        <w:t>，</w:t>
      </w:r>
      <w:r>
        <w:rPr>
          <w:rFonts w:hint="eastAsia" w:cs="宋体"/>
          <w:kern w:val="0"/>
        </w:rPr>
        <w:t>年生产成本</w:t>
      </w:r>
      <w:r>
        <w:rPr>
          <w:rFonts w:cs="宋体"/>
          <w:szCs w:val="24"/>
        </w:rPr>
        <w:t>60</w:t>
      </w:r>
      <w:r>
        <w:rPr>
          <w:rFonts w:hint="eastAsia" w:cs="宋体"/>
          <w:szCs w:val="24"/>
        </w:rPr>
        <w:t>0</w:t>
      </w:r>
      <w:r>
        <w:rPr>
          <w:rFonts w:hint="eastAsia" w:cs="宋体"/>
          <w:kern w:val="0"/>
        </w:rPr>
        <w:t>万元。</w:t>
      </w:r>
    </w:p>
    <w:p>
      <w:pPr>
        <w:pStyle w:val="25"/>
        <w:spacing w:line="360" w:lineRule="auto"/>
        <w:rPr>
          <w:rFonts w:cs="宋体"/>
        </w:rPr>
      </w:pPr>
      <w:r>
        <w:rPr>
          <w:rFonts w:hint="eastAsia" w:cs="宋体"/>
          <w:szCs w:val="24"/>
        </w:rPr>
        <w:t>故年生产成本:</w:t>
      </w:r>
      <w:r>
        <w:rPr>
          <w:rFonts w:cs="宋体"/>
          <w:szCs w:val="24"/>
        </w:rPr>
        <w:t>600</w:t>
      </w:r>
      <w:r>
        <w:rPr>
          <w:rFonts w:hint="eastAsia" w:cs="宋体"/>
          <w:szCs w:val="24"/>
        </w:rPr>
        <w:t>万元。</w:t>
      </w:r>
      <w:bookmarkStart w:id="449" w:name="_Toc213683110"/>
      <w:bookmarkStart w:id="450" w:name="_Toc214407045"/>
      <w:bookmarkStart w:id="451" w:name="_Toc212543912"/>
      <w:bookmarkStart w:id="452" w:name="_Toc298839400"/>
    </w:p>
    <w:bookmarkEnd w:id="449"/>
    <w:bookmarkEnd w:id="450"/>
    <w:bookmarkEnd w:id="451"/>
    <w:bookmarkEnd w:id="452"/>
    <w:p>
      <w:pPr>
        <w:pStyle w:val="5"/>
        <w:ind w:firstLine="562"/>
      </w:pPr>
      <w:bookmarkStart w:id="453" w:name="_Toc395519227"/>
      <w:bookmarkStart w:id="454" w:name="_Toc502783489"/>
      <w:bookmarkStart w:id="455" w:name="_Toc214407046"/>
      <w:bookmarkStart w:id="456" w:name="_Toc212543913"/>
      <w:bookmarkStart w:id="457" w:name="_Toc70589794"/>
      <w:bookmarkStart w:id="458" w:name="_Toc213683111"/>
      <w:bookmarkStart w:id="459" w:name="_Toc182318083"/>
      <w:bookmarkStart w:id="460" w:name="_Toc211070137"/>
      <w:r>
        <w:rPr>
          <w:rFonts w:hint="eastAsia"/>
        </w:rPr>
        <w:t>10.</w:t>
      </w:r>
      <w:r>
        <w:t>3</w:t>
      </w:r>
      <w:r>
        <w:rPr>
          <w:rFonts w:hint="eastAsia"/>
        </w:rPr>
        <w:t>.2 利润总额</w:t>
      </w:r>
      <w:bookmarkEnd w:id="453"/>
      <w:bookmarkEnd w:id="454"/>
      <w:bookmarkEnd w:id="455"/>
      <w:bookmarkEnd w:id="456"/>
      <w:bookmarkEnd w:id="457"/>
      <w:bookmarkEnd w:id="458"/>
      <w:bookmarkEnd w:id="459"/>
    </w:p>
    <w:p>
      <w:pPr>
        <w:ind w:firstLine="560"/>
      </w:pPr>
      <w:bookmarkStart w:id="461" w:name="_Toc213683112"/>
      <w:bookmarkStart w:id="462" w:name="_Toc182318084"/>
      <w:bookmarkStart w:id="463" w:name="_Toc214407047"/>
      <w:bookmarkStart w:id="464" w:name="_Toc212543914"/>
      <w:r>
        <w:rPr>
          <w:rFonts w:hint="eastAsia"/>
        </w:rPr>
        <w:t>项目达产年平均利润总额约为：1</w:t>
      </w:r>
      <w:r>
        <w:t>000</w:t>
      </w:r>
      <w:r>
        <w:rPr>
          <w:rFonts w:hint="eastAsia"/>
        </w:rPr>
        <w:t>-600</w:t>
      </w:r>
      <w:r>
        <w:t>-71.67</w:t>
      </w:r>
      <w:r>
        <w:rPr>
          <w:rFonts w:hint="eastAsia"/>
        </w:rPr>
        <w:t>=</w:t>
      </w:r>
      <w:r>
        <w:t>328.33</w:t>
      </w:r>
      <w:r>
        <w:rPr>
          <w:rFonts w:hint="eastAsia"/>
        </w:rPr>
        <w:t>万元。</w:t>
      </w:r>
    </w:p>
    <w:p>
      <w:pPr>
        <w:pStyle w:val="5"/>
        <w:ind w:firstLine="562"/>
      </w:pPr>
      <w:bookmarkStart w:id="465" w:name="_Toc70589795"/>
      <w:r>
        <w:rPr>
          <w:rFonts w:hint="eastAsia"/>
        </w:rPr>
        <w:t>10.</w:t>
      </w:r>
      <w:r>
        <w:t>3</w:t>
      </w:r>
      <w:r>
        <w:rPr>
          <w:rFonts w:hint="eastAsia"/>
        </w:rPr>
        <w:t>.3各类税费</w:t>
      </w:r>
      <w:bookmarkEnd w:id="465"/>
    </w:p>
    <w:p>
      <w:pPr>
        <w:ind w:firstLine="560"/>
      </w:pPr>
      <w:r>
        <w:rPr>
          <w:rFonts w:hint="eastAsia"/>
        </w:rPr>
        <w:t>增值税（年均销售收入×</w:t>
      </w:r>
      <w:r>
        <w:t>3</w:t>
      </w:r>
      <w:r>
        <w:rPr>
          <w:rFonts w:hint="eastAsia"/>
        </w:rPr>
        <w:t>%）：</w:t>
      </w:r>
      <w:r>
        <w:t>30</w:t>
      </w:r>
      <w:r>
        <w:rPr>
          <w:rFonts w:hint="eastAsia"/>
        </w:rPr>
        <w:t>万元</w:t>
      </w:r>
    </w:p>
    <w:p>
      <w:pPr>
        <w:ind w:firstLine="560"/>
      </w:pPr>
      <w:r>
        <w:rPr>
          <w:rFonts w:hint="eastAsia"/>
        </w:rPr>
        <w:t>营业税+水利基建基金（增值税×5.1%）：</w:t>
      </w:r>
      <w:r>
        <w:t>1.53</w:t>
      </w:r>
      <w:r>
        <w:rPr>
          <w:rFonts w:hint="eastAsia"/>
        </w:rPr>
        <w:t>万元</w:t>
      </w:r>
    </w:p>
    <w:p>
      <w:pPr>
        <w:ind w:firstLine="560"/>
      </w:pPr>
      <w:r>
        <w:rPr>
          <w:rFonts w:hint="eastAsia"/>
        </w:rPr>
        <w:t>城市维护建设税、教育费附加和地方税（营业税×9%）：</w:t>
      </w:r>
      <w:r>
        <w:t>0.14</w:t>
      </w:r>
      <w:r>
        <w:rPr>
          <w:rFonts w:hint="eastAsia"/>
        </w:rPr>
        <w:t>万元</w:t>
      </w:r>
    </w:p>
    <w:p>
      <w:pPr>
        <w:ind w:firstLine="560"/>
      </w:pPr>
      <w:r>
        <w:rPr>
          <w:rFonts w:hint="eastAsia"/>
        </w:rPr>
        <w:t>矿产资源税（年产量×1.0元/吨）：20万元</w:t>
      </w:r>
    </w:p>
    <w:p>
      <w:pPr>
        <w:ind w:firstLine="560"/>
      </w:pPr>
      <w:r>
        <w:rPr>
          <w:rFonts w:hint="eastAsia"/>
        </w:rPr>
        <w:t>管理、财务等其它税（年均销售收入×2%）：</w:t>
      </w:r>
      <w:r>
        <w:t>20</w:t>
      </w:r>
      <w:r>
        <w:rPr>
          <w:rFonts w:hint="eastAsia"/>
        </w:rPr>
        <w:t>万元</w:t>
      </w:r>
    </w:p>
    <w:p>
      <w:pPr>
        <w:pStyle w:val="5"/>
        <w:ind w:firstLine="562"/>
      </w:pPr>
      <w:bookmarkStart w:id="466" w:name="_Toc395519228"/>
      <w:bookmarkStart w:id="467" w:name="_Toc70589796"/>
      <w:bookmarkStart w:id="468" w:name="_Toc502783490"/>
      <w:r>
        <w:rPr>
          <w:rFonts w:hint="eastAsia"/>
        </w:rPr>
        <w:t>10.</w:t>
      </w:r>
      <w:r>
        <w:t>3</w:t>
      </w:r>
      <w:r>
        <w:rPr>
          <w:rFonts w:hint="eastAsia"/>
        </w:rPr>
        <w:t>.4企业所得税</w:t>
      </w:r>
      <w:bookmarkEnd w:id="461"/>
      <w:bookmarkEnd w:id="462"/>
      <w:bookmarkEnd w:id="463"/>
      <w:bookmarkEnd w:id="464"/>
      <w:bookmarkEnd w:id="466"/>
      <w:bookmarkEnd w:id="467"/>
      <w:bookmarkEnd w:id="468"/>
    </w:p>
    <w:p>
      <w:pPr>
        <w:ind w:firstLine="560"/>
      </w:pPr>
      <w:bookmarkStart w:id="469" w:name="_Toc182318085"/>
      <w:r>
        <w:rPr>
          <w:rFonts w:hint="eastAsia"/>
        </w:rPr>
        <w:t>所得税税率25％</w:t>
      </w:r>
    </w:p>
    <w:p>
      <w:pPr>
        <w:ind w:firstLine="560"/>
      </w:pPr>
      <w:r>
        <w:rPr>
          <w:rFonts w:hint="eastAsia"/>
        </w:rPr>
        <w:t>项目达产年平均企业所得税=利润总额×25%</w:t>
      </w:r>
    </w:p>
    <w:p>
      <w:pPr>
        <w:ind w:firstLine="560"/>
      </w:pPr>
      <w:r>
        <w:rPr>
          <w:rFonts w:hint="eastAsia"/>
        </w:rPr>
        <w:t>=</w:t>
      </w:r>
      <w:r>
        <w:t>328.33</w:t>
      </w:r>
      <w:r>
        <w:rPr>
          <w:rFonts w:hint="eastAsia"/>
        </w:rPr>
        <w:t>×25%</w:t>
      </w:r>
    </w:p>
    <w:p>
      <w:pPr>
        <w:ind w:firstLine="560"/>
      </w:pPr>
      <w:r>
        <w:rPr>
          <w:rFonts w:hint="eastAsia"/>
        </w:rPr>
        <w:t>=</w:t>
      </w:r>
      <w:r>
        <w:t>82.08</w:t>
      </w:r>
      <w:r>
        <w:rPr>
          <w:rFonts w:hint="eastAsia"/>
        </w:rPr>
        <w:t>万元。</w:t>
      </w:r>
    </w:p>
    <w:p>
      <w:pPr>
        <w:pStyle w:val="5"/>
        <w:ind w:firstLine="562"/>
      </w:pPr>
      <w:bookmarkStart w:id="470" w:name="_Toc212543915"/>
      <w:bookmarkStart w:id="471" w:name="_Toc213683113"/>
      <w:bookmarkStart w:id="472" w:name="_Toc395519229"/>
      <w:bookmarkStart w:id="473" w:name="_Toc502783491"/>
      <w:bookmarkStart w:id="474" w:name="_Toc70589797"/>
      <w:bookmarkStart w:id="475" w:name="_Toc214407048"/>
      <w:r>
        <w:rPr>
          <w:rFonts w:hint="eastAsia"/>
        </w:rPr>
        <w:t>10.</w:t>
      </w:r>
      <w:r>
        <w:t>3</w:t>
      </w:r>
      <w:r>
        <w:rPr>
          <w:rFonts w:hint="eastAsia"/>
        </w:rPr>
        <w:t>.5 税后利润</w:t>
      </w:r>
      <w:bookmarkEnd w:id="469"/>
      <w:bookmarkEnd w:id="470"/>
      <w:bookmarkEnd w:id="471"/>
      <w:bookmarkEnd w:id="472"/>
      <w:bookmarkEnd w:id="473"/>
      <w:bookmarkEnd w:id="474"/>
      <w:bookmarkEnd w:id="475"/>
    </w:p>
    <w:p>
      <w:pPr>
        <w:ind w:firstLine="560"/>
      </w:pPr>
      <w:bookmarkStart w:id="476" w:name="_Toc182318086"/>
      <w:r>
        <w:rPr>
          <w:rFonts w:hint="eastAsia"/>
        </w:rPr>
        <w:t>项目达产年平均税后利润为：利润总额-各类税费-所得税</w:t>
      </w:r>
    </w:p>
    <w:p>
      <w:pPr>
        <w:ind w:firstLine="560"/>
      </w:pPr>
      <w:r>
        <w:rPr>
          <w:rFonts w:hint="eastAsia"/>
        </w:rPr>
        <w:t>=</w:t>
      </w:r>
      <w:r>
        <w:t>328.33-82.08</w:t>
      </w:r>
    </w:p>
    <w:p>
      <w:pPr>
        <w:ind w:firstLine="560"/>
      </w:pPr>
      <w:r>
        <w:rPr>
          <w:rFonts w:hint="eastAsia"/>
        </w:rPr>
        <w:t>=</w:t>
      </w:r>
      <w:r>
        <w:t>246.25</w:t>
      </w:r>
      <w:r>
        <w:rPr>
          <w:rFonts w:hint="eastAsia"/>
        </w:rPr>
        <w:t>万元</w:t>
      </w:r>
    </w:p>
    <w:p>
      <w:pPr>
        <w:pStyle w:val="5"/>
        <w:ind w:firstLine="562"/>
      </w:pPr>
      <w:bookmarkStart w:id="477" w:name="_Toc214407049"/>
      <w:bookmarkStart w:id="478" w:name="_Toc212543916"/>
      <w:bookmarkStart w:id="479" w:name="_Toc213683114"/>
      <w:bookmarkStart w:id="480" w:name="_Toc502783492"/>
      <w:bookmarkStart w:id="481" w:name="_Toc70589798"/>
      <w:bookmarkStart w:id="482" w:name="_Toc395519230"/>
      <w:r>
        <w:rPr>
          <w:rFonts w:hint="eastAsia"/>
        </w:rPr>
        <w:t>10.</w:t>
      </w:r>
      <w:r>
        <w:t>3</w:t>
      </w:r>
      <w:r>
        <w:rPr>
          <w:rFonts w:hint="eastAsia"/>
        </w:rPr>
        <w:t>.</w:t>
      </w:r>
      <w:bookmarkEnd w:id="476"/>
      <w:bookmarkEnd w:id="477"/>
      <w:bookmarkEnd w:id="478"/>
      <w:bookmarkEnd w:id="479"/>
      <w:r>
        <w:rPr>
          <w:rFonts w:hint="eastAsia"/>
        </w:rPr>
        <w:t>6 综合技术经济评价指标</w:t>
      </w:r>
      <w:bookmarkEnd w:id="460"/>
      <w:bookmarkEnd w:id="480"/>
      <w:bookmarkEnd w:id="481"/>
      <w:bookmarkEnd w:id="482"/>
    </w:p>
    <w:p>
      <w:pPr>
        <w:pStyle w:val="20"/>
        <w:spacing w:line="360" w:lineRule="auto"/>
        <w:ind w:firstLine="560"/>
        <w:rPr>
          <w:rFonts w:ascii="Times New Roman" w:hAnsi="Times New Roman"/>
          <w:sz w:val="28"/>
          <w:szCs w:val="24"/>
        </w:rPr>
      </w:pPr>
      <w:r>
        <w:rPr>
          <w:rFonts w:hint="eastAsia" w:ascii="Times New Roman" w:hAnsi="Times New Roman"/>
          <w:sz w:val="28"/>
          <w:szCs w:val="24"/>
        </w:rPr>
        <w:t>该矿在投产当年即可达到设计生产能力。年均税后利润可达</w:t>
      </w:r>
      <w:r>
        <w:rPr>
          <w:rFonts w:ascii="Times New Roman" w:hAnsi="Times New Roman"/>
          <w:sz w:val="28"/>
          <w:szCs w:val="24"/>
        </w:rPr>
        <w:t>246.25</w:t>
      </w:r>
      <w:r>
        <w:rPr>
          <w:rFonts w:hint="eastAsia" w:ascii="Times New Roman" w:hAnsi="Times New Roman"/>
          <w:sz w:val="28"/>
          <w:szCs w:val="24"/>
        </w:rPr>
        <w:t>万元，投资利润率：</w:t>
      </w:r>
      <w:r>
        <w:rPr>
          <w:rFonts w:ascii="Times New Roman" w:hAnsi="Times New Roman"/>
          <w:sz w:val="28"/>
          <w:szCs w:val="24"/>
        </w:rPr>
        <w:t>246.25</w:t>
      </w:r>
      <w:r>
        <w:rPr>
          <w:rFonts w:hint="eastAsia" w:ascii="Times New Roman" w:hAnsi="Times New Roman"/>
          <w:sz w:val="28"/>
          <w:szCs w:val="24"/>
        </w:rPr>
        <w:t>/</w:t>
      </w:r>
      <w:r>
        <w:rPr>
          <w:rFonts w:ascii="Times New Roman" w:hAnsi="Times New Roman"/>
          <w:sz w:val="28"/>
          <w:szCs w:val="24"/>
        </w:rPr>
        <w:t>928.89</w:t>
      </w:r>
      <w:r>
        <w:rPr>
          <w:rFonts w:hint="eastAsia" w:ascii="Times New Roman" w:hAnsi="Times New Roman"/>
          <w:sz w:val="28"/>
          <w:szCs w:val="24"/>
        </w:rPr>
        <w:t>=</w:t>
      </w:r>
      <w:r>
        <w:rPr>
          <w:rFonts w:ascii="Times New Roman" w:hAnsi="Times New Roman"/>
          <w:sz w:val="28"/>
          <w:szCs w:val="24"/>
        </w:rPr>
        <w:t>26.51</w:t>
      </w:r>
      <w:r>
        <w:rPr>
          <w:rFonts w:hint="eastAsia" w:ascii="Times New Roman" w:hAnsi="Times New Roman"/>
          <w:sz w:val="28"/>
          <w:szCs w:val="24"/>
        </w:rPr>
        <w:t>％，矿山投资回收期=</w:t>
      </w:r>
      <w:r>
        <w:rPr>
          <w:rFonts w:ascii="Times New Roman" w:hAnsi="Times New Roman"/>
          <w:sz w:val="28"/>
          <w:szCs w:val="24"/>
        </w:rPr>
        <w:t>928.89</w:t>
      </w:r>
      <w:r>
        <w:rPr>
          <w:rFonts w:hint="eastAsia" w:ascii="Times New Roman" w:hAnsi="Times New Roman"/>
          <w:sz w:val="28"/>
          <w:szCs w:val="24"/>
        </w:rPr>
        <w:t>/</w:t>
      </w:r>
      <w:r>
        <w:rPr>
          <w:rFonts w:ascii="Times New Roman" w:hAnsi="Times New Roman"/>
          <w:sz w:val="28"/>
          <w:szCs w:val="24"/>
        </w:rPr>
        <w:t>246.25</w:t>
      </w:r>
      <w:r>
        <w:rPr>
          <w:rFonts w:hint="eastAsia" w:ascii="Times New Roman" w:hAnsi="Times New Roman"/>
          <w:sz w:val="28"/>
          <w:szCs w:val="24"/>
        </w:rPr>
        <w:t>=</w:t>
      </w:r>
      <w:r>
        <w:rPr>
          <w:rFonts w:ascii="Times New Roman" w:hAnsi="Times New Roman"/>
          <w:sz w:val="28"/>
          <w:szCs w:val="24"/>
        </w:rPr>
        <w:t>3.8</w:t>
      </w:r>
      <w:r>
        <w:rPr>
          <w:rFonts w:hint="eastAsia" w:ascii="Times New Roman" w:hAnsi="Times New Roman"/>
          <w:sz w:val="28"/>
          <w:szCs w:val="24"/>
        </w:rPr>
        <w:t>a。综合技术经济指标见表</w:t>
      </w:r>
      <w:r>
        <w:rPr>
          <w:rFonts w:ascii="Times New Roman" w:hAnsi="Times New Roman"/>
          <w:sz w:val="28"/>
          <w:szCs w:val="24"/>
        </w:rPr>
        <w:t>10</w:t>
      </w:r>
      <w:r>
        <w:rPr>
          <w:rFonts w:hint="eastAsia" w:ascii="Times New Roman" w:hAnsi="Times New Roman"/>
          <w:sz w:val="28"/>
          <w:szCs w:val="24"/>
        </w:rPr>
        <w:t>-3。</w:t>
      </w:r>
    </w:p>
    <w:tbl>
      <w:tblPr>
        <w:tblStyle w:val="13"/>
        <w:tblW w:w="8937" w:type="dxa"/>
        <w:tblInd w:w="-10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59"/>
        <w:gridCol w:w="3113"/>
        <w:gridCol w:w="1541"/>
        <w:gridCol w:w="1542"/>
        <w:gridCol w:w="168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42" w:hRule="exact"/>
        </w:trPr>
        <w:tc>
          <w:tcPr>
            <w:tcW w:w="8937" w:type="dxa"/>
            <w:gridSpan w:val="5"/>
            <w:tcBorders>
              <w:top w:val="nil"/>
              <w:left w:val="nil"/>
              <w:bottom w:val="single" w:color="auto" w:sz="4" w:space="0"/>
              <w:right w:val="nil"/>
            </w:tcBorders>
            <w:vAlign w:val="center"/>
          </w:tcPr>
          <w:p>
            <w:pPr>
              <w:pStyle w:val="18"/>
              <w:ind w:firstLine="482"/>
            </w:pPr>
            <w:r>
              <w:rPr>
                <w:rFonts w:hint="eastAsia"/>
              </w:rPr>
              <w:t>表1</w:t>
            </w:r>
            <w:r>
              <w:t xml:space="preserve">0-3 </w:t>
            </w:r>
            <w:r>
              <w:rPr>
                <w:rFonts w:hint="eastAsia"/>
              </w:rPr>
              <w:t>综合技术经济指标表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6" w:hRule="exact"/>
        </w:trPr>
        <w:tc>
          <w:tcPr>
            <w:tcW w:w="1059" w:type="dxa"/>
            <w:tcBorders>
              <w:top w:val="single" w:color="auto" w:sz="4" w:space="0"/>
            </w:tcBorders>
            <w:vAlign w:val="center"/>
          </w:tcPr>
          <w:p>
            <w:pPr>
              <w:pStyle w:val="17"/>
              <w:ind w:firstLine="420"/>
              <w:jc w:val="center"/>
            </w:pPr>
            <w:r>
              <w:rPr>
                <w:rFonts w:hint="eastAsia"/>
              </w:rPr>
              <w:t>序号</w:t>
            </w:r>
          </w:p>
        </w:tc>
        <w:tc>
          <w:tcPr>
            <w:tcW w:w="3113" w:type="dxa"/>
            <w:tcBorders>
              <w:top w:val="single" w:color="auto" w:sz="4" w:space="0"/>
            </w:tcBorders>
            <w:vAlign w:val="center"/>
          </w:tcPr>
          <w:p>
            <w:pPr>
              <w:pStyle w:val="17"/>
              <w:ind w:firstLine="420"/>
              <w:jc w:val="center"/>
            </w:pPr>
            <w:r>
              <w:rPr>
                <w:rFonts w:hint="eastAsia"/>
              </w:rPr>
              <w:t>指标名称</w:t>
            </w:r>
          </w:p>
        </w:tc>
        <w:tc>
          <w:tcPr>
            <w:tcW w:w="1541" w:type="dxa"/>
            <w:tcBorders>
              <w:top w:val="single" w:color="auto" w:sz="4" w:space="0"/>
            </w:tcBorders>
            <w:vAlign w:val="center"/>
          </w:tcPr>
          <w:p>
            <w:pPr>
              <w:pStyle w:val="17"/>
              <w:ind w:firstLine="420"/>
              <w:jc w:val="center"/>
            </w:pPr>
            <w:r>
              <w:rPr>
                <w:rFonts w:hint="eastAsia"/>
              </w:rPr>
              <w:t>单位</w:t>
            </w:r>
          </w:p>
        </w:tc>
        <w:tc>
          <w:tcPr>
            <w:tcW w:w="1542" w:type="dxa"/>
            <w:tcBorders>
              <w:top w:val="single" w:color="auto" w:sz="4" w:space="0"/>
            </w:tcBorders>
            <w:vAlign w:val="center"/>
          </w:tcPr>
          <w:p>
            <w:pPr>
              <w:pStyle w:val="17"/>
              <w:ind w:firstLine="420"/>
              <w:jc w:val="center"/>
            </w:pPr>
            <w:r>
              <w:rPr>
                <w:rFonts w:hint="eastAsia"/>
              </w:rPr>
              <w:t>数  量</w:t>
            </w:r>
          </w:p>
        </w:tc>
        <w:tc>
          <w:tcPr>
            <w:tcW w:w="1682" w:type="dxa"/>
            <w:tcBorders>
              <w:top w:val="single" w:color="auto" w:sz="4" w:space="0"/>
            </w:tcBorders>
            <w:vAlign w:val="center"/>
          </w:tcPr>
          <w:p>
            <w:pPr>
              <w:pStyle w:val="17"/>
              <w:ind w:firstLine="420"/>
              <w:jc w:val="center"/>
            </w:pPr>
            <w:r>
              <w:rPr>
                <w:rFonts w:hint="eastAsia"/>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6" w:hRule="exact"/>
        </w:trPr>
        <w:tc>
          <w:tcPr>
            <w:tcW w:w="1059" w:type="dxa"/>
            <w:vAlign w:val="center"/>
          </w:tcPr>
          <w:p>
            <w:pPr>
              <w:pStyle w:val="17"/>
              <w:ind w:firstLine="420"/>
              <w:jc w:val="center"/>
            </w:pPr>
            <w:r>
              <w:rPr>
                <w:rFonts w:hint="eastAsia"/>
              </w:rPr>
              <w:t>1</w:t>
            </w:r>
          </w:p>
        </w:tc>
        <w:tc>
          <w:tcPr>
            <w:tcW w:w="3113" w:type="dxa"/>
            <w:vAlign w:val="center"/>
          </w:tcPr>
          <w:p>
            <w:pPr>
              <w:pStyle w:val="17"/>
              <w:ind w:firstLine="420"/>
              <w:jc w:val="center"/>
            </w:pPr>
            <w:r>
              <w:rPr>
                <w:rFonts w:hint="eastAsia"/>
              </w:rPr>
              <w:t>项目总投资</w:t>
            </w:r>
          </w:p>
        </w:tc>
        <w:tc>
          <w:tcPr>
            <w:tcW w:w="1541" w:type="dxa"/>
            <w:vAlign w:val="center"/>
          </w:tcPr>
          <w:p>
            <w:pPr>
              <w:pStyle w:val="17"/>
              <w:ind w:firstLine="420"/>
              <w:jc w:val="center"/>
            </w:pPr>
            <w:r>
              <w:rPr>
                <w:rFonts w:hint="eastAsia"/>
              </w:rPr>
              <w:t>万元</w:t>
            </w:r>
          </w:p>
        </w:tc>
        <w:tc>
          <w:tcPr>
            <w:tcW w:w="1542" w:type="dxa"/>
            <w:vAlign w:val="center"/>
          </w:tcPr>
          <w:p>
            <w:pPr>
              <w:pStyle w:val="17"/>
              <w:ind w:firstLine="420"/>
              <w:jc w:val="center"/>
              <w:rPr>
                <w:lang w:val="en-US"/>
              </w:rPr>
            </w:pPr>
            <w:r>
              <w:rPr>
                <w:lang w:val="en-US"/>
              </w:rPr>
              <w:t>928.89</w:t>
            </w:r>
          </w:p>
        </w:tc>
        <w:tc>
          <w:tcPr>
            <w:tcW w:w="1682" w:type="dxa"/>
            <w:vAlign w:val="center"/>
          </w:tcPr>
          <w:p>
            <w:pPr>
              <w:pStyle w:val="17"/>
              <w:ind w:firstLine="420"/>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6" w:hRule="exact"/>
        </w:trPr>
        <w:tc>
          <w:tcPr>
            <w:tcW w:w="1059" w:type="dxa"/>
            <w:vAlign w:val="center"/>
          </w:tcPr>
          <w:p>
            <w:pPr>
              <w:pStyle w:val="17"/>
              <w:ind w:firstLine="420"/>
              <w:jc w:val="center"/>
            </w:pPr>
            <w:r>
              <w:rPr>
                <w:rFonts w:hint="eastAsia"/>
              </w:rPr>
              <w:t>2</w:t>
            </w:r>
          </w:p>
        </w:tc>
        <w:tc>
          <w:tcPr>
            <w:tcW w:w="3113" w:type="dxa"/>
            <w:vAlign w:val="center"/>
          </w:tcPr>
          <w:p>
            <w:pPr>
              <w:pStyle w:val="17"/>
              <w:ind w:firstLine="420"/>
              <w:jc w:val="center"/>
            </w:pPr>
            <w:r>
              <w:rPr>
                <w:rFonts w:hint="eastAsia"/>
              </w:rPr>
              <w:t>财务指标</w:t>
            </w:r>
          </w:p>
        </w:tc>
        <w:tc>
          <w:tcPr>
            <w:tcW w:w="1541" w:type="dxa"/>
            <w:vAlign w:val="center"/>
          </w:tcPr>
          <w:p>
            <w:pPr>
              <w:pStyle w:val="17"/>
              <w:ind w:firstLine="420"/>
              <w:jc w:val="center"/>
            </w:pPr>
          </w:p>
        </w:tc>
        <w:tc>
          <w:tcPr>
            <w:tcW w:w="1542" w:type="dxa"/>
            <w:vAlign w:val="center"/>
          </w:tcPr>
          <w:p>
            <w:pPr>
              <w:pStyle w:val="17"/>
              <w:ind w:firstLine="420"/>
              <w:jc w:val="center"/>
            </w:pPr>
          </w:p>
        </w:tc>
        <w:tc>
          <w:tcPr>
            <w:tcW w:w="1682" w:type="dxa"/>
            <w:vAlign w:val="center"/>
          </w:tcPr>
          <w:p>
            <w:pPr>
              <w:pStyle w:val="17"/>
              <w:ind w:firstLine="420"/>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6" w:hRule="exact"/>
        </w:trPr>
        <w:tc>
          <w:tcPr>
            <w:tcW w:w="1059" w:type="dxa"/>
            <w:vAlign w:val="center"/>
          </w:tcPr>
          <w:p>
            <w:pPr>
              <w:pStyle w:val="17"/>
              <w:ind w:firstLine="420"/>
              <w:jc w:val="center"/>
            </w:pPr>
            <w:r>
              <w:rPr>
                <w:rFonts w:hint="eastAsia"/>
              </w:rPr>
              <w:t>2.1</w:t>
            </w:r>
          </w:p>
        </w:tc>
        <w:tc>
          <w:tcPr>
            <w:tcW w:w="3113" w:type="dxa"/>
            <w:vAlign w:val="center"/>
          </w:tcPr>
          <w:p>
            <w:pPr>
              <w:pStyle w:val="17"/>
              <w:ind w:firstLine="420"/>
              <w:jc w:val="center"/>
            </w:pPr>
            <w:r>
              <w:rPr>
                <w:rFonts w:hint="eastAsia"/>
              </w:rPr>
              <w:t>产品年销售收入</w:t>
            </w:r>
          </w:p>
        </w:tc>
        <w:tc>
          <w:tcPr>
            <w:tcW w:w="1541" w:type="dxa"/>
            <w:vAlign w:val="center"/>
          </w:tcPr>
          <w:p>
            <w:pPr>
              <w:pStyle w:val="17"/>
              <w:ind w:firstLine="420"/>
              <w:jc w:val="center"/>
            </w:pPr>
            <w:r>
              <w:rPr>
                <w:rFonts w:hint="eastAsia"/>
              </w:rPr>
              <w:t>万元</w:t>
            </w:r>
          </w:p>
        </w:tc>
        <w:tc>
          <w:tcPr>
            <w:tcW w:w="1542" w:type="dxa"/>
            <w:vAlign w:val="center"/>
          </w:tcPr>
          <w:p>
            <w:pPr>
              <w:pStyle w:val="17"/>
              <w:ind w:firstLine="420"/>
              <w:jc w:val="center"/>
              <w:rPr>
                <w:lang w:val="en-US"/>
              </w:rPr>
            </w:pPr>
            <w:r>
              <w:rPr>
                <w:lang w:val="en-US"/>
              </w:rPr>
              <w:t>1000.00</w:t>
            </w:r>
          </w:p>
        </w:tc>
        <w:tc>
          <w:tcPr>
            <w:tcW w:w="1682" w:type="dxa"/>
            <w:vAlign w:val="center"/>
          </w:tcPr>
          <w:p>
            <w:pPr>
              <w:pStyle w:val="17"/>
              <w:ind w:firstLine="420"/>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6" w:hRule="exact"/>
        </w:trPr>
        <w:tc>
          <w:tcPr>
            <w:tcW w:w="1059" w:type="dxa"/>
            <w:vAlign w:val="center"/>
          </w:tcPr>
          <w:p>
            <w:pPr>
              <w:pStyle w:val="17"/>
              <w:ind w:firstLine="420"/>
              <w:jc w:val="center"/>
            </w:pPr>
            <w:r>
              <w:rPr>
                <w:rFonts w:hint="eastAsia"/>
              </w:rPr>
              <w:t>2.2</w:t>
            </w:r>
          </w:p>
        </w:tc>
        <w:tc>
          <w:tcPr>
            <w:tcW w:w="3113" w:type="dxa"/>
            <w:vAlign w:val="center"/>
          </w:tcPr>
          <w:p>
            <w:pPr>
              <w:pStyle w:val="17"/>
              <w:ind w:firstLine="420"/>
              <w:jc w:val="center"/>
            </w:pPr>
            <w:r>
              <w:rPr>
                <w:rFonts w:hint="eastAsia"/>
              </w:rPr>
              <w:t>年总生产成本费用</w:t>
            </w:r>
          </w:p>
        </w:tc>
        <w:tc>
          <w:tcPr>
            <w:tcW w:w="1541" w:type="dxa"/>
            <w:vAlign w:val="center"/>
          </w:tcPr>
          <w:p>
            <w:pPr>
              <w:pStyle w:val="17"/>
              <w:ind w:firstLine="420"/>
              <w:jc w:val="center"/>
            </w:pPr>
            <w:r>
              <w:rPr>
                <w:rFonts w:hint="eastAsia"/>
              </w:rPr>
              <w:t>万元</w:t>
            </w:r>
          </w:p>
        </w:tc>
        <w:tc>
          <w:tcPr>
            <w:tcW w:w="1542" w:type="dxa"/>
            <w:vAlign w:val="center"/>
          </w:tcPr>
          <w:p>
            <w:pPr>
              <w:pStyle w:val="17"/>
              <w:ind w:firstLine="420"/>
              <w:jc w:val="center"/>
              <w:rPr>
                <w:lang w:val="en-US"/>
              </w:rPr>
            </w:pPr>
            <w:r>
              <w:rPr>
                <w:rFonts w:hint="eastAsia"/>
                <w:lang w:val="en-US"/>
              </w:rPr>
              <w:t>600</w:t>
            </w:r>
            <w:r>
              <w:rPr>
                <w:lang w:val="en-US"/>
              </w:rPr>
              <w:t>.00</w:t>
            </w:r>
          </w:p>
        </w:tc>
        <w:tc>
          <w:tcPr>
            <w:tcW w:w="1682" w:type="dxa"/>
            <w:vAlign w:val="center"/>
          </w:tcPr>
          <w:p>
            <w:pPr>
              <w:pStyle w:val="17"/>
              <w:ind w:firstLine="420"/>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6" w:hRule="exact"/>
        </w:trPr>
        <w:tc>
          <w:tcPr>
            <w:tcW w:w="1059" w:type="dxa"/>
            <w:vAlign w:val="center"/>
          </w:tcPr>
          <w:p>
            <w:pPr>
              <w:pStyle w:val="17"/>
              <w:ind w:firstLine="420"/>
              <w:jc w:val="center"/>
            </w:pPr>
            <w:r>
              <w:rPr>
                <w:rFonts w:hint="eastAsia"/>
              </w:rPr>
              <w:t>2.3</w:t>
            </w:r>
          </w:p>
        </w:tc>
        <w:tc>
          <w:tcPr>
            <w:tcW w:w="3113" w:type="dxa"/>
            <w:vAlign w:val="center"/>
          </w:tcPr>
          <w:p>
            <w:pPr>
              <w:pStyle w:val="17"/>
              <w:ind w:firstLine="420"/>
              <w:jc w:val="center"/>
            </w:pPr>
            <w:r>
              <w:rPr>
                <w:rFonts w:hint="eastAsia"/>
              </w:rPr>
              <w:t>年利润总额</w:t>
            </w:r>
          </w:p>
        </w:tc>
        <w:tc>
          <w:tcPr>
            <w:tcW w:w="1541" w:type="dxa"/>
            <w:vAlign w:val="center"/>
          </w:tcPr>
          <w:p>
            <w:pPr>
              <w:pStyle w:val="17"/>
              <w:ind w:firstLine="420"/>
              <w:jc w:val="center"/>
            </w:pPr>
            <w:r>
              <w:rPr>
                <w:rFonts w:hint="eastAsia"/>
              </w:rPr>
              <w:t>万元</w:t>
            </w:r>
          </w:p>
        </w:tc>
        <w:tc>
          <w:tcPr>
            <w:tcW w:w="1542" w:type="dxa"/>
            <w:vAlign w:val="center"/>
          </w:tcPr>
          <w:p>
            <w:pPr>
              <w:pStyle w:val="17"/>
              <w:ind w:firstLine="420"/>
              <w:jc w:val="center"/>
              <w:rPr>
                <w:lang w:val="en-US"/>
              </w:rPr>
            </w:pPr>
            <w:r>
              <w:rPr>
                <w:lang w:val="en-US"/>
              </w:rPr>
              <w:t>328.33</w:t>
            </w:r>
          </w:p>
        </w:tc>
        <w:tc>
          <w:tcPr>
            <w:tcW w:w="1682" w:type="dxa"/>
            <w:vAlign w:val="center"/>
          </w:tcPr>
          <w:p>
            <w:pPr>
              <w:pStyle w:val="17"/>
              <w:ind w:firstLine="420"/>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6" w:hRule="exact"/>
        </w:trPr>
        <w:tc>
          <w:tcPr>
            <w:tcW w:w="1059" w:type="dxa"/>
            <w:vAlign w:val="center"/>
          </w:tcPr>
          <w:p>
            <w:pPr>
              <w:pStyle w:val="17"/>
              <w:ind w:firstLine="420"/>
              <w:jc w:val="center"/>
            </w:pPr>
            <w:r>
              <w:rPr>
                <w:rFonts w:hint="eastAsia"/>
              </w:rPr>
              <w:t>2.4</w:t>
            </w:r>
          </w:p>
        </w:tc>
        <w:tc>
          <w:tcPr>
            <w:tcW w:w="3113" w:type="dxa"/>
            <w:vAlign w:val="center"/>
          </w:tcPr>
          <w:p>
            <w:pPr>
              <w:pStyle w:val="17"/>
              <w:ind w:firstLine="420"/>
              <w:jc w:val="center"/>
            </w:pPr>
            <w:r>
              <w:rPr>
                <w:rFonts w:hint="eastAsia"/>
              </w:rPr>
              <w:t>各类税费</w:t>
            </w:r>
          </w:p>
        </w:tc>
        <w:tc>
          <w:tcPr>
            <w:tcW w:w="1541" w:type="dxa"/>
            <w:vAlign w:val="center"/>
          </w:tcPr>
          <w:p>
            <w:pPr>
              <w:pStyle w:val="17"/>
              <w:ind w:firstLine="420"/>
              <w:jc w:val="center"/>
            </w:pPr>
            <w:r>
              <w:rPr>
                <w:rFonts w:hint="eastAsia"/>
              </w:rPr>
              <w:t>万元</w:t>
            </w:r>
          </w:p>
        </w:tc>
        <w:tc>
          <w:tcPr>
            <w:tcW w:w="1542" w:type="dxa"/>
            <w:vAlign w:val="center"/>
          </w:tcPr>
          <w:p>
            <w:pPr>
              <w:pStyle w:val="17"/>
              <w:ind w:firstLine="420"/>
              <w:jc w:val="center"/>
              <w:rPr>
                <w:lang w:val="en-US"/>
              </w:rPr>
            </w:pPr>
            <w:r>
              <w:rPr>
                <w:lang w:val="en-US"/>
              </w:rPr>
              <w:t>71.67</w:t>
            </w:r>
          </w:p>
        </w:tc>
        <w:tc>
          <w:tcPr>
            <w:tcW w:w="1682" w:type="dxa"/>
            <w:vAlign w:val="center"/>
          </w:tcPr>
          <w:p>
            <w:pPr>
              <w:pStyle w:val="17"/>
              <w:ind w:firstLine="420"/>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6" w:hRule="exact"/>
        </w:trPr>
        <w:tc>
          <w:tcPr>
            <w:tcW w:w="1059" w:type="dxa"/>
            <w:vAlign w:val="center"/>
          </w:tcPr>
          <w:p>
            <w:pPr>
              <w:pStyle w:val="17"/>
              <w:ind w:firstLine="420"/>
              <w:jc w:val="center"/>
            </w:pPr>
            <w:r>
              <w:rPr>
                <w:rFonts w:hint="eastAsia"/>
              </w:rPr>
              <w:t>2.5</w:t>
            </w:r>
          </w:p>
        </w:tc>
        <w:tc>
          <w:tcPr>
            <w:tcW w:w="3113" w:type="dxa"/>
            <w:vAlign w:val="center"/>
          </w:tcPr>
          <w:p>
            <w:pPr>
              <w:pStyle w:val="17"/>
              <w:ind w:firstLine="420"/>
              <w:jc w:val="center"/>
            </w:pPr>
            <w:r>
              <w:rPr>
                <w:rFonts w:hint="eastAsia"/>
              </w:rPr>
              <w:t>年缴纳所得税</w:t>
            </w:r>
          </w:p>
        </w:tc>
        <w:tc>
          <w:tcPr>
            <w:tcW w:w="1541" w:type="dxa"/>
            <w:vAlign w:val="center"/>
          </w:tcPr>
          <w:p>
            <w:pPr>
              <w:pStyle w:val="17"/>
              <w:ind w:firstLine="420"/>
              <w:jc w:val="center"/>
            </w:pPr>
            <w:r>
              <w:rPr>
                <w:rFonts w:hint="eastAsia"/>
              </w:rPr>
              <w:t>万元</w:t>
            </w:r>
          </w:p>
        </w:tc>
        <w:tc>
          <w:tcPr>
            <w:tcW w:w="1542" w:type="dxa"/>
            <w:vAlign w:val="center"/>
          </w:tcPr>
          <w:p>
            <w:pPr>
              <w:pStyle w:val="17"/>
              <w:ind w:firstLine="420"/>
              <w:jc w:val="center"/>
              <w:rPr>
                <w:lang w:val="en-US"/>
              </w:rPr>
            </w:pPr>
            <w:r>
              <w:rPr>
                <w:lang w:val="en-US"/>
              </w:rPr>
              <w:t>82.08</w:t>
            </w:r>
          </w:p>
        </w:tc>
        <w:tc>
          <w:tcPr>
            <w:tcW w:w="1682" w:type="dxa"/>
            <w:vAlign w:val="center"/>
          </w:tcPr>
          <w:p>
            <w:pPr>
              <w:pStyle w:val="17"/>
              <w:ind w:firstLine="420"/>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6" w:hRule="exact"/>
        </w:trPr>
        <w:tc>
          <w:tcPr>
            <w:tcW w:w="1059" w:type="dxa"/>
            <w:vAlign w:val="center"/>
          </w:tcPr>
          <w:p>
            <w:pPr>
              <w:pStyle w:val="17"/>
              <w:ind w:firstLine="420"/>
              <w:jc w:val="center"/>
            </w:pPr>
            <w:r>
              <w:rPr>
                <w:rFonts w:hint="eastAsia"/>
              </w:rPr>
              <w:t>2.6</w:t>
            </w:r>
          </w:p>
        </w:tc>
        <w:tc>
          <w:tcPr>
            <w:tcW w:w="3113" w:type="dxa"/>
            <w:vAlign w:val="center"/>
          </w:tcPr>
          <w:p>
            <w:pPr>
              <w:pStyle w:val="17"/>
              <w:ind w:firstLine="420"/>
              <w:jc w:val="center"/>
            </w:pPr>
            <w:r>
              <w:rPr>
                <w:rFonts w:hint="eastAsia"/>
              </w:rPr>
              <w:t>年税后利润</w:t>
            </w:r>
          </w:p>
        </w:tc>
        <w:tc>
          <w:tcPr>
            <w:tcW w:w="1541" w:type="dxa"/>
            <w:vAlign w:val="center"/>
          </w:tcPr>
          <w:p>
            <w:pPr>
              <w:pStyle w:val="17"/>
              <w:ind w:firstLine="420"/>
              <w:jc w:val="center"/>
            </w:pPr>
            <w:r>
              <w:rPr>
                <w:rFonts w:hint="eastAsia"/>
              </w:rPr>
              <w:t>万元</w:t>
            </w:r>
          </w:p>
        </w:tc>
        <w:tc>
          <w:tcPr>
            <w:tcW w:w="1542" w:type="dxa"/>
            <w:vAlign w:val="center"/>
          </w:tcPr>
          <w:p>
            <w:pPr>
              <w:pStyle w:val="17"/>
              <w:ind w:firstLine="420"/>
              <w:jc w:val="center"/>
              <w:rPr>
                <w:lang w:val="en-US"/>
              </w:rPr>
            </w:pPr>
            <w:r>
              <w:rPr>
                <w:lang w:val="en-US"/>
              </w:rPr>
              <w:t>246.25</w:t>
            </w:r>
          </w:p>
        </w:tc>
        <w:tc>
          <w:tcPr>
            <w:tcW w:w="1682" w:type="dxa"/>
            <w:vAlign w:val="center"/>
          </w:tcPr>
          <w:p>
            <w:pPr>
              <w:pStyle w:val="17"/>
              <w:ind w:firstLine="420"/>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6" w:hRule="exact"/>
        </w:trPr>
        <w:tc>
          <w:tcPr>
            <w:tcW w:w="1059" w:type="dxa"/>
            <w:vAlign w:val="center"/>
          </w:tcPr>
          <w:p>
            <w:pPr>
              <w:pStyle w:val="17"/>
              <w:ind w:firstLine="420"/>
              <w:jc w:val="center"/>
            </w:pPr>
            <w:r>
              <w:rPr>
                <w:rFonts w:hint="eastAsia"/>
              </w:rPr>
              <w:t>3</w:t>
            </w:r>
          </w:p>
        </w:tc>
        <w:tc>
          <w:tcPr>
            <w:tcW w:w="3113" w:type="dxa"/>
            <w:vAlign w:val="center"/>
          </w:tcPr>
          <w:p>
            <w:pPr>
              <w:pStyle w:val="17"/>
              <w:ind w:firstLine="420"/>
              <w:jc w:val="center"/>
            </w:pPr>
            <w:r>
              <w:rPr>
                <w:rFonts w:hint="eastAsia"/>
              </w:rPr>
              <w:t>经济效益指标</w:t>
            </w:r>
          </w:p>
        </w:tc>
        <w:tc>
          <w:tcPr>
            <w:tcW w:w="1541" w:type="dxa"/>
            <w:vAlign w:val="center"/>
          </w:tcPr>
          <w:p>
            <w:pPr>
              <w:pStyle w:val="17"/>
              <w:ind w:firstLine="420"/>
              <w:jc w:val="center"/>
            </w:pPr>
          </w:p>
        </w:tc>
        <w:tc>
          <w:tcPr>
            <w:tcW w:w="1542" w:type="dxa"/>
            <w:vAlign w:val="center"/>
          </w:tcPr>
          <w:p>
            <w:pPr>
              <w:pStyle w:val="17"/>
              <w:ind w:firstLine="420"/>
              <w:jc w:val="center"/>
            </w:pPr>
          </w:p>
        </w:tc>
        <w:tc>
          <w:tcPr>
            <w:tcW w:w="1682" w:type="dxa"/>
            <w:vAlign w:val="center"/>
          </w:tcPr>
          <w:p>
            <w:pPr>
              <w:pStyle w:val="17"/>
              <w:ind w:firstLine="420"/>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26" w:hRule="exact"/>
        </w:trPr>
        <w:tc>
          <w:tcPr>
            <w:tcW w:w="1059" w:type="dxa"/>
            <w:vAlign w:val="center"/>
          </w:tcPr>
          <w:p>
            <w:pPr>
              <w:pStyle w:val="17"/>
              <w:ind w:firstLine="420"/>
              <w:jc w:val="center"/>
            </w:pPr>
            <w:r>
              <w:rPr>
                <w:rFonts w:hint="eastAsia"/>
              </w:rPr>
              <w:t>3.1</w:t>
            </w:r>
          </w:p>
        </w:tc>
        <w:tc>
          <w:tcPr>
            <w:tcW w:w="3113" w:type="dxa"/>
            <w:vAlign w:val="center"/>
          </w:tcPr>
          <w:p>
            <w:pPr>
              <w:pStyle w:val="17"/>
              <w:ind w:firstLine="420"/>
              <w:jc w:val="center"/>
            </w:pPr>
            <w:r>
              <w:rPr>
                <w:rFonts w:hint="eastAsia"/>
              </w:rPr>
              <w:t>年投资利润率</w:t>
            </w:r>
          </w:p>
        </w:tc>
        <w:tc>
          <w:tcPr>
            <w:tcW w:w="1541" w:type="dxa"/>
            <w:vAlign w:val="center"/>
          </w:tcPr>
          <w:p>
            <w:pPr>
              <w:pStyle w:val="17"/>
              <w:ind w:firstLine="420"/>
              <w:jc w:val="center"/>
            </w:pPr>
            <w:r>
              <w:rPr>
                <w:rFonts w:hint="eastAsia"/>
              </w:rPr>
              <w:t>％</w:t>
            </w:r>
          </w:p>
        </w:tc>
        <w:tc>
          <w:tcPr>
            <w:tcW w:w="1542" w:type="dxa"/>
            <w:vAlign w:val="center"/>
          </w:tcPr>
          <w:p>
            <w:pPr>
              <w:pStyle w:val="17"/>
              <w:ind w:firstLine="420"/>
              <w:jc w:val="center"/>
              <w:rPr>
                <w:lang w:val="en-US"/>
              </w:rPr>
            </w:pPr>
            <w:r>
              <w:rPr>
                <w:lang w:val="en-US"/>
              </w:rPr>
              <w:t>26.51</w:t>
            </w:r>
          </w:p>
        </w:tc>
        <w:tc>
          <w:tcPr>
            <w:tcW w:w="1682" w:type="dxa"/>
            <w:vAlign w:val="center"/>
          </w:tcPr>
          <w:p>
            <w:pPr>
              <w:pStyle w:val="17"/>
              <w:ind w:firstLine="420"/>
              <w:jc w:val="cente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45" w:hRule="exact"/>
        </w:trPr>
        <w:tc>
          <w:tcPr>
            <w:tcW w:w="1059" w:type="dxa"/>
            <w:vAlign w:val="center"/>
          </w:tcPr>
          <w:p>
            <w:pPr>
              <w:pStyle w:val="17"/>
              <w:ind w:firstLine="420"/>
              <w:jc w:val="center"/>
            </w:pPr>
            <w:r>
              <w:rPr>
                <w:rFonts w:hint="eastAsia"/>
              </w:rPr>
              <w:t>3.2</w:t>
            </w:r>
          </w:p>
        </w:tc>
        <w:tc>
          <w:tcPr>
            <w:tcW w:w="3113" w:type="dxa"/>
            <w:vAlign w:val="center"/>
          </w:tcPr>
          <w:p>
            <w:pPr>
              <w:pStyle w:val="17"/>
              <w:ind w:firstLine="420"/>
              <w:jc w:val="center"/>
            </w:pPr>
            <w:r>
              <w:rPr>
                <w:rFonts w:hint="eastAsia"/>
              </w:rPr>
              <w:t>投资回收期</w:t>
            </w:r>
          </w:p>
        </w:tc>
        <w:tc>
          <w:tcPr>
            <w:tcW w:w="1541" w:type="dxa"/>
            <w:vAlign w:val="center"/>
          </w:tcPr>
          <w:p>
            <w:pPr>
              <w:pStyle w:val="17"/>
              <w:ind w:firstLine="420"/>
              <w:jc w:val="center"/>
            </w:pPr>
            <w:r>
              <w:rPr>
                <w:rFonts w:hint="eastAsia"/>
              </w:rPr>
              <w:t>a</w:t>
            </w:r>
          </w:p>
        </w:tc>
        <w:tc>
          <w:tcPr>
            <w:tcW w:w="1542" w:type="dxa"/>
            <w:vAlign w:val="center"/>
          </w:tcPr>
          <w:p>
            <w:pPr>
              <w:pStyle w:val="17"/>
              <w:ind w:firstLine="420"/>
              <w:jc w:val="center"/>
              <w:rPr>
                <w:lang w:val="en-US"/>
              </w:rPr>
            </w:pPr>
            <w:r>
              <w:rPr>
                <w:lang w:val="en-US"/>
              </w:rPr>
              <w:t>3.8</w:t>
            </w:r>
          </w:p>
        </w:tc>
        <w:tc>
          <w:tcPr>
            <w:tcW w:w="1682" w:type="dxa"/>
            <w:vAlign w:val="center"/>
          </w:tcPr>
          <w:p>
            <w:pPr>
              <w:pStyle w:val="17"/>
              <w:ind w:firstLine="420"/>
              <w:jc w:val="center"/>
            </w:pPr>
            <w:r>
              <w:rPr>
                <w:rFonts w:hint="eastAsia"/>
              </w:rPr>
              <w:t>不含基建期</w:t>
            </w:r>
          </w:p>
        </w:tc>
      </w:tr>
    </w:tbl>
    <w:p>
      <w:pPr>
        <w:ind w:firstLine="560"/>
        <w:rPr>
          <w:rFonts w:ascii="宋体" w:hAnsi="宋体" w:cs="宋体"/>
          <w:kern w:val="0"/>
        </w:rPr>
      </w:pPr>
      <w:r>
        <w:rPr>
          <w:rFonts w:hint="eastAsia"/>
        </w:rPr>
        <w:t>由此可见，该项目的各项财务指标较好，具有一定的经济和社会效益。</w:t>
      </w:r>
    </w:p>
    <w:p>
      <w:pPr>
        <w:pStyle w:val="5"/>
        <w:ind w:firstLine="562"/>
      </w:pPr>
      <w:bookmarkStart w:id="483" w:name="_Toc502783493"/>
      <w:bookmarkStart w:id="484" w:name="_Toc395519231"/>
      <w:bookmarkStart w:id="485" w:name="_Toc70589799"/>
      <w:bookmarkStart w:id="486" w:name="_Toc214407050"/>
      <w:bookmarkStart w:id="487" w:name="_Toc325471847"/>
      <w:bookmarkStart w:id="488" w:name="_Toc213683115"/>
      <w:r>
        <w:rPr>
          <w:rFonts w:hint="eastAsia"/>
        </w:rPr>
        <w:t>10.</w:t>
      </w:r>
      <w:r>
        <w:t>3</w:t>
      </w:r>
      <w:r>
        <w:rPr>
          <w:rFonts w:hint="eastAsia"/>
        </w:rPr>
        <w:t>.7 财务评价指标</w:t>
      </w:r>
      <w:bookmarkEnd w:id="483"/>
      <w:bookmarkEnd w:id="484"/>
      <w:bookmarkEnd w:id="485"/>
      <w:bookmarkEnd w:id="486"/>
      <w:bookmarkEnd w:id="487"/>
      <w:bookmarkEnd w:id="488"/>
    </w:p>
    <w:p>
      <w:pPr>
        <w:ind w:firstLine="560"/>
      </w:pPr>
      <w:r>
        <w:rPr>
          <w:rFonts w:hint="eastAsia"/>
        </w:rPr>
        <w:t xml:space="preserve">投资利润率                   </w:t>
      </w:r>
      <w:r>
        <w:t>26.51</w:t>
      </w:r>
      <w:r>
        <w:rPr>
          <w:rFonts w:hint="eastAsia"/>
        </w:rPr>
        <w:t>％</w:t>
      </w:r>
    </w:p>
    <w:p>
      <w:pPr>
        <w:ind w:firstLine="560"/>
        <w:sectPr>
          <w:pgSz w:w="11906" w:h="16838"/>
          <w:pgMar w:top="1440" w:right="1800" w:bottom="1440" w:left="1800" w:header="851" w:footer="992" w:gutter="0"/>
          <w:cols w:space="720" w:num="1"/>
          <w:docGrid w:type="lines" w:linePitch="312" w:charSpace="0"/>
        </w:sectPr>
      </w:pPr>
      <w:r>
        <w:rPr>
          <w:rFonts w:hint="eastAsia"/>
        </w:rPr>
        <w:t xml:space="preserve">静态投资回收期               </w:t>
      </w:r>
      <w:r>
        <w:t>3.8</w:t>
      </w:r>
      <w:r>
        <w:rPr>
          <w:rFonts w:hint="eastAsia"/>
        </w:rPr>
        <w:t>a（不含基建期）</w:t>
      </w:r>
      <w:bookmarkEnd w:id="339"/>
    </w:p>
    <w:p>
      <w:pPr>
        <w:pStyle w:val="3"/>
        <w:spacing w:before="312"/>
        <w:ind w:firstLine="602"/>
      </w:pPr>
      <w:bookmarkStart w:id="489" w:name="_Toc6266"/>
      <w:bookmarkStart w:id="490" w:name="_Toc71621612"/>
      <w:bookmarkStart w:id="491" w:name="_Toc147563699"/>
      <w:bookmarkStart w:id="492" w:name="_Toc511226441"/>
      <w:bookmarkStart w:id="493" w:name="_Toc70589800"/>
      <w:bookmarkStart w:id="494" w:name="_Toc214407054"/>
      <w:bookmarkStart w:id="495" w:name="_Toc502783494"/>
      <w:r>
        <w:rPr>
          <w:rFonts w:hint="eastAsia"/>
        </w:rPr>
        <w:t>11  矿山安全设施及措施要求</w:t>
      </w:r>
      <w:bookmarkEnd w:id="489"/>
      <w:bookmarkEnd w:id="490"/>
      <w:bookmarkEnd w:id="491"/>
      <w:bookmarkEnd w:id="492"/>
      <w:bookmarkEnd w:id="493"/>
      <w:bookmarkEnd w:id="494"/>
      <w:bookmarkEnd w:id="495"/>
    </w:p>
    <w:p>
      <w:pPr>
        <w:pStyle w:val="4"/>
      </w:pPr>
      <w:bookmarkStart w:id="496" w:name="_Toc214407055"/>
      <w:bookmarkStart w:id="497" w:name="_Toc511226442"/>
      <w:bookmarkStart w:id="498" w:name="_Toc15101"/>
      <w:bookmarkStart w:id="499" w:name="_Toc70589801"/>
      <w:bookmarkStart w:id="500" w:name="_Toc502783495"/>
      <w:bookmarkStart w:id="501" w:name="_Toc147563700"/>
      <w:bookmarkStart w:id="502" w:name="_Toc71621613"/>
      <w:r>
        <w:rPr>
          <w:rFonts w:hint="eastAsia"/>
        </w:rPr>
        <w:t xml:space="preserve">11.1 </w:t>
      </w:r>
      <w:bookmarkEnd w:id="496"/>
      <w:r>
        <w:rPr>
          <w:rFonts w:hint="eastAsia"/>
        </w:rPr>
        <w:t>矿山主要危险、有害因素</w:t>
      </w:r>
      <w:bookmarkEnd w:id="497"/>
      <w:bookmarkEnd w:id="498"/>
      <w:bookmarkEnd w:id="499"/>
      <w:bookmarkEnd w:id="500"/>
      <w:bookmarkEnd w:id="501"/>
      <w:bookmarkEnd w:id="502"/>
      <w:r>
        <w:rPr>
          <w:rFonts w:hint="eastAsia"/>
        </w:rPr>
        <w:t xml:space="preserve"> </w:t>
      </w:r>
    </w:p>
    <w:p>
      <w:pPr>
        <w:ind w:firstLine="560"/>
      </w:pPr>
      <w:bookmarkStart w:id="503" w:name="_Toc211070110"/>
      <w:bookmarkStart w:id="504" w:name="_Toc214407056"/>
      <w:bookmarkStart w:id="505" w:name="_Toc213683086"/>
      <w:r>
        <w:rPr>
          <w:rFonts w:hint="eastAsia"/>
        </w:rPr>
        <w:t>通过对该建设项目中存在的危险、有害因素的辨识和分析，确定该建设项目中存在的危险、有害因素主要包括露天边坡失稳造成的滑坡（片帮）、塌方灾害及排弃灾害、触电、机械伤害、高处坠落、物体打击、车辆伤害、职业病危害和其他等十多项，通过对以上主要危险、危害因素的分析，认为滑坡、塌方、为该矿在今后生产过程中不可忽视的危险因素，应作为危险、有害因素的重点加以预防。</w:t>
      </w:r>
    </w:p>
    <w:p>
      <w:pPr>
        <w:pStyle w:val="4"/>
      </w:pPr>
      <w:bookmarkStart w:id="506" w:name="_Toc502783496"/>
      <w:bookmarkStart w:id="507" w:name="_Toc147563701"/>
      <w:bookmarkStart w:id="508" w:name="_Toc511226443"/>
      <w:bookmarkStart w:id="509" w:name="_Toc4875"/>
      <w:bookmarkStart w:id="510" w:name="_Toc70589802"/>
      <w:bookmarkStart w:id="511" w:name="_Toc71621614"/>
      <w:r>
        <w:rPr>
          <w:rFonts w:hint="eastAsia"/>
        </w:rPr>
        <w:t>11.2 矿床开采安全防范措施</w:t>
      </w:r>
      <w:bookmarkEnd w:id="503"/>
      <w:bookmarkEnd w:id="504"/>
      <w:bookmarkEnd w:id="505"/>
      <w:bookmarkEnd w:id="506"/>
      <w:bookmarkEnd w:id="507"/>
      <w:bookmarkEnd w:id="508"/>
      <w:bookmarkEnd w:id="509"/>
      <w:bookmarkEnd w:id="510"/>
      <w:bookmarkEnd w:id="511"/>
    </w:p>
    <w:p>
      <w:pPr>
        <w:ind w:firstLine="560"/>
      </w:pPr>
      <w:bookmarkStart w:id="512" w:name="_Toc395519235"/>
      <w:bookmarkStart w:id="513" w:name="_Toc394082044"/>
      <w:bookmarkStart w:id="514" w:name="_Toc393202230"/>
      <w:bookmarkStart w:id="515" w:name="_Toc395519066"/>
      <w:r>
        <w:rPr>
          <w:rFonts w:hint="eastAsia"/>
        </w:rPr>
        <w:t>⑴采场安全措施</w:t>
      </w:r>
      <w:bookmarkEnd w:id="512"/>
      <w:bookmarkEnd w:id="513"/>
      <w:bookmarkEnd w:id="514"/>
      <w:bookmarkEnd w:id="515"/>
    </w:p>
    <w:p>
      <w:pPr>
        <w:ind w:firstLine="560"/>
      </w:pPr>
      <w:r>
        <w:rPr>
          <w:rFonts w:hint="eastAsia"/>
        </w:rPr>
        <w:t>矿体出露地表，露天采坑对人身安全构成了威胁，因此，严禁在错动带内进行任何作业，同时应加强安全警戒，圈定立桩并标明危险区，定期进行检查监测。</w:t>
      </w:r>
    </w:p>
    <w:p>
      <w:pPr>
        <w:ind w:firstLine="560"/>
      </w:pPr>
      <w:r>
        <w:rPr>
          <w:rFonts w:hint="eastAsia"/>
        </w:rPr>
        <w:t>为防止采场坑片帮、滑坡事故，严格控制台阶高度和边坡角，雨季时尤需注意边坡滑移监测；要进行岩石力学研究，为露天采场工程施工提供理论依据。</w:t>
      </w:r>
    </w:p>
    <w:p>
      <w:pPr>
        <w:ind w:firstLine="560"/>
      </w:pPr>
      <w:r>
        <w:rPr>
          <w:rFonts w:hint="eastAsia"/>
        </w:rPr>
        <w:t>作业前，必须对工作面进行安全检查，清除伞檐和其他危险物体。作业中，应随时观测检查。当发现工作面有危险发生时，必须迅速处理。处理时要有可靠安全措施，受其威胁地段的人员和设备应撤至安全地点。</w:t>
      </w:r>
    </w:p>
    <w:p>
      <w:pPr>
        <w:ind w:firstLine="560"/>
      </w:pPr>
      <w:r>
        <w:rPr>
          <w:rFonts w:hint="eastAsia"/>
        </w:rPr>
        <w:t>露天采场必须指派专人负责边帮管理。边帮管理人员发现边帮有塌滑征兆时，有权下令停止采剥作业，撤出人员和设备，事后须及时向矿场负责人报告。对有潜在危险的边坡，要建立观测预报制度；</w:t>
      </w:r>
    </w:p>
    <w:p>
      <w:pPr>
        <w:ind w:firstLine="560"/>
      </w:pPr>
      <w:r>
        <w:rPr>
          <w:rFonts w:hint="eastAsia"/>
        </w:rPr>
        <w:t>采场施工时，采剥工作面有伞檐时，必须制定严格有效的安全措施及时妥善处理。如未处理，不得在危险区从事其他任何作业，并须制作醒目危险标志。禁止任何人员在边坡底部休息和停留；</w:t>
      </w:r>
    </w:p>
    <w:p>
      <w:pPr>
        <w:ind w:firstLine="560"/>
      </w:pPr>
      <w:bookmarkStart w:id="516" w:name="_Toc395519068"/>
      <w:bookmarkStart w:id="517" w:name="_Toc395519237"/>
      <w:bookmarkStart w:id="518" w:name="_Toc394082046"/>
      <w:bookmarkStart w:id="519" w:name="_Toc393202232"/>
      <w:r>
        <w:rPr>
          <w:rFonts w:hint="eastAsia"/>
        </w:rPr>
        <w:t>⑵防尘</w:t>
      </w:r>
      <w:bookmarkEnd w:id="516"/>
      <w:bookmarkEnd w:id="517"/>
      <w:bookmarkEnd w:id="518"/>
      <w:bookmarkEnd w:id="519"/>
    </w:p>
    <w:p>
      <w:pPr>
        <w:ind w:firstLine="560"/>
      </w:pPr>
      <w:r>
        <w:rPr>
          <w:rFonts w:hint="eastAsia"/>
        </w:rPr>
        <w:t>采场作业中各作业点产生的粉尘，采取湿式作业及喷雾洒水等方法来解决，并佩戴纱布或防尘口罩，加强个体防护措施。</w:t>
      </w:r>
    </w:p>
    <w:p>
      <w:pPr>
        <w:ind w:firstLine="560"/>
      </w:pPr>
      <w:bookmarkStart w:id="520" w:name="_Toc394082047"/>
      <w:bookmarkStart w:id="521" w:name="_Toc395519069"/>
      <w:bookmarkStart w:id="522" w:name="_Toc395519238"/>
      <w:bookmarkStart w:id="523" w:name="_Toc393202233"/>
      <w:r>
        <w:rPr>
          <w:rFonts w:hint="eastAsia"/>
        </w:rPr>
        <w:t>⑶防火</w:t>
      </w:r>
      <w:bookmarkEnd w:id="520"/>
      <w:bookmarkEnd w:id="521"/>
      <w:bookmarkEnd w:id="522"/>
      <w:bookmarkEnd w:id="523"/>
    </w:p>
    <w:p>
      <w:pPr>
        <w:ind w:firstLine="560"/>
      </w:pPr>
      <w:r>
        <w:rPr>
          <w:rFonts w:hint="eastAsia"/>
        </w:rPr>
        <w:t>防火涉及整个矿区，防火范围涉及采矿工业场地、辅助工业场地、办公生活区、供配电室及机房。矿区应设立火灾监控、报警系统，实时监控矿区各个位置的情况，一遇火灾，应能迅速反应及时报警，矿山每年应编制防灭火计划并规定和安装专门的声光防火信号。</w:t>
      </w:r>
    </w:p>
    <w:p>
      <w:pPr>
        <w:ind w:firstLine="560"/>
      </w:pPr>
      <w:r>
        <w:rPr>
          <w:rFonts w:hint="eastAsia"/>
        </w:rPr>
        <w:t>矿山防灭火必须严格按照《金属非金属矿山安全规程》（GB16423—20</w:t>
      </w:r>
      <w:r>
        <w:t>2</w:t>
      </w:r>
      <w:r>
        <w:rPr>
          <w:rFonts w:hint="eastAsia"/>
        </w:rPr>
        <w:t>0）防火和灭火的要求进行。供配电室及机房配备一定的消防器材。</w:t>
      </w:r>
    </w:p>
    <w:p>
      <w:pPr>
        <w:ind w:firstLine="560"/>
      </w:pPr>
      <w:bookmarkStart w:id="524" w:name="_Toc393202234"/>
      <w:bookmarkStart w:id="525" w:name="_Toc395519070"/>
      <w:bookmarkStart w:id="526" w:name="_Toc394082048"/>
      <w:bookmarkStart w:id="527" w:name="_Toc395519239"/>
      <w:r>
        <w:rPr>
          <w:rFonts w:hint="eastAsia"/>
        </w:rPr>
        <w:t>⑷预防矿山水灾</w:t>
      </w:r>
      <w:bookmarkEnd w:id="524"/>
      <w:bookmarkEnd w:id="525"/>
      <w:bookmarkEnd w:id="526"/>
      <w:bookmarkEnd w:id="527"/>
    </w:p>
    <w:p>
      <w:pPr>
        <w:ind w:firstLine="560"/>
      </w:pPr>
      <w:r>
        <w:rPr>
          <w:rFonts w:hint="eastAsia"/>
        </w:rPr>
        <w:t>矿区地势周围较高，不存在来自地表洪水的威胁。但露天采场充水可能会通过地质构造弱面渗透到采场内，因此，要建立可靠的露天坑内排水系统。</w:t>
      </w:r>
      <w:bookmarkStart w:id="528" w:name="_Toc208916038"/>
    </w:p>
    <w:p>
      <w:pPr>
        <w:ind w:firstLine="560"/>
      </w:pPr>
      <w:r>
        <w:rPr>
          <w:rFonts w:hint="eastAsia"/>
        </w:rPr>
        <w:t>矿山防排水必须严格按照《金属非金属矿山安全规程》（GB16423—2006）防排水的要求进行。</w:t>
      </w:r>
    </w:p>
    <w:p>
      <w:pPr>
        <w:ind w:firstLine="560"/>
      </w:pPr>
      <w:bookmarkStart w:id="529" w:name="_Toc393202235"/>
      <w:bookmarkStart w:id="530" w:name="_Toc394082049"/>
      <w:bookmarkStart w:id="531" w:name="_Toc395519240"/>
      <w:bookmarkStart w:id="532" w:name="_Toc395519071"/>
      <w:r>
        <w:rPr>
          <w:rFonts w:hint="eastAsia"/>
        </w:rPr>
        <w:t>⑸矿山运输安全</w:t>
      </w:r>
      <w:bookmarkEnd w:id="528"/>
      <w:bookmarkEnd w:id="529"/>
      <w:bookmarkEnd w:id="530"/>
      <w:bookmarkEnd w:id="531"/>
      <w:bookmarkEnd w:id="532"/>
    </w:p>
    <w:p>
      <w:pPr>
        <w:ind w:firstLine="560"/>
      </w:pPr>
      <w:r>
        <w:rPr>
          <w:rFonts w:hint="eastAsia"/>
        </w:rPr>
        <w:t>严格执行《金属非金属矿山安全规程》（GB16423—2006）的要求。采场工作台要按要求设置人行道、安全间隙及有关保护装置；采、装、运工作严格按规定进行，防止采、装、运输过程中物料坠落伤人，车辆严禁载人；以确保安全。</w:t>
      </w:r>
    </w:p>
    <w:p>
      <w:pPr>
        <w:ind w:firstLine="560"/>
      </w:pPr>
      <w:bookmarkStart w:id="533" w:name="_Toc394082050"/>
      <w:bookmarkStart w:id="534" w:name="_Toc395519241"/>
      <w:bookmarkStart w:id="535" w:name="_Toc393202236"/>
      <w:bookmarkStart w:id="536" w:name="_Toc395519072"/>
      <w:bookmarkStart w:id="537" w:name="_Toc208916039"/>
      <w:r>
        <w:rPr>
          <w:rFonts w:hint="eastAsia"/>
        </w:rPr>
        <w:t>⑹电气及防雷</w:t>
      </w:r>
      <w:bookmarkEnd w:id="533"/>
      <w:bookmarkEnd w:id="534"/>
      <w:bookmarkEnd w:id="535"/>
      <w:bookmarkEnd w:id="536"/>
      <w:bookmarkEnd w:id="537"/>
    </w:p>
    <w:p>
      <w:pPr>
        <w:ind w:firstLine="560"/>
      </w:pPr>
      <w:r>
        <w:rPr>
          <w:rFonts w:hint="eastAsia"/>
        </w:rPr>
        <w:t>矿山用电安全必须严格按照《金属非金属矿山安全规程》（GB16423—2006）电气安全的要求进行。</w:t>
      </w:r>
    </w:p>
    <w:p>
      <w:pPr>
        <w:ind w:firstLine="560"/>
      </w:pPr>
      <w:r>
        <w:rPr>
          <w:rFonts w:hint="eastAsia"/>
        </w:rPr>
        <w:t>对人员进行严格的电气安全教育，各电气危险区域设置明显的标志和警示牌，所有电气设施应绝缘良好，用电设备外壳应可靠接地或接零。变电站应设置防雷击的避雷针，所有正常情况下不带电的电气设备的金属外壳均需可靠接地。供电设备和线路的停电、送电，必须严格执行工作票制度，每台用电设备必须有专用的受电开关，停电、送电必须挂工作牌。</w:t>
      </w:r>
    </w:p>
    <w:p>
      <w:pPr>
        <w:ind w:firstLine="560"/>
      </w:pPr>
      <w:bookmarkStart w:id="538" w:name="_Toc394082051"/>
      <w:bookmarkStart w:id="539" w:name="_Toc208916040"/>
      <w:bookmarkStart w:id="540" w:name="_Toc395519242"/>
      <w:bookmarkStart w:id="541" w:name="_Toc393202237"/>
      <w:bookmarkStart w:id="542" w:name="_Toc395519073"/>
      <w:r>
        <w:rPr>
          <w:rFonts w:hint="eastAsia"/>
        </w:rPr>
        <w:t>⑺总平面布置与安全</w:t>
      </w:r>
      <w:bookmarkEnd w:id="538"/>
      <w:bookmarkEnd w:id="539"/>
      <w:bookmarkEnd w:id="540"/>
      <w:bookmarkEnd w:id="541"/>
      <w:bookmarkEnd w:id="542"/>
    </w:p>
    <w:p>
      <w:pPr>
        <w:ind w:firstLine="560"/>
      </w:pPr>
      <w:r>
        <w:rPr>
          <w:rFonts w:hint="eastAsia"/>
        </w:rPr>
        <w:t>各建筑物之间，总体布置时应设有足够的防火间距和通道，各建筑物均应设置防雷击安全接地设施。</w:t>
      </w:r>
    </w:p>
    <w:p>
      <w:pPr>
        <w:ind w:firstLine="560"/>
      </w:pPr>
      <w:r>
        <w:rPr>
          <w:rFonts w:hint="eastAsia"/>
        </w:rPr>
        <w:t>⑻矿区要建立完善的通讯网络，并由专人维护，确保运行正常。</w:t>
      </w:r>
    </w:p>
    <w:p>
      <w:pPr>
        <w:ind w:firstLine="560"/>
      </w:pPr>
      <w:r>
        <w:rPr>
          <w:rFonts w:hint="eastAsia"/>
        </w:rPr>
        <w:t>⑼职业病防护</w:t>
      </w:r>
    </w:p>
    <w:p>
      <w:pPr>
        <w:ind w:firstLine="560"/>
      </w:pPr>
      <w:r>
        <w:rPr>
          <w:rFonts w:hint="eastAsia"/>
        </w:rPr>
        <w:t>①粉尘</w:t>
      </w:r>
    </w:p>
    <w:p>
      <w:pPr>
        <w:ind w:firstLine="560"/>
      </w:pPr>
      <w:r>
        <w:rPr>
          <w:rFonts w:hint="eastAsia"/>
        </w:rPr>
        <w:t>作业的主要产尘地点有采场装卸、筛选以及有关的运输车辆环节等。为使采场空气含尘量小于2mg/m</w:t>
      </w:r>
      <w:r>
        <w:rPr>
          <w:rFonts w:hint="eastAsia"/>
          <w:vertAlign w:val="superscript"/>
        </w:rPr>
        <w:t>3</w:t>
      </w:r>
      <w:r>
        <w:rPr>
          <w:rFonts w:hint="eastAsia"/>
        </w:rPr>
        <w:t>以下。设计采取了以下防尘措施：</w:t>
      </w:r>
    </w:p>
    <w:p>
      <w:pPr>
        <w:ind w:firstLine="560"/>
      </w:pPr>
      <w:r>
        <w:rPr>
          <w:rFonts w:hint="eastAsia"/>
        </w:rPr>
        <w:t>❶对各产尘点进行喷雾洒水，定期对露天坑壁和道路进行洒水冲洗；</w:t>
      </w:r>
    </w:p>
    <w:p>
      <w:pPr>
        <w:ind w:firstLine="560"/>
      </w:pPr>
      <w:r>
        <w:rPr>
          <w:rFonts w:hint="eastAsia"/>
        </w:rPr>
        <w:t>❷地表砂石堆放点覆盖降尘；</w:t>
      </w:r>
    </w:p>
    <w:p>
      <w:pPr>
        <w:ind w:firstLine="560"/>
      </w:pPr>
      <w:r>
        <w:rPr>
          <w:rFonts w:hint="eastAsia"/>
        </w:rPr>
        <w:t>❸拉运过程中，给运输车辆准备盖顶或篷布，对于装载机操作手在装卸过程中要求 其规范作业，避免由于装车的散乱而在成运输中的矿体粉尘遗撒和扬尘；</w:t>
      </w:r>
    </w:p>
    <w:p>
      <w:pPr>
        <w:ind w:firstLine="560"/>
      </w:pPr>
      <w:r>
        <w:rPr>
          <w:rFonts w:hint="eastAsia"/>
        </w:rPr>
        <w:t>❹严格要求运输人员在运输过程中不能超速行驶，避免造成车辆颠簸而导致的砂矿 遗撒和扬尘；</w:t>
      </w:r>
    </w:p>
    <w:p>
      <w:pPr>
        <w:ind w:firstLine="560"/>
      </w:pPr>
      <w:r>
        <w:rPr>
          <w:rFonts w:hint="eastAsia"/>
        </w:rPr>
        <w:t>❺由于运输设备产生的燃油废气及生活燃煤废气的总产生量不大，又不集中，故对 环境影响不大；</w:t>
      </w:r>
    </w:p>
    <w:p>
      <w:pPr>
        <w:ind w:firstLine="560"/>
      </w:pPr>
      <w:r>
        <w:rPr>
          <w:rFonts w:hint="eastAsia"/>
        </w:rPr>
        <w:t>❻加强个人防护，佩戴防尘口罩等。</w:t>
      </w:r>
    </w:p>
    <w:p>
      <w:pPr>
        <w:ind w:firstLine="560"/>
      </w:pPr>
      <w:r>
        <w:rPr>
          <w:rFonts w:hint="eastAsia"/>
        </w:rPr>
        <w:t>②噪声</w:t>
      </w:r>
    </w:p>
    <w:p>
      <w:pPr>
        <w:ind w:firstLine="560"/>
      </w:pPr>
      <w:r>
        <w:rPr>
          <w:rFonts w:hint="eastAsia"/>
        </w:rPr>
        <w:t>噪声和振动是相伴相生和互为表里的一种自然现象。本项目在运行过程中产生的噪声有机械动力噪声、气体动力噪声等。</w:t>
      </w:r>
    </w:p>
    <w:p>
      <w:pPr>
        <w:ind w:firstLine="560"/>
      </w:pPr>
      <w:r>
        <w:rPr>
          <w:rFonts w:hint="eastAsia"/>
        </w:rPr>
        <w:t>机械动力噪声主要发生于机械设备运转过程中由振动、磨擦、碰撞产生的噪声，以低、中频为主。这类设备包括水泵、电动机、变压器、断路器、除尘设备等。</w:t>
      </w:r>
    </w:p>
    <w:p>
      <w:pPr>
        <w:ind w:firstLine="560"/>
      </w:pPr>
      <w:r>
        <w:rPr>
          <w:rFonts w:hint="eastAsia"/>
        </w:rPr>
        <w:t>噪声对人体的危害主要表现在：a损害人的听觉器官；b可引起多种疾病，如消化不良，食欲不振、血压上升、神经衰弱等症状；c影响工作，易产生安全事故。</w:t>
      </w:r>
    </w:p>
    <w:p>
      <w:pPr>
        <w:ind w:firstLine="560"/>
      </w:pPr>
      <w:r>
        <w:rPr>
          <w:rFonts w:hint="eastAsia"/>
        </w:rPr>
        <w:t>③高温</w:t>
      </w:r>
    </w:p>
    <w:p>
      <w:pPr>
        <w:ind w:firstLine="560"/>
      </w:pPr>
      <w:r>
        <w:rPr>
          <w:rFonts w:hint="eastAsia"/>
        </w:rPr>
        <w:t>高温环境会引起烫伤及中暑（热射病、日射病、热痉挛、热衰竭），长期高温作业（数年）可出现高血压、心肌受损和消化功能障碍病症。采取的对策措施：</w:t>
      </w:r>
    </w:p>
    <w:p>
      <w:pPr>
        <w:ind w:firstLine="560"/>
      </w:pPr>
      <w:r>
        <w:rPr>
          <w:rFonts w:hint="eastAsia"/>
        </w:rPr>
        <w:t>❶在生产过程中对放散粉尘，应加强设备密闭，采取遥控及自控，避免直接操作。并应结合生产工艺设计，采取综合有效的预防和治理措施，降低物料落差，增湿扬尘物料，采取通风除尘，使扬尘点形成负压操作。</w:t>
      </w:r>
    </w:p>
    <w:p>
      <w:pPr>
        <w:ind w:firstLine="560"/>
      </w:pPr>
      <w:r>
        <w:rPr>
          <w:rFonts w:hint="eastAsia"/>
        </w:rPr>
        <w:t>❷按照《工作场所有害因素职业接触限值》标准的要求进行设计，粉尘的时间加权平均容许浓度为10mg／m</w:t>
      </w:r>
      <w:r>
        <w:rPr>
          <w:rFonts w:hint="eastAsia"/>
          <w:vertAlign w:val="superscript"/>
        </w:rPr>
        <w:t>3</w:t>
      </w:r>
      <w:r>
        <w:rPr>
          <w:rFonts w:hint="eastAsia"/>
        </w:rPr>
        <w:t>，短时间接触容许浓度为6mg／m</w:t>
      </w:r>
      <w:r>
        <w:rPr>
          <w:rFonts w:hint="eastAsia"/>
          <w:vertAlign w:val="superscript"/>
        </w:rPr>
        <w:t>3</w:t>
      </w:r>
      <w:r>
        <w:rPr>
          <w:rFonts w:hint="eastAsia"/>
        </w:rPr>
        <w:t>。</w:t>
      </w:r>
    </w:p>
    <w:p>
      <w:pPr>
        <w:ind w:firstLine="560"/>
      </w:pPr>
      <w:r>
        <w:rPr>
          <w:rFonts w:hint="eastAsia"/>
        </w:rPr>
        <w:t>❸为生产系统的工作人员配备防尘口罩等劳保用品。</w:t>
      </w:r>
    </w:p>
    <w:p>
      <w:pPr>
        <w:ind w:firstLine="560"/>
      </w:pPr>
      <w:r>
        <w:rPr>
          <w:rFonts w:hint="eastAsia"/>
        </w:rPr>
        <w:t>❹接触粉尘和有害物质的作业人员，当粉尘中含游离二氧化硅10％以上时，每2年至少检查1次；在10％以下时，每3年至少检查1次。</w:t>
      </w:r>
    </w:p>
    <w:p>
      <w:pPr>
        <w:ind w:firstLine="560"/>
      </w:pPr>
      <w:r>
        <w:rPr>
          <w:rFonts w:hint="eastAsia"/>
        </w:rPr>
        <w:t>❺应加强作业人员的个人防护，佩戴耳塞、耳罩及防护头盔等劳保用品，减少噪声对工人的直接影响。</w:t>
      </w:r>
    </w:p>
    <w:p>
      <w:pPr>
        <w:ind w:firstLine="560"/>
      </w:pPr>
      <w:r>
        <w:rPr>
          <w:rFonts w:hint="eastAsia"/>
        </w:rPr>
        <w:t>❻在设备选型时，应考虑设备的噪声强度；设备安装中，应注意设备基础的牢固程度和联接的紧密程度，防止因振动和冲击产生噪声，特别在鼓、引风机，空压机的进出风口应安装消声器，各类风机、热水循环泵等大型机座加减振垫，管道设防振装置，安装消音器，并减少工作人员的接触噪声时间。</w:t>
      </w:r>
    </w:p>
    <w:p>
      <w:pPr>
        <w:ind w:firstLine="560"/>
      </w:pPr>
      <w:r>
        <w:rPr>
          <w:rFonts w:hint="eastAsia"/>
        </w:rPr>
        <w:t>❼做好夏季防暑工作，采场内设置遮荫棚、供水点等设施。</w:t>
      </w:r>
    </w:p>
    <w:p>
      <w:pPr>
        <w:pStyle w:val="4"/>
      </w:pPr>
      <w:bookmarkStart w:id="543" w:name="_Toc245107524"/>
      <w:bookmarkStart w:id="544" w:name="_Toc251587003"/>
      <w:bookmarkStart w:id="545" w:name="_Toc27982"/>
      <w:bookmarkStart w:id="546" w:name="_Toc511226444"/>
      <w:bookmarkStart w:id="547" w:name="_Toc70589803"/>
      <w:bookmarkStart w:id="548" w:name="_Toc392015066"/>
      <w:bookmarkStart w:id="549" w:name="_Toc147563702"/>
      <w:bookmarkStart w:id="550" w:name="_Toc71621615"/>
      <w:bookmarkStart w:id="551" w:name="_Toc502783497"/>
      <w:r>
        <w:rPr>
          <w:rFonts w:hint="eastAsia"/>
        </w:rPr>
        <w:t>11.</w:t>
      </w:r>
      <w:bookmarkEnd w:id="543"/>
      <w:bookmarkEnd w:id="544"/>
      <w:r>
        <w:rPr>
          <w:rFonts w:hint="eastAsia"/>
        </w:rPr>
        <w:t>3安全管理</w:t>
      </w:r>
      <w:bookmarkEnd w:id="545"/>
      <w:bookmarkEnd w:id="546"/>
      <w:bookmarkEnd w:id="547"/>
      <w:bookmarkEnd w:id="548"/>
      <w:bookmarkEnd w:id="549"/>
      <w:bookmarkEnd w:id="550"/>
      <w:bookmarkEnd w:id="551"/>
    </w:p>
    <w:p>
      <w:pPr>
        <w:pStyle w:val="5"/>
        <w:ind w:firstLine="562"/>
      </w:pPr>
      <w:bookmarkStart w:id="552" w:name="_Toc502783498"/>
      <w:bookmarkStart w:id="553" w:name="_Toc70589804"/>
      <w:bookmarkStart w:id="554" w:name="_Toc392015067"/>
      <w:bookmarkStart w:id="555" w:name="_Toc395519244"/>
      <w:bookmarkStart w:id="556" w:name="_Toc334185610"/>
      <w:bookmarkStart w:id="557" w:name="_Toc364928275"/>
      <w:bookmarkStart w:id="558" w:name="_Toc395519075"/>
      <w:bookmarkStart w:id="559" w:name="_Toc257625160"/>
      <w:r>
        <w:rPr>
          <w:rFonts w:hint="eastAsia"/>
        </w:rPr>
        <w:t>11.3.1矿山安全机构</w:t>
      </w:r>
      <w:bookmarkEnd w:id="552"/>
      <w:bookmarkEnd w:id="553"/>
      <w:bookmarkEnd w:id="554"/>
      <w:bookmarkEnd w:id="555"/>
      <w:bookmarkEnd w:id="556"/>
      <w:bookmarkEnd w:id="557"/>
      <w:bookmarkEnd w:id="558"/>
      <w:bookmarkEnd w:id="559"/>
    </w:p>
    <w:p>
      <w:pPr>
        <w:ind w:firstLine="560"/>
      </w:pPr>
      <w:r>
        <w:rPr>
          <w:rFonts w:hint="eastAsia"/>
        </w:rPr>
        <w:t>矿山设安全环保科，配备专职安全管理人员3人，负责该矿区安全检查及安全教育、环境保护工作，各班组设兼职安全员。矿长（经理）要对全矿安全工作负总责，主持制定全矿安全投入计划。</w:t>
      </w:r>
    </w:p>
    <w:p>
      <w:pPr>
        <w:pStyle w:val="5"/>
        <w:ind w:firstLine="562"/>
      </w:pPr>
      <w:bookmarkStart w:id="560" w:name="_Toc392015068"/>
      <w:bookmarkStart w:id="561" w:name="_Toc395519245"/>
      <w:bookmarkStart w:id="562" w:name="_Toc70589805"/>
      <w:bookmarkStart w:id="563" w:name="_Toc395519076"/>
      <w:bookmarkStart w:id="564" w:name="_Toc502783499"/>
      <w:bookmarkStart w:id="565" w:name="_Toc257625162"/>
      <w:bookmarkStart w:id="566" w:name="_Toc334185611"/>
      <w:bookmarkStart w:id="567" w:name="_Toc364928276"/>
      <w:r>
        <w:rPr>
          <w:rFonts w:hint="eastAsia"/>
        </w:rPr>
        <w:t>11.3.2安全教育培训</w:t>
      </w:r>
      <w:bookmarkEnd w:id="560"/>
      <w:bookmarkEnd w:id="561"/>
      <w:bookmarkEnd w:id="562"/>
      <w:bookmarkEnd w:id="563"/>
      <w:bookmarkEnd w:id="564"/>
      <w:bookmarkEnd w:id="565"/>
      <w:bookmarkEnd w:id="566"/>
      <w:bookmarkEnd w:id="567"/>
    </w:p>
    <w:p>
      <w:pPr>
        <w:ind w:firstLine="560"/>
      </w:pPr>
      <w:r>
        <w:rPr>
          <w:rFonts w:hint="eastAsia"/>
        </w:rPr>
        <w:t>矿山安全教育和培训是搞好矿山安全工作的基础。教育和培训的内容包括安全思想教育、安全法规教育、劳动纪律教育、安全知识教育和技术培训、事故征兆识别及避灾自救知识、典型事故分析等。矿山对安全教育和培训的规定如下：</w:t>
      </w:r>
    </w:p>
    <w:p>
      <w:pPr>
        <w:ind w:firstLine="560"/>
      </w:pPr>
      <w:r>
        <w:rPr>
          <w:rFonts w:hint="eastAsia"/>
        </w:rPr>
        <w:t>⑴积极组织人员参加安监部门组织的各种安全培训和相关考试，及时贯彻学习新《安全生产法》和最新修订的《甘肃省安全生产条例》。购置必须的安全防护设备和应急设施。</w:t>
      </w:r>
    </w:p>
    <w:p>
      <w:pPr>
        <w:ind w:firstLine="560"/>
      </w:pPr>
      <w:r>
        <w:rPr>
          <w:rFonts w:hint="eastAsia"/>
        </w:rPr>
        <w:t>⑵矿长必须经过省级安全生产监督管理部门的安全培训和考核，具备安全专业知识，具有领导安全生产和处理矿山事故的能力；矿长和主管安全、生产、技术工作的副矿长必须持有《安全资格证》。</w:t>
      </w:r>
    </w:p>
    <w:p>
      <w:pPr>
        <w:ind w:firstLine="560"/>
      </w:pPr>
      <w:r>
        <w:rPr>
          <w:rFonts w:hint="eastAsia"/>
        </w:rPr>
        <w:t>⑶基层领导和安全员应了解国家安全生产法律、法规、方针、政策及安全管理规章制度等，熟悉安全管理方法，掌握基本的矿山安全技术知识和所管辖范围的各工种安全操作规程。</w:t>
      </w:r>
    </w:p>
    <w:p>
      <w:pPr>
        <w:ind w:firstLine="560"/>
      </w:pPr>
      <w:r>
        <w:rPr>
          <w:rFonts w:hint="eastAsia"/>
        </w:rPr>
        <w:t>⑷矿山应对职工认真做好安全生产和劳动保护教育，普及安全法规知识，进行技术和业务培训，经考核合格后方准上岗。所有干部和工人每年至少接受不少于20小时的安全教育，每三年至少考核一次。新工人上岗前，应接受不少72小时的三级安全教育培训，经考试合格后，方可独立工作，调换工种的工人，必须进行新岗位安全操作教育培训。</w:t>
      </w:r>
    </w:p>
    <w:p>
      <w:pPr>
        <w:ind w:firstLine="560"/>
      </w:pPr>
      <w:r>
        <w:rPr>
          <w:rFonts w:hint="eastAsia"/>
        </w:rPr>
        <w:t>⑸特种作业人员，要害岗位、重要设备与设施的作业人员，都必须经过技术培训和专门安全教育，经考核合格取得操作资格证书或执照后方准上岗。人员培训、考核、发证和复审，应按有关规定执行。</w:t>
      </w:r>
    </w:p>
    <w:p>
      <w:pPr>
        <w:ind w:firstLine="560"/>
      </w:pPr>
      <w:r>
        <w:rPr>
          <w:rFonts w:hint="eastAsia"/>
        </w:rPr>
        <w:t>⑹矿山还应根据生产形势，召开班前班后会、安全生产调度会、车间安全例会等会议。所有生产作业人员，每年接受在职安全教育、培训的时间不得少于20小时。</w:t>
      </w:r>
    </w:p>
    <w:p>
      <w:pPr>
        <w:ind w:firstLine="560"/>
      </w:pPr>
      <w:r>
        <w:rPr>
          <w:rFonts w:hint="eastAsia"/>
        </w:rPr>
        <w:t>⑺安全管理机构应定期总结分析本单位安全生产中存在的问题，提出要求和具体的改进措施。</w:t>
      </w:r>
    </w:p>
    <w:p>
      <w:pPr>
        <w:ind w:firstLine="560"/>
      </w:pPr>
      <w:r>
        <w:rPr>
          <w:rFonts w:hint="eastAsia"/>
        </w:rPr>
        <w:t>⑻矿山应每年对职工进行一次自救互救训练，充分发挥事故预防处理应急预案的作用；矿山应根据年度救援预案组织现场演练，提高作业人员参与救援的技巧，避免受伤人员因救助不当导致死亡。</w:t>
      </w:r>
    </w:p>
    <w:p>
      <w:pPr>
        <w:ind w:firstLine="560"/>
      </w:pPr>
      <w:r>
        <w:rPr>
          <w:rFonts w:hint="eastAsia"/>
        </w:rPr>
        <w:t>⑼定期进行安全生产宣传、教育；订购有关音像、杂志、报刊等学习资料，并认真组织学习；利用井口宣传栏、标语等多种形势，加强安全宣传，提高职工的安全意识。</w:t>
      </w:r>
    </w:p>
    <w:p>
      <w:pPr>
        <w:pStyle w:val="5"/>
        <w:ind w:firstLine="562"/>
      </w:pPr>
      <w:bookmarkStart w:id="568" w:name="_Toc70589806"/>
      <w:bookmarkStart w:id="569" w:name="_Toc502783500"/>
      <w:bookmarkStart w:id="570" w:name="_Toc364928277"/>
      <w:bookmarkStart w:id="571" w:name="_Toc395519077"/>
      <w:bookmarkStart w:id="572" w:name="_Toc334185612"/>
      <w:bookmarkStart w:id="573" w:name="_Toc257625161"/>
      <w:bookmarkStart w:id="574" w:name="_Toc392015069"/>
      <w:bookmarkStart w:id="575" w:name="_Toc395519246"/>
      <w:r>
        <w:rPr>
          <w:rFonts w:hint="eastAsia"/>
        </w:rPr>
        <w:t>11.3.3规章制度</w:t>
      </w:r>
      <w:bookmarkEnd w:id="568"/>
      <w:bookmarkEnd w:id="569"/>
      <w:bookmarkEnd w:id="570"/>
      <w:bookmarkEnd w:id="571"/>
      <w:bookmarkEnd w:id="572"/>
      <w:bookmarkEnd w:id="573"/>
      <w:bookmarkEnd w:id="574"/>
      <w:bookmarkEnd w:id="575"/>
    </w:p>
    <w:p>
      <w:pPr>
        <w:ind w:firstLine="560"/>
      </w:pPr>
      <w:r>
        <w:rPr>
          <w:rFonts w:hint="eastAsia"/>
        </w:rPr>
        <w:t>确定企业法人是安全生产第一责任人，并建立健全各项安全管理制度和操作规程，矿山应建立以下主要工作制度：</w:t>
      </w:r>
    </w:p>
    <w:p>
      <w:pPr>
        <w:ind w:firstLine="560"/>
      </w:pPr>
      <w:r>
        <w:rPr>
          <w:rFonts w:hint="eastAsia"/>
        </w:rPr>
        <w:t>⑴安全生产责任制度。</w:t>
      </w:r>
    </w:p>
    <w:p>
      <w:pPr>
        <w:ind w:firstLine="560"/>
      </w:pPr>
      <w:r>
        <w:rPr>
          <w:rFonts w:hint="eastAsia"/>
        </w:rPr>
        <w:t>⑵安全目标管理制度。</w:t>
      </w:r>
    </w:p>
    <w:p>
      <w:pPr>
        <w:ind w:firstLine="560"/>
      </w:pPr>
      <w:r>
        <w:rPr>
          <w:rFonts w:hint="eastAsia"/>
        </w:rPr>
        <w:t>⑶安全例会制度。</w:t>
      </w:r>
    </w:p>
    <w:p>
      <w:pPr>
        <w:ind w:firstLine="560"/>
      </w:pPr>
      <w:r>
        <w:rPr>
          <w:rFonts w:hint="eastAsia"/>
        </w:rPr>
        <w:t>⑷安全检查制度。</w:t>
      </w:r>
    </w:p>
    <w:p>
      <w:pPr>
        <w:ind w:firstLine="560"/>
      </w:pPr>
      <w:r>
        <w:rPr>
          <w:rFonts w:hint="eastAsia"/>
        </w:rPr>
        <w:t>⑸安全教育培训制度。</w:t>
      </w:r>
    </w:p>
    <w:p>
      <w:pPr>
        <w:ind w:firstLine="560"/>
      </w:pPr>
      <w:r>
        <w:rPr>
          <w:rFonts w:hint="eastAsia"/>
        </w:rPr>
        <w:t>⑹设备管理制度。</w:t>
      </w:r>
    </w:p>
    <w:p>
      <w:pPr>
        <w:ind w:firstLine="560"/>
      </w:pPr>
      <w:r>
        <w:rPr>
          <w:rFonts w:hint="eastAsia"/>
        </w:rPr>
        <w:t>⑺危险源管理制度。</w:t>
      </w:r>
    </w:p>
    <w:p>
      <w:pPr>
        <w:ind w:firstLine="560"/>
      </w:pPr>
      <w:r>
        <w:rPr>
          <w:rFonts w:hint="eastAsia"/>
        </w:rPr>
        <w:t>⑻事故隐患排查与整改制度。</w:t>
      </w:r>
    </w:p>
    <w:p>
      <w:pPr>
        <w:ind w:firstLine="560"/>
      </w:pPr>
      <w:r>
        <w:rPr>
          <w:rFonts w:hint="eastAsia"/>
        </w:rPr>
        <w:t>⑼安全技术措施审批制度。</w:t>
      </w:r>
    </w:p>
    <w:p>
      <w:pPr>
        <w:ind w:firstLine="560"/>
      </w:pPr>
      <w:r>
        <w:rPr>
          <w:rFonts w:hint="eastAsia"/>
        </w:rPr>
        <w:t>⑽劳动防护用品管理制度。</w:t>
      </w:r>
    </w:p>
    <w:p>
      <w:pPr>
        <w:ind w:firstLine="560"/>
      </w:pPr>
      <w:r>
        <w:rPr>
          <w:rFonts w:hint="eastAsia"/>
        </w:rPr>
        <w:t>⑾事故管理制度。</w:t>
      </w:r>
    </w:p>
    <w:p>
      <w:pPr>
        <w:ind w:firstLine="560"/>
      </w:pPr>
      <w:r>
        <w:rPr>
          <w:rFonts w:hint="eastAsia"/>
        </w:rPr>
        <w:t>⑿应急管理制度。</w:t>
      </w:r>
    </w:p>
    <w:p>
      <w:pPr>
        <w:ind w:firstLine="560"/>
      </w:pPr>
      <w:r>
        <w:rPr>
          <w:rFonts w:hint="eastAsia"/>
        </w:rPr>
        <w:t>⒀安全奖惩制度。</w:t>
      </w:r>
    </w:p>
    <w:p>
      <w:pPr>
        <w:ind w:firstLine="560"/>
      </w:pPr>
      <w:r>
        <w:rPr>
          <w:rFonts w:hint="eastAsia"/>
        </w:rPr>
        <w:t>⒁安全生产档案管理制度。</w:t>
      </w:r>
    </w:p>
    <w:p>
      <w:pPr>
        <w:ind w:firstLine="560"/>
      </w:pPr>
      <w:r>
        <w:rPr>
          <w:rFonts w:hint="eastAsia"/>
        </w:rPr>
        <w:t>⒂边坡管理制度。</w:t>
      </w:r>
    </w:p>
    <w:p>
      <w:pPr>
        <w:pStyle w:val="5"/>
        <w:ind w:firstLine="562"/>
      </w:pPr>
      <w:bookmarkStart w:id="576" w:name="_Toc392015070"/>
      <w:bookmarkStart w:id="577" w:name="_Toc395519078"/>
      <w:bookmarkStart w:id="578" w:name="_Toc70589807"/>
      <w:bookmarkStart w:id="579" w:name="_Toc502783501"/>
      <w:bookmarkStart w:id="580" w:name="_Toc395519247"/>
      <w:r>
        <w:rPr>
          <w:rFonts w:hint="eastAsia"/>
        </w:rPr>
        <w:t>11.3.4矿山救护</w:t>
      </w:r>
      <w:bookmarkEnd w:id="576"/>
      <w:bookmarkEnd w:id="577"/>
      <w:bookmarkEnd w:id="578"/>
      <w:bookmarkEnd w:id="579"/>
      <w:bookmarkEnd w:id="580"/>
    </w:p>
    <w:p>
      <w:pPr>
        <w:ind w:firstLine="560"/>
      </w:pPr>
      <w:bookmarkStart w:id="581" w:name="_Toc395519079"/>
      <w:bookmarkStart w:id="582" w:name="_Toc395519248"/>
      <w:r>
        <w:rPr>
          <w:rFonts w:hint="eastAsia"/>
        </w:rPr>
        <w:t>⑴签订救护协议</w:t>
      </w:r>
      <w:bookmarkEnd w:id="581"/>
      <w:bookmarkEnd w:id="582"/>
    </w:p>
    <w:p>
      <w:pPr>
        <w:ind w:firstLine="560"/>
      </w:pPr>
      <w:r>
        <w:rPr>
          <w:rFonts w:hint="eastAsia"/>
        </w:rPr>
        <w:t>由于矿山规模较小，不考虑设救护队，因此矿山必须与就近的矿山救护大队签定救护协议，当发生事故时，及时向救护大队请求救护。</w:t>
      </w:r>
    </w:p>
    <w:p>
      <w:pPr>
        <w:ind w:firstLine="560"/>
      </w:pPr>
      <w:bookmarkStart w:id="583" w:name="_Toc395519249"/>
      <w:bookmarkStart w:id="584" w:name="_Toc395519080"/>
      <w:r>
        <w:rPr>
          <w:rFonts w:hint="eastAsia"/>
        </w:rPr>
        <w:t>⑵创伤急救</w:t>
      </w:r>
      <w:bookmarkEnd w:id="583"/>
      <w:bookmarkEnd w:id="584"/>
    </w:p>
    <w:p>
      <w:pPr>
        <w:ind w:firstLine="560"/>
      </w:pPr>
      <w:r>
        <w:rPr>
          <w:rFonts w:hint="eastAsia"/>
        </w:rPr>
        <w:t>矿山建立创伤急救系统，矿调度室负责接受现场呼救，及时向矿长汇报，并调配地面运输工具等，通知各级急救人员应援急救。</w:t>
      </w:r>
    </w:p>
    <w:p>
      <w:pPr>
        <w:ind w:firstLine="560"/>
      </w:pPr>
      <w:r>
        <w:rPr>
          <w:rFonts w:hint="eastAsia"/>
        </w:rPr>
        <w:t>⑶矿山辅助救护</w:t>
      </w:r>
    </w:p>
    <w:p>
      <w:pPr>
        <w:ind w:firstLine="560"/>
      </w:pPr>
      <w:r>
        <w:rPr>
          <w:rFonts w:hint="eastAsia"/>
        </w:rPr>
        <w:t>矿山配备兼职的矿山救护队员，并配置必要的设备。根据《矿山救护规程》，本矿设辅助救护小队一个，由10人组成（兼职），配备氧气呼吸器、灭火器、自救器、苏生器、担架等救护装备。矿山发生水灾、火灾及爆炸事故后，矿山救护队员具有应变处理事故的能力，首先组织侦察工作，准确探明事故性质、原因、范围、发生位置及遇难人员情况，为指挥部制订抢救方案提供可靠依据。</w:t>
      </w:r>
    </w:p>
    <w:p>
      <w:pPr>
        <w:pStyle w:val="4"/>
      </w:pPr>
      <w:bookmarkStart w:id="585" w:name="_Toc511226445"/>
      <w:bookmarkStart w:id="586" w:name="_Toc71621616"/>
      <w:bookmarkStart w:id="587" w:name="_Toc147563703"/>
      <w:bookmarkStart w:id="588" w:name="_Toc502783502"/>
      <w:bookmarkStart w:id="589" w:name="_Toc392015071"/>
      <w:bookmarkStart w:id="590" w:name="_Toc5039"/>
      <w:bookmarkStart w:id="591" w:name="_Toc70589808"/>
      <w:r>
        <w:rPr>
          <w:rFonts w:hint="eastAsia"/>
        </w:rPr>
        <w:t>11.4安全可靠性及安全预期效果</w:t>
      </w:r>
      <w:bookmarkEnd w:id="585"/>
      <w:bookmarkEnd w:id="586"/>
      <w:bookmarkEnd w:id="587"/>
      <w:bookmarkEnd w:id="588"/>
      <w:bookmarkEnd w:id="589"/>
      <w:bookmarkEnd w:id="590"/>
      <w:bookmarkEnd w:id="591"/>
    </w:p>
    <w:p>
      <w:pPr>
        <w:ind w:firstLine="560"/>
      </w:pPr>
      <w:r>
        <w:rPr>
          <w:rFonts w:hint="eastAsia"/>
        </w:rPr>
        <w:t>甘肃省临泽县梨西4号电站东南侧建筑用砂矿存在的主要危险和有害因素有：</w:t>
      </w:r>
      <w:r>
        <w:rPr>
          <w:rFonts w:hint="eastAsia"/>
          <w:lang w:val="zh-CN"/>
        </w:rPr>
        <w:t>露天边坡失稳造成的滑坡（片帮）、塌方灾害及排弃灾害</w:t>
      </w:r>
      <w:r>
        <w:rPr>
          <w:rFonts w:hint="eastAsia"/>
        </w:rPr>
        <w:t>、触电、机械伤害、高处坠落、物体打击、车辆伤害、职业危害等十多项，这些主要危险和有害因素虽然具有一定的安全风险，但建设单位只要严格按照 “三同时”原则，在项目的生产过程中将本报告中提出的安全对策措施真正落实到位，同时加强安全管理、安全教育和事故隐患的排查，则该项目主要危险和有害因素的危险、危害程度完全能够控制在可承受的范围内，其安全风险是能够避免的，其潜在的主要危险和有害因素可以得到有效控制，预期能符合安全生产条件，劳动安全方面是可以接受的，在安全上是可靠的。</w:t>
      </w:r>
    </w:p>
    <w:p>
      <w:pPr>
        <w:pStyle w:val="2"/>
        <w:sectPr>
          <w:pgSz w:w="11906" w:h="16838"/>
          <w:pgMar w:top="1440" w:right="1800" w:bottom="1440" w:left="1800" w:header="851" w:footer="992" w:gutter="0"/>
          <w:cols w:space="720" w:num="1"/>
          <w:docGrid w:type="lines" w:linePitch="312" w:charSpace="0"/>
        </w:sectPr>
      </w:pPr>
    </w:p>
    <w:p>
      <w:pPr>
        <w:pStyle w:val="3"/>
        <w:spacing w:before="312"/>
        <w:ind w:firstLine="602"/>
      </w:pPr>
      <w:bookmarkStart w:id="592" w:name="_Toc147563704"/>
      <w:bookmarkStart w:id="593" w:name="_Toc502783503"/>
      <w:bookmarkStart w:id="594" w:name="_Toc71621617"/>
      <w:bookmarkStart w:id="595" w:name="_Toc70589809"/>
      <w:bookmarkStart w:id="596" w:name="_Toc11197"/>
      <w:bookmarkStart w:id="597" w:name="_Toc511226446"/>
      <w:r>
        <w:rPr>
          <w:rFonts w:hint="eastAsia"/>
        </w:rPr>
        <w:t>12  开发利用方案简要结论</w:t>
      </w:r>
      <w:bookmarkEnd w:id="592"/>
      <w:bookmarkEnd w:id="593"/>
      <w:bookmarkEnd w:id="594"/>
      <w:bookmarkEnd w:id="595"/>
      <w:bookmarkEnd w:id="596"/>
      <w:bookmarkEnd w:id="597"/>
    </w:p>
    <w:p>
      <w:pPr>
        <w:pStyle w:val="4"/>
      </w:pPr>
      <w:bookmarkStart w:id="598" w:name="_Toc70589810"/>
      <w:bookmarkStart w:id="599" w:name="_Toc71621618"/>
      <w:bookmarkStart w:id="600" w:name="_Toc214407052"/>
      <w:bookmarkStart w:id="601" w:name="_Toc511226447"/>
      <w:bookmarkStart w:id="602" w:name="_Toc499"/>
      <w:bookmarkStart w:id="603" w:name="_Toc502783504"/>
      <w:bookmarkStart w:id="604" w:name="_Toc395519252"/>
      <w:bookmarkStart w:id="605" w:name="_Toc147563705"/>
      <w:bookmarkStart w:id="606" w:name="_Toc395519083"/>
      <w:r>
        <w:rPr>
          <w:rFonts w:hint="eastAsia"/>
        </w:rPr>
        <w:t>12.1 工程概况</w:t>
      </w:r>
      <w:bookmarkEnd w:id="598"/>
      <w:bookmarkEnd w:id="599"/>
      <w:bookmarkEnd w:id="600"/>
      <w:bookmarkEnd w:id="601"/>
      <w:bookmarkEnd w:id="602"/>
      <w:bookmarkEnd w:id="603"/>
      <w:bookmarkEnd w:id="604"/>
      <w:bookmarkEnd w:id="605"/>
      <w:bookmarkEnd w:id="606"/>
    </w:p>
    <w:p>
      <w:pPr>
        <w:ind w:firstLine="560"/>
      </w:pPr>
      <w:r>
        <w:rPr>
          <w:rFonts w:hint="eastAsia"/>
        </w:rPr>
        <w:t>开采方式：露天开采；</w:t>
      </w:r>
    </w:p>
    <w:p>
      <w:pPr>
        <w:ind w:firstLine="560"/>
      </w:pPr>
      <w:r>
        <w:rPr>
          <w:rFonts w:hint="eastAsia"/>
        </w:rPr>
        <w:t>开采规模：20</w:t>
      </w:r>
      <w:r>
        <w:t>×</w:t>
      </w:r>
      <w:r>
        <w:rPr>
          <w:rFonts w:hint="eastAsia"/>
        </w:rPr>
        <w:t>10</w:t>
      </w:r>
      <w:r>
        <w:rPr>
          <w:rFonts w:hint="eastAsia"/>
          <w:vertAlign w:val="superscript"/>
        </w:rPr>
        <w:t>4</w:t>
      </w:r>
      <w:r>
        <w:rPr>
          <w:rFonts w:hint="eastAsia"/>
        </w:rPr>
        <w:t>m</w:t>
      </w:r>
      <w:r>
        <w:rPr>
          <w:rFonts w:hint="eastAsia"/>
          <w:vertAlign w:val="superscript"/>
        </w:rPr>
        <w:t>3</w:t>
      </w:r>
      <w:r>
        <w:rPr>
          <w:rFonts w:hint="eastAsia"/>
        </w:rPr>
        <w:t>；</w:t>
      </w:r>
    </w:p>
    <w:p>
      <w:pPr>
        <w:ind w:firstLine="560"/>
      </w:pPr>
      <w:r>
        <w:rPr>
          <w:rFonts w:hint="eastAsia"/>
        </w:rPr>
        <w:t>矿山服务年限：</w:t>
      </w:r>
      <w:r>
        <w:t>25.15</w:t>
      </w:r>
      <w:r>
        <w:rPr>
          <w:rFonts w:hint="eastAsia"/>
        </w:rPr>
        <w:t>a（不含基建期）；</w:t>
      </w:r>
    </w:p>
    <w:p>
      <w:pPr>
        <w:ind w:firstLine="560"/>
      </w:pPr>
      <w:r>
        <w:rPr>
          <w:rFonts w:hint="eastAsia"/>
        </w:rPr>
        <w:t>开拓方式：公路运输开拓；</w:t>
      </w:r>
    </w:p>
    <w:p>
      <w:pPr>
        <w:ind w:firstLine="560"/>
      </w:pPr>
      <w:r>
        <w:rPr>
          <w:rFonts w:hint="eastAsia"/>
        </w:rPr>
        <w:t>采矿方式：根据矿山地质地形条件、矿体赋存特征，设计采用挖掘机采挖，</w:t>
      </w:r>
      <w:r>
        <w:rPr>
          <w:rFonts w:hint="eastAsia" w:cs="宋体"/>
        </w:rPr>
        <w:t>自上而下分3台阶开采；</w:t>
      </w:r>
    </w:p>
    <w:p>
      <w:pPr>
        <w:ind w:firstLine="560"/>
      </w:pPr>
      <w:r>
        <w:rPr>
          <w:rFonts w:hint="eastAsia"/>
        </w:rPr>
        <w:t>最终产品：建筑用砂矿。</w:t>
      </w:r>
    </w:p>
    <w:p>
      <w:pPr>
        <w:pStyle w:val="4"/>
      </w:pPr>
      <w:bookmarkStart w:id="607" w:name="_Toc147563706"/>
      <w:bookmarkStart w:id="608" w:name="_Toc71621619"/>
      <w:bookmarkStart w:id="609" w:name="_Toc9306"/>
      <w:bookmarkStart w:id="610" w:name="_Toc502783505"/>
      <w:bookmarkStart w:id="611" w:name="_Toc395519084"/>
      <w:bookmarkStart w:id="612" w:name="_Toc511226448"/>
      <w:bookmarkStart w:id="613" w:name="_Toc395519253"/>
      <w:bookmarkStart w:id="614" w:name="_Toc70589811"/>
      <w:bookmarkStart w:id="615" w:name="_Toc213683118"/>
      <w:bookmarkStart w:id="616" w:name="_Toc214407053"/>
      <w:bookmarkStart w:id="617" w:name="_Toc211070140"/>
      <w:r>
        <w:rPr>
          <w:rFonts w:hint="eastAsia"/>
        </w:rPr>
        <w:t>12.2 主要技术指标表</w:t>
      </w:r>
      <w:bookmarkEnd w:id="607"/>
      <w:bookmarkEnd w:id="608"/>
      <w:bookmarkEnd w:id="609"/>
      <w:bookmarkEnd w:id="610"/>
      <w:bookmarkEnd w:id="611"/>
      <w:bookmarkEnd w:id="612"/>
      <w:bookmarkEnd w:id="613"/>
      <w:bookmarkEnd w:id="614"/>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719"/>
        <w:gridCol w:w="1174"/>
        <w:gridCol w:w="2628"/>
        <w:gridCol w:w="12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tblHeader/>
        </w:trPr>
        <w:tc>
          <w:tcPr>
            <w:tcW w:w="8427" w:type="dxa"/>
            <w:gridSpan w:val="5"/>
            <w:tcBorders>
              <w:top w:val="nil"/>
              <w:left w:val="nil"/>
              <w:right w:val="nil"/>
            </w:tcBorders>
            <w:vAlign w:val="center"/>
          </w:tcPr>
          <w:p>
            <w:pPr>
              <w:pStyle w:val="18"/>
              <w:ind w:firstLine="482"/>
            </w:pPr>
            <w:r>
              <w:rPr>
                <w:rFonts w:hint="eastAsia"/>
              </w:rPr>
              <w:t>表1</w:t>
            </w:r>
            <w:r>
              <w:t xml:space="preserve">2-1 </w:t>
            </w:r>
            <w:r>
              <w:rPr>
                <w:rFonts w:hint="eastAsia"/>
              </w:rPr>
              <w:t>主要技术指标表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tblHeader/>
        </w:trPr>
        <w:tc>
          <w:tcPr>
            <w:tcW w:w="675" w:type="dxa"/>
            <w:vAlign w:val="center"/>
          </w:tcPr>
          <w:p>
            <w:pPr>
              <w:pStyle w:val="17"/>
              <w:ind w:firstLine="0" w:firstLineChars="0"/>
              <w:jc w:val="center"/>
            </w:pPr>
            <w:r>
              <w:rPr>
                <w:rFonts w:hint="eastAsia"/>
              </w:rPr>
              <w:t>序号</w:t>
            </w:r>
          </w:p>
        </w:tc>
        <w:tc>
          <w:tcPr>
            <w:tcW w:w="2719" w:type="dxa"/>
            <w:vAlign w:val="center"/>
          </w:tcPr>
          <w:p>
            <w:pPr>
              <w:pStyle w:val="17"/>
              <w:ind w:firstLine="0" w:firstLineChars="0"/>
              <w:jc w:val="center"/>
            </w:pPr>
            <w:r>
              <w:rPr>
                <w:rFonts w:hint="eastAsia"/>
              </w:rPr>
              <w:t>指标名称</w:t>
            </w:r>
          </w:p>
        </w:tc>
        <w:tc>
          <w:tcPr>
            <w:tcW w:w="1174" w:type="dxa"/>
            <w:vAlign w:val="center"/>
          </w:tcPr>
          <w:p>
            <w:pPr>
              <w:pStyle w:val="17"/>
              <w:ind w:firstLine="0" w:firstLineChars="0"/>
              <w:jc w:val="center"/>
            </w:pPr>
            <w:r>
              <w:rPr>
                <w:rFonts w:hint="eastAsia"/>
              </w:rPr>
              <w:t>单位</w:t>
            </w:r>
          </w:p>
        </w:tc>
        <w:tc>
          <w:tcPr>
            <w:tcW w:w="2628" w:type="dxa"/>
            <w:vAlign w:val="center"/>
          </w:tcPr>
          <w:p>
            <w:pPr>
              <w:pStyle w:val="17"/>
              <w:ind w:firstLine="0" w:firstLineChars="0"/>
              <w:jc w:val="center"/>
            </w:pPr>
            <w:r>
              <w:rPr>
                <w:rFonts w:hint="eastAsia"/>
              </w:rPr>
              <w:t>指标</w:t>
            </w:r>
          </w:p>
        </w:tc>
        <w:tc>
          <w:tcPr>
            <w:tcW w:w="1231" w:type="dxa"/>
            <w:vAlign w:val="center"/>
          </w:tcPr>
          <w:p>
            <w:pPr>
              <w:pStyle w:val="17"/>
              <w:ind w:firstLine="0" w:firstLineChars="0"/>
              <w:jc w:val="center"/>
            </w:pPr>
            <w:r>
              <w:rPr>
                <w:rFonts w:hint="eastAsi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rPr>
                <w:rFonts w:hint="eastAsia"/>
              </w:rPr>
              <w:t>一</w:t>
            </w:r>
          </w:p>
        </w:tc>
        <w:tc>
          <w:tcPr>
            <w:tcW w:w="2719" w:type="dxa"/>
            <w:vAlign w:val="center"/>
          </w:tcPr>
          <w:p>
            <w:pPr>
              <w:pStyle w:val="17"/>
              <w:ind w:firstLine="0" w:firstLineChars="0"/>
              <w:jc w:val="center"/>
            </w:pPr>
            <w:r>
              <w:rPr>
                <w:rFonts w:hint="eastAsia"/>
              </w:rPr>
              <w:t>资源参数</w:t>
            </w:r>
          </w:p>
        </w:tc>
        <w:tc>
          <w:tcPr>
            <w:tcW w:w="1174" w:type="dxa"/>
            <w:vAlign w:val="center"/>
          </w:tcPr>
          <w:p>
            <w:pPr>
              <w:pStyle w:val="17"/>
              <w:ind w:firstLine="420"/>
              <w:jc w:val="center"/>
            </w:pPr>
          </w:p>
        </w:tc>
        <w:tc>
          <w:tcPr>
            <w:tcW w:w="2628" w:type="dxa"/>
            <w:vAlign w:val="center"/>
          </w:tcPr>
          <w:p>
            <w:pPr>
              <w:pStyle w:val="17"/>
              <w:ind w:firstLine="420"/>
              <w:jc w:val="center"/>
            </w:pP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rPr>
                <w:rFonts w:hint="eastAsia"/>
              </w:rPr>
              <w:t>1</w:t>
            </w:r>
          </w:p>
        </w:tc>
        <w:tc>
          <w:tcPr>
            <w:tcW w:w="2719" w:type="dxa"/>
            <w:vAlign w:val="center"/>
          </w:tcPr>
          <w:p>
            <w:pPr>
              <w:pStyle w:val="17"/>
              <w:ind w:firstLine="0" w:firstLineChars="0"/>
              <w:jc w:val="center"/>
            </w:pPr>
            <w:r>
              <w:rPr>
                <w:rFonts w:hint="eastAsia"/>
              </w:rPr>
              <w:t>资源总量</w:t>
            </w:r>
          </w:p>
        </w:tc>
        <w:tc>
          <w:tcPr>
            <w:tcW w:w="1174" w:type="dxa"/>
            <w:vAlign w:val="center"/>
          </w:tcPr>
          <w:p>
            <w:pPr>
              <w:pStyle w:val="17"/>
              <w:ind w:firstLine="0" w:firstLineChars="0"/>
              <w:jc w:val="center"/>
            </w:pPr>
            <w:r>
              <w:rPr>
                <w:rFonts w:hint="eastAsia"/>
              </w:rPr>
              <w:t>×10</w:t>
            </w:r>
            <w:r>
              <w:rPr>
                <w:rFonts w:hint="eastAsia"/>
                <w:vertAlign w:val="superscript"/>
              </w:rPr>
              <w:t>4</w:t>
            </w:r>
            <w:r>
              <w:rPr>
                <w:rFonts w:hint="eastAsia"/>
              </w:rPr>
              <w:t>m</w:t>
            </w:r>
            <w:r>
              <w:rPr>
                <w:rFonts w:hint="eastAsia"/>
                <w:vertAlign w:val="superscript"/>
              </w:rPr>
              <w:t>3</w:t>
            </w:r>
          </w:p>
        </w:tc>
        <w:tc>
          <w:tcPr>
            <w:tcW w:w="2628" w:type="dxa"/>
            <w:vAlign w:val="center"/>
          </w:tcPr>
          <w:p>
            <w:pPr>
              <w:pStyle w:val="17"/>
              <w:ind w:firstLine="0" w:firstLineChars="0"/>
              <w:jc w:val="center"/>
              <w:rPr>
                <w:lang w:val="en-US"/>
              </w:rPr>
            </w:pPr>
            <w:r>
              <w:rPr>
                <w:lang w:val="en-US"/>
              </w:rPr>
              <w:t>566.2</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rPr>
                <w:rFonts w:hint="eastAsia"/>
              </w:rPr>
              <w:t>2</w:t>
            </w:r>
          </w:p>
        </w:tc>
        <w:tc>
          <w:tcPr>
            <w:tcW w:w="2719" w:type="dxa"/>
            <w:vAlign w:val="center"/>
          </w:tcPr>
          <w:p>
            <w:pPr>
              <w:pStyle w:val="17"/>
              <w:ind w:firstLine="0" w:firstLineChars="0"/>
              <w:jc w:val="center"/>
            </w:pPr>
            <w:r>
              <w:rPr>
                <w:rFonts w:hint="eastAsia"/>
              </w:rPr>
              <w:t>设计可利用资源</w:t>
            </w:r>
          </w:p>
        </w:tc>
        <w:tc>
          <w:tcPr>
            <w:tcW w:w="1174" w:type="dxa"/>
            <w:vAlign w:val="center"/>
          </w:tcPr>
          <w:p>
            <w:pPr>
              <w:pStyle w:val="17"/>
              <w:ind w:firstLine="0" w:firstLineChars="0"/>
              <w:jc w:val="center"/>
            </w:pPr>
            <w:r>
              <w:rPr>
                <w:rFonts w:hint="eastAsia"/>
              </w:rPr>
              <w:t>×10</w:t>
            </w:r>
            <w:r>
              <w:rPr>
                <w:rFonts w:hint="eastAsia"/>
                <w:vertAlign w:val="superscript"/>
              </w:rPr>
              <w:t>4</w:t>
            </w:r>
            <w:r>
              <w:rPr>
                <w:rFonts w:hint="eastAsia"/>
              </w:rPr>
              <w:t>m</w:t>
            </w:r>
            <w:r>
              <w:rPr>
                <w:rFonts w:hint="eastAsia"/>
                <w:vertAlign w:val="superscript"/>
              </w:rPr>
              <w:t>3</w:t>
            </w:r>
          </w:p>
        </w:tc>
        <w:tc>
          <w:tcPr>
            <w:tcW w:w="2628" w:type="dxa"/>
            <w:vAlign w:val="center"/>
          </w:tcPr>
          <w:p>
            <w:pPr>
              <w:pStyle w:val="17"/>
              <w:ind w:firstLine="0" w:firstLineChars="0"/>
              <w:jc w:val="center"/>
              <w:rPr>
                <w:lang w:val="en-US"/>
              </w:rPr>
            </w:pPr>
            <w:r>
              <w:rPr>
                <w:lang w:val="en-US"/>
              </w:rPr>
              <w:t>502.93</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t>3</w:t>
            </w:r>
          </w:p>
        </w:tc>
        <w:tc>
          <w:tcPr>
            <w:tcW w:w="2719" w:type="dxa"/>
            <w:vAlign w:val="center"/>
          </w:tcPr>
          <w:p>
            <w:pPr>
              <w:pStyle w:val="17"/>
              <w:ind w:firstLine="0" w:firstLineChars="0"/>
              <w:jc w:val="center"/>
            </w:pPr>
            <w:r>
              <w:rPr>
                <w:rFonts w:hint="eastAsia"/>
              </w:rPr>
              <w:t>回采率</w:t>
            </w:r>
          </w:p>
        </w:tc>
        <w:tc>
          <w:tcPr>
            <w:tcW w:w="1174" w:type="dxa"/>
            <w:vAlign w:val="center"/>
          </w:tcPr>
          <w:p>
            <w:pPr>
              <w:pStyle w:val="17"/>
              <w:ind w:firstLine="420"/>
              <w:jc w:val="center"/>
            </w:pPr>
          </w:p>
        </w:tc>
        <w:tc>
          <w:tcPr>
            <w:tcW w:w="2628" w:type="dxa"/>
            <w:vAlign w:val="center"/>
          </w:tcPr>
          <w:p>
            <w:pPr>
              <w:pStyle w:val="17"/>
              <w:ind w:firstLine="0" w:firstLineChars="0"/>
              <w:jc w:val="center"/>
            </w:pPr>
            <w:r>
              <w:rPr>
                <w:lang w:val="en-US"/>
              </w:rPr>
              <w:t>95</w:t>
            </w:r>
            <w:r>
              <w:rPr>
                <w:rFonts w:hint="eastAsia"/>
              </w:rPr>
              <w:t>%</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rPr>
                <w:rFonts w:hint="eastAsia"/>
              </w:rPr>
              <w:t>二</w:t>
            </w:r>
          </w:p>
        </w:tc>
        <w:tc>
          <w:tcPr>
            <w:tcW w:w="2719" w:type="dxa"/>
            <w:vAlign w:val="center"/>
          </w:tcPr>
          <w:p>
            <w:pPr>
              <w:pStyle w:val="17"/>
              <w:ind w:firstLine="0" w:firstLineChars="0"/>
              <w:jc w:val="center"/>
            </w:pPr>
            <w:r>
              <w:rPr>
                <w:rFonts w:hint="eastAsia"/>
              </w:rPr>
              <w:t>采矿</w:t>
            </w:r>
          </w:p>
        </w:tc>
        <w:tc>
          <w:tcPr>
            <w:tcW w:w="1174" w:type="dxa"/>
            <w:vAlign w:val="center"/>
          </w:tcPr>
          <w:p>
            <w:pPr>
              <w:pStyle w:val="17"/>
              <w:ind w:firstLine="420"/>
              <w:jc w:val="center"/>
            </w:pPr>
          </w:p>
        </w:tc>
        <w:tc>
          <w:tcPr>
            <w:tcW w:w="2628" w:type="dxa"/>
            <w:vAlign w:val="center"/>
          </w:tcPr>
          <w:p>
            <w:pPr>
              <w:pStyle w:val="17"/>
              <w:ind w:firstLine="420"/>
              <w:jc w:val="center"/>
            </w:pP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rPr>
                <w:rFonts w:hint="eastAsia"/>
              </w:rPr>
              <w:t>1</w:t>
            </w:r>
          </w:p>
        </w:tc>
        <w:tc>
          <w:tcPr>
            <w:tcW w:w="2719" w:type="dxa"/>
            <w:vAlign w:val="center"/>
          </w:tcPr>
          <w:p>
            <w:pPr>
              <w:pStyle w:val="17"/>
              <w:ind w:firstLine="0" w:firstLineChars="0"/>
              <w:jc w:val="center"/>
            </w:pPr>
            <w:r>
              <w:rPr>
                <w:rFonts w:hint="eastAsia"/>
              </w:rPr>
              <w:t>生产规模</w:t>
            </w:r>
          </w:p>
        </w:tc>
        <w:tc>
          <w:tcPr>
            <w:tcW w:w="1174" w:type="dxa"/>
            <w:vAlign w:val="center"/>
          </w:tcPr>
          <w:p>
            <w:pPr>
              <w:pStyle w:val="17"/>
              <w:ind w:firstLine="0" w:firstLineChars="0"/>
              <w:jc w:val="center"/>
            </w:pPr>
            <w:r>
              <w:rPr>
                <w:rFonts w:hint="eastAsia"/>
              </w:rPr>
              <w:t>×10</w:t>
            </w:r>
            <w:r>
              <w:rPr>
                <w:rFonts w:hint="eastAsia"/>
                <w:vertAlign w:val="superscript"/>
              </w:rPr>
              <w:t>4</w:t>
            </w:r>
            <w:r>
              <w:rPr>
                <w:rFonts w:hint="eastAsia"/>
              </w:rPr>
              <w:t>m</w:t>
            </w:r>
            <w:r>
              <w:rPr>
                <w:rFonts w:hint="eastAsia"/>
                <w:vertAlign w:val="superscript"/>
              </w:rPr>
              <w:t>3</w:t>
            </w:r>
            <w:r>
              <w:rPr>
                <w:rFonts w:hint="eastAsia"/>
              </w:rPr>
              <w:t>/a</w:t>
            </w:r>
          </w:p>
        </w:tc>
        <w:tc>
          <w:tcPr>
            <w:tcW w:w="2628" w:type="dxa"/>
            <w:vAlign w:val="center"/>
          </w:tcPr>
          <w:p>
            <w:pPr>
              <w:pStyle w:val="17"/>
              <w:ind w:firstLine="0" w:firstLineChars="0"/>
              <w:jc w:val="center"/>
              <w:rPr>
                <w:lang w:val="en-US"/>
              </w:rPr>
            </w:pPr>
            <w:r>
              <w:rPr>
                <w:rFonts w:hint="eastAsia"/>
                <w:lang w:val="en-US"/>
              </w:rPr>
              <w:t>20</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rPr>
                <w:rFonts w:hint="eastAsia"/>
              </w:rPr>
              <w:t>2</w:t>
            </w:r>
          </w:p>
        </w:tc>
        <w:tc>
          <w:tcPr>
            <w:tcW w:w="2719" w:type="dxa"/>
            <w:vAlign w:val="center"/>
          </w:tcPr>
          <w:p>
            <w:pPr>
              <w:pStyle w:val="17"/>
              <w:ind w:firstLine="0" w:firstLineChars="0"/>
              <w:jc w:val="center"/>
            </w:pPr>
            <w:r>
              <w:rPr>
                <w:rFonts w:hint="eastAsia"/>
              </w:rPr>
              <w:t>矿山服务年限</w:t>
            </w:r>
          </w:p>
        </w:tc>
        <w:tc>
          <w:tcPr>
            <w:tcW w:w="1174" w:type="dxa"/>
            <w:vAlign w:val="center"/>
          </w:tcPr>
          <w:p>
            <w:pPr>
              <w:pStyle w:val="17"/>
              <w:ind w:firstLine="0" w:firstLineChars="0"/>
              <w:jc w:val="center"/>
            </w:pPr>
            <w:r>
              <w:rPr>
                <w:rFonts w:hint="eastAsia"/>
              </w:rPr>
              <w:t>年</w:t>
            </w:r>
          </w:p>
        </w:tc>
        <w:tc>
          <w:tcPr>
            <w:tcW w:w="2628" w:type="dxa"/>
            <w:vAlign w:val="center"/>
          </w:tcPr>
          <w:p>
            <w:pPr>
              <w:pStyle w:val="17"/>
              <w:ind w:firstLine="0" w:firstLineChars="0"/>
              <w:jc w:val="center"/>
              <w:rPr>
                <w:lang w:val="en-US"/>
              </w:rPr>
            </w:pPr>
            <w:r>
              <w:rPr>
                <w:lang w:val="en-US"/>
              </w:rPr>
              <w:t>25.15</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rPr>
                <w:rFonts w:hint="eastAsia"/>
              </w:rPr>
              <w:t>3</w:t>
            </w:r>
          </w:p>
        </w:tc>
        <w:tc>
          <w:tcPr>
            <w:tcW w:w="2719" w:type="dxa"/>
            <w:vAlign w:val="center"/>
          </w:tcPr>
          <w:p>
            <w:pPr>
              <w:pStyle w:val="17"/>
              <w:ind w:firstLine="0" w:firstLineChars="0"/>
              <w:jc w:val="center"/>
            </w:pPr>
            <w:r>
              <w:rPr>
                <w:rFonts w:hint="eastAsia"/>
              </w:rPr>
              <w:t>开采方式</w:t>
            </w:r>
          </w:p>
        </w:tc>
        <w:tc>
          <w:tcPr>
            <w:tcW w:w="1174" w:type="dxa"/>
            <w:vAlign w:val="center"/>
          </w:tcPr>
          <w:p>
            <w:pPr>
              <w:pStyle w:val="17"/>
              <w:ind w:firstLine="420"/>
              <w:jc w:val="center"/>
            </w:pPr>
          </w:p>
        </w:tc>
        <w:tc>
          <w:tcPr>
            <w:tcW w:w="2628" w:type="dxa"/>
            <w:vAlign w:val="center"/>
          </w:tcPr>
          <w:p>
            <w:pPr>
              <w:pStyle w:val="17"/>
              <w:ind w:firstLine="0" w:firstLineChars="0"/>
              <w:jc w:val="center"/>
            </w:pPr>
            <w:r>
              <w:rPr>
                <w:rFonts w:hint="eastAsia"/>
              </w:rPr>
              <w:t>露天开采</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rPr>
                <w:rFonts w:hint="eastAsia"/>
              </w:rPr>
              <w:t>4</w:t>
            </w:r>
          </w:p>
        </w:tc>
        <w:tc>
          <w:tcPr>
            <w:tcW w:w="2719" w:type="dxa"/>
            <w:vAlign w:val="center"/>
          </w:tcPr>
          <w:p>
            <w:pPr>
              <w:pStyle w:val="17"/>
              <w:ind w:firstLine="0" w:firstLineChars="0"/>
              <w:jc w:val="center"/>
            </w:pPr>
            <w:r>
              <w:rPr>
                <w:rFonts w:hint="eastAsia"/>
              </w:rPr>
              <w:t>分台阶高度</w:t>
            </w:r>
          </w:p>
        </w:tc>
        <w:tc>
          <w:tcPr>
            <w:tcW w:w="1174" w:type="dxa"/>
            <w:vAlign w:val="center"/>
          </w:tcPr>
          <w:p>
            <w:pPr>
              <w:pStyle w:val="17"/>
              <w:ind w:firstLine="420"/>
              <w:jc w:val="center"/>
            </w:pPr>
          </w:p>
        </w:tc>
        <w:tc>
          <w:tcPr>
            <w:tcW w:w="2628" w:type="dxa"/>
            <w:vAlign w:val="center"/>
          </w:tcPr>
          <w:p>
            <w:pPr>
              <w:pStyle w:val="17"/>
              <w:ind w:firstLine="0" w:firstLineChars="0"/>
              <w:jc w:val="center"/>
            </w:pPr>
            <w:r>
              <w:rPr>
                <w:rFonts w:hint="eastAsia"/>
              </w:rPr>
              <w:t>平均</w:t>
            </w:r>
            <w:r>
              <w:rPr>
                <w:lang w:val="en-US"/>
              </w:rPr>
              <w:t>5</w:t>
            </w:r>
            <w:r>
              <w:rPr>
                <w:rFonts w:hint="eastAsia"/>
              </w:rPr>
              <w:t>米，分3层开采</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rPr>
                <w:rFonts w:hint="eastAsia"/>
              </w:rPr>
              <w:t>5</w:t>
            </w:r>
          </w:p>
        </w:tc>
        <w:tc>
          <w:tcPr>
            <w:tcW w:w="2719" w:type="dxa"/>
            <w:vAlign w:val="center"/>
          </w:tcPr>
          <w:p>
            <w:pPr>
              <w:pStyle w:val="17"/>
              <w:ind w:firstLine="0" w:firstLineChars="0"/>
              <w:jc w:val="center"/>
            </w:pPr>
            <w:r>
              <w:rPr>
                <w:rFonts w:hint="eastAsia"/>
              </w:rPr>
              <w:t>开拓方式</w:t>
            </w:r>
          </w:p>
        </w:tc>
        <w:tc>
          <w:tcPr>
            <w:tcW w:w="1174" w:type="dxa"/>
            <w:vAlign w:val="center"/>
          </w:tcPr>
          <w:p>
            <w:pPr>
              <w:pStyle w:val="17"/>
              <w:ind w:firstLine="420"/>
              <w:jc w:val="center"/>
            </w:pPr>
          </w:p>
        </w:tc>
        <w:tc>
          <w:tcPr>
            <w:tcW w:w="2628" w:type="dxa"/>
            <w:vAlign w:val="center"/>
          </w:tcPr>
          <w:p>
            <w:pPr>
              <w:pStyle w:val="17"/>
              <w:ind w:firstLine="0" w:firstLineChars="0"/>
              <w:jc w:val="center"/>
            </w:pPr>
            <w:r>
              <w:rPr>
                <w:rFonts w:hint="eastAsia"/>
              </w:rPr>
              <w:t>公路开拓、汽车运输</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rPr>
                <w:rFonts w:hint="eastAsia"/>
              </w:rPr>
              <w:t>6</w:t>
            </w:r>
          </w:p>
        </w:tc>
        <w:tc>
          <w:tcPr>
            <w:tcW w:w="2719" w:type="dxa"/>
            <w:vAlign w:val="center"/>
          </w:tcPr>
          <w:p>
            <w:pPr>
              <w:pStyle w:val="17"/>
              <w:ind w:firstLine="0" w:firstLineChars="0"/>
              <w:jc w:val="center"/>
            </w:pPr>
            <w:r>
              <w:rPr>
                <w:rFonts w:hint="eastAsia"/>
              </w:rPr>
              <w:t>开采矿体顶部标高</w:t>
            </w:r>
          </w:p>
        </w:tc>
        <w:tc>
          <w:tcPr>
            <w:tcW w:w="1174" w:type="dxa"/>
            <w:vAlign w:val="center"/>
          </w:tcPr>
          <w:p>
            <w:pPr>
              <w:pStyle w:val="17"/>
              <w:ind w:firstLine="0" w:firstLineChars="0"/>
              <w:jc w:val="center"/>
            </w:pPr>
            <w:r>
              <w:rPr>
                <w:rFonts w:hint="eastAsia"/>
              </w:rPr>
              <w:t>m</w:t>
            </w:r>
          </w:p>
        </w:tc>
        <w:tc>
          <w:tcPr>
            <w:tcW w:w="2628" w:type="dxa"/>
            <w:vAlign w:val="center"/>
          </w:tcPr>
          <w:p>
            <w:pPr>
              <w:pStyle w:val="17"/>
              <w:ind w:firstLine="0" w:firstLineChars="0"/>
              <w:jc w:val="center"/>
              <w:rPr>
                <w:lang w:val="en-US"/>
              </w:rPr>
            </w:pPr>
            <w:r>
              <w:rPr>
                <w:rFonts w:hint="eastAsia"/>
              </w:rPr>
              <w:t>+16</w:t>
            </w:r>
            <w:r>
              <w:rPr>
                <w:lang w:val="en-US"/>
              </w:rPr>
              <w:t>35.5</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rPr>
                <w:rFonts w:hint="eastAsia"/>
              </w:rPr>
              <w:t>7</w:t>
            </w:r>
          </w:p>
        </w:tc>
        <w:tc>
          <w:tcPr>
            <w:tcW w:w="2719" w:type="dxa"/>
            <w:vAlign w:val="center"/>
          </w:tcPr>
          <w:p>
            <w:pPr>
              <w:pStyle w:val="17"/>
              <w:ind w:firstLine="0" w:firstLineChars="0"/>
              <w:jc w:val="center"/>
            </w:pPr>
            <w:r>
              <w:rPr>
                <w:rFonts w:hint="eastAsia"/>
              </w:rPr>
              <w:t>开采矿体底部标高</w:t>
            </w:r>
          </w:p>
        </w:tc>
        <w:tc>
          <w:tcPr>
            <w:tcW w:w="1174" w:type="dxa"/>
            <w:vAlign w:val="center"/>
          </w:tcPr>
          <w:p>
            <w:pPr>
              <w:pStyle w:val="17"/>
              <w:ind w:firstLine="0" w:firstLineChars="0"/>
              <w:jc w:val="center"/>
            </w:pPr>
            <w:r>
              <w:rPr>
                <w:rFonts w:hint="eastAsia"/>
              </w:rPr>
              <w:t>m</w:t>
            </w:r>
          </w:p>
        </w:tc>
        <w:tc>
          <w:tcPr>
            <w:tcW w:w="2628" w:type="dxa"/>
            <w:vAlign w:val="center"/>
          </w:tcPr>
          <w:p>
            <w:pPr>
              <w:pStyle w:val="17"/>
              <w:ind w:firstLine="0" w:firstLineChars="0"/>
              <w:jc w:val="center"/>
              <w:rPr>
                <w:lang w:val="en-US"/>
              </w:rPr>
            </w:pPr>
            <w:r>
              <w:rPr>
                <w:rFonts w:hint="eastAsia"/>
              </w:rPr>
              <w:t>+</w:t>
            </w:r>
            <w:r>
              <w:t>1583.0</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8</w:t>
            </w:r>
          </w:p>
        </w:tc>
        <w:tc>
          <w:tcPr>
            <w:tcW w:w="271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采场最终边坡角</w:t>
            </w:r>
          </w:p>
        </w:tc>
        <w:tc>
          <w:tcPr>
            <w:tcW w:w="1174"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w:t>
            </w:r>
          </w:p>
        </w:tc>
        <w:tc>
          <w:tcPr>
            <w:tcW w:w="26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t xml:space="preserve">  36</w:t>
            </w:r>
            <w:r>
              <w:rPr>
                <w:rFonts w:hint="eastAsia"/>
              </w:rPr>
              <w:t>°</w:t>
            </w:r>
          </w:p>
        </w:tc>
        <w:tc>
          <w:tcPr>
            <w:tcW w:w="1231" w:type="dxa"/>
            <w:tcBorders>
              <w:top w:val="single" w:color="000000" w:sz="4" w:space="0"/>
              <w:left w:val="single" w:color="000000" w:sz="4" w:space="0"/>
              <w:bottom w:val="single" w:color="000000" w:sz="4" w:space="0"/>
              <w:right w:val="single" w:color="000000" w:sz="4" w:space="0"/>
            </w:tcBorders>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9</w:t>
            </w:r>
          </w:p>
        </w:tc>
        <w:tc>
          <w:tcPr>
            <w:tcW w:w="271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最小装运工作平台宽度</w:t>
            </w:r>
          </w:p>
        </w:tc>
        <w:tc>
          <w:tcPr>
            <w:tcW w:w="1174"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m</w:t>
            </w:r>
          </w:p>
        </w:tc>
        <w:tc>
          <w:tcPr>
            <w:tcW w:w="26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t>25</w:t>
            </w:r>
          </w:p>
        </w:tc>
        <w:tc>
          <w:tcPr>
            <w:tcW w:w="1231" w:type="dxa"/>
            <w:tcBorders>
              <w:top w:val="single" w:color="000000" w:sz="4" w:space="0"/>
              <w:left w:val="single" w:color="000000" w:sz="4" w:space="0"/>
              <w:bottom w:val="single" w:color="000000" w:sz="4" w:space="0"/>
              <w:right w:val="single" w:color="000000" w:sz="4" w:space="0"/>
            </w:tcBorders>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三</w:t>
            </w:r>
          </w:p>
        </w:tc>
        <w:tc>
          <w:tcPr>
            <w:tcW w:w="271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采矿设备</w:t>
            </w:r>
          </w:p>
        </w:tc>
        <w:tc>
          <w:tcPr>
            <w:tcW w:w="1174"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p>
        </w:tc>
        <w:tc>
          <w:tcPr>
            <w:tcW w:w="2628" w:type="dxa"/>
            <w:tcBorders>
              <w:top w:val="single" w:color="000000" w:sz="4" w:space="0"/>
              <w:left w:val="single" w:color="000000" w:sz="4" w:space="0"/>
              <w:bottom w:val="single" w:color="000000" w:sz="4" w:space="0"/>
              <w:right w:val="single" w:color="000000" w:sz="4" w:space="0"/>
            </w:tcBorders>
            <w:vAlign w:val="center"/>
          </w:tcPr>
          <w:p>
            <w:pPr>
              <w:pStyle w:val="17"/>
              <w:ind w:firstLine="420"/>
              <w:jc w:val="center"/>
            </w:pPr>
          </w:p>
        </w:tc>
        <w:tc>
          <w:tcPr>
            <w:tcW w:w="1231" w:type="dxa"/>
            <w:tcBorders>
              <w:top w:val="single" w:color="000000" w:sz="4" w:space="0"/>
              <w:left w:val="single" w:color="000000" w:sz="4" w:space="0"/>
              <w:bottom w:val="single" w:color="000000" w:sz="4" w:space="0"/>
              <w:right w:val="single" w:color="000000" w:sz="4" w:space="0"/>
            </w:tcBorders>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1</w:t>
            </w:r>
          </w:p>
        </w:tc>
        <w:tc>
          <w:tcPr>
            <w:tcW w:w="271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ascii="宋体" w:hAnsi="宋体" w:cs="宋体"/>
              </w:rPr>
              <w:t>山工牌ZL－50D</w:t>
            </w:r>
            <w:r>
              <w:rPr>
                <w:rFonts w:hint="eastAsia"/>
              </w:rPr>
              <w:t>型装载机</w:t>
            </w:r>
          </w:p>
        </w:tc>
        <w:tc>
          <w:tcPr>
            <w:tcW w:w="1174"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台</w:t>
            </w:r>
          </w:p>
        </w:tc>
        <w:tc>
          <w:tcPr>
            <w:tcW w:w="26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t>3</w:t>
            </w:r>
          </w:p>
        </w:tc>
        <w:tc>
          <w:tcPr>
            <w:tcW w:w="1231"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购置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2</w:t>
            </w:r>
          </w:p>
        </w:tc>
        <w:tc>
          <w:tcPr>
            <w:tcW w:w="271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ascii="宋体" w:hAnsi="宋体" w:cs="宋体"/>
              </w:rPr>
              <w:t>神钢SK230-6</w:t>
            </w:r>
            <w:r>
              <w:rPr>
                <w:rFonts w:hint="eastAsia"/>
              </w:rPr>
              <w:t>挖掘机</w:t>
            </w:r>
          </w:p>
        </w:tc>
        <w:tc>
          <w:tcPr>
            <w:tcW w:w="1174"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台</w:t>
            </w:r>
          </w:p>
        </w:tc>
        <w:tc>
          <w:tcPr>
            <w:tcW w:w="26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t>3</w:t>
            </w:r>
          </w:p>
        </w:tc>
        <w:tc>
          <w:tcPr>
            <w:tcW w:w="1231"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购置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3</w:t>
            </w:r>
          </w:p>
        </w:tc>
        <w:tc>
          <w:tcPr>
            <w:tcW w:w="2719"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20t自卸运输车</w:t>
            </w:r>
          </w:p>
        </w:tc>
        <w:tc>
          <w:tcPr>
            <w:tcW w:w="1174"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辆</w:t>
            </w:r>
          </w:p>
        </w:tc>
        <w:tc>
          <w:tcPr>
            <w:tcW w:w="2628"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t>2</w:t>
            </w:r>
          </w:p>
        </w:tc>
        <w:tc>
          <w:tcPr>
            <w:tcW w:w="1231" w:type="dxa"/>
            <w:tcBorders>
              <w:top w:val="single" w:color="000000" w:sz="4" w:space="0"/>
              <w:left w:val="single" w:color="000000" w:sz="4" w:space="0"/>
              <w:bottom w:val="single" w:color="000000" w:sz="4" w:space="0"/>
              <w:right w:val="single" w:color="000000" w:sz="4" w:space="0"/>
            </w:tcBorders>
            <w:vAlign w:val="center"/>
          </w:tcPr>
          <w:p>
            <w:pPr>
              <w:pStyle w:val="17"/>
              <w:ind w:firstLine="0" w:firstLineChars="0"/>
              <w:jc w:val="center"/>
            </w:pPr>
            <w:r>
              <w:rPr>
                <w:rFonts w:hint="eastAsia"/>
              </w:rPr>
              <w:t>购置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rPr>
                <w:rFonts w:hint="eastAsia"/>
              </w:rPr>
              <w:t>四</w:t>
            </w:r>
          </w:p>
        </w:tc>
        <w:tc>
          <w:tcPr>
            <w:tcW w:w="2719" w:type="dxa"/>
            <w:vAlign w:val="center"/>
          </w:tcPr>
          <w:p>
            <w:pPr>
              <w:pStyle w:val="17"/>
              <w:ind w:firstLine="0" w:firstLineChars="0"/>
              <w:jc w:val="center"/>
            </w:pPr>
            <w:r>
              <w:rPr>
                <w:rFonts w:hint="eastAsia"/>
              </w:rPr>
              <w:t>技术经济</w:t>
            </w:r>
          </w:p>
        </w:tc>
        <w:tc>
          <w:tcPr>
            <w:tcW w:w="1174" w:type="dxa"/>
            <w:vAlign w:val="center"/>
          </w:tcPr>
          <w:p>
            <w:pPr>
              <w:pStyle w:val="17"/>
              <w:ind w:firstLine="420"/>
              <w:jc w:val="center"/>
            </w:pPr>
          </w:p>
        </w:tc>
        <w:tc>
          <w:tcPr>
            <w:tcW w:w="2628" w:type="dxa"/>
            <w:vAlign w:val="center"/>
          </w:tcPr>
          <w:p>
            <w:pPr>
              <w:pStyle w:val="17"/>
              <w:ind w:firstLine="420"/>
              <w:jc w:val="center"/>
            </w:pP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rPr>
                <w:rFonts w:hint="eastAsia"/>
              </w:rPr>
              <w:t>1</w:t>
            </w:r>
          </w:p>
        </w:tc>
        <w:tc>
          <w:tcPr>
            <w:tcW w:w="2719" w:type="dxa"/>
            <w:vAlign w:val="center"/>
          </w:tcPr>
          <w:p>
            <w:pPr>
              <w:pStyle w:val="17"/>
              <w:ind w:firstLine="0" w:firstLineChars="0"/>
              <w:jc w:val="center"/>
            </w:pPr>
            <w:r>
              <w:rPr>
                <w:rFonts w:hint="eastAsia" w:ascii="宋体" w:hAnsi="宋体" w:cs="宋体"/>
              </w:rPr>
              <w:t>设计开采回采率</w:t>
            </w:r>
          </w:p>
        </w:tc>
        <w:tc>
          <w:tcPr>
            <w:tcW w:w="1174" w:type="dxa"/>
            <w:vAlign w:val="center"/>
          </w:tcPr>
          <w:p>
            <w:pPr>
              <w:pStyle w:val="17"/>
              <w:ind w:firstLine="0" w:firstLineChars="0"/>
              <w:jc w:val="center"/>
            </w:pPr>
            <w:r>
              <w:rPr>
                <w:rFonts w:hint="eastAsia" w:ascii="宋体" w:hAnsi="宋体" w:cs="宋体"/>
              </w:rPr>
              <w:t>%</w:t>
            </w:r>
          </w:p>
        </w:tc>
        <w:tc>
          <w:tcPr>
            <w:tcW w:w="2628" w:type="dxa"/>
            <w:vAlign w:val="center"/>
          </w:tcPr>
          <w:p>
            <w:pPr>
              <w:pStyle w:val="17"/>
              <w:ind w:firstLine="0" w:firstLineChars="0"/>
              <w:jc w:val="center"/>
            </w:pPr>
            <w:r>
              <w:rPr>
                <w:rFonts w:hint="eastAsia"/>
              </w:rPr>
              <w:t>9</w:t>
            </w:r>
            <w:r>
              <w:t>5</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t>2</w:t>
            </w:r>
          </w:p>
        </w:tc>
        <w:tc>
          <w:tcPr>
            <w:tcW w:w="2719" w:type="dxa"/>
            <w:vAlign w:val="center"/>
          </w:tcPr>
          <w:p>
            <w:pPr>
              <w:pStyle w:val="17"/>
              <w:ind w:firstLine="0" w:firstLineChars="0"/>
              <w:jc w:val="center"/>
            </w:pPr>
            <w:r>
              <w:rPr>
                <w:rFonts w:hint="eastAsia" w:ascii="宋体" w:hAnsi="宋体" w:cs="宋体"/>
              </w:rPr>
              <w:t>设计采矿损失率</w:t>
            </w:r>
          </w:p>
        </w:tc>
        <w:tc>
          <w:tcPr>
            <w:tcW w:w="1174" w:type="dxa"/>
            <w:vAlign w:val="center"/>
          </w:tcPr>
          <w:p>
            <w:pPr>
              <w:pStyle w:val="17"/>
              <w:ind w:firstLine="0" w:firstLineChars="0"/>
              <w:jc w:val="center"/>
            </w:pPr>
            <w:r>
              <w:rPr>
                <w:rFonts w:hint="eastAsia" w:ascii="宋体" w:hAnsi="宋体" w:cs="宋体"/>
              </w:rPr>
              <w:t>%</w:t>
            </w:r>
          </w:p>
        </w:tc>
        <w:tc>
          <w:tcPr>
            <w:tcW w:w="2628" w:type="dxa"/>
            <w:vAlign w:val="center"/>
          </w:tcPr>
          <w:p>
            <w:pPr>
              <w:pStyle w:val="17"/>
              <w:ind w:firstLine="0" w:firstLineChars="0"/>
              <w:jc w:val="center"/>
            </w:pPr>
            <w:r>
              <w:t>5</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t>3</w:t>
            </w:r>
          </w:p>
        </w:tc>
        <w:tc>
          <w:tcPr>
            <w:tcW w:w="2719" w:type="dxa"/>
            <w:vAlign w:val="center"/>
          </w:tcPr>
          <w:p>
            <w:pPr>
              <w:pStyle w:val="17"/>
              <w:ind w:firstLine="0" w:firstLineChars="0"/>
              <w:jc w:val="center"/>
            </w:pPr>
            <w:r>
              <w:rPr>
                <w:rFonts w:hint="eastAsia"/>
              </w:rPr>
              <w:t>总投资</w:t>
            </w:r>
          </w:p>
        </w:tc>
        <w:tc>
          <w:tcPr>
            <w:tcW w:w="1174" w:type="dxa"/>
            <w:vAlign w:val="center"/>
          </w:tcPr>
          <w:p>
            <w:pPr>
              <w:pStyle w:val="17"/>
              <w:ind w:firstLine="0" w:firstLineChars="0"/>
              <w:jc w:val="center"/>
            </w:pPr>
            <w:r>
              <w:rPr>
                <w:rFonts w:hint="eastAsia"/>
              </w:rPr>
              <w:t>万元</w:t>
            </w:r>
          </w:p>
        </w:tc>
        <w:tc>
          <w:tcPr>
            <w:tcW w:w="2628" w:type="dxa"/>
            <w:vAlign w:val="center"/>
          </w:tcPr>
          <w:p>
            <w:pPr>
              <w:pStyle w:val="17"/>
              <w:ind w:firstLine="0" w:firstLineChars="0"/>
              <w:jc w:val="center"/>
              <w:rPr>
                <w:lang w:val="en-US"/>
              </w:rPr>
            </w:pPr>
            <w:r>
              <w:rPr>
                <w:lang w:val="en-US"/>
              </w:rPr>
              <w:t>928.89</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t>4</w:t>
            </w:r>
          </w:p>
        </w:tc>
        <w:tc>
          <w:tcPr>
            <w:tcW w:w="2719" w:type="dxa"/>
            <w:vAlign w:val="center"/>
          </w:tcPr>
          <w:p>
            <w:pPr>
              <w:pStyle w:val="17"/>
              <w:ind w:firstLine="0" w:firstLineChars="0"/>
              <w:jc w:val="center"/>
            </w:pPr>
            <w:r>
              <w:rPr>
                <w:rFonts w:hint="eastAsia"/>
              </w:rPr>
              <w:t>工作制度</w:t>
            </w:r>
          </w:p>
        </w:tc>
        <w:tc>
          <w:tcPr>
            <w:tcW w:w="1174" w:type="dxa"/>
            <w:vAlign w:val="center"/>
          </w:tcPr>
          <w:p>
            <w:pPr>
              <w:pStyle w:val="17"/>
              <w:ind w:firstLine="0" w:firstLineChars="0"/>
              <w:jc w:val="center"/>
            </w:pPr>
            <w:r>
              <w:rPr>
                <w:rFonts w:hint="eastAsia"/>
              </w:rPr>
              <w:t>h/d</w:t>
            </w:r>
          </w:p>
        </w:tc>
        <w:tc>
          <w:tcPr>
            <w:tcW w:w="2628" w:type="dxa"/>
            <w:vAlign w:val="center"/>
          </w:tcPr>
          <w:p>
            <w:pPr>
              <w:pStyle w:val="17"/>
              <w:ind w:firstLine="0" w:firstLineChars="0"/>
              <w:jc w:val="center"/>
            </w:pPr>
            <w:r>
              <w:rPr>
                <w:rFonts w:hint="eastAsia"/>
              </w:rPr>
              <w:t>8</w:t>
            </w:r>
          </w:p>
        </w:tc>
        <w:tc>
          <w:tcPr>
            <w:tcW w:w="1231" w:type="dxa"/>
            <w:vAlign w:val="center"/>
          </w:tcPr>
          <w:p>
            <w:pPr>
              <w:pStyle w:val="17"/>
              <w:ind w:firstLine="0" w:firstLineChars="0"/>
              <w:jc w:val="center"/>
            </w:pPr>
            <w:r>
              <w:rPr>
                <w:rFonts w:hint="eastAsia"/>
              </w:rPr>
              <w:t>一班制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t>5</w:t>
            </w:r>
          </w:p>
        </w:tc>
        <w:tc>
          <w:tcPr>
            <w:tcW w:w="2719" w:type="dxa"/>
            <w:vAlign w:val="center"/>
          </w:tcPr>
          <w:p>
            <w:pPr>
              <w:pStyle w:val="17"/>
              <w:ind w:firstLine="0" w:firstLineChars="0"/>
              <w:jc w:val="center"/>
            </w:pPr>
            <w:r>
              <w:rPr>
                <w:rFonts w:hint="eastAsia"/>
              </w:rPr>
              <w:t>年工作日</w:t>
            </w:r>
          </w:p>
        </w:tc>
        <w:tc>
          <w:tcPr>
            <w:tcW w:w="1174" w:type="dxa"/>
            <w:vAlign w:val="center"/>
          </w:tcPr>
          <w:p>
            <w:pPr>
              <w:pStyle w:val="17"/>
              <w:ind w:firstLine="0" w:firstLineChars="0"/>
              <w:jc w:val="center"/>
            </w:pPr>
            <w:r>
              <w:rPr>
                <w:rFonts w:hint="eastAsia"/>
              </w:rPr>
              <w:t>d</w:t>
            </w:r>
          </w:p>
        </w:tc>
        <w:tc>
          <w:tcPr>
            <w:tcW w:w="2628" w:type="dxa"/>
            <w:vAlign w:val="center"/>
          </w:tcPr>
          <w:p>
            <w:pPr>
              <w:pStyle w:val="17"/>
              <w:ind w:firstLine="0" w:firstLineChars="0"/>
              <w:jc w:val="center"/>
            </w:pPr>
            <w:r>
              <w:rPr>
                <w:rFonts w:hint="eastAsia"/>
              </w:rPr>
              <w:t>300</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t>6</w:t>
            </w:r>
          </w:p>
        </w:tc>
        <w:tc>
          <w:tcPr>
            <w:tcW w:w="2719" w:type="dxa"/>
            <w:vAlign w:val="center"/>
          </w:tcPr>
          <w:p>
            <w:pPr>
              <w:pStyle w:val="17"/>
              <w:ind w:firstLine="0" w:firstLineChars="0"/>
              <w:jc w:val="center"/>
            </w:pPr>
            <w:r>
              <w:rPr>
                <w:rFonts w:hint="eastAsia"/>
              </w:rPr>
              <w:t>定岗人数</w:t>
            </w:r>
          </w:p>
        </w:tc>
        <w:tc>
          <w:tcPr>
            <w:tcW w:w="1174" w:type="dxa"/>
            <w:vAlign w:val="center"/>
          </w:tcPr>
          <w:p>
            <w:pPr>
              <w:pStyle w:val="17"/>
              <w:ind w:firstLine="0" w:firstLineChars="0"/>
              <w:jc w:val="center"/>
            </w:pPr>
            <w:r>
              <w:rPr>
                <w:rFonts w:hint="eastAsia"/>
              </w:rPr>
              <w:t>人</w:t>
            </w:r>
          </w:p>
        </w:tc>
        <w:tc>
          <w:tcPr>
            <w:tcW w:w="2628" w:type="dxa"/>
            <w:vAlign w:val="center"/>
          </w:tcPr>
          <w:p>
            <w:pPr>
              <w:pStyle w:val="17"/>
              <w:ind w:firstLine="0" w:firstLineChars="0"/>
              <w:jc w:val="center"/>
              <w:rPr>
                <w:lang w:val="en-US"/>
              </w:rPr>
            </w:pPr>
            <w:r>
              <w:rPr>
                <w:lang w:val="en-US"/>
              </w:rPr>
              <w:t>20</w:t>
            </w:r>
          </w:p>
        </w:tc>
        <w:tc>
          <w:tcPr>
            <w:tcW w:w="1231" w:type="dxa"/>
            <w:vAlign w:val="center"/>
          </w:tcPr>
          <w:p>
            <w:pPr>
              <w:pStyle w:val="17"/>
              <w:ind w:firstLine="42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75" w:type="dxa"/>
            <w:vAlign w:val="center"/>
          </w:tcPr>
          <w:p>
            <w:pPr>
              <w:pStyle w:val="17"/>
              <w:ind w:firstLine="0" w:firstLineChars="0"/>
              <w:jc w:val="center"/>
            </w:pPr>
            <w:r>
              <w:t>7</w:t>
            </w:r>
          </w:p>
        </w:tc>
        <w:tc>
          <w:tcPr>
            <w:tcW w:w="2719" w:type="dxa"/>
            <w:vAlign w:val="center"/>
          </w:tcPr>
          <w:p>
            <w:pPr>
              <w:pStyle w:val="17"/>
              <w:ind w:firstLine="0" w:firstLineChars="0"/>
              <w:jc w:val="center"/>
            </w:pPr>
            <w:r>
              <w:rPr>
                <w:rFonts w:hint="eastAsia"/>
              </w:rPr>
              <w:t>日产量</w:t>
            </w:r>
          </w:p>
        </w:tc>
        <w:tc>
          <w:tcPr>
            <w:tcW w:w="1174" w:type="dxa"/>
            <w:vAlign w:val="center"/>
          </w:tcPr>
          <w:p>
            <w:pPr>
              <w:pStyle w:val="17"/>
              <w:ind w:firstLine="0" w:firstLineChars="0"/>
              <w:jc w:val="center"/>
            </w:pPr>
            <w:r>
              <w:rPr>
                <w:rFonts w:hint="eastAsia"/>
              </w:rPr>
              <w:t>m</w:t>
            </w:r>
            <w:r>
              <w:rPr>
                <w:rFonts w:hint="eastAsia"/>
                <w:vertAlign w:val="superscript"/>
              </w:rPr>
              <w:t>3</w:t>
            </w:r>
          </w:p>
        </w:tc>
        <w:tc>
          <w:tcPr>
            <w:tcW w:w="2628" w:type="dxa"/>
            <w:vAlign w:val="center"/>
          </w:tcPr>
          <w:p>
            <w:pPr>
              <w:pStyle w:val="17"/>
              <w:ind w:firstLine="0" w:firstLineChars="0"/>
              <w:jc w:val="center"/>
              <w:rPr>
                <w:lang w:val="en-US"/>
              </w:rPr>
            </w:pPr>
            <w:r>
              <w:rPr>
                <w:rFonts w:hint="eastAsia"/>
                <w:lang w:val="en-US"/>
              </w:rPr>
              <w:t>667</w:t>
            </w:r>
          </w:p>
        </w:tc>
        <w:tc>
          <w:tcPr>
            <w:tcW w:w="1231" w:type="dxa"/>
            <w:vAlign w:val="center"/>
          </w:tcPr>
          <w:p>
            <w:pPr>
              <w:pStyle w:val="17"/>
              <w:ind w:firstLine="420"/>
              <w:jc w:val="center"/>
            </w:pPr>
          </w:p>
        </w:tc>
      </w:tr>
    </w:tbl>
    <w:p>
      <w:pPr>
        <w:pStyle w:val="4"/>
      </w:pPr>
      <w:bookmarkStart w:id="618" w:name="_Toc71621620"/>
      <w:bookmarkStart w:id="619" w:name="_Toc70589812"/>
      <w:bookmarkStart w:id="620" w:name="_Toc502783506"/>
      <w:bookmarkStart w:id="621" w:name="_Toc147563707"/>
      <w:bookmarkStart w:id="622" w:name="_Toc3450"/>
      <w:bookmarkStart w:id="623" w:name="_Toc511226449"/>
      <w:bookmarkStart w:id="624" w:name="_Toc395519085"/>
      <w:bookmarkStart w:id="625" w:name="_Toc395519254"/>
      <w:r>
        <w:rPr>
          <w:rFonts w:hint="eastAsia"/>
        </w:rPr>
        <w:t>12.3 工程项目综合评价</w:t>
      </w:r>
      <w:bookmarkEnd w:id="615"/>
      <w:bookmarkEnd w:id="616"/>
      <w:bookmarkEnd w:id="617"/>
      <w:bookmarkEnd w:id="618"/>
      <w:bookmarkEnd w:id="619"/>
      <w:bookmarkEnd w:id="620"/>
      <w:bookmarkEnd w:id="621"/>
      <w:bookmarkEnd w:id="622"/>
      <w:bookmarkEnd w:id="623"/>
      <w:bookmarkEnd w:id="624"/>
      <w:bookmarkEnd w:id="625"/>
    </w:p>
    <w:p>
      <w:pPr>
        <w:ind w:firstLine="560"/>
      </w:pPr>
      <w:r>
        <w:rPr>
          <w:rFonts w:hint="eastAsia"/>
        </w:rPr>
        <w:t>本工程地质资源储量可靠，外部建设条件好，开采技术条件可行。</w:t>
      </w:r>
    </w:p>
    <w:p>
      <w:pPr>
        <w:ind w:firstLine="560"/>
      </w:pPr>
      <w:r>
        <w:rPr>
          <w:rFonts w:hint="eastAsia"/>
        </w:rPr>
        <w:t>本项目建设投资总额</w:t>
      </w:r>
      <w:r>
        <w:t>928.89</w:t>
      </w:r>
      <w:r>
        <w:rPr>
          <w:rFonts w:hint="eastAsia"/>
        </w:rPr>
        <w:t>万元，采出建筑用砂矿矿点销售价格为</w:t>
      </w:r>
      <w:r>
        <w:t>50</w:t>
      </w:r>
      <w:r>
        <w:rPr>
          <w:rFonts w:hint="eastAsia"/>
        </w:rPr>
        <w:t>元/m</w:t>
      </w:r>
      <w:r>
        <w:rPr>
          <w:rFonts w:hint="eastAsia"/>
          <w:vertAlign w:val="superscript"/>
        </w:rPr>
        <w:t>3</w:t>
      </w:r>
      <w:r>
        <w:rPr>
          <w:rFonts w:hint="eastAsia"/>
        </w:rPr>
        <w:t>，年总成本600万元，税后利润为</w:t>
      </w:r>
      <w:r>
        <w:t>246.25</w:t>
      </w:r>
      <w:r>
        <w:rPr>
          <w:rFonts w:hint="eastAsia"/>
        </w:rPr>
        <w:t>万元。</w:t>
      </w:r>
    </w:p>
    <w:p>
      <w:pPr>
        <w:ind w:firstLine="560"/>
      </w:pPr>
      <w:r>
        <w:rPr>
          <w:rFonts w:hint="eastAsia"/>
        </w:rPr>
        <w:t>企业综合技术经济指标详见前表。从表中可见，该项目指标较好，主要原因在于近年国家民生投资力度大幅增加，基础建设投资加大，已开采住宅及其他建筑工程项目增加，原材料价格明显上涨，从而使得建筑用砂矿价格上涨，市场销量看好，企业利润率增高，其收益大于行业基准收益率，企业具有一定的盈利能力，项目是可行的。</w:t>
      </w:r>
    </w:p>
    <w:p>
      <w:pPr>
        <w:ind w:firstLine="560"/>
      </w:pPr>
      <w:r>
        <w:rPr>
          <w:rFonts w:hint="eastAsia"/>
        </w:rPr>
        <w:t>根据近几年建筑用砂矿市场情况及今后一段时间内预测的价格走势，建筑用砂矿的销售价格和市场将是影响企业经济效益最敏感的因素。另外，矿山生产的成本也是影响企业经济效益的主要因素之一。因此在生产中要特别加强矿山的管理，降低生产综合成本，并进一步提高采矿工艺指标，以便提高矿山企业的经济效益。</w:t>
      </w:r>
    </w:p>
    <w:p>
      <w:pPr>
        <w:ind w:firstLine="560"/>
      </w:pPr>
      <w:r>
        <w:rPr>
          <w:rFonts w:hint="eastAsia"/>
        </w:rPr>
        <w:t>该项目的建设，还可创造至少</w:t>
      </w:r>
      <w:r>
        <w:t>20</w:t>
      </w:r>
      <w:r>
        <w:rPr>
          <w:rFonts w:hint="eastAsia"/>
        </w:rPr>
        <w:t>个就业岗位，具有一定的经济效益和社会效益，项目建成后，必将有力地支持地方经济的发展，由于建筑用砂矿的需求不断增大，价格持续走高，为抢抓机遇，建议尽快投资建设该项目。</w:t>
      </w:r>
    </w:p>
    <w:p>
      <w:pPr>
        <w:pStyle w:val="4"/>
      </w:pPr>
      <w:bookmarkStart w:id="626" w:name="_Toc25292"/>
      <w:bookmarkStart w:id="627" w:name="_Toc147563708"/>
      <w:bookmarkStart w:id="628" w:name="_Toc71621621"/>
      <w:bookmarkStart w:id="629" w:name="_Toc395519255"/>
      <w:bookmarkStart w:id="630" w:name="_Toc502783507"/>
      <w:bookmarkStart w:id="631" w:name="_Toc511226450"/>
      <w:bookmarkStart w:id="632" w:name="_Toc395519086"/>
      <w:bookmarkStart w:id="633" w:name="_Toc70589813"/>
      <w:r>
        <w:rPr>
          <w:rFonts w:hint="eastAsia"/>
        </w:rPr>
        <w:t>12.4 存在的问题及建议</w:t>
      </w:r>
      <w:bookmarkEnd w:id="626"/>
      <w:bookmarkEnd w:id="627"/>
      <w:bookmarkEnd w:id="628"/>
      <w:bookmarkEnd w:id="629"/>
      <w:bookmarkEnd w:id="630"/>
      <w:bookmarkEnd w:id="631"/>
      <w:bookmarkEnd w:id="632"/>
      <w:bookmarkEnd w:id="633"/>
    </w:p>
    <w:p>
      <w:pPr>
        <w:ind w:firstLine="560"/>
      </w:pPr>
      <w:r>
        <w:rPr>
          <w:rFonts w:hint="eastAsia"/>
        </w:rPr>
        <w:t>（1）可推断资源量的矿石可信度系数较低，对矿山今后的经济效益将产生一定的影响，建议该矿对资源量进一步进行勘探查明；</w:t>
      </w:r>
    </w:p>
    <w:p>
      <w:pPr>
        <w:ind w:firstLine="560"/>
      </w:pPr>
      <w:r>
        <w:rPr>
          <w:rFonts w:hint="eastAsia"/>
        </w:rPr>
        <w:t>（2）该矿为新建矿山，今后开采过程中应严格按照自上而下分台阶的方式进行开采；</w:t>
      </w:r>
    </w:p>
    <w:p>
      <w:pPr>
        <w:ind w:firstLine="560"/>
      </w:pPr>
      <w:r>
        <w:rPr>
          <w:rFonts w:hint="eastAsia"/>
        </w:rPr>
        <w:t>（</w:t>
      </w:r>
      <w:r>
        <w:t>3</w:t>
      </w:r>
      <w:r>
        <w:rPr>
          <w:rFonts w:hint="eastAsia"/>
        </w:rPr>
        <w:t>）矿区西侧有光伏电站，建议做好防尘措施；</w:t>
      </w:r>
    </w:p>
    <w:p>
      <w:pPr>
        <w:ind w:firstLine="560"/>
      </w:pPr>
      <w:r>
        <w:rPr>
          <w:rFonts w:hint="eastAsia"/>
        </w:rPr>
        <w:t>（4）矿山开采时会对周围环境产生一定的影响，所以在今后的开采过程中应将保护环境放在工作的重要位置上，合理排渣，做好矿山复垦恢复的工作；</w:t>
      </w:r>
    </w:p>
    <w:p>
      <w:pPr>
        <w:ind w:firstLine="560"/>
      </w:pPr>
      <w:r>
        <w:rPr>
          <w:rFonts w:hint="eastAsia"/>
        </w:rPr>
        <w:t>（5）矿山开采过程中应避免形成较高的陡坎边坡，必须严格按照施工工艺进行采矿，对于开挖后的覆盖层要集中堆放，以防止堆放不合理而诱发泥石流等地质灾害。</w:t>
      </w:r>
    </w:p>
    <w:p>
      <w:pPr>
        <w:ind w:firstLine="560"/>
        <w:sectPr>
          <w:pgSz w:w="11906" w:h="16838"/>
          <w:pgMar w:top="1440" w:right="1800" w:bottom="1440" w:left="1800" w:header="851" w:footer="992" w:gutter="0"/>
          <w:cols w:space="720" w:num="1"/>
          <w:docGrid w:type="lines" w:linePitch="312" w:charSpace="0"/>
        </w:sectPr>
      </w:pPr>
      <w:r>
        <w:rPr>
          <w:rFonts w:hint="eastAsia"/>
        </w:rPr>
        <w:t>（6）企业要在矿产资源开采生产中切实加强地质环境的保护，坚持“在保护中开发，在开发中保护”的原则。注重矿产资源的有效保护和合理开发，把保护放在第一位，切实做好矿区的还土复草工作、种植作物和栽树，使土地资源充分发挥生态和经济效益。</w:t>
      </w:r>
    </w:p>
    <w:p>
      <w:pPr>
        <w:ind w:left="0" w:leftChars="0" w:firstLine="0" w:firstLineChars="0"/>
      </w:pPr>
      <w:bookmarkStart w:id="634" w:name="_GoBack"/>
      <w:bookmarkEnd w:id="634"/>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10" w:usb3="00000000" w:csb0="00040001" w:csb1="00000000"/>
  </w:font>
  <w:font w:name="新宋体">
    <w:panose1 w:val="02010609030101010101"/>
    <w:charset w:val="86"/>
    <w:family w:val="modern"/>
    <w:pitch w:val="default"/>
    <w:sig w:usb0="00000003" w:usb1="288F0000" w:usb2="00000006" w:usb3="00000000" w:csb0="00040001" w:csb1="00000000"/>
  </w:font>
  <w:font w:name="等线">
    <w:altName w:val="Arial Unicode MS"/>
    <w:panose1 w:val="00000000000000000000"/>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560"/>
      <w:jc w:val="both"/>
    </w:pPr>
  </w:p>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4566066"/>
    </w:sdtPr>
    <w:sdtContent>
      <w:p>
        <w:pPr>
          <w:pStyle w:val="9"/>
          <w:ind w:firstLine="560"/>
          <w:jc w:val="center"/>
        </w:pPr>
        <w:r>
          <w:fldChar w:fldCharType="begin"/>
        </w:r>
        <w:r>
          <w:instrText xml:space="preserve">PAGE   \* MERGEFORMAT</w:instrText>
        </w:r>
        <w:r>
          <w:fldChar w:fldCharType="separate"/>
        </w:r>
        <w:r>
          <w:rPr>
            <w:lang w:val="zh-CN"/>
          </w:rPr>
          <w:t>10</w:t>
        </w:r>
        <w:r>
          <w:fldChar w:fldCharType="end"/>
        </w:r>
      </w:p>
    </w:sdtContent>
  </w:sdt>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E43245"/>
    <w:multiLevelType w:val="multilevel"/>
    <w:tmpl w:val="10E43245"/>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1">
    <w:nsid w:val="19E63E95"/>
    <w:multiLevelType w:val="multilevel"/>
    <w:tmpl w:val="19E63E95"/>
    <w:lvl w:ilvl="0" w:tentative="0">
      <w:start w:val="1"/>
      <w:numFmt w:val="decimalEnclosedCircle"/>
      <w:lvlText w:val="%1"/>
      <w:lvlJc w:val="left"/>
      <w:pPr>
        <w:ind w:left="920" w:hanging="36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mMWI1OTc4YjU4MWMyNDMyMDhmNDY5M2JmYTAzZjUifQ=="/>
  </w:docVars>
  <w:rsids>
    <w:rsidRoot w:val="00F72CDB"/>
    <w:rsid w:val="000109F5"/>
    <w:rsid w:val="00021BEA"/>
    <w:rsid w:val="00024EBB"/>
    <w:rsid w:val="0004150D"/>
    <w:rsid w:val="00051187"/>
    <w:rsid w:val="00052785"/>
    <w:rsid w:val="00060CCD"/>
    <w:rsid w:val="00084818"/>
    <w:rsid w:val="000A3851"/>
    <w:rsid w:val="000C3849"/>
    <w:rsid w:val="000D48FC"/>
    <w:rsid w:val="000E022C"/>
    <w:rsid w:val="000F7AC0"/>
    <w:rsid w:val="001042BF"/>
    <w:rsid w:val="00105CF2"/>
    <w:rsid w:val="0011490C"/>
    <w:rsid w:val="00126D61"/>
    <w:rsid w:val="001537A2"/>
    <w:rsid w:val="00156804"/>
    <w:rsid w:val="00162933"/>
    <w:rsid w:val="001654E8"/>
    <w:rsid w:val="001878AF"/>
    <w:rsid w:val="001960ED"/>
    <w:rsid w:val="001A6E79"/>
    <w:rsid w:val="002147DF"/>
    <w:rsid w:val="0022456F"/>
    <w:rsid w:val="00225024"/>
    <w:rsid w:val="00247D55"/>
    <w:rsid w:val="0027156A"/>
    <w:rsid w:val="00282268"/>
    <w:rsid w:val="002A0870"/>
    <w:rsid w:val="002A4811"/>
    <w:rsid w:val="002B1788"/>
    <w:rsid w:val="002B369A"/>
    <w:rsid w:val="002B419E"/>
    <w:rsid w:val="002E40EC"/>
    <w:rsid w:val="002E5F13"/>
    <w:rsid w:val="00301E59"/>
    <w:rsid w:val="003042E5"/>
    <w:rsid w:val="003058A9"/>
    <w:rsid w:val="00322FBC"/>
    <w:rsid w:val="0032459E"/>
    <w:rsid w:val="00325F9B"/>
    <w:rsid w:val="0033127E"/>
    <w:rsid w:val="00332060"/>
    <w:rsid w:val="003519D4"/>
    <w:rsid w:val="00362D3F"/>
    <w:rsid w:val="00382249"/>
    <w:rsid w:val="00383086"/>
    <w:rsid w:val="00386431"/>
    <w:rsid w:val="003978D0"/>
    <w:rsid w:val="003C37A0"/>
    <w:rsid w:val="003C5C9A"/>
    <w:rsid w:val="003D6731"/>
    <w:rsid w:val="003E094D"/>
    <w:rsid w:val="003E77BD"/>
    <w:rsid w:val="003F3814"/>
    <w:rsid w:val="00412A44"/>
    <w:rsid w:val="00414FF2"/>
    <w:rsid w:val="00420455"/>
    <w:rsid w:val="00431022"/>
    <w:rsid w:val="004471B0"/>
    <w:rsid w:val="00457BDB"/>
    <w:rsid w:val="00464EDC"/>
    <w:rsid w:val="0047698D"/>
    <w:rsid w:val="00485490"/>
    <w:rsid w:val="004D6431"/>
    <w:rsid w:val="004E0317"/>
    <w:rsid w:val="004E3830"/>
    <w:rsid w:val="004E4B50"/>
    <w:rsid w:val="004F21B1"/>
    <w:rsid w:val="00514E02"/>
    <w:rsid w:val="00515F52"/>
    <w:rsid w:val="00523618"/>
    <w:rsid w:val="00524340"/>
    <w:rsid w:val="0052525D"/>
    <w:rsid w:val="00533098"/>
    <w:rsid w:val="005350C2"/>
    <w:rsid w:val="00546A10"/>
    <w:rsid w:val="0055268A"/>
    <w:rsid w:val="00576F96"/>
    <w:rsid w:val="0058138E"/>
    <w:rsid w:val="00584F78"/>
    <w:rsid w:val="0058627F"/>
    <w:rsid w:val="00594C15"/>
    <w:rsid w:val="005F3F67"/>
    <w:rsid w:val="006023E6"/>
    <w:rsid w:val="00614CCF"/>
    <w:rsid w:val="0062453A"/>
    <w:rsid w:val="006313BD"/>
    <w:rsid w:val="0063208F"/>
    <w:rsid w:val="00633386"/>
    <w:rsid w:val="0063758B"/>
    <w:rsid w:val="00643F1A"/>
    <w:rsid w:val="006461DA"/>
    <w:rsid w:val="006634B6"/>
    <w:rsid w:val="00666BA4"/>
    <w:rsid w:val="00672D8D"/>
    <w:rsid w:val="00673068"/>
    <w:rsid w:val="0069617F"/>
    <w:rsid w:val="006A25C9"/>
    <w:rsid w:val="006A5624"/>
    <w:rsid w:val="006E0056"/>
    <w:rsid w:val="00701E02"/>
    <w:rsid w:val="00736E11"/>
    <w:rsid w:val="007441D8"/>
    <w:rsid w:val="007A2E49"/>
    <w:rsid w:val="007B1535"/>
    <w:rsid w:val="007B6CA2"/>
    <w:rsid w:val="007C4D67"/>
    <w:rsid w:val="007D4CD9"/>
    <w:rsid w:val="007D69D8"/>
    <w:rsid w:val="007F65B0"/>
    <w:rsid w:val="008044F1"/>
    <w:rsid w:val="00805F48"/>
    <w:rsid w:val="00806E1D"/>
    <w:rsid w:val="00810B3F"/>
    <w:rsid w:val="00821008"/>
    <w:rsid w:val="00822E6B"/>
    <w:rsid w:val="00840F11"/>
    <w:rsid w:val="00843A70"/>
    <w:rsid w:val="00853661"/>
    <w:rsid w:val="008633D2"/>
    <w:rsid w:val="00881EDB"/>
    <w:rsid w:val="0088286D"/>
    <w:rsid w:val="00893FCB"/>
    <w:rsid w:val="008A3E5E"/>
    <w:rsid w:val="008B05F1"/>
    <w:rsid w:val="008B726D"/>
    <w:rsid w:val="008C4AAD"/>
    <w:rsid w:val="008E0A12"/>
    <w:rsid w:val="008F08FF"/>
    <w:rsid w:val="00910C5A"/>
    <w:rsid w:val="00917668"/>
    <w:rsid w:val="00922D28"/>
    <w:rsid w:val="00930FC0"/>
    <w:rsid w:val="00932F8E"/>
    <w:rsid w:val="009379A2"/>
    <w:rsid w:val="00946A69"/>
    <w:rsid w:val="009530CF"/>
    <w:rsid w:val="00973E09"/>
    <w:rsid w:val="009834DE"/>
    <w:rsid w:val="00987C55"/>
    <w:rsid w:val="009937DE"/>
    <w:rsid w:val="00995FB0"/>
    <w:rsid w:val="009B0F7C"/>
    <w:rsid w:val="009F00C2"/>
    <w:rsid w:val="009F7DC8"/>
    <w:rsid w:val="00A0042A"/>
    <w:rsid w:val="00A11DD2"/>
    <w:rsid w:val="00A218D0"/>
    <w:rsid w:val="00A32097"/>
    <w:rsid w:val="00A513E2"/>
    <w:rsid w:val="00A52DDB"/>
    <w:rsid w:val="00A67CF5"/>
    <w:rsid w:val="00A70215"/>
    <w:rsid w:val="00A82ED3"/>
    <w:rsid w:val="00AB385B"/>
    <w:rsid w:val="00AB52E1"/>
    <w:rsid w:val="00AB586A"/>
    <w:rsid w:val="00AB73A9"/>
    <w:rsid w:val="00AC57F7"/>
    <w:rsid w:val="00AE0777"/>
    <w:rsid w:val="00AF4247"/>
    <w:rsid w:val="00B0214C"/>
    <w:rsid w:val="00B0630C"/>
    <w:rsid w:val="00B0764A"/>
    <w:rsid w:val="00B1489D"/>
    <w:rsid w:val="00B2360A"/>
    <w:rsid w:val="00B25903"/>
    <w:rsid w:val="00B31A1A"/>
    <w:rsid w:val="00B43EE3"/>
    <w:rsid w:val="00B5405A"/>
    <w:rsid w:val="00B60927"/>
    <w:rsid w:val="00B61831"/>
    <w:rsid w:val="00B81C58"/>
    <w:rsid w:val="00BA1B59"/>
    <w:rsid w:val="00BD0955"/>
    <w:rsid w:val="00BD2FBE"/>
    <w:rsid w:val="00BE36C8"/>
    <w:rsid w:val="00BE542C"/>
    <w:rsid w:val="00BF40C8"/>
    <w:rsid w:val="00C03D94"/>
    <w:rsid w:val="00C27840"/>
    <w:rsid w:val="00C476DA"/>
    <w:rsid w:val="00C54C1F"/>
    <w:rsid w:val="00C54F50"/>
    <w:rsid w:val="00C65C83"/>
    <w:rsid w:val="00C667C5"/>
    <w:rsid w:val="00C670DC"/>
    <w:rsid w:val="00C71E93"/>
    <w:rsid w:val="00C758F8"/>
    <w:rsid w:val="00C8095E"/>
    <w:rsid w:val="00C92F06"/>
    <w:rsid w:val="00CB3957"/>
    <w:rsid w:val="00CB64FC"/>
    <w:rsid w:val="00CC4D57"/>
    <w:rsid w:val="00CD5B0E"/>
    <w:rsid w:val="00CE3696"/>
    <w:rsid w:val="00CE3717"/>
    <w:rsid w:val="00CE3A22"/>
    <w:rsid w:val="00CE621B"/>
    <w:rsid w:val="00CF7471"/>
    <w:rsid w:val="00D30DFB"/>
    <w:rsid w:val="00D75BEE"/>
    <w:rsid w:val="00D97E85"/>
    <w:rsid w:val="00DC73C7"/>
    <w:rsid w:val="00DE12B5"/>
    <w:rsid w:val="00DE70DE"/>
    <w:rsid w:val="00DF418C"/>
    <w:rsid w:val="00E03EA7"/>
    <w:rsid w:val="00E24BFC"/>
    <w:rsid w:val="00E2506C"/>
    <w:rsid w:val="00E436F7"/>
    <w:rsid w:val="00E44F19"/>
    <w:rsid w:val="00E634E3"/>
    <w:rsid w:val="00E76070"/>
    <w:rsid w:val="00E7761D"/>
    <w:rsid w:val="00E912A6"/>
    <w:rsid w:val="00EA22FC"/>
    <w:rsid w:val="00ED2F93"/>
    <w:rsid w:val="00EE63E2"/>
    <w:rsid w:val="00F0492A"/>
    <w:rsid w:val="00F53974"/>
    <w:rsid w:val="00F6180A"/>
    <w:rsid w:val="00F63DBB"/>
    <w:rsid w:val="00F72CDB"/>
    <w:rsid w:val="00F73823"/>
    <w:rsid w:val="00F81775"/>
    <w:rsid w:val="00F85D33"/>
    <w:rsid w:val="00FA23F3"/>
    <w:rsid w:val="00FE195D"/>
    <w:rsid w:val="00FE3C7A"/>
    <w:rsid w:val="01162989"/>
    <w:rsid w:val="06611462"/>
    <w:rsid w:val="0C1F2196"/>
    <w:rsid w:val="14C3062C"/>
    <w:rsid w:val="328F73DD"/>
    <w:rsid w:val="34D8322F"/>
    <w:rsid w:val="3EB26D95"/>
    <w:rsid w:val="41C5005C"/>
    <w:rsid w:val="5F8709C2"/>
    <w:rsid w:val="5FE72E8A"/>
    <w:rsid w:val="670A64AF"/>
    <w:rsid w:val="702D47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0" w:firstLineChars="200"/>
      <w:jc w:val="both"/>
    </w:pPr>
    <w:rPr>
      <w:rFonts w:ascii="Times New Roman" w:hAnsi="Times New Roman" w:eastAsia="宋体" w:cs="Times New Roman"/>
      <w:kern w:val="2"/>
      <w:sz w:val="28"/>
      <w:szCs w:val="24"/>
      <w:lang w:val="en-US" w:eastAsia="zh-CN" w:bidi="ar-SA"/>
    </w:rPr>
  </w:style>
  <w:style w:type="paragraph" w:styleId="3">
    <w:name w:val="heading 1"/>
    <w:basedOn w:val="1"/>
    <w:next w:val="1"/>
    <w:qFormat/>
    <w:uiPriority w:val="0"/>
    <w:pPr>
      <w:keepNext/>
      <w:keepLines/>
      <w:spacing w:before="100" w:beforeLines="100"/>
      <w:jc w:val="center"/>
      <w:outlineLvl w:val="0"/>
    </w:pPr>
    <w:rPr>
      <w:rFonts w:eastAsia="黑体"/>
      <w:b/>
      <w:bCs/>
      <w:kern w:val="44"/>
      <w:sz w:val="30"/>
      <w:szCs w:val="44"/>
    </w:rPr>
  </w:style>
  <w:style w:type="paragraph" w:styleId="4">
    <w:name w:val="heading 2"/>
    <w:basedOn w:val="1"/>
    <w:next w:val="2"/>
    <w:autoRedefine/>
    <w:qFormat/>
    <w:uiPriority w:val="0"/>
    <w:pPr>
      <w:keepNext/>
      <w:keepLines/>
      <w:suppressAutoHyphens/>
      <w:wordWrap w:val="0"/>
      <w:topLinePunct/>
      <w:adjustRightInd w:val="0"/>
      <w:snapToGrid w:val="0"/>
      <w:ind w:firstLine="562"/>
      <w:jc w:val="left"/>
      <w:outlineLvl w:val="1"/>
    </w:pPr>
    <w:rPr>
      <w:b/>
      <w:bCs/>
      <w:szCs w:val="30"/>
    </w:rPr>
  </w:style>
  <w:style w:type="paragraph" w:styleId="5">
    <w:name w:val="heading 3"/>
    <w:basedOn w:val="1"/>
    <w:next w:val="1"/>
    <w:autoRedefine/>
    <w:qFormat/>
    <w:uiPriority w:val="0"/>
    <w:pPr>
      <w:keepNext/>
      <w:keepLines/>
      <w:outlineLvl w:val="2"/>
    </w:pPr>
    <w:rPr>
      <w:b/>
      <w:bCs/>
      <w:szCs w:val="32"/>
    </w:rPr>
  </w:style>
  <w:style w:type="character" w:default="1" w:styleId="15">
    <w:name w:val="Default Paragraph Font"/>
    <w:semiHidden/>
    <w:unhideWhenUsed/>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1"/>
    <w:autoRedefine/>
    <w:qFormat/>
    <w:uiPriority w:val="0"/>
    <w:pPr>
      <w:ind w:firstLine="0" w:firstLineChars="0"/>
      <w:jc w:val="center"/>
    </w:pPr>
    <w:rPr>
      <w:sz w:val="21"/>
    </w:rPr>
  </w:style>
  <w:style w:type="paragraph" w:styleId="6">
    <w:name w:val="caption"/>
    <w:basedOn w:val="1"/>
    <w:next w:val="1"/>
    <w:autoRedefine/>
    <w:unhideWhenUsed/>
    <w:qFormat/>
    <w:uiPriority w:val="0"/>
    <w:rPr>
      <w:rFonts w:eastAsia="黑体" w:asciiTheme="majorHAnsi" w:hAnsiTheme="majorHAnsi" w:cstheme="majorBidi"/>
      <w:sz w:val="20"/>
      <w:szCs w:val="20"/>
    </w:rPr>
  </w:style>
  <w:style w:type="paragraph" w:styleId="7">
    <w:name w:val="Body Text"/>
    <w:basedOn w:val="1"/>
    <w:unhideWhenUsed/>
    <w:qFormat/>
    <w:uiPriority w:val="99"/>
    <w:pPr>
      <w:spacing w:after="120"/>
    </w:pPr>
  </w:style>
  <w:style w:type="paragraph" w:styleId="8">
    <w:name w:val="Balloon Text"/>
    <w:basedOn w:val="1"/>
    <w:link w:val="34"/>
    <w:uiPriority w:val="0"/>
    <w:pPr>
      <w:spacing w:line="240" w:lineRule="auto"/>
    </w:pPr>
    <w:rPr>
      <w:sz w:val="18"/>
      <w:szCs w:val="18"/>
    </w:rPr>
  </w:style>
  <w:style w:type="paragraph" w:styleId="9">
    <w:name w:val="footer"/>
    <w:link w:val="32"/>
    <w:unhideWhenUsed/>
    <w:qFormat/>
    <w:uiPriority w:val="99"/>
    <w:pPr>
      <w:tabs>
        <w:tab w:val="center" w:pos="4153"/>
        <w:tab w:val="right" w:pos="8306"/>
      </w:tabs>
      <w:snapToGrid w:val="0"/>
      <w:jc w:val="right"/>
    </w:pPr>
    <w:rPr>
      <w:rFonts w:ascii="Times New Roman" w:hAnsi="Times New Roman" w:eastAsia="宋体" w:cs="Times New Roman"/>
      <w:kern w:val="2"/>
      <w:sz w:val="18"/>
      <w:szCs w:val="18"/>
      <w:lang w:val="en-US" w:eastAsia="zh-CN" w:bidi="ar-SA"/>
    </w:rPr>
  </w:style>
  <w:style w:type="paragraph" w:styleId="10">
    <w:name w:val="header"/>
    <w:basedOn w:val="1"/>
    <w:link w:val="29"/>
    <w:uiPriority w:val="0"/>
    <w:pPr>
      <w:tabs>
        <w:tab w:val="center" w:pos="4153"/>
        <w:tab w:val="right" w:pos="8306"/>
      </w:tabs>
      <w:snapToGrid w:val="0"/>
      <w:spacing w:line="240" w:lineRule="auto"/>
      <w:jc w:val="center"/>
    </w:pPr>
    <w:rPr>
      <w:sz w:val="18"/>
      <w:szCs w:val="18"/>
    </w:rPr>
  </w:style>
  <w:style w:type="paragraph" w:styleId="11">
    <w:name w:val="toc 1"/>
    <w:basedOn w:val="1"/>
    <w:next w:val="1"/>
    <w:qFormat/>
    <w:uiPriority w:val="39"/>
    <w:rPr>
      <w:rFonts w:eastAsia="黑体"/>
      <w:b/>
    </w:rPr>
  </w:style>
  <w:style w:type="paragraph" w:styleId="12">
    <w:name w:val="toc 2"/>
    <w:basedOn w:val="1"/>
    <w:next w:val="1"/>
    <w:qFormat/>
    <w:uiPriority w:val="39"/>
    <w:pPr>
      <w:ind w:left="420" w:leftChars="200"/>
    </w:pPr>
  </w:style>
  <w:style w:type="table" w:styleId="14">
    <w:name w:val="Table Grid"/>
    <w:basedOn w:val="1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Hyperlink"/>
    <w:basedOn w:val="15"/>
    <w:unhideWhenUsed/>
    <w:uiPriority w:val="99"/>
    <w:rPr>
      <w:color w:val="0563C1" w:themeColor="hyperlink"/>
      <w:u w:val="single"/>
      <w14:textFill>
        <w14:solidFill>
          <w14:schemeClr w14:val="hlink"/>
        </w14:solidFill>
      </w14:textFill>
    </w:rPr>
  </w:style>
  <w:style w:type="paragraph" w:customStyle="1" w:styleId="17">
    <w:name w:val="A-表格"/>
    <w:basedOn w:val="1"/>
    <w:qFormat/>
    <w:uiPriority w:val="0"/>
    <w:pPr>
      <w:spacing w:line="300" w:lineRule="exact"/>
      <w:jc w:val="left"/>
    </w:pPr>
    <w:rPr>
      <w:sz w:val="21"/>
      <w:szCs w:val="18"/>
      <w:lang w:val="zh-CN"/>
    </w:rPr>
  </w:style>
  <w:style w:type="paragraph" w:customStyle="1" w:styleId="18">
    <w:name w:val="A-表头"/>
    <w:basedOn w:val="1"/>
    <w:qFormat/>
    <w:uiPriority w:val="0"/>
    <w:pPr>
      <w:snapToGrid w:val="0"/>
      <w:spacing w:line="260" w:lineRule="exact"/>
      <w:jc w:val="center"/>
    </w:pPr>
    <w:rPr>
      <w:b/>
      <w:sz w:val="24"/>
    </w:rPr>
  </w:style>
  <w:style w:type="paragraph" w:customStyle="1" w:styleId="19">
    <w:name w:val="Table Paragraph"/>
    <w:basedOn w:val="1"/>
    <w:qFormat/>
    <w:uiPriority w:val="1"/>
  </w:style>
  <w:style w:type="paragraph" w:customStyle="1" w:styleId="20">
    <w:name w:val="2正文-宋4"/>
    <w:basedOn w:val="1"/>
    <w:autoRedefine/>
    <w:qFormat/>
    <w:uiPriority w:val="0"/>
    <w:pPr>
      <w:spacing w:line="480" w:lineRule="exact"/>
      <w:ind w:firstLine="480"/>
    </w:pPr>
    <w:rPr>
      <w:rFonts w:ascii="宋体" w:hAnsi="宋体"/>
      <w:sz w:val="24"/>
      <w:szCs w:val="20"/>
    </w:rPr>
  </w:style>
  <w:style w:type="character" w:customStyle="1" w:styleId="21">
    <w:name w:val="5-正文 Char Char"/>
    <w:uiPriority w:val="0"/>
    <w:rPr>
      <w:rFonts w:ascii="Times New Roman" w:hAnsi="Times New Roman" w:eastAsia="宋体" w:cs="Times New Roman"/>
      <w:color w:val="FF0000"/>
      <w:sz w:val="24"/>
      <w:szCs w:val="24"/>
    </w:rPr>
  </w:style>
  <w:style w:type="character" w:customStyle="1" w:styleId="22">
    <w:name w:val="1.1.1.1 Char"/>
    <w:link w:val="23"/>
    <w:uiPriority w:val="0"/>
    <w:rPr>
      <w:rFonts w:ascii="黑体" w:hAnsi="宋体" w:eastAsia="黑体" w:cs="Times New Roman"/>
      <w:b/>
      <w:sz w:val="24"/>
      <w:szCs w:val="24"/>
    </w:rPr>
  </w:style>
  <w:style w:type="paragraph" w:customStyle="1" w:styleId="23">
    <w:name w:val="1.1.1.1"/>
    <w:basedOn w:val="1"/>
    <w:link w:val="22"/>
    <w:qFormat/>
    <w:uiPriority w:val="0"/>
    <w:pPr>
      <w:spacing w:line="480" w:lineRule="exact"/>
      <w:ind w:firstLine="482"/>
      <w:outlineLvl w:val="3"/>
    </w:pPr>
    <w:rPr>
      <w:rFonts w:ascii="黑体" w:hAnsi="宋体" w:eastAsia="黑体"/>
      <w:b/>
      <w:kern w:val="0"/>
      <w:sz w:val="24"/>
    </w:rPr>
  </w:style>
  <w:style w:type="character" w:customStyle="1" w:styleId="24">
    <w:name w:val="2-正文 Char"/>
    <w:link w:val="25"/>
    <w:uiPriority w:val="0"/>
    <w:rPr>
      <w:rFonts w:ascii="宋体" w:hAnsi="宋体"/>
      <w:kern w:val="2"/>
      <w:sz w:val="24"/>
    </w:rPr>
  </w:style>
  <w:style w:type="paragraph" w:customStyle="1" w:styleId="25">
    <w:name w:val="2-正文"/>
    <w:basedOn w:val="1"/>
    <w:link w:val="24"/>
    <w:qFormat/>
    <w:uiPriority w:val="0"/>
    <w:pPr>
      <w:spacing w:line="480" w:lineRule="exact"/>
      <w:ind w:firstLine="480"/>
    </w:pPr>
    <w:rPr>
      <w:rFonts w:ascii="宋体" w:hAnsi="宋体" w:eastAsiaTheme="minorEastAsia" w:cstheme="minorBidi"/>
      <w:sz w:val="24"/>
      <w:szCs w:val="20"/>
    </w:rPr>
  </w:style>
  <w:style w:type="paragraph" w:customStyle="1" w:styleId="26">
    <w:name w:val="3-表头"/>
    <w:basedOn w:val="1"/>
    <w:qFormat/>
    <w:uiPriority w:val="0"/>
    <w:pPr>
      <w:snapToGrid w:val="0"/>
      <w:spacing w:line="480" w:lineRule="exact"/>
      <w:ind w:firstLine="0" w:firstLineChars="0"/>
      <w:jc w:val="center"/>
    </w:pPr>
    <w:rPr>
      <w:rFonts w:ascii="楷体_GB2312" w:eastAsia="楷体_GB2312"/>
      <w:sz w:val="24"/>
    </w:rPr>
  </w:style>
  <w:style w:type="paragraph" w:customStyle="1" w:styleId="27">
    <w:name w:val="4-表格"/>
    <w:basedOn w:val="1"/>
    <w:qFormat/>
    <w:uiPriority w:val="0"/>
    <w:pPr>
      <w:spacing w:line="220" w:lineRule="exact"/>
      <w:ind w:firstLine="0" w:firstLineChars="0"/>
      <w:jc w:val="center"/>
    </w:pPr>
    <w:rPr>
      <w:rFonts w:eastAsia="楷体_GB2312"/>
      <w:sz w:val="20"/>
      <w:szCs w:val="18"/>
      <w:lang w:val="zh-CN"/>
    </w:rPr>
  </w:style>
  <w:style w:type="paragraph" w:customStyle="1" w:styleId="28">
    <w:name w:val="正文确定"/>
    <w:qFormat/>
    <w:uiPriority w:val="0"/>
    <w:pPr>
      <w:snapToGrid w:val="0"/>
      <w:spacing w:line="360" w:lineRule="auto"/>
      <w:ind w:firstLine="560" w:firstLineChars="200"/>
      <w:jc w:val="both"/>
    </w:pPr>
    <w:rPr>
      <w:rFonts w:ascii="Times New Roman" w:hAnsi="Times New Roman" w:eastAsia="宋体" w:cs="Times New Roman"/>
      <w:bCs/>
      <w:kern w:val="2"/>
      <w:sz w:val="28"/>
      <w:lang w:val="en-US" w:eastAsia="zh-CN" w:bidi="ar-SA"/>
    </w:rPr>
  </w:style>
  <w:style w:type="character" w:customStyle="1" w:styleId="29">
    <w:name w:val="页眉 Char"/>
    <w:basedOn w:val="15"/>
    <w:link w:val="10"/>
    <w:uiPriority w:val="0"/>
    <w:rPr>
      <w:rFonts w:ascii="Times New Roman" w:hAnsi="Times New Roman" w:eastAsia="宋体" w:cs="Times New Roman"/>
      <w:kern w:val="2"/>
      <w:sz w:val="18"/>
      <w:szCs w:val="18"/>
    </w:rPr>
  </w:style>
  <w:style w:type="character" w:customStyle="1" w:styleId="30">
    <w:name w:val="1.1.1 Char"/>
    <w:link w:val="31"/>
    <w:uiPriority w:val="0"/>
    <w:rPr>
      <w:rFonts w:ascii="黑体" w:hAnsi="宋体" w:eastAsia="黑体" w:cs="Times New Roman"/>
      <w:b/>
      <w:sz w:val="24"/>
      <w:szCs w:val="24"/>
    </w:rPr>
  </w:style>
  <w:style w:type="paragraph" w:customStyle="1" w:styleId="31">
    <w:name w:val="1.1.1"/>
    <w:basedOn w:val="1"/>
    <w:link w:val="30"/>
    <w:qFormat/>
    <w:uiPriority w:val="0"/>
    <w:pPr>
      <w:spacing w:line="480" w:lineRule="exact"/>
      <w:ind w:firstLine="482"/>
      <w:outlineLvl w:val="2"/>
    </w:pPr>
    <w:rPr>
      <w:rFonts w:ascii="黑体" w:hAnsi="宋体" w:eastAsia="黑体"/>
      <w:b/>
      <w:kern w:val="0"/>
      <w:sz w:val="24"/>
    </w:rPr>
  </w:style>
  <w:style w:type="character" w:customStyle="1" w:styleId="32">
    <w:name w:val="页脚 Char"/>
    <w:basedOn w:val="15"/>
    <w:link w:val="9"/>
    <w:uiPriority w:val="99"/>
    <w:rPr>
      <w:rFonts w:ascii="Times New Roman" w:hAnsi="Times New Roman" w:eastAsia="宋体" w:cs="Times New Roman"/>
      <w:kern w:val="2"/>
      <w:sz w:val="18"/>
      <w:szCs w:val="18"/>
    </w:rPr>
  </w:style>
  <w:style w:type="paragraph" w:styleId="33">
    <w:name w:val="List Paragraph"/>
    <w:basedOn w:val="1"/>
    <w:unhideWhenUsed/>
    <w:uiPriority w:val="99"/>
    <w:pPr>
      <w:ind w:firstLine="420"/>
    </w:pPr>
  </w:style>
  <w:style w:type="character" w:customStyle="1" w:styleId="34">
    <w:name w:val="批注框文本 Char"/>
    <w:basedOn w:val="15"/>
    <w:link w:val="8"/>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0.jpeg"/><Relationship Id="rId24" Type="http://schemas.openxmlformats.org/officeDocument/2006/relationships/image" Target="media/image9.wmf"/><Relationship Id="rId23" Type="http://schemas.openxmlformats.org/officeDocument/2006/relationships/oleObject" Target="embeddings/oleObject5.bin"/><Relationship Id="rId22" Type="http://schemas.openxmlformats.org/officeDocument/2006/relationships/image" Target="media/image8.wmf"/><Relationship Id="rId21" Type="http://schemas.openxmlformats.org/officeDocument/2006/relationships/oleObject" Target="embeddings/oleObject4.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6.wmf"/><Relationship Id="rId17" Type="http://schemas.openxmlformats.org/officeDocument/2006/relationships/oleObject" Target="embeddings/oleObject2.bin"/><Relationship Id="rId16" Type="http://schemas.openxmlformats.org/officeDocument/2006/relationships/image" Target="media/image5.wmf"/><Relationship Id="rId15" Type="http://schemas.openxmlformats.org/officeDocument/2006/relationships/oleObject" Target="embeddings/oleObject1.bin"/><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97F6D6-21D7-45D5-8528-3B2670F9F0D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5353</Words>
  <Characters>30517</Characters>
  <Lines>254</Lines>
  <Paragraphs>71</Paragraphs>
  <TotalTime>0</TotalTime>
  <ScaleCrop>false</ScaleCrop>
  <LinksUpToDate>false</LinksUpToDate>
  <CharactersWithSpaces>35799</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2023-07-20T01:48:00Z</dcterms:created>
  <dc:creator>PC</dc:creator>
  <cp:lastModifiedBy>龙凌霄</cp:lastModifiedBy>
  <cp:lastPrinted>2023-12-13T01:02:00Z</cp:lastPrinted>
  <dcterms:modified xsi:type="dcterms:W3CDTF">2024-03-18T02:51:31Z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F0B23252E0744CBFA80C9B5A68A20740_12</vt:lpwstr>
  </property>
</Properties>
</file>