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80" w:lineRule="exact"/>
        <w:jc w:val="center"/>
        <w:rPr>
          <w:rFonts w:hint="eastAsia" w:ascii="方正小标宋简体" w:hAnsi="方正小标宋简体" w:eastAsia="方正小标宋简体" w:cs="方正小标宋简体"/>
          <w:color w:val="FF0000"/>
          <w:spacing w:val="-6"/>
          <w:w w:val="66"/>
          <w:sz w:val="72"/>
          <w:szCs w:val="72"/>
        </w:rPr>
      </w:pPr>
    </w:p>
    <w:p>
      <w:pPr>
        <w:spacing w:line="1460" w:lineRule="exact"/>
        <w:jc w:val="center"/>
        <w:rPr>
          <w:rFonts w:ascii="方正小标宋简体" w:eastAsia="方正小标宋简体" w:cs="方正小标宋简体"/>
          <w:color w:val="FF0000"/>
          <w:spacing w:val="-8"/>
          <w:w w:val="40"/>
          <w:sz w:val="108"/>
          <w:szCs w:val="108"/>
        </w:rPr>
      </w:pPr>
      <w:r>
        <w:rPr>
          <w:color w:val="FF6600"/>
          <w:spacing w:val="192"/>
          <w:sz w:val="99"/>
          <w:szCs w:val="106"/>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923925</wp:posOffset>
                </wp:positionV>
                <wp:extent cx="5596890" cy="10795"/>
                <wp:effectExtent l="0" t="19050" r="11430" b="31115"/>
                <wp:wrapNone/>
                <wp:docPr id="2" name="直接连接符 2"/>
                <wp:cNvGraphicFramePr/>
                <a:graphic xmlns:a="http://schemas.openxmlformats.org/drawingml/2006/main">
                  <a:graphicData uri="http://schemas.microsoft.com/office/word/2010/wordprocessingShape">
                    <wps:wsp>
                      <wps:cNvCnPr/>
                      <wps:spPr>
                        <a:xfrm flipV="1">
                          <a:off x="0" y="0"/>
                          <a:ext cx="5596890" cy="10795"/>
                        </a:xfrm>
                        <a:prstGeom prst="line">
                          <a:avLst/>
                        </a:prstGeom>
                        <a:ln w="38100" cap="flat" cmpd="dbl">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6pt;margin-top:72.75pt;height:0.85pt;width:440.7pt;z-index:251659264;mso-width-relative:page;mso-height-relative:page;" filled="f" stroked="t" coordsize="21600,21600" o:gfxdata="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&#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3aDXAAAACQEAAA8AAAAAAAAAAQAgAAAAIgAAAGRy&#10;cy9kb3ducmV2LnhtbFBLAQIUABQAAAAIAIdO4kATHaKOBgIAAAEEAAAOAAAAAAAAAAEAIAAAACYB&#10;AABkcnMvZTJvRG9jLnhtbFBLBQYAAAAABgAGAFkBAACeBQAAAAA=&#10;">
                <v:fill on="f" focussize="0,0"/>
                <v:stroke weight="3pt" color="#FF0000" linestyle="thinThin" joinstyle="round"/>
                <v:imagedata o:title=""/>
                <o:lock v:ext="edit" aspectratio="f"/>
              </v:line>
            </w:pict>
          </mc:Fallback>
        </mc:AlternateContent>
      </w:r>
      <w:r>
        <w:rPr>
          <w:rFonts w:hint="eastAsia" w:ascii="方正小标宋简体" w:eastAsia="方正小标宋简体" w:cs="方正小标宋简体"/>
          <w:color w:val="FF0000"/>
          <w:spacing w:val="-8"/>
          <w:w w:val="40"/>
          <w:sz w:val="108"/>
          <w:szCs w:val="108"/>
        </w:rPr>
        <w:t>中共临泽县委全面依法治县委员会办公室文件</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both"/>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中共临泽县委全面依法治县委员会办公室</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关于分解“八五”普法</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考评指标的通知</w:t>
      </w:r>
    </w:p>
    <w:p>
      <w:pPr>
        <w:spacing w:line="600" w:lineRule="exact"/>
        <w:jc w:val="center"/>
        <w:rPr>
          <w:rFonts w:ascii="方正小标宋简体" w:hAnsi="方正小标宋简体" w:eastAsia="方正小标宋简体" w:cs="方正小标宋简体"/>
          <w:sz w:val="44"/>
          <w:szCs w:val="44"/>
        </w:rPr>
      </w:pP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各镇党委、政府，</w:t>
      </w:r>
      <w:r>
        <w:rPr>
          <w:rFonts w:hint="eastAsia" w:ascii="仿宋_GB2312" w:hAnsi="仿宋_GB2312" w:eastAsia="仿宋_GB2312" w:cs="仿宋_GB2312"/>
          <w:sz w:val="32"/>
          <w:szCs w:val="32"/>
        </w:rPr>
        <w:t>县委各部门，县级国家机关各部门，各人民团体，省市驻临各单位,各企业：</w:t>
      </w:r>
    </w:p>
    <w:p>
      <w:pPr>
        <w:spacing w:line="600" w:lineRule="exact"/>
        <w:ind w:firstLine="640" w:firstLineChars="200"/>
        <w:rPr>
          <w:rFonts w:ascii="仿宋_GB2312" w:hAnsi="黑体" w:eastAsia="仿宋_GB2312" w:cs="宋体"/>
          <w:bCs/>
          <w:sz w:val="32"/>
          <w:szCs w:val="32"/>
        </w:rPr>
      </w:pPr>
      <w:r>
        <w:rPr>
          <w:rFonts w:hint="eastAsia" w:ascii="仿宋_GB2312" w:hAnsi="黑体" w:eastAsia="仿宋_GB2312" w:cs="宋体"/>
          <w:bCs/>
          <w:sz w:val="32"/>
          <w:szCs w:val="32"/>
        </w:rPr>
        <w:t>根据《中共张掖市委全面依法治市委员会办公室张掖市司法局关于做好“八五”普法中期自查的通知》</w:t>
      </w:r>
      <w:r>
        <w:rPr>
          <w:rFonts w:hint="eastAsia" w:ascii="仿宋_GB2312" w:hAnsi="仿宋_GB2312" w:eastAsia="仿宋_GB2312" w:cs="仿宋_GB2312"/>
          <w:sz w:val="32"/>
          <w:szCs w:val="32"/>
        </w:rPr>
        <w:t>（张法办发〔2023〕10号）</w:t>
      </w:r>
      <w:r>
        <w:rPr>
          <w:rFonts w:hint="eastAsia" w:ascii="仿宋_GB2312" w:hAnsi="黑体" w:eastAsia="仿宋_GB2312" w:cs="宋体"/>
          <w:bCs/>
          <w:sz w:val="32"/>
          <w:szCs w:val="32"/>
        </w:rPr>
        <w:t>《中共临泽县委全面依法治县委员会办公室临泽县司法局关于做好全县“八五”普法中期评估考核工作的通知》</w:t>
      </w:r>
      <w:r>
        <w:rPr>
          <w:rFonts w:hint="eastAsia" w:ascii="仿宋_GB2312" w:hAnsi="仿宋_GB2312" w:eastAsia="仿宋_GB2312" w:cs="仿宋_GB2312"/>
          <w:sz w:val="32"/>
          <w:szCs w:val="32"/>
        </w:rPr>
        <w:t>（县委法治办〔2023〕1号）要求，对“八五”普法考评指标进行了分解细化，请各镇、各部门单位对标对表，抓差补缺，抓好任务落实。</w:t>
      </w:r>
    </w:p>
    <w:p>
      <w:pPr>
        <w:spacing w:line="600" w:lineRule="exact"/>
        <w:ind w:firstLine="640" w:firstLineChars="200"/>
        <w:rPr>
          <w:rFonts w:ascii="仿宋_GB2312" w:hAnsi="黑体" w:eastAsia="仿宋_GB2312" w:cs="宋体"/>
          <w:bCs/>
          <w:sz w:val="32"/>
          <w:szCs w:val="32"/>
        </w:rPr>
      </w:pPr>
      <w:r>
        <w:rPr>
          <w:rFonts w:hint="eastAsia" w:ascii="仿宋_GB2312" w:hAnsi="黑体" w:eastAsia="仿宋_GB2312" w:cs="宋体"/>
          <w:bCs/>
          <w:sz w:val="32"/>
          <w:szCs w:val="32"/>
        </w:rPr>
        <w:t>联系人：何国宏    13830677065（钉钉同号）</w:t>
      </w:r>
    </w:p>
    <w:p>
      <w:pPr>
        <w:spacing w:line="600" w:lineRule="exact"/>
        <w:ind w:firstLine="1920" w:firstLineChars="600"/>
      </w:pPr>
      <w:r>
        <w:rPr>
          <w:rFonts w:hint="eastAsia" w:ascii="仿宋_GB2312" w:hAnsi="黑体" w:eastAsia="仿宋_GB2312" w:cs="宋体"/>
          <w:bCs/>
          <w:sz w:val="32"/>
          <w:szCs w:val="32"/>
        </w:rPr>
        <w:t xml:space="preserve">任逸航    18919119348（钉钉同号）    </w:t>
      </w:r>
    </w:p>
    <w:p>
      <w:pPr>
        <w:spacing w:line="600" w:lineRule="exact"/>
        <w:ind w:firstLine="640" w:firstLineChars="200"/>
        <w:rPr>
          <w:rFonts w:hint="eastAsia" w:ascii="仿宋_GB2312" w:hAnsi="黑体" w:eastAsia="仿宋_GB2312" w:cs="宋体"/>
          <w:bCs/>
          <w:sz w:val="32"/>
          <w:szCs w:val="32"/>
        </w:rPr>
      </w:pPr>
    </w:p>
    <w:p>
      <w:pPr>
        <w:spacing w:line="600" w:lineRule="exact"/>
        <w:ind w:firstLine="640" w:firstLineChars="200"/>
        <w:rPr>
          <w:rFonts w:ascii="仿宋_GB2312" w:hAnsi="黑体" w:eastAsia="仿宋_GB2312" w:cs="宋体"/>
          <w:bCs/>
          <w:sz w:val="32"/>
          <w:szCs w:val="32"/>
        </w:rPr>
      </w:pPr>
      <w:r>
        <w:rPr>
          <w:rFonts w:hint="eastAsia" w:ascii="仿宋_GB2312" w:hAnsi="黑体" w:eastAsia="仿宋_GB2312" w:cs="宋体"/>
          <w:bCs/>
          <w:sz w:val="32"/>
          <w:szCs w:val="32"/>
        </w:rPr>
        <w:t>附件：1.临泽县各镇“八五”普法考评指标</w:t>
      </w:r>
    </w:p>
    <w:p>
      <w:pPr>
        <w:spacing w:line="600" w:lineRule="exact"/>
        <w:ind w:firstLine="1600" w:firstLineChars="500"/>
        <w:rPr>
          <w:rFonts w:ascii="仿宋_GB2312" w:hAnsi="黑体" w:eastAsia="仿宋_GB2312" w:cs="宋体"/>
          <w:bCs/>
          <w:sz w:val="32"/>
          <w:szCs w:val="32"/>
        </w:rPr>
      </w:pPr>
      <w:r>
        <w:rPr>
          <w:rFonts w:hint="eastAsia" w:ascii="仿宋_GB2312" w:hAnsi="黑体" w:eastAsia="仿宋_GB2312" w:cs="宋体"/>
          <w:bCs/>
          <w:sz w:val="32"/>
          <w:szCs w:val="32"/>
        </w:rPr>
        <w:t>2.临泽县部门单位“八五”普法考评</w:t>
      </w:r>
      <w:bookmarkStart w:id="1" w:name="_GoBack"/>
      <w:bookmarkEnd w:id="1"/>
      <w:r>
        <w:rPr>
          <w:rFonts w:hint="eastAsia" w:ascii="仿宋_GB2312" w:hAnsi="黑体" w:eastAsia="仿宋_GB2312" w:cs="宋体"/>
          <w:bCs/>
          <w:sz w:val="32"/>
          <w:szCs w:val="32"/>
        </w:rPr>
        <w:t>指标</w:t>
      </w:r>
    </w:p>
    <w:p>
      <w:pPr>
        <w:spacing w:line="600" w:lineRule="exact"/>
        <w:ind w:firstLine="1600" w:firstLineChars="500"/>
        <w:rPr>
          <w:rFonts w:ascii="仿宋_GB2312" w:hAnsi="黑体" w:eastAsia="仿宋_GB2312" w:cs="宋体"/>
          <w:bCs/>
          <w:sz w:val="32"/>
          <w:szCs w:val="32"/>
        </w:rPr>
      </w:pPr>
      <w:r>
        <w:rPr>
          <w:rFonts w:hint="eastAsia" w:ascii="仿宋_GB2312" w:hAnsi="黑体" w:eastAsia="仿宋_GB2312" w:cs="宋体"/>
          <w:bCs/>
          <w:sz w:val="32"/>
          <w:szCs w:val="32"/>
        </w:rPr>
        <w:t>3.临泽县学校“八五”普法考评指标</w:t>
      </w:r>
    </w:p>
    <w:p>
      <w:pPr>
        <w:spacing w:line="600" w:lineRule="exact"/>
        <w:ind w:firstLine="1600" w:firstLineChars="500"/>
        <w:rPr>
          <w:rFonts w:ascii="仿宋_GB2312" w:hAnsi="黑体" w:eastAsia="仿宋_GB2312" w:cs="宋体"/>
          <w:bCs/>
          <w:spacing w:val="-20"/>
          <w:sz w:val="32"/>
          <w:szCs w:val="32"/>
        </w:rPr>
      </w:pPr>
      <w:r>
        <w:rPr>
          <w:rFonts w:hint="eastAsia" w:ascii="仿宋_GB2312" w:hAnsi="黑体" w:eastAsia="仿宋_GB2312" w:cs="宋体"/>
          <w:bCs/>
          <w:sz w:val="32"/>
          <w:szCs w:val="32"/>
        </w:rPr>
        <w:t>4.临泽县企业“八五”普法考评指标</w:t>
      </w:r>
    </w:p>
    <w:p>
      <w:pPr>
        <w:spacing w:line="600" w:lineRule="exact"/>
        <w:rPr>
          <w:rFonts w:ascii="仿宋_GB2312" w:hAnsi="黑体" w:eastAsia="仿宋_GB2312" w:cs="宋体"/>
          <w:bCs/>
          <w:spacing w:val="-20"/>
          <w:sz w:val="32"/>
          <w:szCs w:val="32"/>
        </w:rPr>
      </w:pPr>
    </w:p>
    <w:p>
      <w:pPr>
        <w:pStyle w:val="2"/>
      </w:pPr>
    </w:p>
    <w:p>
      <w:pPr>
        <w:pStyle w:val="3"/>
      </w:pPr>
    </w:p>
    <w:p>
      <w:pPr>
        <w:spacing w:line="600" w:lineRule="exact"/>
        <w:ind w:firstLine="1960" w:firstLineChars="700"/>
        <w:rPr>
          <w:rFonts w:ascii="仿宋_GB2312" w:hAnsi="黑体" w:eastAsia="仿宋_GB2312" w:cs="宋体"/>
          <w:bCs/>
          <w:sz w:val="32"/>
          <w:szCs w:val="32"/>
        </w:rPr>
      </w:pPr>
      <w:r>
        <w:rPr>
          <w:rFonts w:hint="eastAsia" w:ascii="仿宋_GB2312" w:hAnsi="黑体" w:eastAsia="仿宋_GB2312" w:cs="宋体"/>
          <w:bCs/>
          <w:spacing w:val="-20"/>
          <w:sz w:val="32"/>
          <w:szCs w:val="32"/>
        </w:rPr>
        <w:t xml:space="preserve">中共临泽县委全面依法治县委员会办公室 </w:t>
      </w:r>
      <w:r>
        <w:rPr>
          <w:rFonts w:ascii="仿宋_GB2312" w:hAnsi="黑体" w:eastAsia="仿宋_GB2312" w:cs="宋体"/>
          <w:bCs/>
          <w:spacing w:val="-20"/>
          <w:sz w:val="32"/>
          <w:szCs w:val="32"/>
        </w:rPr>
        <w:t xml:space="preserve"> </w:t>
      </w:r>
      <w:r>
        <w:rPr>
          <w:rFonts w:hint="eastAsia" w:ascii="仿宋_GB2312" w:hAnsi="黑体" w:eastAsia="仿宋_GB2312" w:cs="宋体"/>
          <w:bCs/>
          <w:sz w:val="32"/>
          <w:szCs w:val="32"/>
        </w:rPr>
        <w:t xml:space="preserve"> </w:t>
      </w:r>
      <w:r>
        <w:rPr>
          <w:rFonts w:ascii="仿宋_GB2312" w:hAnsi="黑体" w:eastAsia="仿宋_GB2312" w:cs="宋体"/>
          <w:bCs/>
          <w:sz w:val="32"/>
          <w:szCs w:val="32"/>
        </w:rPr>
        <w:t xml:space="preserve"> </w:t>
      </w:r>
      <w:r>
        <w:rPr>
          <w:rFonts w:hint="eastAsia" w:ascii="仿宋_GB2312" w:hAnsi="黑体" w:eastAsia="仿宋_GB2312" w:cs="宋体"/>
          <w:bCs/>
          <w:sz w:val="32"/>
          <w:szCs w:val="32"/>
        </w:rPr>
        <w:t xml:space="preserve"> </w:t>
      </w:r>
    </w:p>
    <w:p>
      <w:pPr>
        <w:spacing w:line="600" w:lineRule="exact"/>
        <w:ind w:firstLine="1920" w:firstLineChars="600"/>
        <w:rPr>
          <w:rFonts w:ascii="仿宋_GB2312" w:hAnsi="黑体" w:eastAsia="仿宋_GB2312" w:cs="宋体"/>
          <w:bCs/>
          <w:sz w:val="32"/>
          <w:szCs w:val="32"/>
        </w:rPr>
      </w:pPr>
      <w:r>
        <w:rPr>
          <w:rFonts w:hint="eastAsia" w:ascii="仿宋_GB2312" w:hAnsi="黑体" w:eastAsia="仿宋_GB2312" w:cs="宋体"/>
          <w:bCs/>
          <w:sz w:val="32"/>
          <w:szCs w:val="32"/>
        </w:rPr>
        <w:t xml:space="preserve">       </w:t>
      </w:r>
      <w:r>
        <w:rPr>
          <w:rFonts w:ascii="仿宋_GB2312" w:hAnsi="黑体" w:eastAsia="仿宋_GB2312" w:cs="宋体"/>
          <w:bCs/>
          <w:sz w:val="32"/>
          <w:szCs w:val="32"/>
        </w:rPr>
        <w:t xml:space="preserve"> </w:t>
      </w:r>
      <w:r>
        <w:rPr>
          <w:rFonts w:hint="eastAsia" w:ascii="仿宋_GB2312" w:hAnsi="黑体" w:eastAsia="仿宋_GB2312" w:cs="宋体"/>
          <w:bCs/>
          <w:sz w:val="32"/>
          <w:szCs w:val="32"/>
        </w:rPr>
        <w:t>2023年4月</w:t>
      </w:r>
      <w:r>
        <w:rPr>
          <w:rFonts w:hint="eastAsia" w:ascii="仿宋_GB2312" w:hAnsi="黑体" w:eastAsia="仿宋_GB2312" w:cs="宋体"/>
          <w:bCs/>
          <w:sz w:val="32"/>
          <w:szCs w:val="32"/>
          <w:lang w:val="en-US" w:eastAsia="zh-CN"/>
        </w:rPr>
        <w:t>6</w:t>
      </w:r>
      <w:r>
        <w:rPr>
          <w:rFonts w:hint="eastAsia" w:ascii="仿宋_GB2312" w:hAnsi="黑体" w:eastAsia="仿宋_GB2312" w:cs="宋体"/>
          <w:bCs/>
          <w:sz w:val="32"/>
          <w:szCs w:val="32"/>
        </w:rPr>
        <w:t>日</w:t>
      </w:r>
    </w:p>
    <w:p>
      <w:pPr>
        <w:spacing w:line="600" w:lineRule="exact"/>
        <w:rPr>
          <w:vanish/>
        </w:rPr>
      </w:pPr>
    </w:p>
    <w:tbl>
      <w:tblPr>
        <w:tblStyle w:val="5"/>
        <w:tblpPr w:leftFromText="180" w:rightFromText="180" w:vertAnchor="text" w:horzAnchor="margin" w:tblpXSpec="center" w:tblpY="-1441"/>
        <w:tblOverlap w:val="never"/>
        <w:tblW w:w="9314" w:type="dxa"/>
        <w:tblInd w:w="0" w:type="dxa"/>
        <w:tblLayout w:type="autofit"/>
        <w:tblCellMar>
          <w:top w:w="0" w:type="dxa"/>
          <w:left w:w="108" w:type="dxa"/>
          <w:bottom w:w="0" w:type="dxa"/>
          <w:right w:w="108" w:type="dxa"/>
        </w:tblCellMar>
      </w:tblPr>
      <w:tblGrid>
        <w:gridCol w:w="1358"/>
        <w:gridCol w:w="5723"/>
        <w:gridCol w:w="1117"/>
        <w:gridCol w:w="1116"/>
      </w:tblGrid>
      <w:tr>
        <w:tblPrEx>
          <w:tblCellMar>
            <w:top w:w="0" w:type="dxa"/>
            <w:left w:w="108" w:type="dxa"/>
            <w:bottom w:w="0" w:type="dxa"/>
            <w:right w:w="108" w:type="dxa"/>
          </w:tblCellMar>
        </w:tblPrEx>
        <w:trPr>
          <w:trHeight w:val="964" w:hRule="atLeast"/>
        </w:trPr>
        <w:tc>
          <w:tcPr>
            <w:tcW w:w="9314" w:type="dxa"/>
            <w:gridSpan w:val="4"/>
            <w:tcBorders>
              <w:top w:val="nil"/>
              <w:left w:val="nil"/>
              <w:bottom w:val="nil"/>
              <w:right w:val="nil"/>
            </w:tcBorders>
            <w:noWrap/>
            <w:vAlign w:val="center"/>
          </w:tcPr>
          <w:p>
            <w:pPr>
              <w:spacing w:line="700" w:lineRule="exact"/>
              <w:textAlignment w:val="center"/>
              <w:rPr>
                <w:rFonts w:ascii="黑体" w:hAnsi="宋体" w:eastAsia="黑体" w:cs="黑体"/>
                <w:color w:val="000000"/>
                <w:kern w:val="0"/>
                <w:sz w:val="48"/>
                <w:szCs w:val="48"/>
                <w:lang w:bidi="ar"/>
              </w:rPr>
            </w:pPr>
            <w:bookmarkStart w:id="0" w:name="_Hlk130929631"/>
          </w:p>
          <w:p>
            <w:pPr>
              <w:pStyle w:val="2"/>
            </w:pPr>
          </w:p>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仿宋_GB2312" w:hAnsi="宋体" w:eastAsia="仿宋_GB2312" w:cs="黑体"/>
                <w:color w:val="000000"/>
                <w:kern w:val="0"/>
                <w:sz w:val="32"/>
                <w:szCs w:val="32"/>
                <w:lang w:bidi="ar"/>
              </w:rPr>
            </w:pPr>
            <w:r>
              <w:rPr>
                <w:rFonts w:hint="eastAsia" w:ascii="仿宋_GB2312" w:hAnsi="宋体" w:eastAsia="仿宋_GB2312" w:cs="黑体"/>
                <w:color w:val="000000"/>
                <w:kern w:val="0"/>
                <w:sz w:val="32"/>
                <w:szCs w:val="32"/>
                <w:lang w:bidi="ar"/>
              </w:rPr>
              <w:t>附件</w:t>
            </w:r>
            <w:r>
              <w:rPr>
                <w:rFonts w:ascii="仿宋_GB2312" w:hAnsi="宋体" w:eastAsia="仿宋_GB2312" w:cs="黑体"/>
                <w:color w:val="000000"/>
                <w:kern w:val="0"/>
                <w:sz w:val="32"/>
                <w:szCs w:val="32"/>
                <w:lang w:bidi="ar"/>
              </w:rPr>
              <w:t>1</w:t>
            </w:r>
            <w:r>
              <w:rPr>
                <w:rFonts w:hint="eastAsia" w:ascii="仿宋_GB2312" w:hAnsi="宋体" w:eastAsia="仿宋_GB2312" w:cs="黑体"/>
                <w:color w:val="000000"/>
                <w:kern w:val="0"/>
                <w:sz w:val="32"/>
                <w:szCs w:val="32"/>
                <w:lang w:bidi="ar"/>
              </w:rPr>
              <w:t>：</w:t>
            </w:r>
          </w:p>
          <w:p>
            <w:pPr>
              <w:pStyle w:val="3"/>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黑体" w:hAnsi="宋体" w:eastAsia="黑体" w:cs="黑体"/>
                <w:color w:val="000000"/>
                <w:sz w:val="48"/>
                <w:szCs w:val="48"/>
              </w:rPr>
            </w:pPr>
            <w:r>
              <w:rPr>
                <w:rFonts w:hint="eastAsia" w:ascii="方正小标宋简体" w:hAnsi="方正小标宋简体" w:eastAsia="方正小标宋简体" w:cs="方正小标宋简体"/>
                <w:color w:val="000000"/>
                <w:kern w:val="0"/>
                <w:sz w:val="44"/>
                <w:szCs w:val="44"/>
                <w:lang w:bidi="ar"/>
              </w:rPr>
              <w:t>临泽县各镇“八五”普法考评指标</w:t>
            </w:r>
          </w:p>
        </w:tc>
      </w:tr>
      <w:tr>
        <w:tblPrEx>
          <w:tblCellMar>
            <w:top w:w="0" w:type="dxa"/>
            <w:left w:w="108" w:type="dxa"/>
            <w:bottom w:w="0" w:type="dxa"/>
            <w:right w:w="108" w:type="dxa"/>
          </w:tblCellMar>
        </w:tblPrEx>
        <w:trPr>
          <w:trHeight w:val="565" w:hRule="atLeast"/>
        </w:trPr>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考核指标</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考核内容</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分值</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得分</w:t>
            </w:r>
          </w:p>
        </w:tc>
      </w:tr>
      <w:tr>
        <w:trPr>
          <w:trHeight w:val="997" w:hRule="atLeast"/>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（一）组织领导（10分）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1.制定本镇“八五”普法规划、年度工作计划，年度工作有部署、有总结。</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657"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2.党委（党组）将全民守法普法工作纳入重要议事日程，定期研究解决新情况、新问题。</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36"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3.适时调整充实工作力量，建立健全法治宣传组织网络，普法领导机构成立。</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4.普法依法治理工作制度落实及实施记载。</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78" w:hRule="atLeast"/>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（二）队伍建设（6分）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5.有专(兼)人担任法治宣传教育工作联络员，法治宣传组织网络完善。</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6.积极组建普法志愿者队伍，开展经常性的普法宣传活动。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7.组织开展与工作密切相关的法律法规的宣传培训，村(居)民普法责任落实情况。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18" w:hRule="atLeast"/>
        </w:trPr>
        <w:tc>
          <w:tcPr>
            <w:tcW w:w="135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（三）档案管理（2分）</w:t>
            </w:r>
          </w:p>
        </w:tc>
        <w:tc>
          <w:tcPr>
            <w:tcW w:w="572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8.全民守法普法和依法治理档案整理规范，有关文档资料、音像资料、文件材料保存齐全。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33" w:hRule="atLeast"/>
        </w:trPr>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（四）谁执法谁普法</w:t>
            </w:r>
          </w:p>
          <w:p>
            <w:pPr>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w:t>
            </w:r>
            <w:r>
              <w:rPr>
                <w:rFonts w:ascii="仿宋_GB2312" w:hAnsi="宋体" w:eastAsia="仿宋_GB2312" w:cs="仿宋_GB2312"/>
                <w:color w:val="000000"/>
                <w:kern w:val="0"/>
                <w:sz w:val="22"/>
                <w:szCs w:val="22"/>
                <w:lang w:bidi="ar"/>
              </w:rPr>
              <w:t>25</w:t>
            </w:r>
            <w:r>
              <w:rPr>
                <w:rFonts w:hint="eastAsia" w:ascii="仿宋_GB2312" w:hAnsi="宋体" w:eastAsia="仿宋_GB2312" w:cs="仿宋_GB2312"/>
                <w:color w:val="000000"/>
                <w:kern w:val="0"/>
                <w:sz w:val="22"/>
                <w:szCs w:val="22"/>
                <w:lang w:bidi="ar"/>
              </w:rPr>
              <w:t>分）</w:t>
            </w: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9.建立普法责任清单，明确本镇普法任务和普法责任。</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27"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10.落实媒体公益普法制度，推进“互联网＋法治宣传”行动，加大新媒体新技术在普法工作中的作用，大力加强法治文化建设，法治宣传平台阵地健全，法治文化作品内容丰富。</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8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11.落实本镇“八五”普法规划，定期举办法治讲座、开展法律知识培训、组织法律法规考试等活动，抓好法治宣传教育。</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8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12.落实以案释法制度，结合执法司法实践面向管理和服务对象广泛开展释法说理活动（2分），定期发布以案释法典型案例（2分）。</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14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13.落实“谁执法谁普法”责任制，法律进村入户活动开展情况（开展活动的方案、计划安排，户有资料袋、家庭学法、协助邻里户族处理说事的图片、活动记载，工作小结、表册、图片）。</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939" w:hRule="atLeast"/>
        </w:trPr>
        <w:tc>
          <w:tcPr>
            <w:tcW w:w="1358" w:type="dxa"/>
            <w:vMerge w:val="continue"/>
            <w:tcBorders>
              <w:top w:val="single" w:color="auto" w:sz="4" w:space="0"/>
              <w:left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14.开展“12</w:t>
            </w:r>
            <w:r>
              <w:rPr>
                <w:rStyle w:val="7"/>
                <w:rFonts w:eastAsia="仿宋_GB2312"/>
                <w:lang w:bidi="ar"/>
              </w:rPr>
              <w:t>•</w:t>
            </w:r>
            <w:r>
              <w:rPr>
                <w:rStyle w:val="8"/>
                <w:rFonts w:hint="default" w:hAnsi="宋体"/>
                <w:lang w:bidi="ar"/>
              </w:rPr>
              <w:t>4”国家宪法日及宪法</w:t>
            </w:r>
            <w:r>
              <w:rPr>
                <w:rStyle w:val="8"/>
                <w:rFonts w:hAnsi="宋体"/>
                <w:lang w:bidi="ar"/>
              </w:rPr>
              <w:t>集中</w:t>
            </w:r>
            <w:r>
              <w:rPr>
                <w:rStyle w:val="8"/>
                <w:rFonts w:hint="default" w:hAnsi="宋体"/>
                <w:lang w:bidi="ar"/>
              </w:rPr>
              <w:t>宣传</w:t>
            </w:r>
            <w:r>
              <w:rPr>
                <w:rStyle w:val="8"/>
                <w:rFonts w:hAnsi="宋体"/>
                <w:lang w:bidi="ar"/>
              </w:rPr>
              <w:t>及相关主题教育活动。严格落实国家工作人员宪法宣誓制度。</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19" w:hRule="atLeast"/>
        </w:trPr>
        <w:tc>
          <w:tcPr>
            <w:tcW w:w="1358" w:type="dxa"/>
            <w:vMerge w:val="continue"/>
            <w:tcBorders>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15.落实定期报备和年度报告制度，及时报送全民普法活动开展登记表（2分）和年度普法依法治理工作总结（2分）。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restart"/>
            <w:tcBorders>
              <w:top w:val="single" w:color="auto" w:sz="4" w:space="0"/>
              <w:left w:val="single" w:color="auto" w:sz="4" w:space="0"/>
              <w:right w:val="single" w:color="auto" w:sz="4" w:space="0"/>
            </w:tcBorders>
            <w:vAlign w:val="center"/>
          </w:tcPr>
          <w:p>
            <w:pP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（五）法治文化建设</w:t>
            </w:r>
          </w:p>
          <w:p>
            <w:pPr>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（9分）</w:t>
            </w: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16.加强法治文化阵地建设，每个镇、村至少建成一个法治宣传教育基地或者法治文化阵地（广场、长廊），经常开展群众性法治文化活动。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45" w:hRule="atLeast"/>
        </w:trPr>
        <w:tc>
          <w:tcPr>
            <w:tcW w:w="1358" w:type="dxa"/>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17.</w:t>
            </w:r>
            <w:r>
              <w:rPr>
                <w:rFonts w:hint="eastAsia" w:ascii="仿宋_GB2312" w:hAnsi="宋体" w:eastAsia="仿宋_GB2312" w:cs="仿宋_GB2312"/>
                <w:color w:val="000000"/>
                <w:sz w:val="22"/>
                <w:szCs w:val="22"/>
              </w:rPr>
              <w:t xml:space="preserve"> </w:t>
            </w:r>
            <w:r>
              <w:rPr>
                <w:rFonts w:hint="eastAsia" w:ascii="仿宋_GB2312" w:hAnsi="宋体" w:eastAsia="仿宋_GB2312" w:cs="仿宋_GB2312"/>
                <w:color w:val="000000"/>
                <w:kern w:val="0"/>
                <w:sz w:val="22"/>
                <w:szCs w:val="22"/>
                <w:lang w:bidi="ar"/>
              </w:rPr>
              <w:t>村（社区）普法活动开展情况、“五个一”落实情况，村社黑板报、公开栏、宣传栏、法治一条街、法治楼院(法治大院)建设情况。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10" w:hRule="atLeast"/>
        </w:trPr>
        <w:tc>
          <w:tcPr>
            <w:tcW w:w="1358" w:type="dxa"/>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18.对返乡农民工、社区青少年、下岗职工、社会闲散人员、回归人员、流动人员等重点群体学法用法落实情况。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（六）领导干部和国家工作人员学法用法（18分）</w:t>
            </w: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19.建立健全领导干部和国家工作人员学法用法清单。</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20.组织开展习近平法治思想和宪法、民法典等学习宣传活动。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101"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21.落实会前学法制度，制定领导干部上法治课计划，每年领导班子至少安排4次以上法治专题学习（讲座）；落实“一月一法一季考”制度。</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659"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22.积极推进领导班子和领导干部述法工作，把尊法学法守法用法作为考核领导班子和领导干部的重要内容，领导班子和科级以上领导干部发生违法违纪行为被追究责任的，每发生一起扣10分，最多不超过20分。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618"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23.落实国家工作人员学法用法制度，广泛开展尊法学法守法用法主题法治宣传实践活动。工作人员发生严重违法违纪行为被追究责任的，每发生一起扣5分，最多不超过20分。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34"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24.开展本镇国家工作人员年度网上学法考法工作，参考率不低于95％，合格率达到95％以上。</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03" w:hRule="atLeast"/>
        </w:trPr>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（七）依法治理（26分）</w:t>
            </w: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25.重大事项决策前实行法律咨询论证和法律风险评估，避免违法决策。</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607"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26.</w:t>
            </w:r>
            <w:r>
              <w:rPr>
                <w:rFonts w:hint="eastAsia" w:ascii="仿宋_GB2312" w:hAnsi="宋体" w:eastAsia="仿宋_GB2312" w:cs="仿宋_GB2312"/>
                <w:color w:val="000000"/>
                <w:kern w:val="0"/>
                <w:sz w:val="22"/>
                <w:szCs w:val="22"/>
                <w:lang w:bidi="ar"/>
              </w:rPr>
              <w:t>全面推进落实“一村一顾问”工作，聘请法律顾问，建立工作台账；组织开展“以案释法”宣讲工作。</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607"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27.落实“法律明白人”“农村学法用法示范户”培育制度。建立“法律明白人”“农村学法用法示范户”名册、培训台账，开展法治宣讲及化解矛盾纠纷台账。结合全省乡村建设示范行动，积极开展民主法治示范村（社区）创建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982"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28.积极开展法治乡村建设活动，行政决策、行政过程符合法律法规规定，无严重违法违纪行为。</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8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29.不断加强依法行政能力建设，党委（党组）依法决策、科学决策、民主决策机制健全，运用法律手段管理经济社会事务的体制机制完善。</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35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30.形成覆盖城乡居民的公共法律服务体系，实现镇公共法律服务工作站、村（居）法律顾问全覆盖。</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175"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31.推进社会自治，发挥市民公约、村规民约、行业规范等社会规范在社会治理中的积极作用。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32.加强人民调解组织建设，强化对人民调解员队伍的培训，提高调解员的能力和水平。加强个人调解工作室建设，每个镇至少建立1个高标准的个人调解室。</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（八 ）工作成效（6分）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33.及时发现和培养各类先进典型，总结推广先进经验和做法。</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34.“八五”普法期间，普法依法治理工作所获荣誉称号和表彰奖励情况。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35.普法依法治理工作经验材料被全省、全国会议推广交流，普法依法治理工作信息被上级刊物刊采。</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473" w:hRule="atLeast"/>
        </w:trPr>
        <w:tc>
          <w:tcPr>
            <w:tcW w:w="81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作创新部分属于加分项目，具有以下情形，适当予以加分，最高不超过5分：各部门在“八五”普法期间，积极开展普法依法治理理论研究和探索，成果被国家（部）级刊物刊登；组织开展有特色、有影响的法治宣传和依法治理活动，被中央、省上有关部门宣传报道；创新形式，努力开拓法治宣传教育工作新局面。</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bookmarkEnd w:id="0"/>
    </w:tbl>
    <w:p>
      <w:pPr>
        <w:spacing w:line="600" w:lineRule="exact"/>
        <w:rPr>
          <w:rFonts w:ascii="仿宋_GB2312" w:hAnsi="仿宋_GB2312" w:eastAsia="仿宋_GB2312" w:cs="仿宋_GB2312"/>
          <w:sz w:val="32"/>
          <w:szCs w:val="32"/>
        </w:rPr>
      </w:pPr>
    </w:p>
    <w:tbl>
      <w:tblPr>
        <w:tblStyle w:val="5"/>
        <w:tblpPr w:leftFromText="180" w:rightFromText="180" w:vertAnchor="text" w:horzAnchor="margin" w:tblpY="-1441"/>
        <w:tblOverlap w:val="never"/>
        <w:tblW w:w="9314" w:type="dxa"/>
        <w:tblInd w:w="0" w:type="dxa"/>
        <w:tblLayout w:type="autofit"/>
        <w:tblCellMar>
          <w:top w:w="0" w:type="dxa"/>
          <w:left w:w="108" w:type="dxa"/>
          <w:bottom w:w="0" w:type="dxa"/>
          <w:right w:w="108" w:type="dxa"/>
        </w:tblCellMar>
      </w:tblPr>
      <w:tblGrid>
        <w:gridCol w:w="1358"/>
        <w:gridCol w:w="5723"/>
        <w:gridCol w:w="1117"/>
        <w:gridCol w:w="1116"/>
      </w:tblGrid>
      <w:tr>
        <w:tblPrEx>
          <w:tblCellMar>
            <w:top w:w="0" w:type="dxa"/>
            <w:left w:w="108" w:type="dxa"/>
            <w:bottom w:w="0" w:type="dxa"/>
            <w:right w:w="108" w:type="dxa"/>
          </w:tblCellMar>
        </w:tblPrEx>
        <w:trPr>
          <w:trHeight w:val="964" w:hRule="atLeast"/>
        </w:trPr>
        <w:tc>
          <w:tcPr>
            <w:tcW w:w="9314" w:type="dxa"/>
            <w:gridSpan w:val="4"/>
            <w:tcBorders>
              <w:top w:val="nil"/>
              <w:left w:val="nil"/>
              <w:bottom w:val="nil"/>
              <w:right w:val="nil"/>
            </w:tcBorders>
            <w:noWrap/>
            <w:vAlign w:val="center"/>
          </w:tcPr>
          <w:p>
            <w:pPr>
              <w:spacing w:line="700" w:lineRule="exact"/>
              <w:textAlignment w:val="center"/>
              <w:rPr>
                <w:rFonts w:ascii="仿宋_GB2312" w:hAnsi="宋体" w:eastAsia="仿宋_GB2312" w:cs="黑体"/>
                <w:color w:val="000000"/>
                <w:kern w:val="0"/>
                <w:sz w:val="32"/>
                <w:szCs w:val="32"/>
                <w:lang w:bidi="ar"/>
              </w:rPr>
            </w:pPr>
          </w:p>
          <w:p>
            <w:pPr>
              <w:spacing w:line="700" w:lineRule="exact"/>
              <w:textAlignment w:val="center"/>
              <w:rPr>
                <w:rFonts w:ascii="仿宋_GB2312" w:hAnsi="宋体" w:eastAsia="仿宋_GB2312" w:cs="黑体"/>
                <w:color w:val="000000"/>
                <w:kern w:val="0"/>
                <w:sz w:val="32"/>
                <w:szCs w:val="32"/>
                <w:lang w:bidi="ar"/>
              </w:rPr>
            </w:pPr>
          </w:p>
          <w:p>
            <w:pPr>
              <w:spacing w:line="700" w:lineRule="exact"/>
              <w:textAlignment w:val="center"/>
            </w:pPr>
            <w:r>
              <w:rPr>
                <w:rFonts w:hint="eastAsia" w:ascii="仿宋_GB2312" w:hAnsi="宋体" w:eastAsia="仿宋_GB2312" w:cs="黑体"/>
                <w:color w:val="000000"/>
                <w:kern w:val="0"/>
                <w:sz w:val="32"/>
                <w:szCs w:val="32"/>
                <w:lang w:bidi="ar"/>
              </w:rPr>
              <w:t>附件2：</w:t>
            </w:r>
          </w:p>
          <w:p>
            <w:pPr>
              <w:spacing w:line="700" w:lineRule="exact"/>
              <w:jc w:val="center"/>
              <w:textAlignment w:val="center"/>
              <w:rPr>
                <w:rFonts w:ascii="黑体" w:hAnsi="宋体" w:eastAsia="黑体" w:cs="黑体"/>
                <w:color w:val="000000"/>
                <w:sz w:val="48"/>
                <w:szCs w:val="48"/>
              </w:rPr>
            </w:pPr>
            <w:r>
              <w:rPr>
                <w:rFonts w:hint="eastAsia" w:ascii="方正小标宋简体" w:hAnsi="方正小标宋简体" w:eastAsia="方正小标宋简体" w:cs="方正小标宋简体"/>
                <w:color w:val="000000"/>
                <w:kern w:val="0"/>
                <w:sz w:val="44"/>
                <w:szCs w:val="44"/>
                <w:lang w:bidi="ar"/>
              </w:rPr>
              <w:t>临泽县部门单位“八五”普法考评指标</w:t>
            </w:r>
          </w:p>
        </w:tc>
      </w:tr>
      <w:tr>
        <w:tblPrEx>
          <w:tblCellMar>
            <w:top w:w="0" w:type="dxa"/>
            <w:left w:w="108" w:type="dxa"/>
            <w:bottom w:w="0" w:type="dxa"/>
            <w:right w:w="108" w:type="dxa"/>
          </w:tblCellMar>
        </w:tblPrEx>
        <w:trPr>
          <w:trHeight w:val="565" w:hRule="atLeast"/>
        </w:trPr>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考核指标</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考核内容</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分值</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得分</w:t>
            </w:r>
          </w:p>
        </w:tc>
      </w:tr>
      <w:tr>
        <w:tblPrEx>
          <w:tblCellMar>
            <w:top w:w="0" w:type="dxa"/>
            <w:left w:w="108" w:type="dxa"/>
            <w:bottom w:w="0" w:type="dxa"/>
            <w:right w:w="108" w:type="dxa"/>
          </w:tblCellMar>
        </w:tblPrEx>
        <w:trPr>
          <w:trHeight w:val="997" w:hRule="atLeast"/>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（一）组织领导（8分）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1.制定本系统、部门“八五”普法规划、年度工作计划，年度工作有部署、有总结。</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657"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2.党委（党组）将全民守法普法工作纳入重要议事日程，定期研究解决新情况、新问题。</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36"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3.适时调整充实工作力量，建立健全法治宣传组织网络，确定分管领导和承办股室。</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78" w:hRule="atLeast"/>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（二）队伍建设（6分）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4.有专(兼)人担任法治宣传教育工作联络员，系统内法治宣传组织网络完善。</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5.积极组建普法志愿者队伍，开展经常性的普法宣传活动。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6.邀请省、市普法讲师团宣讲人员在本单位、本系统开展普法宣讲。</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7.积极组织开展本部门、本系统、本单位法治宣传教育骨干队伍培训。</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18" w:hRule="atLeast"/>
        </w:trPr>
        <w:tc>
          <w:tcPr>
            <w:tcW w:w="135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（三）档案管理（2分）</w:t>
            </w:r>
          </w:p>
        </w:tc>
        <w:tc>
          <w:tcPr>
            <w:tcW w:w="572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8.全民守法普法和依法治理档案管理规范，有关文档资料、音像、文件材料保存齐全。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33" w:hRule="atLeast"/>
        </w:trPr>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p>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（四）谁执法谁普法</w:t>
            </w:r>
          </w:p>
          <w:p>
            <w:pPr>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（21分）</w:t>
            </w: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9.建立普法责任制和普法清单，明确本部门、本系统、本单位普法任务和普法责任。</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27"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10.采取多种形式，面向社会广泛开展宪法和国家基本法律法规学习宣传，开展行业法律法规和规章制度的经常性普及宣传活动。</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8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11.落实本部门、本系统、本单位“八五”普法规划，定期举办法治讲座、开展法律知识培训、组织法律法规考试等活动，抓好系统内法治宣传教育。</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8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12.落实以案释法制度，结合执法司法实践面向管理和服务对象广泛开展释法说理活动（2分），定期发布以案释法典型案例（2分）。</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146"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13.落实“谁执法谁普法”责任制，经常性深入开展法律进机关、进乡村、进社区、进学校、进企业、进单位、进宗教活动场所、进家庭等活动。（开展活动的方案、计划安排，课件、活动记载，工作小结、表册、图片）。</w:t>
            </w:r>
          </w:p>
        </w:tc>
        <w:tc>
          <w:tcPr>
            <w:tcW w:w="11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44" w:hRule="atLeast"/>
        </w:trPr>
        <w:tc>
          <w:tcPr>
            <w:tcW w:w="1358" w:type="dxa"/>
            <w:vMerge w:val="continue"/>
            <w:tcBorders>
              <w:top w:val="single" w:color="auto" w:sz="4" w:space="0"/>
              <w:left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auto"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14.根据统一部署，开展“12</w:t>
            </w:r>
            <w:r>
              <w:rPr>
                <w:rStyle w:val="7"/>
                <w:rFonts w:eastAsia="仿宋_GB2312"/>
                <w:lang w:bidi="ar"/>
              </w:rPr>
              <w:t>•</w:t>
            </w:r>
            <w:r>
              <w:rPr>
                <w:rStyle w:val="8"/>
                <w:rFonts w:hint="default" w:hAnsi="宋体"/>
                <w:lang w:bidi="ar"/>
              </w:rPr>
              <w:t>4”国家宪法日及宪法宣传周活动。</w:t>
            </w:r>
            <w:r>
              <w:rPr>
                <w:rStyle w:val="8"/>
                <w:rFonts w:hAnsi="宋体"/>
                <w:lang w:bidi="ar"/>
              </w:rPr>
              <w:t>严格落实国家工作人员宪法宣誓制度。</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74" w:hRule="atLeast"/>
        </w:trPr>
        <w:tc>
          <w:tcPr>
            <w:tcW w:w="1358" w:type="dxa"/>
            <w:vMerge w:val="continue"/>
            <w:tcBorders>
              <w:left w:val="single" w:color="auto" w:sz="4" w:space="0"/>
              <w:bottom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15.落实定期报备和年度报告制度，及时报送全民普法活动开展登记表（2分）和年度普法依法治理工作总结（2分）。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19" w:hRule="atLeast"/>
        </w:trPr>
        <w:tc>
          <w:tcPr>
            <w:tcW w:w="1358" w:type="dxa"/>
            <w:vMerge w:val="restart"/>
            <w:tcBorders>
              <w:top w:val="single" w:color="auto" w:sz="4" w:space="0"/>
              <w:left w:val="single" w:color="auto" w:sz="4" w:space="0"/>
              <w:right w:val="single" w:color="auto" w:sz="4" w:space="0"/>
            </w:tcBorders>
            <w:vAlign w:val="center"/>
          </w:tcPr>
          <w:p>
            <w:pPr>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（六）法治文化建设（16分）</w:t>
            </w: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16.加强单位法治文化阵地建设，建成法治文化长廊、法治图书角、法治阅览室等实体阵地。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34" w:hRule="atLeast"/>
        </w:trPr>
        <w:tc>
          <w:tcPr>
            <w:tcW w:w="1358" w:type="dxa"/>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17.加大法治文艺作品创作力度，积极组织开展普法微视频、微动漫、微电影等征集展示活动。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988" w:hRule="atLeast"/>
        </w:trPr>
        <w:tc>
          <w:tcPr>
            <w:tcW w:w="1358" w:type="dxa"/>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18.结合工作实际，在各类业务工作活动、集会时，增添法治元素，组织开展群众性法治文化活动。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2152" w:hRule="atLeast"/>
        </w:trPr>
        <w:tc>
          <w:tcPr>
            <w:tcW w:w="1358" w:type="dxa"/>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19.利用电视台、广播电台、报刊、互联网、手机APP等现代传媒手段，开设法治宣传栏目、节目、网站、微博微信等，定期推送以案释法、法律解读、普法动态等方面的内容，播放法治建设成就、传播法治声音，打造传统媒体与新媒体优势互补、线上与线下互动通联、覆盖人群广与精准普法对接的立体化宣传格局。</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280" w:hRule="atLeast"/>
        </w:trPr>
        <w:tc>
          <w:tcPr>
            <w:tcW w:w="1358"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20.在本部门、本系统普遍设立法治宣传教育橱窗或电子显示屏，在政府机关、社会服务机构的服务大厅和服务窗口增加法治宣传教育功能。</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（七）领导干部和国家工作人员学法用法（18分）</w:t>
            </w: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21.建立健全领导干部和国家工作人员学法用法清单。</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22.组织开展习近平法治思想和宪法、民法典等学习宣传活动。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101"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23.落实会前学法制度，制定领导干部上法治课计划，各部门、各单位每年组织专题法治讲座不少于2次；落实“一月一法一季考”制度。</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r>
      <w:tr>
        <w:tblPrEx>
          <w:tblCellMar>
            <w:top w:w="0" w:type="dxa"/>
            <w:left w:w="108" w:type="dxa"/>
            <w:bottom w:w="0" w:type="dxa"/>
            <w:right w:w="108" w:type="dxa"/>
          </w:tblCellMar>
        </w:tblPrEx>
        <w:trPr>
          <w:trHeight w:val="1689"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24.积极推进领导班子和领导干部述法工作，把尊法学法守法用法作为考核领导班子和领导干部的重要内容，领导班子发生违法违纪行为被追究责任的，每发生一起扣10分，最多不超过20分。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r>
      <w:tr>
        <w:tblPrEx>
          <w:tblCellMar>
            <w:top w:w="0" w:type="dxa"/>
            <w:left w:w="108" w:type="dxa"/>
            <w:bottom w:w="0" w:type="dxa"/>
            <w:right w:w="108" w:type="dxa"/>
          </w:tblCellMar>
        </w:tblPrEx>
        <w:trPr>
          <w:trHeight w:val="1328"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25.落实国家工作人员学法用法制度，广泛开展尊法学法守法用法主题法治宣传实践活动。工作人员发生严重违法违纪行为被追究责任的，每发生一起扣5分，最多不超过20分。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r>
      <w:tr>
        <w:tblPrEx>
          <w:tblCellMar>
            <w:top w:w="0" w:type="dxa"/>
            <w:left w:w="108" w:type="dxa"/>
            <w:bottom w:w="0" w:type="dxa"/>
            <w:right w:w="108" w:type="dxa"/>
          </w:tblCellMar>
        </w:tblPrEx>
        <w:trPr>
          <w:trHeight w:val="894" w:hRule="atLeast"/>
        </w:trPr>
        <w:tc>
          <w:tcPr>
            <w:tcW w:w="135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26.开展本单位国家工作人员年度网上学法考法工作，参考率不低于95％，合格率达到95％以上。</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r>
    </w:tbl>
    <w:tbl>
      <w:tblPr>
        <w:tblStyle w:val="5"/>
        <w:tblpPr w:leftFromText="180" w:rightFromText="180" w:vertAnchor="text" w:horzAnchor="page" w:tblpX="1335" w:tblpY="57"/>
        <w:tblOverlap w:val="never"/>
        <w:tblW w:w="9499" w:type="dxa"/>
        <w:tblInd w:w="0" w:type="dxa"/>
        <w:tblLayout w:type="autofit"/>
        <w:tblCellMar>
          <w:top w:w="0" w:type="dxa"/>
          <w:left w:w="108" w:type="dxa"/>
          <w:bottom w:w="0" w:type="dxa"/>
          <w:right w:w="108" w:type="dxa"/>
        </w:tblCellMar>
      </w:tblPr>
      <w:tblGrid>
        <w:gridCol w:w="1385"/>
        <w:gridCol w:w="5837"/>
        <w:gridCol w:w="1139"/>
        <w:gridCol w:w="1138"/>
      </w:tblGrid>
      <w:tr>
        <w:tblPrEx>
          <w:tblCellMar>
            <w:top w:w="0" w:type="dxa"/>
            <w:left w:w="108" w:type="dxa"/>
            <w:bottom w:w="0" w:type="dxa"/>
            <w:right w:w="108" w:type="dxa"/>
          </w:tblCellMar>
        </w:tblPrEx>
        <w:trPr>
          <w:trHeight w:val="819" w:hRule="atLeast"/>
        </w:trPr>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（八）依法治理（2</w:t>
            </w:r>
            <w:r>
              <w:rPr>
                <w:rFonts w:ascii="仿宋_GB2312" w:hAnsi="宋体" w:eastAsia="仿宋_GB2312" w:cs="仿宋_GB2312"/>
                <w:color w:val="000000"/>
                <w:kern w:val="0"/>
                <w:sz w:val="22"/>
                <w:szCs w:val="22"/>
                <w:lang w:bidi="ar"/>
              </w:rPr>
              <w:t>3</w:t>
            </w:r>
            <w:r>
              <w:rPr>
                <w:rFonts w:hint="eastAsia" w:ascii="仿宋_GB2312" w:hAnsi="宋体" w:eastAsia="仿宋_GB2312" w:cs="仿宋_GB2312"/>
                <w:color w:val="000000"/>
                <w:kern w:val="0"/>
                <w:sz w:val="22"/>
                <w:szCs w:val="22"/>
                <w:lang w:bidi="ar"/>
              </w:rPr>
              <w:t>分）</w:t>
            </w: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27.重大事项决策前实行法律咨询论证和法律风险评估，避免违法决策。</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630"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28.严格按照法律法规执法，依法应当公开的执法依据、执法程序、执法结果、收费事项、监督措施全部公开。凡发生执法不公正、不规范、不作为、不文明，造成恶劣影响的，有一起扣5分；发生滥用职权、违法办案，造成较大社会影响的，有一起扣2分。总扣分不超过10分。</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88"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29.法律顾问聘请情况。</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00"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30.积极开展法治机关（单位）创建活动，行政决策、行政过程符合法律法规规定，机关（单位）无严重违法违纪行为。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105"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31.不断加强依法行政能力建设，党委（党组）依法决策、科学决策、民主决策机制健全，机关（单位）运用法律手段管理经济社会事务的体制机制完善。</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897"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32.建立健全部门、行业、单位依法治理或规范化管理规章制度，执法部门全面落实执法责任制、执法公示制、执法过错责任追究制。行政执法过错责任、错案责任应追究未追究的，有一起扣2分；具体行政行为被行政复议机关撤销、变更、确认违法的，有一起扣2分。总扣分不超过10分。</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268"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33.重视民生问题，依法对人民群众最关心、最直接、最现实的社会热点问题开展专项治理。有关涉及面广、与人民群众利益密切相关的决策事项，依法向社会公示并举行听证会。</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639"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34.完善自我监督机制，自觉接受人大、政协监督、司法监督、社会监督和舆论监督。</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639" w:hRule="atLeast"/>
        </w:trPr>
        <w:tc>
          <w:tcPr>
            <w:tcW w:w="1385"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（九）工作成效（6分）</w:t>
            </w:r>
          </w:p>
        </w:tc>
        <w:tc>
          <w:tcPr>
            <w:tcW w:w="58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35.及时发现和培养各类先进典型，总结推广先进经验和做法。</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639" w:hRule="atLeast"/>
        </w:trPr>
        <w:tc>
          <w:tcPr>
            <w:tcW w:w="1385"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36.“八五”普法期间，普法依法治理工作所获荣誉称号和表彰奖励情况。</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639" w:hRule="atLeast"/>
        </w:trPr>
        <w:tc>
          <w:tcPr>
            <w:tcW w:w="1385"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8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37.普法依法治理工作经验材料被全省、全国会议推广交流，普法依法治理工作信息被上级刊物刊采。</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2分</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505" w:hRule="atLeast"/>
        </w:trPr>
        <w:tc>
          <w:tcPr>
            <w:tcW w:w="83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作创新部分属于加分项目，具有以下情形，适当予以加分，最高不超过5分：各部门单位在“八五”普法期间，积极开展普法依法治理理论研究和探索，成果被国家（部）级刊物刊登；组织开展有特色、有影响的法治宣传和依法治理活动，被中央、省上有关部门宣传报道；创新形式，努力开拓法治宣传教育工作新局面。</w:t>
            </w:r>
          </w:p>
        </w:tc>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bl>
    <w:p>
      <w:pPr>
        <w:spacing w:line="600" w:lineRule="exact"/>
        <w:rPr>
          <w:rFonts w:ascii="仿宋_GB2312" w:hAnsi="仿宋_GB2312" w:eastAsia="仿宋_GB2312" w:cs="仿宋_GB2312"/>
          <w:sz w:val="32"/>
          <w:szCs w:val="32"/>
        </w:rPr>
      </w:pPr>
    </w:p>
    <w:tbl>
      <w:tblPr>
        <w:tblStyle w:val="5"/>
        <w:tblpPr w:leftFromText="180" w:rightFromText="180" w:vertAnchor="text" w:horzAnchor="margin" w:tblpXSpec="center" w:tblpY="-1441"/>
        <w:tblOverlap w:val="never"/>
        <w:tblW w:w="9314" w:type="dxa"/>
        <w:tblInd w:w="0" w:type="dxa"/>
        <w:tblLayout w:type="autofit"/>
        <w:tblCellMar>
          <w:top w:w="0" w:type="dxa"/>
          <w:left w:w="108" w:type="dxa"/>
          <w:bottom w:w="0" w:type="dxa"/>
          <w:right w:w="108" w:type="dxa"/>
        </w:tblCellMar>
      </w:tblPr>
      <w:tblGrid>
        <w:gridCol w:w="1358"/>
        <w:gridCol w:w="5723"/>
        <w:gridCol w:w="1117"/>
        <w:gridCol w:w="1116"/>
      </w:tblGrid>
      <w:tr>
        <w:tblPrEx>
          <w:tblCellMar>
            <w:top w:w="0" w:type="dxa"/>
            <w:left w:w="108" w:type="dxa"/>
            <w:bottom w:w="0" w:type="dxa"/>
            <w:right w:w="108" w:type="dxa"/>
          </w:tblCellMar>
        </w:tblPrEx>
        <w:trPr>
          <w:trHeight w:val="964" w:hRule="atLeast"/>
        </w:trPr>
        <w:tc>
          <w:tcPr>
            <w:tcW w:w="9314" w:type="dxa"/>
            <w:gridSpan w:val="4"/>
            <w:tcBorders>
              <w:top w:val="nil"/>
              <w:left w:val="nil"/>
              <w:bottom w:val="nil"/>
              <w:right w:val="nil"/>
            </w:tcBorders>
            <w:noWrap/>
            <w:vAlign w:val="center"/>
          </w:tcPr>
          <w:p>
            <w:pPr>
              <w:spacing w:line="700" w:lineRule="exact"/>
              <w:textAlignment w:val="center"/>
              <w:rPr>
                <w:rFonts w:ascii="仿宋_GB2312" w:hAnsi="宋体" w:eastAsia="仿宋_GB2312" w:cs="黑体"/>
                <w:color w:val="000000"/>
                <w:kern w:val="0"/>
                <w:sz w:val="32"/>
                <w:szCs w:val="32"/>
                <w:lang w:bidi="ar"/>
              </w:rPr>
            </w:pPr>
          </w:p>
          <w:p>
            <w:pPr>
              <w:spacing w:line="700" w:lineRule="exact"/>
              <w:textAlignment w:val="center"/>
              <w:rPr>
                <w:rFonts w:ascii="仿宋_GB2312" w:hAnsi="宋体" w:eastAsia="仿宋_GB2312" w:cs="黑体"/>
                <w:color w:val="000000"/>
                <w:kern w:val="0"/>
                <w:sz w:val="32"/>
                <w:szCs w:val="32"/>
                <w:lang w:bidi="ar"/>
              </w:rPr>
            </w:pPr>
          </w:p>
          <w:p>
            <w:pPr>
              <w:spacing w:line="700" w:lineRule="exact"/>
              <w:textAlignment w:val="center"/>
              <w:rPr>
                <w:rFonts w:ascii="仿宋_GB2312" w:hAnsi="宋体" w:eastAsia="仿宋_GB2312" w:cs="黑体"/>
                <w:color w:val="000000"/>
                <w:kern w:val="0"/>
                <w:sz w:val="32"/>
                <w:szCs w:val="32"/>
                <w:lang w:bidi="ar"/>
              </w:rPr>
            </w:pPr>
            <w:r>
              <w:rPr>
                <w:rFonts w:hint="eastAsia" w:ascii="仿宋_GB2312" w:hAnsi="宋体" w:eastAsia="仿宋_GB2312" w:cs="黑体"/>
                <w:color w:val="000000"/>
                <w:kern w:val="0"/>
                <w:sz w:val="32"/>
                <w:szCs w:val="32"/>
                <w:lang w:bidi="ar"/>
              </w:rPr>
              <w:t>附件</w:t>
            </w:r>
            <w:r>
              <w:rPr>
                <w:rFonts w:ascii="仿宋_GB2312" w:hAnsi="宋体" w:eastAsia="仿宋_GB2312" w:cs="黑体"/>
                <w:color w:val="000000"/>
                <w:kern w:val="0"/>
                <w:sz w:val="32"/>
                <w:szCs w:val="32"/>
                <w:lang w:bidi="ar"/>
              </w:rPr>
              <w:t>3</w:t>
            </w:r>
            <w:r>
              <w:rPr>
                <w:rFonts w:hint="eastAsia" w:ascii="仿宋_GB2312" w:hAnsi="宋体" w:eastAsia="仿宋_GB2312" w:cs="黑体"/>
                <w:color w:val="000000"/>
                <w:kern w:val="0"/>
                <w:sz w:val="32"/>
                <w:szCs w:val="32"/>
                <w:lang w:bidi="ar"/>
              </w:rPr>
              <w:t>：</w:t>
            </w:r>
          </w:p>
          <w:p>
            <w:pPr>
              <w:spacing w:line="700" w:lineRule="exact"/>
              <w:jc w:val="center"/>
              <w:textAlignment w:val="center"/>
              <w:rPr>
                <w:rFonts w:ascii="黑体" w:hAnsi="宋体" w:eastAsia="黑体" w:cs="黑体"/>
                <w:color w:val="000000"/>
                <w:sz w:val="48"/>
                <w:szCs w:val="48"/>
              </w:rPr>
            </w:pPr>
            <w:r>
              <w:rPr>
                <w:rFonts w:hint="eastAsia" w:ascii="方正小标宋简体" w:hAnsi="方正小标宋简体" w:eastAsia="方正小标宋简体" w:cs="方正小标宋简体"/>
                <w:color w:val="000000"/>
                <w:kern w:val="0"/>
                <w:sz w:val="44"/>
                <w:szCs w:val="44"/>
                <w:lang w:bidi="ar"/>
              </w:rPr>
              <w:t>临泽县学校“八五”普法考评指标</w:t>
            </w:r>
          </w:p>
        </w:tc>
      </w:tr>
      <w:tr>
        <w:tblPrEx>
          <w:tblCellMar>
            <w:top w:w="0" w:type="dxa"/>
            <w:left w:w="108" w:type="dxa"/>
            <w:bottom w:w="0" w:type="dxa"/>
            <w:right w:w="108" w:type="dxa"/>
          </w:tblCellMar>
        </w:tblPrEx>
        <w:trPr>
          <w:trHeight w:val="565" w:hRule="atLeast"/>
        </w:trPr>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考核指标</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考核内容</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分值</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得分</w:t>
            </w:r>
          </w:p>
        </w:tc>
      </w:tr>
      <w:tr>
        <w:tblPrEx>
          <w:tblCellMar>
            <w:top w:w="0" w:type="dxa"/>
            <w:left w:w="108" w:type="dxa"/>
            <w:bottom w:w="0" w:type="dxa"/>
            <w:right w:w="108" w:type="dxa"/>
          </w:tblCellMar>
        </w:tblPrEx>
        <w:trPr>
          <w:trHeight w:val="997" w:hRule="atLeast"/>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（一）组织领导（20分）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1.制定本学校“八五”普法规划、年度工作计划，年度工作有部署、有总结。</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36"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w:t>
            </w:r>
            <w:r>
              <w:rPr>
                <w:rFonts w:hint="eastAsia" w:ascii="仿宋_GB2312" w:hAnsi="宋体" w:eastAsia="仿宋_GB2312" w:cs="仿宋_GB2312"/>
                <w:color w:val="000000"/>
                <w:kern w:val="0"/>
                <w:sz w:val="22"/>
                <w:szCs w:val="22"/>
                <w:lang w:bidi="ar"/>
              </w:rPr>
              <w:t>.普法领导机构成立及会议研究安排部署情况。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78" w:hRule="atLeast"/>
        </w:trPr>
        <w:tc>
          <w:tcPr>
            <w:tcW w:w="135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（二）学校普法</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（55分）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3.有专(兼)人担任法治宣传教育工作联络员，系统内法治宣传组织网络完善。</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4.普法工作人员（法治副校长、法治辅导员、法治课教师）开展法治培训、工作情况。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5.普法工作制度，青少年学法用法制度落实情况。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6.法律进学校活动开展情况（开展活动的计划安排、小结、活动表册、图片）。</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7.根据统一部署，开展“12</w:t>
            </w:r>
            <w:r>
              <w:rPr>
                <w:rStyle w:val="7"/>
                <w:rFonts w:eastAsia="仿宋_GB2312"/>
                <w:lang w:bidi="ar"/>
              </w:rPr>
              <w:t>•</w:t>
            </w:r>
            <w:r>
              <w:rPr>
                <w:rStyle w:val="8"/>
                <w:rFonts w:hint="default" w:hAnsi="宋体"/>
                <w:lang w:bidi="ar"/>
              </w:rPr>
              <w:t>4”国家宪法日及宪法宣传周活动。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8.校园法治文化阵地建设开展情况（固定宣传栏、公开栏、电子屏建设、法治长廊、法治园地）。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9.依法治校创建工作开展情况，学校治理校园欺凌情况。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18" w:hRule="atLeast"/>
        </w:trPr>
        <w:tc>
          <w:tcPr>
            <w:tcW w:w="135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（三）档案管理（10分）</w:t>
            </w:r>
          </w:p>
        </w:tc>
        <w:tc>
          <w:tcPr>
            <w:tcW w:w="572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w:t>
            </w:r>
            <w:r>
              <w:rPr>
                <w:rFonts w:hint="eastAsia" w:ascii="仿宋_GB2312" w:hAnsi="宋体" w:eastAsia="仿宋_GB2312" w:cs="仿宋_GB2312"/>
                <w:color w:val="000000"/>
                <w:kern w:val="0"/>
                <w:sz w:val="22"/>
                <w:szCs w:val="22"/>
                <w:lang w:bidi="ar"/>
              </w:rPr>
              <w:t>.普法和依法治校档案管理规范，有关文档资料、音像数据、文件材料保存齐全。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（四）工作成效（15分）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11.及时发现和培养各类先进典型，总结推广先进经验和做法。</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12.“八五”普法期间，普法依法治校工作所获荣誉称号和表彰奖励情况。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13.普法依法治校工作经验材料被全省、全国会议推广交流，普法依法治校工作信息被上级刊物刊采。</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473" w:hRule="atLeast"/>
        </w:trPr>
        <w:tc>
          <w:tcPr>
            <w:tcW w:w="819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作创新部分属于加分项目，具有以下情形，适当予以加分，最高不超过5分：学校在“八五”普法期间组织开展有特色、有影响的法治宣传和依法治校活动，被中央、省上有关部门宣传报道；创新形式，努力开拓法治宣传教育工作新局面。</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bl>
    <w:p>
      <w:pPr>
        <w:spacing w:line="600" w:lineRule="exact"/>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tbl>
      <w:tblPr>
        <w:tblStyle w:val="5"/>
        <w:tblpPr w:leftFromText="180" w:rightFromText="180" w:vertAnchor="text" w:horzAnchor="margin" w:tblpXSpec="center" w:tblpY="-1441"/>
        <w:tblOverlap w:val="never"/>
        <w:tblW w:w="9314" w:type="dxa"/>
        <w:tblInd w:w="0" w:type="dxa"/>
        <w:tblLayout w:type="autofit"/>
        <w:tblCellMar>
          <w:top w:w="0" w:type="dxa"/>
          <w:left w:w="108" w:type="dxa"/>
          <w:bottom w:w="0" w:type="dxa"/>
          <w:right w:w="108" w:type="dxa"/>
        </w:tblCellMar>
      </w:tblPr>
      <w:tblGrid>
        <w:gridCol w:w="1358"/>
        <w:gridCol w:w="5723"/>
        <w:gridCol w:w="1117"/>
        <w:gridCol w:w="1116"/>
      </w:tblGrid>
      <w:tr>
        <w:tblPrEx>
          <w:tblCellMar>
            <w:top w:w="0" w:type="dxa"/>
            <w:left w:w="108" w:type="dxa"/>
            <w:bottom w:w="0" w:type="dxa"/>
            <w:right w:w="108" w:type="dxa"/>
          </w:tblCellMar>
        </w:tblPrEx>
        <w:trPr>
          <w:trHeight w:val="964" w:hRule="atLeast"/>
        </w:trPr>
        <w:tc>
          <w:tcPr>
            <w:tcW w:w="9314" w:type="dxa"/>
            <w:gridSpan w:val="4"/>
            <w:tcBorders>
              <w:top w:val="nil"/>
              <w:left w:val="nil"/>
              <w:bottom w:val="nil"/>
              <w:right w:val="nil"/>
            </w:tcBorders>
            <w:noWrap/>
            <w:vAlign w:val="center"/>
          </w:tcPr>
          <w:p>
            <w:pPr>
              <w:spacing w:line="700" w:lineRule="exact"/>
              <w:textAlignment w:val="center"/>
              <w:rPr>
                <w:rFonts w:ascii="仿宋_GB2312" w:hAnsi="宋体" w:eastAsia="仿宋_GB2312" w:cs="黑体"/>
                <w:color w:val="000000"/>
                <w:kern w:val="0"/>
                <w:sz w:val="32"/>
                <w:szCs w:val="32"/>
                <w:lang w:bidi="ar"/>
              </w:rPr>
            </w:pPr>
          </w:p>
          <w:p>
            <w:pPr>
              <w:spacing w:line="700" w:lineRule="exact"/>
              <w:textAlignment w:val="center"/>
              <w:rPr>
                <w:rFonts w:ascii="仿宋_GB2312" w:hAnsi="宋体" w:eastAsia="仿宋_GB2312" w:cs="黑体"/>
                <w:color w:val="000000"/>
                <w:kern w:val="0"/>
                <w:sz w:val="32"/>
                <w:szCs w:val="32"/>
                <w:lang w:bidi="ar"/>
              </w:rPr>
            </w:pPr>
          </w:p>
          <w:p>
            <w:pPr>
              <w:spacing w:line="700" w:lineRule="exact"/>
              <w:textAlignment w:val="center"/>
              <w:rPr>
                <w:rFonts w:ascii="仿宋_GB2312" w:hAnsi="宋体" w:eastAsia="仿宋_GB2312" w:cs="黑体"/>
                <w:color w:val="000000"/>
                <w:kern w:val="0"/>
                <w:sz w:val="32"/>
                <w:szCs w:val="32"/>
                <w:lang w:bidi="ar"/>
              </w:rPr>
            </w:pPr>
            <w:r>
              <w:rPr>
                <w:rFonts w:hint="eastAsia" w:ascii="仿宋_GB2312" w:hAnsi="宋体" w:eastAsia="仿宋_GB2312" w:cs="黑体"/>
                <w:color w:val="000000"/>
                <w:kern w:val="0"/>
                <w:sz w:val="32"/>
                <w:szCs w:val="32"/>
                <w:lang w:bidi="ar"/>
              </w:rPr>
              <w:t>附件4：</w:t>
            </w:r>
          </w:p>
          <w:p>
            <w:pPr>
              <w:spacing w:line="700" w:lineRule="exact"/>
              <w:jc w:val="center"/>
              <w:textAlignment w:val="center"/>
              <w:rPr>
                <w:rFonts w:ascii="黑体" w:hAnsi="宋体" w:eastAsia="黑体" w:cs="黑体"/>
                <w:color w:val="000000"/>
                <w:sz w:val="48"/>
                <w:szCs w:val="48"/>
              </w:rPr>
            </w:pPr>
            <w:r>
              <w:rPr>
                <w:rFonts w:hint="eastAsia" w:ascii="方正小标宋简体" w:hAnsi="方正小标宋简体" w:eastAsia="方正小标宋简体" w:cs="方正小标宋简体"/>
                <w:color w:val="000000"/>
                <w:kern w:val="0"/>
                <w:sz w:val="44"/>
                <w:szCs w:val="44"/>
                <w:lang w:bidi="ar"/>
              </w:rPr>
              <w:t>临泽县企业“八五”普法考评指标</w:t>
            </w:r>
          </w:p>
        </w:tc>
      </w:tr>
      <w:tr>
        <w:tblPrEx>
          <w:tblCellMar>
            <w:top w:w="0" w:type="dxa"/>
            <w:left w:w="108" w:type="dxa"/>
            <w:bottom w:w="0" w:type="dxa"/>
            <w:right w:w="108" w:type="dxa"/>
          </w:tblCellMar>
        </w:tblPrEx>
        <w:trPr>
          <w:trHeight w:val="565" w:hRule="atLeast"/>
        </w:trPr>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考核指标</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考核内容</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分值</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得分</w:t>
            </w:r>
          </w:p>
        </w:tc>
      </w:tr>
      <w:tr>
        <w:tblPrEx>
          <w:tblCellMar>
            <w:top w:w="0" w:type="dxa"/>
            <w:left w:w="108" w:type="dxa"/>
            <w:bottom w:w="0" w:type="dxa"/>
            <w:right w:w="108" w:type="dxa"/>
          </w:tblCellMar>
        </w:tblPrEx>
        <w:trPr>
          <w:trHeight w:val="997" w:hRule="atLeast"/>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（一）组织领导（25分）</w:t>
            </w: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1.制定本企业“八五”普法规划、年度工作计划，年度工作有部署、有总结。</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736" w:hRule="atLeast"/>
        </w:trPr>
        <w:tc>
          <w:tcPr>
            <w:tcW w:w="1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w:t>
            </w:r>
            <w:r>
              <w:rPr>
                <w:rFonts w:hint="eastAsia" w:ascii="仿宋_GB2312" w:hAnsi="宋体" w:eastAsia="仿宋_GB2312" w:cs="仿宋_GB2312"/>
                <w:color w:val="000000"/>
                <w:kern w:val="0"/>
                <w:sz w:val="22"/>
                <w:szCs w:val="22"/>
                <w:lang w:bidi="ar"/>
              </w:rPr>
              <w:t>.普法领导机构成立及会议研究安排部署情况。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78" w:hRule="atLeast"/>
        </w:trPr>
        <w:tc>
          <w:tcPr>
            <w:tcW w:w="135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（二）企业普法(55分)</w:t>
            </w:r>
          </w:p>
          <w:p>
            <w:pPr>
              <w:widowControl/>
              <w:jc w:val="center"/>
              <w:textAlignment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3.有专(兼)人担任法治宣传教育工作联络员，系统内法治宣传组织网络完善。</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4.企业管理人员、职工普法培训及学法用法落实情况；</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5.企业聘请法律顾问，重大事项决策前实行法律咨询论证和法律风险评估，避免违法决策。</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6.法律进企业活动开展情况（开展活动的计划安排、小结、活动表册、图片）。</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7.根据统一部署，开展“12</w:t>
            </w:r>
            <w:r>
              <w:rPr>
                <w:rStyle w:val="7"/>
                <w:rFonts w:eastAsia="仿宋_GB2312"/>
                <w:lang w:bidi="ar"/>
              </w:rPr>
              <w:t>•</w:t>
            </w:r>
            <w:r>
              <w:rPr>
                <w:rStyle w:val="8"/>
                <w:rFonts w:hint="default" w:hAnsi="宋体"/>
                <w:lang w:bidi="ar"/>
              </w:rPr>
              <w:t>4”国家宪法日及宪法宣传周活动。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8.企业经营管理人员每年开展或参加专题法治讲座不少于4次。</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595" w:hRule="atLeast"/>
        </w:trPr>
        <w:tc>
          <w:tcPr>
            <w:tcW w:w="1358" w:type="dxa"/>
            <w:vMerge w:val="continue"/>
            <w:tcBorders>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57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9.积极开展依法治企活动，经营决策、过程符合法律法规规定，企业无严重违法违纪行为。</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818" w:hRule="atLeast"/>
        </w:trPr>
        <w:tc>
          <w:tcPr>
            <w:tcW w:w="135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（三）档案管理（20分）</w:t>
            </w:r>
          </w:p>
        </w:tc>
        <w:tc>
          <w:tcPr>
            <w:tcW w:w="572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w:t>
            </w:r>
            <w:r>
              <w:rPr>
                <w:rFonts w:hint="eastAsia" w:ascii="仿宋_GB2312" w:hAnsi="宋体" w:eastAsia="仿宋_GB2312" w:cs="仿宋_GB2312"/>
                <w:color w:val="000000"/>
                <w:kern w:val="0"/>
                <w:sz w:val="22"/>
                <w:szCs w:val="22"/>
                <w:lang w:bidi="ar"/>
              </w:rPr>
              <w:t>.普法和依法治校档案管理规范，有关文档资料、音像数据、文件材料保存齐全。</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20分</w:t>
            </w: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bl>
    <w:p>
      <w:pPr>
        <w:rPr>
          <w:rFonts w:hint="eastAsia"/>
        </w:rPr>
      </w:pPr>
    </w:p>
    <w:p>
      <w:pPr>
        <w:bidi w:val="0"/>
        <w:jc w:val="center"/>
        <w:rPr>
          <w:rFonts w:hint="eastAsia" w:ascii="Calibri" w:hAnsi="Calibri" w:eastAsia="宋体" w:cs="Times New Roman"/>
          <w:kern w:val="2"/>
          <w:sz w:val="21"/>
          <w:szCs w:val="24"/>
          <w:lang w:val="en-US" w:eastAsia="zh-CN" w:bidi="ar-SA"/>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rPr>
      <w:t>- 1 -</w:t>
    </w:r>
    <w:r>
      <w:rPr>
        <w:rFonts w:hint="eastAsia" w:ascii="仿宋_GB2312" w:eastAsia="仿宋_GB2312"/>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5YjY4ZWIwNTA0NjcyNjJiMGY4NjEyYWE1M2YxZjcifQ=="/>
  </w:docVars>
  <w:rsids>
    <w:rsidRoot w:val="3864483A"/>
    <w:rsid w:val="00426193"/>
    <w:rsid w:val="008C18C9"/>
    <w:rsid w:val="00EB5E08"/>
    <w:rsid w:val="017B5688"/>
    <w:rsid w:val="02497534"/>
    <w:rsid w:val="0B8D0492"/>
    <w:rsid w:val="0DC969B8"/>
    <w:rsid w:val="128F22DB"/>
    <w:rsid w:val="19D41982"/>
    <w:rsid w:val="266E3064"/>
    <w:rsid w:val="2B8F57CA"/>
    <w:rsid w:val="3062519A"/>
    <w:rsid w:val="369E6CC5"/>
    <w:rsid w:val="3864483A"/>
    <w:rsid w:val="38D16B9D"/>
    <w:rsid w:val="3EA57A3F"/>
    <w:rsid w:val="46162856"/>
    <w:rsid w:val="48EE45F3"/>
    <w:rsid w:val="4DC7086E"/>
    <w:rsid w:val="50566671"/>
    <w:rsid w:val="60FD164B"/>
    <w:rsid w:val="62151DEB"/>
    <w:rsid w:val="723F6274"/>
    <w:rsid w:val="79B7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character" w:customStyle="1" w:styleId="7">
    <w:name w:val="font41"/>
    <w:qFormat/>
    <w:uiPriority w:val="0"/>
    <w:rPr>
      <w:rFonts w:hint="default" w:ascii="Times New Roman" w:hAnsi="Times New Roman" w:cs="Times New Roman"/>
      <w:color w:val="000000"/>
      <w:sz w:val="22"/>
      <w:szCs w:val="22"/>
      <w:u w:val="none"/>
    </w:rPr>
  </w:style>
  <w:style w:type="character" w:customStyle="1" w:styleId="8">
    <w:name w:val="font2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5739</Words>
  <Characters>5975</Characters>
  <Lines>46</Lines>
  <Paragraphs>13</Paragraphs>
  <TotalTime>8</TotalTime>
  <ScaleCrop>false</ScaleCrop>
  <LinksUpToDate>false</LinksUpToDate>
  <CharactersWithSpaces>6007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2023-04-05T11:57:00Z</dcterms:created>
  <dc:creator>WPS_1635648396</dc:creator>
  <cp:lastModifiedBy>邹美鸿</cp:lastModifiedBy>
  <cp:lastPrinted>2023-04-04T09:51:00Z</cp:lastPrinted>
  <dcterms:modified xsi:type="dcterms:W3CDTF">2023-04-06T01:01:48Z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B52851A2DAC6419088669EF191C3A685</vt:lpwstr>
  </property>
</Properties>
</file>