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518E51">
      <w:pPr>
        <w:spacing w:line="560" w:lineRule="exact"/>
        <w:jc w:val="center"/>
        <w:rPr>
          <w:rFonts w:hint="eastAsia" w:ascii="仿宋_GB2312" w:hAnsi="宋体" w:eastAsia="仿宋_GB2312"/>
          <w:sz w:val="32"/>
          <w:szCs w:val="32"/>
          <w:lang w:val="en-US" w:eastAsia="zh-CN"/>
        </w:rPr>
      </w:pPr>
    </w:p>
    <w:p w14:paraId="09B70F0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Arial" w:eastAsia="方正小标宋简体" w:cs="Arial"/>
          <w:sz w:val="44"/>
          <w:szCs w:val="44"/>
          <w:lang w:val="en-US" w:eastAsia="zh-CN"/>
        </w:rPr>
      </w:pPr>
      <w:r>
        <w:rPr>
          <w:rFonts w:hint="eastAsia" w:ascii="方正小标宋简体" w:hAnsi="Arial" w:eastAsia="方正小标宋简体" w:cs="Arial"/>
          <w:sz w:val="44"/>
          <w:szCs w:val="44"/>
          <w:lang w:val="en-US" w:eastAsia="zh-CN"/>
        </w:rPr>
        <w:t>临泽县地震局</w:t>
      </w:r>
    </w:p>
    <w:p w14:paraId="4DDE067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Arial" w:eastAsia="方正小标宋简体" w:cs="Arial"/>
          <w:sz w:val="44"/>
          <w:szCs w:val="44"/>
        </w:rPr>
      </w:pPr>
      <w:r>
        <w:rPr>
          <w:rFonts w:hint="eastAsia" w:ascii="方正小标宋简体" w:hAnsi="Arial" w:eastAsia="方正小标宋简体" w:cs="Arial"/>
          <w:sz w:val="44"/>
          <w:szCs w:val="44"/>
          <w:lang w:val="en-US" w:eastAsia="zh-CN"/>
        </w:rPr>
        <w:t>2025年</w:t>
      </w:r>
      <w:r>
        <w:rPr>
          <w:rFonts w:hint="eastAsia" w:ascii="方正小标宋简体" w:hAnsi="Arial" w:eastAsia="方正小标宋简体" w:cs="Arial"/>
          <w:sz w:val="44"/>
          <w:szCs w:val="44"/>
        </w:rPr>
        <w:t>部门整体</w:t>
      </w:r>
      <w:r>
        <w:rPr>
          <w:rFonts w:hint="eastAsia" w:ascii="方正小标宋简体" w:hAnsi="Arial" w:eastAsia="方正小标宋简体" w:cs="Arial"/>
          <w:sz w:val="44"/>
          <w:szCs w:val="44"/>
          <w:lang w:eastAsia="zh-CN"/>
        </w:rPr>
        <w:t>支出绩效</w:t>
      </w:r>
      <w:r>
        <w:rPr>
          <w:rFonts w:hint="eastAsia" w:ascii="方正小标宋简体" w:hAnsi="Arial" w:eastAsia="方正小标宋简体" w:cs="Arial"/>
          <w:sz w:val="44"/>
          <w:szCs w:val="44"/>
        </w:rPr>
        <w:t>自评报告</w:t>
      </w:r>
    </w:p>
    <w:p w14:paraId="5F05794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Times New Roman" w:eastAsia="仿宋_GB2312" w:cs="Times New Roman"/>
          <w:sz w:val="32"/>
          <w:szCs w:val="32"/>
          <w:lang w:eastAsia="zh-CN"/>
        </w:rPr>
      </w:pPr>
    </w:p>
    <w:p w14:paraId="32FD8E05">
      <w:pPr>
        <w:keepNext w:val="0"/>
        <w:keepLines w:val="0"/>
        <w:pageBreakBefore w:val="0"/>
        <w:widowControl w:val="0"/>
        <w:kinsoku/>
        <w:wordWrap/>
        <w:overflowPunct/>
        <w:topLinePunct w:val="0"/>
        <w:autoSpaceDE/>
        <w:autoSpaceDN/>
        <w:bidi w:val="0"/>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临泽</w:t>
      </w:r>
      <w:r>
        <w:rPr>
          <w:rFonts w:hint="eastAsia" w:ascii="仿宋_GB2312" w:hAnsi="仿宋_GB2312" w:eastAsia="仿宋_GB2312" w:cs="仿宋_GB2312"/>
          <w:sz w:val="32"/>
          <w:szCs w:val="32"/>
          <w:lang w:eastAsia="zh-CN"/>
        </w:rPr>
        <w:t>县财政局：</w:t>
      </w:r>
    </w:p>
    <w:p w14:paraId="1E6C671C">
      <w:pPr>
        <w:keepNext w:val="0"/>
        <w:keepLines w:val="0"/>
        <w:pageBreakBefore w:val="0"/>
        <w:widowControl w:val="0"/>
        <w:kinsoku/>
        <w:wordWrap/>
        <w:overflowPunct/>
        <w:topLinePunct w:val="0"/>
        <w:autoSpaceDE/>
        <w:autoSpaceDN/>
        <w:bidi w:val="0"/>
        <w:spacing w:line="600" w:lineRule="exact"/>
        <w:ind w:firstLine="588"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为进一步推进预算绩效管理全面实施，强化财政支出绩效管理理念和绩效责任意识，切实提高财政资金使用效益，我局严格按照预算绩效管理工作要求，开展了</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lang w:val="en-US" w:eastAsia="zh-CN"/>
        </w:rPr>
        <w:t>年度财政支出绩效自评工作，部门整体支出绩效自评报告如下：</w:t>
      </w:r>
    </w:p>
    <w:p w14:paraId="69D8F432">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一、基本情况</w:t>
      </w:r>
    </w:p>
    <w:p w14:paraId="017B73C9">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（一）年度部门总目标及主要任务</w:t>
      </w:r>
    </w:p>
    <w:p w14:paraId="22EA96C4">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lang w:val="en-US" w:eastAsia="zh-CN"/>
        </w:rPr>
      </w:pPr>
      <w:r>
        <w:rPr>
          <w:rFonts w:hint="eastAsia"/>
          <w:lang w:val="en-US" w:eastAsia="zh-CN"/>
        </w:rPr>
        <w:t>总目标：完成全县防震减灾工作。</w:t>
      </w:r>
    </w:p>
    <w:p w14:paraId="22E74443">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lang w:val="en-US" w:eastAsia="zh-CN"/>
        </w:rPr>
      </w:pPr>
      <w:r>
        <w:rPr>
          <w:rFonts w:hint="eastAsia"/>
          <w:lang w:val="en-US" w:eastAsia="zh-CN"/>
        </w:rPr>
        <w:t>主要任务：完成地震监测、震害防御、科普宣传等工作。</w:t>
      </w:r>
    </w:p>
    <w:p w14:paraId="69F105BE">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588" w:firstLineChars="200"/>
        <w:textAlignment w:val="auto"/>
        <w:outlineLvl w:val="0"/>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年度部门整体预算绩效目标、绩效指标设定情况</w:t>
      </w:r>
    </w:p>
    <w:p w14:paraId="64B2511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88" w:firstLineChars="200"/>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资金投入方面，基本支出预算执行率达到</w:t>
      </w:r>
      <w:r>
        <w:rPr>
          <w:rFonts w:hint="eastAsia" w:ascii="仿宋_GB2312" w:hAnsi="仿宋_GB2312" w:cs="仿宋_GB2312"/>
          <w:sz w:val="32"/>
          <w:szCs w:val="32"/>
          <w:lang w:val="en-US" w:eastAsia="zh-CN"/>
        </w:rPr>
        <w:t>89.57</w:t>
      </w:r>
      <w:r>
        <w:rPr>
          <w:rFonts w:hint="eastAsia" w:ascii="仿宋_GB2312" w:hAnsi="仿宋_GB2312" w:eastAsia="仿宋_GB2312" w:cs="仿宋_GB2312"/>
          <w:sz w:val="32"/>
          <w:szCs w:val="32"/>
          <w:lang w:val="en-US" w:eastAsia="zh-CN"/>
        </w:rPr>
        <w:t>%、项目支出预算执行率达到</w:t>
      </w:r>
      <w:r>
        <w:rPr>
          <w:rFonts w:hint="eastAsia" w:ascii="仿宋_GB2312" w:hAnsi="仿宋_GB2312" w:cs="仿宋_GB2312"/>
          <w:sz w:val="32"/>
          <w:szCs w:val="32"/>
          <w:lang w:val="en-US" w:eastAsia="zh-CN"/>
        </w:rPr>
        <w:t>99.48</w:t>
      </w:r>
      <w:r>
        <w:rPr>
          <w:rFonts w:hint="eastAsia" w:ascii="仿宋_GB2312" w:hAnsi="仿宋_GB2312" w:eastAsia="仿宋_GB2312" w:cs="仿宋_GB2312"/>
          <w:sz w:val="32"/>
          <w:szCs w:val="32"/>
          <w:lang w:val="en-US" w:eastAsia="zh-CN"/>
        </w:rPr>
        <w:t>%、“三公”经费控制率≤100%、结转结余变动率≤5%；财务管理方面，财务管理制度健全、资金使用规范；采购管理方面，政府采购规范；人员管理方面，在职人员控制率≤100%；重点工作管理方面，重点工作管理制度健全；资产管理方面，资产管理规范；部门履职目标中，地震监测、震害防御工作规范；部门效果目标中，抗震救灾应急能力提升；社会影响方面，可持续影响提升；服务对象满意度提升；长效管理方面，建立规范的长效机制；人力资源建设方面，建立规范培训机制；档案管理工作规范。</w:t>
      </w:r>
    </w:p>
    <w:p w14:paraId="3A6B66AE">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二、绩效自评工作开展情况</w:t>
      </w:r>
    </w:p>
    <w:p w14:paraId="5EEC2B77">
      <w:pPr>
        <w:keepNext w:val="0"/>
        <w:keepLines w:val="0"/>
        <w:pageBreakBefore w:val="0"/>
        <w:widowControl w:val="0"/>
        <w:kinsoku/>
        <w:wordWrap/>
        <w:overflowPunct/>
        <w:topLinePunct w:val="0"/>
        <w:autoSpaceDE/>
        <w:autoSpaceDN/>
        <w:bidi w:val="0"/>
        <w:spacing w:line="600" w:lineRule="exact"/>
        <w:ind w:firstLine="588" w:firstLineChars="200"/>
        <w:textAlignment w:val="auto"/>
        <w:rPr>
          <w:rFonts w:hint="eastAsia"/>
          <w:lang w:val="en-US" w:eastAsia="zh-CN"/>
        </w:rPr>
      </w:pPr>
      <w:r>
        <w:rPr>
          <w:rFonts w:hint="eastAsia"/>
          <w:lang w:val="en-US" w:eastAsia="zh-CN"/>
        </w:rPr>
        <w:t>严格按照整体绩效自评工作的要求，确定专人具体负责此项工作，确保绩效自评工作顺利开展，科学设置评价目标体系，及时收集相关数据，落实项目实施，督促项目运行及资金使用情况。并对所有项目数据进行汇总分析形成报告。</w:t>
      </w:r>
    </w:p>
    <w:p w14:paraId="1E0098D5">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三、综合评价结论</w:t>
      </w:r>
    </w:p>
    <w:p w14:paraId="0DC1C8CF">
      <w:pPr>
        <w:keepNext w:val="0"/>
        <w:keepLines w:val="0"/>
        <w:pageBreakBefore w:val="0"/>
        <w:widowControl w:val="0"/>
        <w:kinsoku/>
        <w:wordWrap/>
        <w:overflowPunct/>
        <w:topLinePunct w:val="0"/>
        <w:autoSpaceDE/>
        <w:autoSpaceDN/>
        <w:bidi w:val="0"/>
        <w:spacing w:line="600" w:lineRule="exact"/>
        <w:ind w:firstLine="588" w:firstLineChars="200"/>
        <w:textAlignment w:val="auto"/>
        <w:rPr>
          <w:rFonts w:hint="eastAsia"/>
        </w:rPr>
      </w:pPr>
      <w:r>
        <w:rPr>
          <w:rFonts w:hint="eastAsia"/>
          <w:lang w:val="en-US"/>
        </w:rPr>
        <w:t>我单位严格按照规定的部门整体支出绩效自评表的各项评价指标进行了自评，在预算执行中严格执行单位内部管理制度及上级有关规定。通过对整体支出各项指标自评，认为我单位在支出中严格履行支付规定，无违规、超标准支付现象发生，绩效评价为良好，得分</w:t>
      </w:r>
      <w:r>
        <w:rPr>
          <w:rFonts w:hint="eastAsia"/>
          <w:lang w:val="en-US" w:eastAsia="zh-CN"/>
        </w:rPr>
        <w:t>92.3</w:t>
      </w:r>
      <w:r>
        <w:rPr>
          <w:rFonts w:hint="eastAsia"/>
          <w:lang w:val="en-US"/>
        </w:rPr>
        <w:t>分。</w:t>
      </w:r>
    </w:p>
    <w:p w14:paraId="38FA566B">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四、绩效目标实现情况分析</w:t>
      </w:r>
    </w:p>
    <w:p w14:paraId="595AF784">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ascii="楷体_GB2312" w:hAnsi="楷体_GB2312" w:eastAsia="楷体_GB2312" w:cs="楷体_GB2312"/>
          <w:b/>
          <w:bCs w:val="0"/>
          <w:sz w:val="32"/>
          <w:szCs w:val="32"/>
        </w:rPr>
      </w:pPr>
      <w:r>
        <w:rPr>
          <w:rFonts w:hint="eastAsia" w:ascii="楷体_GB2312" w:hAnsi="楷体_GB2312" w:eastAsia="楷体_GB2312" w:cs="楷体_GB2312"/>
          <w:b/>
          <w:bCs w:val="0"/>
          <w:sz w:val="32"/>
          <w:szCs w:val="32"/>
        </w:rPr>
        <w:t>（一）部门资金情况分析</w:t>
      </w:r>
    </w:p>
    <w:p w14:paraId="4538C1C2">
      <w:pPr>
        <w:keepNext w:val="0"/>
        <w:keepLines w:val="0"/>
        <w:pageBreakBefore w:val="0"/>
        <w:widowControl w:val="0"/>
        <w:kinsoku/>
        <w:wordWrap/>
        <w:overflowPunct/>
        <w:topLinePunct w:val="0"/>
        <w:autoSpaceDE/>
        <w:autoSpaceDN/>
        <w:bidi w:val="0"/>
        <w:spacing w:line="600" w:lineRule="exact"/>
        <w:ind w:firstLine="588" w:firstLineChars="200"/>
        <w:textAlignment w:val="auto"/>
        <w:rPr>
          <w:rFonts w:hint="default" w:eastAsia="仿宋_GB2312"/>
          <w:lang w:val="en-US" w:eastAsia="zh-CN"/>
        </w:rPr>
      </w:pPr>
      <w:r>
        <w:rPr>
          <w:rFonts w:hint="eastAsia"/>
          <w:lang w:val="en-US"/>
        </w:rPr>
        <w:t>临泽县地震局部门整体预算包括人员经费、公用经费。部门预算按照“三上三下”流程进行编制、审批和下达预算。202</w:t>
      </w:r>
      <w:r>
        <w:rPr>
          <w:rFonts w:hint="eastAsia"/>
          <w:lang w:val="en-US" w:eastAsia="zh-CN"/>
        </w:rPr>
        <w:t>5</w:t>
      </w:r>
      <w:r>
        <w:rPr>
          <w:rFonts w:hint="eastAsia"/>
          <w:lang w:val="en-US"/>
        </w:rPr>
        <w:t>年</w:t>
      </w:r>
      <w:r>
        <w:rPr>
          <w:rFonts w:hint="eastAsia"/>
          <w:lang w:val="en-US" w:eastAsia="zh-CN"/>
        </w:rPr>
        <w:t>基本支出全年</w:t>
      </w:r>
      <w:r>
        <w:rPr>
          <w:rFonts w:hint="eastAsia"/>
          <w:lang w:val="en-US"/>
        </w:rPr>
        <w:t>预算为</w:t>
      </w:r>
      <w:r>
        <w:rPr>
          <w:rFonts w:hint="eastAsia"/>
          <w:lang w:val="en-US" w:eastAsia="zh-CN"/>
        </w:rPr>
        <w:t>74.13</w:t>
      </w:r>
      <w:r>
        <w:rPr>
          <w:rFonts w:hint="eastAsia"/>
          <w:lang w:val="en-US"/>
        </w:rPr>
        <w:t>万元，包括人员经费为</w:t>
      </w:r>
      <w:r>
        <w:rPr>
          <w:rFonts w:hint="eastAsia"/>
          <w:lang w:val="en-US" w:eastAsia="zh-CN"/>
        </w:rPr>
        <w:t>63.88</w:t>
      </w:r>
      <w:r>
        <w:rPr>
          <w:rFonts w:hint="eastAsia"/>
          <w:lang w:val="en-US"/>
        </w:rPr>
        <w:t>万元，公用经费为</w:t>
      </w:r>
      <w:r>
        <w:rPr>
          <w:rFonts w:hint="eastAsia"/>
          <w:lang w:val="en-US" w:eastAsia="zh-CN"/>
        </w:rPr>
        <w:t>10.24</w:t>
      </w:r>
      <w:r>
        <w:rPr>
          <w:rFonts w:hint="eastAsia"/>
          <w:lang w:val="en-US"/>
        </w:rPr>
        <w:t>万元，</w:t>
      </w:r>
      <w:r>
        <w:rPr>
          <w:rFonts w:hint="eastAsia"/>
          <w:lang w:val="en-US" w:eastAsia="zh-CN"/>
        </w:rPr>
        <w:t>项目支出年初预算3.86万元，全年预算数为77.99万元，</w:t>
      </w:r>
      <w:r>
        <w:rPr>
          <w:rFonts w:hint="eastAsia"/>
          <w:lang w:val="en-US"/>
        </w:rPr>
        <w:t>预算资金全部由临泽县财政直接拨款。202</w:t>
      </w:r>
      <w:r>
        <w:rPr>
          <w:rFonts w:hint="eastAsia"/>
          <w:lang w:val="en-US" w:eastAsia="zh-CN"/>
        </w:rPr>
        <w:t>5</w:t>
      </w:r>
      <w:r>
        <w:rPr>
          <w:rFonts w:hint="eastAsia"/>
          <w:lang w:val="en-US"/>
        </w:rPr>
        <w:t>年实际支出总数为</w:t>
      </w:r>
      <w:r>
        <w:rPr>
          <w:rFonts w:hint="eastAsia"/>
          <w:lang w:val="en-US" w:eastAsia="zh-CN"/>
        </w:rPr>
        <w:t>70.25</w:t>
      </w:r>
      <w:r>
        <w:rPr>
          <w:rFonts w:hint="eastAsia"/>
          <w:lang w:val="en-US"/>
        </w:rPr>
        <w:t>万元，预算执行率为</w:t>
      </w:r>
      <w:r>
        <w:rPr>
          <w:rFonts w:hint="eastAsia"/>
          <w:lang w:val="en-US" w:eastAsia="zh-CN"/>
        </w:rPr>
        <w:t>90.06</w:t>
      </w:r>
      <w:r>
        <w:rPr>
          <w:rFonts w:hint="eastAsia"/>
          <w:lang w:val="en-US"/>
        </w:rPr>
        <w:t>%，其中基本支出总数为</w:t>
      </w:r>
      <w:r>
        <w:rPr>
          <w:rFonts w:hint="eastAsia"/>
          <w:lang w:val="en-US" w:eastAsia="zh-CN"/>
        </w:rPr>
        <w:t>66.4</w:t>
      </w:r>
      <w:r>
        <w:rPr>
          <w:rFonts w:hint="eastAsia"/>
          <w:lang w:val="en-US"/>
        </w:rPr>
        <w:t>万元，预算执行率为</w:t>
      </w:r>
      <w:r>
        <w:rPr>
          <w:rFonts w:hint="eastAsia"/>
          <w:lang w:val="en-US" w:eastAsia="zh-CN"/>
        </w:rPr>
        <w:t>89.57</w:t>
      </w:r>
      <w:r>
        <w:rPr>
          <w:rFonts w:hint="eastAsia"/>
          <w:lang w:val="en-US"/>
        </w:rPr>
        <w:t>%</w:t>
      </w:r>
      <w:r>
        <w:rPr>
          <w:rFonts w:hint="eastAsia"/>
          <w:lang w:val="en-US" w:eastAsia="zh-CN"/>
        </w:rPr>
        <w:t>，项目支出3.84万元，预算执行率为99.48%。</w:t>
      </w:r>
    </w:p>
    <w:p w14:paraId="4891DBBF">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ascii="楷体_GB2312" w:hAnsi="楷体_GB2312" w:eastAsia="楷体_GB2312" w:cs="楷体_GB2312"/>
          <w:b/>
          <w:bCs w:val="0"/>
          <w:sz w:val="32"/>
          <w:szCs w:val="32"/>
        </w:rPr>
      </w:pPr>
      <w:r>
        <w:rPr>
          <w:rFonts w:hint="eastAsia" w:ascii="楷体_GB2312" w:hAnsi="楷体_GB2312" w:eastAsia="楷体_GB2312" w:cs="楷体_GB2312"/>
          <w:b/>
          <w:bCs w:val="0"/>
          <w:sz w:val="32"/>
          <w:szCs w:val="32"/>
        </w:rPr>
        <w:t>（二）项目绩效指标完成情况分析</w:t>
      </w:r>
    </w:p>
    <w:p w14:paraId="0AD7F2A0">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仿宋_GB2312"/>
          <w:b/>
          <w:bCs/>
          <w:sz w:val="32"/>
          <w:szCs w:val="32"/>
        </w:rPr>
      </w:pPr>
      <w:r>
        <w:rPr>
          <w:rFonts w:hint="eastAsia" w:ascii="仿宋_GB2312"/>
          <w:b/>
          <w:bCs/>
          <w:sz w:val="32"/>
          <w:szCs w:val="32"/>
        </w:rPr>
        <w:t>1.投入管理指标</w:t>
      </w:r>
      <w:r>
        <w:rPr>
          <w:rFonts w:ascii="仿宋_GB2312"/>
          <w:b/>
          <w:bCs/>
          <w:sz w:val="32"/>
          <w:szCs w:val="32"/>
        </w:rPr>
        <w:t>完成</w:t>
      </w:r>
      <w:r>
        <w:rPr>
          <w:rFonts w:hint="eastAsia" w:ascii="仿宋_GB2312"/>
          <w:b/>
          <w:bCs/>
          <w:sz w:val="32"/>
          <w:szCs w:val="32"/>
        </w:rPr>
        <w:t>情况分析</w:t>
      </w:r>
    </w:p>
    <w:p w14:paraId="53709944">
      <w:pPr>
        <w:keepNext w:val="0"/>
        <w:keepLines w:val="0"/>
        <w:pageBreakBefore w:val="0"/>
        <w:widowControl w:val="0"/>
        <w:kinsoku/>
        <w:wordWrap/>
        <w:overflowPunct/>
        <w:topLinePunct w:val="0"/>
        <w:autoSpaceDE/>
        <w:autoSpaceDN/>
        <w:bidi w:val="0"/>
        <w:spacing w:line="600" w:lineRule="exact"/>
        <w:ind w:firstLine="588" w:firstLineChars="200"/>
        <w:textAlignment w:val="auto"/>
        <w:rPr>
          <w:rFonts w:hint="eastAsia"/>
          <w:lang w:val="en-US" w:eastAsia="zh-CN"/>
        </w:rPr>
      </w:pPr>
      <w:r>
        <w:rPr>
          <w:rFonts w:hint="eastAsia"/>
          <w:lang w:val="en-US"/>
        </w:rPr>
        <w:t>预算基础数据信息真实、完整、准确，为单位预算编制数据提供支撑，年度预算总体绩效目标和具体绩效目标制定依据充分，符合客观实际。项目预算和决算不存在较大差异，绩效指标均与本年度的部门预算资金相匹配</w:t>
      </w:r>
      <w:r>
        <w:rPr>
          <w:rFonts w:hint="eastAsia"/>
          <w:lang w:val="en-US" w:eastAsia="zh-CN"/>
        </w:rPr>
        <w:t>。所有</w:t>
      </w:r>
      <w:r>
        <w:rPr>
          <w:rFonts w:hint="eastAsia"/>
        </w:rPr>
        <w:t>资金支付均通过财政支付大平台进行，严格履行支付流程和规定，严格按年初各项资金预算的项目、功能、类别及用途支付，没有超预算规定支付资金。</w:t>
      </w:r>
      <w:r>
        <w:rPr>
          <w:rFonts w:hint="eastAsia"/>
          <w:lang w:eastAsia="zh-CN"/>
        </w:rPr>
        <w:t>单位财务</w:t>
      </w:r>
      <w:r>
        <w:rPr>
          <w:rFonts w:hint="eastAsia"/>
        </w:rPr>
        <w:t>管理制度健全、制度执行有效、资金的使用严格把关，不存在违规违法的问题，预决算信息全部按照财政要求在相应网站公开，财务信息制度完善。</w:t>
      </w:r>
    </w:p>
    <w:p w14:paraId="61950E5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仿宋_GB2312"/>
          <w:b/>
          <w:bCs/>
          <w:sz w:val="32"/>
          <w:szCs w:val="32"/>
        </w:rPr>
      </w:pPr>
      <w:r>
        <w:rPr>
          <w:rFonts w:hint="eastAsia" w:ascii="仿宋_GB2312"/>
          <w:b/>
          <w:bCs/>
          <w:sz w:val="32"/>
          <w:szCs w:val="32"/>
        </w:rPr>
        <w:t>2.产出指标完成情况分析</w:t>
      </w:r>
    </w:p>
    <w:p w14:paraId="54EAB951">
      <w:pPr>
        <w:keepNext w:val="0"/>
        <w:keepLines w:val="0"/>
        <w:pageBreakBefore w:val="0"/>
        <w:widowControl w:val="0"/>
        <w:kinsoku/>
        <w:wordWrap/>
        <w:overflowPunct/>
        <w:topLinePunct w:val="0"/>
        <w:autoSpaceDE/>
        <w:autoSpaceDN/>
        <w:bidi w:val="0"/>
        <w:spacing w:line="600" w:lineRule="exact"/>
        <w:ind w:firstLine="588" w:firstLineChars="200"/>
        <w:textAlignment w:val="auto"/>
        <w:rPr>
          <w:rFonts w:hint="eastAsia"/>
          <w:lang w:val="en-US" w:eastAsia="zh-CN"/>
        </w:rPr>
      </w:pPr>
      <w:r>
        <w:rPr>
          <w:rFonts w:hint="eastAsia" w:ascii="仿宋_GB2312" w:hAnsi="仿宋_GB2312" w:eastAsia="仿宋_GB2312" w:cs="仿宋_GB2312"/>
          <w:kern w:val="0"/>
          <w:sz w:val="32"/>
          <w:szCs w:val="32"/>
          <w:lang w:val="en-US" w:eastAsia="zh-CN" w:bidi="ar-SA"/>
        </w:rPr>
        <w:t>不断加强地震监测预警、震害预防和防震减灾公共服务能力建设，全面完成“十四五”防震减灾规划，持续推进县域防震减灾事业高质量发展。</w:t>
      </w:r>
      <w:r>
        <w:rPr>
          <w:rFonts w:hint="eastAsia" w:ascii="仿宋_GB2312" w:hAnsi="仿宋_GB2312" w:cs="仿宋_GB2312"/>
          <w:bCs/>
          <w:szCs w:val="32"/>
          <w:lang w:eastAsia="zh-CN"/>
        </w:rPr>
        <w:t>地</w:t>
      </w:r>
      <w:r>
        <w:rPr>
          <w:rFonts w:hint="eastAsia"/>
          <w:lang w:eastAsia="zh-CN"/>
        </w:rPr>
        <w:t>震监测、震害防御工作规范开展，</w:t>
      </w:r>
      <w:r>
        <w:rPr>
          <w:rFonts w:hint="eastAsia"/>
        </w:rPr>
        <w:t>完成率100%，质量达标率100%，成本节约率100%，项目实施对经济效益、社会效益良好，</w:t>
      </w:r>
      <w:r>
        <w:rPr>
          <w:rFonts w:hint="eastAsia"/>
          <w:lang w:eastAsia="zh-CN"/>
        </w:rPr>
        <w:t>地震监测台网建设和管理能力提升，公众科普宣传教育活动广泛开展，全县地震灾害预评估工作圆满完成，</w:t>
      </w:r>
      <w:r>
        <w:rPr>
          <w:rFonts w:hint="eastAsia" w:ascii="仿宋_GB2312" w:hAnsi="仿宋_GB2312" w:eastAsia="仿宋_GB2312" w:cs="仿宋_GB2312"/>
          <w:kern w:val="2"/>
          <w:sz w:val="32"/>
          <w:szCs w:val="32"/>
          <w:lang w:val="en-US" w:eastAsia="zh-CN" w:bidi="ar-SA"/>
        </w:rPr>
        <w:t>为全县经济社会高质量发展提供地震安全保障。</w:t>
      </w:r>
    </w:p>
    <w:p w14:paraId="302D6961">
      <w:pPr>
        <w:keepNext w:val="0"/>
        <w:keepLines w:val="0"/>
        <w:pageBreakBefore w:val="0"/>
        <w:widowControl w:val="0"/>
        <w:kinsoku/>
        <w:wordWrap/>
        <w:overflowPunct/>
        <w:topLinePunct w:val="0"/>
        <w:autoSpaceDE/>
        <w:autoSpaceDN/>
        <w:bidi w:val="0"/>
        <w:spacing w:line="600" w:lineRule="exact"/>
        <w:ind w:firstLine="588" w:firstLineChars="200"/>
        <w:textAlignment w:val="auto"/>
        <w:rPr>
          <w:b/>
          <w:bCs/>
        </w:rPr>
      </w:pPr>
      <w:r>
        <w:rPr>
          <w:b/>
          <w:bCs/>
        </w:rPr>
        <w:t>3</w:t>
      </w:r>
      <w:r>
        <w:rPr>
          <w:rFonts w:hint="eastAsia"/>
          <w:b/>
          <w:bCs/>
        </w:rPr>
        <w:t>.效益指标完成情况分析</w:t>
      </w:r>
    </w:p>
    <w:p w14:paraId="6EE33055">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88" w:firstLineChars="200"/>
        <w:jc w:val="left"/>
        <w:textAlignment w:val="auto"/>
        <w:rPr>
          <w:rFonts w:hint="eastAsia" w:ascii="仿宋_GB2312" w:hAnsi="仿宋_GB2312" w:eastAsia="仿宋_GB2312" w:cs="仿宋_GB2312"/>
          <w:b/>
          <w:bCs/>
          <w:spacing w:val="0"/>
          <w:kern w:val="0"/>
          <w:sz w:val="32"/>
          <w:szCs w:val="32"/>
          <w:lang w:val="en-US" w:eastAsia="zh-CN" w:bidi="ar"/>
        </w:rPr>
      </w:pPr>
      <w:r>
        <w:rPr>
          <w:rFonts w:hint="eastAsia" w:ascii="仿宋_GB2312" w:hAnsi="仿宋_GB2312" w:eastAsia="仿宋_GB2312" w:cs="仿宋_GB2312"/>
          <w:kern w:val="0"/>
          <w:sz w:val="32"/>
          <w:szCs w:val="32"/>
          <w:lang w:val="en-US" w:eastAsia="zh-CN" w:bidi="ar-SA"/>
        </w:rPr>
        <w:t>认真学习贯彻总体国家安全观，全面落实安全生产责任制，不断优化震情跟踪研判举措，制定并实施《2025年度临泽县震情监视跟踪和应对准备工作方案》，坚持震情周月会商制度，密切关注全县及周边地区震情发展态势，严密监视祁连山地震带震情动态，做好资料收集、分析、上报，扎实细致开展全国两会</w:t>
      </w:r>
      <w:bookmarkStart w:id="0" w:name="_GoBack"/>
      <w:bookmarkEnd w:id="0"/>
      <w:r>
        <w:rPr>
          <w:rFonts w:hint="eastAsia" w:ascii="仿宋_GB2312" w:hAnsi="仿宋_GB2312" w:eastAsia="仿宋_GB2312" w:cs="仿宋_GB2312"/>
          <w:kern w:val="0"/>
          <w:sz w:val="32"/>
          <w:szCs w:val="32"/>
          <w:lang w:val="en-US" w:eastAsia="zh-CN" w:bidi="ar-SA"/>
        </w:rPr>
        <w:t>、春节、国庆等重大活动和重要时段地震安全保障工作</w:t>
      </w:r>
      <w:r>
        <w:rPr>
          <w:rFonts w:hint="eastAsia" w:ascii="仿宋_GB2312" w:hAnsi="仿宋_GB2312" w:cs="仿宋_GB2312"/>
          <w:kern w:val="0"/>
          <w:sz w:val="32"/>
          <w:szCs w:val="32"/>
          <w:lang w:val="en-US" w:eastAsia="zh-CN" w:bidi="ar-SA"/>
        </w:rPr>
        <w:t>，</w:t>
      </w:r>
      <w:r>
        <w:rPr>
          <w:rFonts w:hint="eastAsia"/>
          <w:lang w:eastAsia="zh-CN"/>
        </w:rPr>
        <w:t>公众满意度持续提升。</w:t>
      </w:r>
      <w:r>
        <w:rPr>
          <w:rFonts w:hint="eastAsia" w:ascii="仿宋_GB2312" w:hAnsi="仿宋_GB2312" w:eastAsia="仿宋_GB2312" w:cs="仿宋_GB2312"/>
          <w:kern w:val="2"/>
          <w:sz w:val="32"/>
          <w:szCs w:val="32"/>
          <w:lang w:val="en-US" w:eastAsia="zh-CN" w:bidi="ar-SA"/>
        </w:rPr>
        <w:t>利用“5·12防灾减灾日”等重要节点，组织各镇、学校、商超、影院等关键领域开展应急疏散演练220余场次，干部群众震情预防意识和自救互救能力明显增强。扎实开展防震减灾科普“七进”活动，压茬开展“每月一社区”和“科普大赶集”等宣教活动，借助全国防灾减灾日、防灾减灾周、重大地震事件纪念日等时段，联合县委宣传部、教育局等部门和各镇，组织主题鲜明的科普宣传活动，通过悬挂横幅、摆放展板、发放资料、</w:t>
      </w:r>
      <w:r>
        <w:rPr>
          <w:rFonts w:hint="eastAsia" w:ascii="仿宋_GB2312" w:eastAsia="仿宋_GB2312"/>
          <w:sz w:val="32"/>
          <w:szCs w:val="32"/>
          <w:lang w:val="en-US" w:eastAsia="zh-CN"/>
        </w:rPr>
        <w:t>开展各类宣传活动100余场次，发放宣传资料</w:t>
      </w:r>
      <w:r>
        <w:rPr>
          <w:rFonts w:hint="eastAsia" w:ascii="仿宋_GB2312" w:hAnsi="Times New Roman" w:eastAsia="仿宋_GB2312"/>
          <w:sz w:val="32"/>
          <w:szCs w:val="32"/>
        </w:rPr>
        <w:t>10000余本（册）</w:t>
      </w:r>
      <w:r>
        <w:rPr>
          <w:rFonts w:hint="eastAsia" w:ascii="仿宋_GB2312" w:hAnsi="Times New Roman" w:eastAsia="仿宋_GB2312"/>
          <w:sz w:val="32"/>
          <w:szCs w:val="32"/>
          <w:lang w:eastAsia="zh-CN"/>
        </w:rPr>
        <w:t>，主动深入机关、社区、军营、镇村，</w:t>
      </w:r>
      <w:r>
        <w:rPr>
          <w:rFonts w:hint="eastAsia" w:ascii="仿宋_GB2312" w:hAnsi="Times New Roman" w:eastAsia="仿宋_GB2312"/>
          <w:sz w:val="32"/>
          <w:szCs w:val="32"/>
          <w:lang w:val="en-US" w:eastAsia="zh-CN"/>
        </w:rPr>
        <w:t>积极推广安装“甘肃地震台”预警小程序，累计微信安装关注9519人，关注占比8.53%，</w:t>
      </w:r>
      <w:r>
        <w:rPr>
          <w:rFonts w:hint="eastAsia" w:ascii="仿宋_GB2312" w:hAnsi="Times New Roman" w:eastAsia="仿宋_GB2312"/>
          <w:sz w:val="32"/>
          <w:szCs w:val="32"/>
          <w:lang w:eastAsia="zh-CN"/>
        </w:rPr>
        <w:t>全民防震减灾意识明显增强。</w:t>
      </w:r>
    </w:p>
    <w:p w14:paraId="62069E4E">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88" w:firstLineChars="200"/>
        <w:jc w:val="left"/>
        <w:textAlignment w:val="auto"/>
        <w:rPr>
          <w:rFonts w:ascii="黑体" w:hAnsi="黑体" w:eastAsia="黑体" w:cs="黑体"/>
          <w:bCs/>
          <w:szCs w:val="32"/>
        </w:rPr>
      </w:pPr>
      <w:r>
        <w:rPr>
          <w:rFonts w:hint="eastAsia" w:ascii="黑体" w:hAnsi="黑体" w:eastAsia="黑体" w:cs="黑体"/>
          <w:bCs/>
          <w:szCs w:val="32"/>
        </w:rPr>
        <w:t>五、发现的主要问题和改进措施</w:t>
      </w:r>
    </w:p>
    <w:p w14:paraId="02039E62">
      <w:pPr>
        <w:keepNext w:val="0"/>
        <w:keepLines w:val="0"/>
        <w:pageBreakBefore w:val="0"/>
        <w:widowControl w:val="0"/>
        <w:kinsoku/>
        <w:wordWrap/>
        <w:overflowPunct/>
        <w:topLinePunct w:val="0"/>
        <w:autoSpaceDE/>
        <w:autoSpaceDN/>
        <w:bidi w:val="0"/>
        <w:spacing w:line="600" w:lineRule="exact"/>
        <w:ind w:firstLine="640"/>
        <w:textAlignment w:val="auto"/>
        <w:rPr>
          <w:rFonts w:hint="eastAsia" w:ascii="仿宋_GB2312" w:hAnsi="仿宋_GB2312" w:cs="仿宋_GB2312"/>
          <w:bCs/>
          <w:sz w:val="32"/>
          <w:szCs w:val="32"/>
        </w:rPr>
      </w:pPr>
      <w:r>
        <w:rPr>
          <w:rFonts w:hint="eastAsia"/>
          <w:sz w:val="32"/>
          <w:szCs w:val="32"/>
          <w:lang w:eastAsia="zh-CN"/>
        </w:rPr>
        <w:t>本单位工作量大面广，人员缺编严重，财务人员专业水平</w:t>
      </w:r>
      <w:r>
        <w:rPr>
          <w:rFonts w:hint="eastAsia"/>
          <w:sz w:val="32"/>
          <w:szCs w:val="32"/>
        </w:rPr>
        <w:t>相对薄弱</w:t>
      </w:r>
      <w:r>
        <w:rPr>
          <w:rFonts w:hint="eastAsia"/>
          <w:sz w:val="32"/>
          <w:szCs w:val="32"/>
          <w:lang w:eastAsia="zh-CN"/>
        </w:rPr>
        <w:t>，处理财务工作的业务能务需进一步提升。下一步我们将从以下方面加强和改进工作：一是进一步</w:t>
      </w:r>
      <w:r>
        <w:rPr>
          <w:rFonts w:hint="eastAsia"/>
          <w:sz w:val="32"/>
          <w:szCs w:val="32"/>
        </w:rPr>
        <w:t>提高</w:t>
      </w:r>
      <w:r>
        <w:rPr>
          <w:rFonts w:hint="eastAsia"/>
          <w:sz w:val="32"/>
          <w:szCs w:val="32"/>
          <w:lang w:eastAsia="zh-CN"/>
        </w:rPr>
        <w:t>财务</w:t>
      </w:r>
      <w:r>
        <w:rPr>
          <w:rFonts w:hint="eastAsia"/>
          <w:sz w:val="32"/>
          <w:szCs w:val="32"/>
        </w:rPr>
        <w:t>人员的专业素养和综合能力</w:t>
      </w:r>
      <w:r>
        <w:rPr>
          <w:rFonts w:hint="eastAsia"/>
          <w:sz w:val="32"/>
          <w:szCs w:val="32"/>
          <w:lang w:eastAsia="zh-CN"/>
        </w:rPr>
        <w:t>；二是</w:t>
      </w:r>
      <w:r>
        <w:rPr>
          <w:rFonts w:hint="eastAsia"/>
          <w:sz w:val="32"/>
          <w:szCs w:val="32"/>
        </w:rPr>
        <w:t>加强财务部门之间的沟通与协作，确保预算编制和执行过程中的信息畅通</w:t>
      </w:r>
      <w:r>
        <w:rPr>
          <w:rFonts w:hint="eastAsia"/>
          <w:sz w:val="32"/>
          <w:szCs w:val="32"/>
          <w:lang w:eastAsia="zh-CN"/>
        </w:rPr>
        <w:t>，充分</w:t>
      </w:r>
      <w:r>
        <w:rPr>
          <w:rFonts w:hint="eastAsia"/>
          <w:sz w:val="32"/>
          <w:szCs w:val="32"/>
        </w:rPr>
        <w:t>利用信息化手段提高预算管理的效率和透明度</w:t>
      </w:r>
      <w:r>
        <w:rPr>
          <w:rFonts w:hint="eastAsia"/>
          <w:sz w:val="32"/>
          <w:szCs w:val="32"/>
          <w:lang w:eastAsia="zh-CN"/>
        </w:rPr>
        <w:t>；三是</w:t>
      </w:r>
      <w:r>
        <w:rPr>
          <w:rFonts w:hint="eastAsia" w:ascii="仿宋_GB2312" w:hAnsi="仿宋_GB2312" w:cs="仿宋_GB2312"/>
          <w:bCs/>
          <w:sz w:val="32"/>
          <w:szCs w:val="32"/>
        </w:rPr>
        <w:t>强化预算执行管理力度</w:t>
      </w:r>
      <w:r>
        <w:rPr>
          <w:rFonts w:hint="eastAsia" w:ascii="仿宋_GB2312" w:hAnsi="仿宋_GB2312" w:cs="仿宋_GB2312"/>
          <w:bCs/>
          <w:sz w:val="32"/>
          <w:szCs w:val="32"/>
          <w:lang w:eastAsia="zh-CN"/>
        </w:rPr>
        <w:t>，</w:t>
      </w:r>
      <w:r>
        <w:rPr>
          <w:rFonts w:hint="eastAsia" w:ascii="仿宋_GB2312" w:hAnsi="仿宋_GB2312" w:cs="仿宋_GB2312"/>
          <w:bCs/>
          <w:sz w:val="32"/>
          <w:szCs w:val="32"/>
        </w:rPr>
        <w:t>在科学编制年度部门预算的基础上，严格执行相关支出预算，</w:t>
      </w:r>
      <w:r>
        <w:rPr>
          <w:rFonts w:hint="eastAsia" w:ascii="仿宋_GB2312" w:hAnsi="仿宋_GB2312" w:cs="仿宋_GB2312"/>
          <w:bCs/>
          <w:sz w:val="32"/>
          <w:szCs w:val="32"/>
          <w:lang w:eastAsia="zh-CN"/>
        </w:rPr>
        <w:t>切实提高</w:t>
      </w:r>
      <w:r>
        <w:rPr>
          <w:rFonts w:hint="eastAsia" w:ascii="仿宋_GB2312" w:hAnsi="仿宋_GB2312" w:cs="仿宋_GB2312"/>
          <w:bCs/>
          <w:sz w:val="32"/>
          <w:szCs w:val="32"/>
        </w:rPr>
        <w:t>本年度支出预算的执行率。</w:t>
      </w:r>
    </w:p>
    <w:p w14:paraId="1455581B">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六、部门整体绩效自评结果拟应用和公开情况</w:t>
      </w:r>
    </w:p>
    <w:p w14:paraId="6583BB56">
      <w:pPr>
        <w:pStyle w:val="4"/>
        <w:keepNext w:val="0"/>
        <w:keepLines w:val="0"/>
        <w:pageBreakBefore w:val="0"/>
        <w:widowControl w:val="0"/>
        <w:kinsoku/>
        <w:wordWrap/>
        <w:overflowPunct/>
        <w:topLinePunct w:val="0"/>
        <w:autoSpaceDE/>
        <w:autoSpaceDN/>
        <w:bidi w:val="0"/>
        <w:spacing w:line="600" w:lineRule="exact"/>
        <w:textAlignment w:val="auto"/>
        <w:rPr>
          <w:rFonts w:hint="eastAsia" w:eastAsia="仿宋_GB2312"/>
          <w:lang w:eastAsia="zh-CN"/>
        </w:rPr>
      </w:pPr>
      <w:r>
        <w:rPr>
          <w:rFonts w:hint="eastAsia"/>
          <w:lang w:eastAsia="zh-CN"/>
        </w:rPr>
        <w:t>本单位将严格按照部门整体绩效自评结果应用和公开的要求，加强自评结果应用，及时公开公示，并在今后的工作中进一步加强财务管理，提高资金使用效率，努力</w:t>
      </w:r>
      <w:r>
        <w:rPr>
          <w:rFonts w:hint="eastAsia" w:ascii="仿宋_GB2312" w:hAnsi="仿宋_GB2312" w:eastAsia="仿宋_GB2312" w:cs="仿宋_GB2312"/>
          <w:kern w:val="2"/>
          <w:sz w:val="32"/>
          <w:szCs w:val="32"/>
          <w:lang w:val="en-US" w:eastAsia="zh-CN" w:bidi="ar-SA"/>
        </w:rPr>
        <w:t>为全县经济社会高质量发展提供地震安全保障。</w:t>
      </w:r>
    </w:p>
    <w:p w14:paraId="592FE505">
      <w:pPr>
        <w:pStyle w:val="4"/>
        <w:keepNext w:val="0"/>
        <w:keepLines w:val="0"/>
        <w:pageBreakBefore w:val="0"/>
        <w:widowControl w:val="0"/>
        <w:kinsoku/>
        <w:wordWrap/>
        <w:overflowPunct/>
        <w:topLinePunct w:val="0"/>
        <w:autoSpaceDE/>
        <w:autoSpaceDN/>
        <w:bidi w:val="0"/>
        <w:spacing w:line="600" w:lineRule="exact"/>
        <w:textAlignment w:val="auto"/>
        <w:rPr>
          <w:rFonts w:hint="eastAsia"/>
          <w:sz w:val="32"/>
          <w:szCs w:val="32"/>
          <w:lang w:eastAsia="zh-CN"/>
        </w:rPr>
      </w:pPr>
    </w:p>
    <w:p w14:paraId="462E9701">
      <w:pPr>
        <w:pStyle w:val="4"/>
        <w:keepNext w:val="0"/>
        <w:keepLines w:val="0"/>
        <w:pageBreakBefore w:val="0"/>
        <w:widowControl w:val="0"/>
        <w:kinsoku/>
        <w:wordWrap/>
        <w:overflowPunct/>
        <w:topLinePunct w:val="0"/>
        <w:autoSpaceDE/>
        <w:autoSpaceDN/>
        <w:bidi w:val="0"/>
        <w:spacing w:line="600" w:lineRule="exact"/>
        <w:textAlignment w:val="auto"/>
        <w:rPr>
          <w:rFonts w:hint="eastAsia"/>
          <w:sz w:val="32"/>
          <w:szCs w:val="32"/>
          <w:lang w:eastAsia="zh-CN"/>
        </w:rPr>
      </w:pPr>
      <w:r>
        <w:rPr>
          <w:rFonts w:hint="eastAsia"/>
          <w:sz w:val="32"/>
          <w:szCs w:val="32"/>
          <w:lang w:eastAsia="zh-CN"/>
        </w:rPr>
        <w:t>附件：部门整体支出自评表</w:t>
      </w:r>
    </w:p>
    <w:p w14:paraId="42D46707">
      <w:pPr>
        <w:pStyle w:val="4"/>
        <w:bidi w:val="0"/>
        <w:rPr>
          <w:rFonts w:hint="eastAsia"/>
          <w:sz w:val="32"/>
          <w:szCs w:val="32"/>
          <w:lang w:eastAsia="zh-CN"/>
        </w:rPr>
      </w:pPr>
    </w:p>
    <w:p w14:paraId="7C9E5C61">
      <w:pPr>
        <w:pStyle w:val="4"/>
        <w:bidi w:val="0"/>
        <w:rPr>
          <w:rFonts w:hint="eastAsia"/>
          <w:sz w:val="32"/>
          <w:szCs w:val="32"/>
          <w:lang w:eastAsia="zh-CN"/>
        </w:rPr>
      </w:pPr>
    </w:p>
    <w:p w14:paraId="7711943F">
      <w:pPr>
        <w:pStyle w:val="4"/>
        <w:bidi w:val="0"/>
        <w:rPr>
          <w:rFonts w:hint="eastAsia"/>
          <w:sz w:val="32"/>
          <w:szCs w:val="32"/>
          <w:lang w:eastAsia="zh-CN"/>
        </w:rPr>
      </w:pPr>
    </w:p>
    <w:p w14:paraId="0E5F2E32">
      <w:pPr>
        <w:pStyle w:val="4"/>
        <w:bidi w:val="0"/>
        <w:rPr>
          <w:rFonts w:hint="eastAsia"/>
          <w:sz w:val="32"/>
          <w:szCs w:val="32"/>
          <w:lang w:eastAsia="zh-CN"/>
        </w:rPr>
      </w:pPr>
    </w:p>
    <w:p w14:paraId="6719BD32">
      <w:pPr>
        <w:pStyle w:val="4"/>
        <w:bidi w:val="0"/>
        <w:ind w:firstLine="4998" w:firstLineChars="1700"/>
        <w:rPr>
          <w:rFonts w:hint="eastAsia"/>
          <w:sz w:val="32"/>
          <w:szCs w:val="32"/>
          <w:lang w:eastAsia="zh-CN"/>
        </w:rPr>
      </w:pPr>
      <w:r>
        <w:rPr>
          <w:rFonts w:hint="eastAsia"/>
          <w:sz w:val="32"/>
          <w:szCs w:val="32"/>
          <w:lang w:eastAsia="zh-CN"/>
        </w:rPr>
        <w:t>临泽县地震局</w:t>
      </w:r>
    </w:p>
    <w:p w14:paraId="63DB382F">
      <w:pPr>
        <w:pStyle w:val="4"/>
        <w:bidi w:val="0"/>
        <w:ind w:firstLine="4704" w:firstLineChars="1600"/>
        <w:rPr>
          <w:rFonts w:hint="eastAsia"/>
          <w:lang w:val="en-US" w:eastAsia="zh-CN"/>
        </w:rPr>
      </w:pPr>
      <w:r>
        <w:rPr>
          <w:rFonts w:hint="eastAsia"/>
          <w:lang w:val="en-US" w:eastAsia="zh-CN"/>
        </w:rPr>
        <w:t>2026年3月16日</w:t>
      </w:r>
      <w:r>
        <w:rPr>
          <w:rFonts w:hint="eastAsia"/>
          <w:lang w:val="en-US" w:eastAsia="zh-CN"/>
        </w:rPr>
        <w:br w:type="textWrapping"/>
      </w:r>
    </w:p>
    <w:p w14:paraId="5BA6E9FF">
      <w:pPr>
        <w:pStyle w:val="4"/>
        <w:bidi w:val="0"/>
        <w:ind w:firstLine="5292" w:firstLineChars="1800"/>
        <w:rPr>
          <w:rFonts w:hint="default"/>
          <w:lang w:val="en-US" w:eastAsia="zh-CN"/>
        </w:rPr>
      </w:pPr>
    </w:p>
    <w:sectPr>
      <w:footerReference r:id="rId3" w:type="default"/>
      <w:pgSz w:w="11906" w:h="16838"/>
      <w:pgMar w:top="1440" w:right="1797" w:bottom="1440" w:left="1797" w:header="851" w:footer="992" w:gutter="0"/>
      <w:pgNumType w:fmt="numberInDash" w:start="2"/>
      <w:cols w:space="720" w:num="1"/>
      <w:docGrid w:type="linesAndChars" w:linePitch="606" w:charSpace="-53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25BCB">
    <w:pPr>
      <w:pStyle w:val="7"/>
    </w:pPr>
    <w:r>
      <w:rPr>
        <w:sz w:val="18"/>
      </w:rPr>
      <w:pict>
        <v:shape id="_x0000_s3075" o:spid="_x0000_s3075"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C601BD5">
                <w:pPr>
                  <w:pStyle w:val="7"/>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w:r>
    <w:r>
      <w:rPr>
        <w:sz w:val="18"/>
      </w:rPr>
      <w:pict>
        <v:shape id="_x0000_s3076" o:spid="_x0000_s3076"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B945077">
                <w:pPr>
                  <w:pStyle w:val="7"/>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FEE702"/>
    <w:multiLevelType w:val="singleLevel"/>
    <w:tmpl w:val="F7FEE70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50"/>
  <w:drawingGridVerticalSpacing w:val="581"/>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zk5NjVhZmIyZTk2OGE2YWNjNWUyNTFjNzkwMzYxYTIifQ=="/>
  </w:docVars>
  <w:rsids>
    <w:rsidRoot w:val="00C945F1"/>
    <w:rsid w:val="000066F3"/>
    <w:rsid w:val="00007D3D"/>
    <w:rsid w:val="00014178"/>
    <w:rsid w:val="00023C41"/>
    <w:rsid w:val="00025AB1"/>
    <w:rsid w:val="00080926"/>
    <w:rsid w:val="000A50B1"/>
    <w:rsid w:val="000C561F"/>
    <w:rsid w:val="00107096"/>
    <w:rsid w:val="00174027"/>
    <w:rsid w:val="001D0FE8"/>
    <w:rsid w:val="00231F71"/>
    <w:rsid w:val="002329CA"/>
    <w:rsid w:val="002A1601"/>
    <w:rsid w:val="002B25B1"/>
    <w:rsid w:val="0035434B"/>
    <w:rsid w:val="00405AE2"/>
    <w:rsid w:val="00405C47"/>
    <w:rsid w:val="004E61B2"/>
    <w:rsid w:val="004E7817"/>
    <w:rsid w:val="005520A5"/>
    <w:rsid w:val="00595B97"/>
    <w:rsid w:val="005A1A96"/>
    <w:rsid w:val="005B6326"/>
    <w:rsid w:val="005D1DFC"/>
    <w:rsid w:val="005E263C"/>
    <w:rsid w:val="006E016F"/>
    <w:rsid w:val="00735765"/>
    <w:rsid w:val="0084038F"/>
    <w:rsid w:val="0086127D"/>
    <w:rsid w:val="008762B9"/>
    <w:rsid w:val="008F39C6"/>
    <w:rsid w:val="00994F70"/>
    <w:rsid w:val="00AA3097"/>
    <w:rsid w:val="00B06CC7"/>
    <w:rsid w:val="00B12614"/>
    <w:rsid w:val="00B40D97"/>
    <w:rsid w:val="00C47558"/>
    <w:rsid w:val="00C524E0"/>
    <w:rsid w:val="00C86B00"/>
    <w:rsid w:val="00C945F1"/>
    <w:rsid w:val="00CD4B0E"/>
    <w:rsid w:val="00CD50D7"/>
    <w:rsid w:val="00D6561F"/>
    <w:rsid w:val="00D80BA2"/>
    <w:rsid w:val="00E06D11"/>
    <w:rsid w:val="00E2502F"/>
    <w:rsid w:val="00EE67E7"/>
    <w:rsid w:val="00F22FE2"/>
    <w:rsid w:val="00F4795B"/>
    <w:rsid w:val="00FB255E"/>
    <w:rsid w:val="00FC3ED4"/>
    <w:rsid w:val="00FE1050"/>
    <w:rsid w:val="00FF1168"/>
    <w:rsid w:val="03575C81"/>
    <w:rsid w:val="06C4362D"/>
    <w:rsid w:val="0748600C"/>
    <w:rsid w:val="0B1F7084"/>
    <w:rsid w:val="0FCF6803"/>
    <w:rsid w:val="21797454"/>
    <w:rsid w:val="249D1405"/>
    <w:rsid w:val="2C1520B2"/>
    <w:rsid w:val="2EEE0998"/>
    <w:rsid w:val="34144A94"/>
    <w:rsid w:val="39656E36"/>
    <w:rsid w:val="3A7C292F"/>
    <w:rsid w:val="47521101"/>
    <w:rsid w:val="4CF46E26"/>
    <w:rsid w:val="53F768DD"/>
    <w:rsid w:val="56E86456"/>
    <w:rsid w:val="5A194F4E"/>
    <w:rsid w:val="5E7D4589"/>
    <w:rsid w:val="61DD104F"/>
    <w:rsid w:val="63BF7C32"/>
    <w:rsid w:val="68DC3034"/>
    <w:rsid w:val="69A41E76"/>
    <w:rsid w:val="6DDB1EA4"/>
    <w:rsid w:val="70853FB1"/>
    <w:rsid w:val="70B84386"/>
    <w:rsid w:val="71170489"/>
    <w:rsid w:val="71614A1E"/>
    <w:rsid w:val="77C877A1"/>
    <w:rsid w:val="7A4A2C67"/>
    <w:rsid w:val="7BE95D3C"/>
    <w:rsid w:val="EFB60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1">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index 6"/>
    <w:basedOn w:val="1"/>
    <w:next w:val="1"/>
    <w:qFormat/>
    <w:uiPriority w:val="0"/>
    <w:pPr>
      <w:spacing w:line="540" w:lineRule="exact"/>
      <w:ind w:firstLine="640" w:firstLineChars="200"/>
    </w:pPr>
    <w:rPr>
      <w:rFonts w:ascii="仿宋_GB2312" w:hAnsi="仿宋_GB2312" w:eastAsia="仿宋_GB2312" w:cs="仿宋_GB2312"/>
      <w:sz w:val="32"/>
      <w:szCs w:val="32"/>
    </w:rPr>
  </w:style>
  <w:style w:type="paragraph" w:styleId="3">
    <w:name w:val="Body Text"/>
    <w:basedOn w:val="1"/>
    <w:qFormat/>
    <w:uiPriority w:val="0"/>
    <w:pPr>
      <w:spacing w:after="120"/>
    </w:pPr>
  </w:style>
  <w:style w:type="paragraph" w:styleId="4">
    <w:name w:val="Body Text Indent"/>
    <w:basedOn w:val="1"/>
    <w:qFormat/>
    <w:uiPriority w:val="0"/>
    <w:pPr>
      <w:adjustRightInd w:val="0"/>
      <w:snapToGrid w:val="0"/>
      <w:spacing w:line="560" w:lineRule="atLeast"/>
      <w:ind w:firstLine="640" w:firstLineChars="200"/>
    </w:pPr>
    <w:rPr>
      <w:kern w:val="0"/>
      <w:szCs w:val="28"/>
    </w:rPr>
  </w:style>
  <w:style w:type="paragraph" w:styleId="5">
    <w:name w:val="Body Text Indent 2"/>
    <w:basedOn w:val="1"/>
    <w:next w:val="3"/>
    <w:unhideWhenUsed/>
    <w:qFormat/>
    <w:uiPriority w:val="99"/>
    <w:pPr>
      <w:spacing w:after="120" w:afterLines="0" w:line="480" w:lineRule="auto"/>
      <w:ind w:left="420" w:leftChars="200"/>
    </w:pPr>
  </w:style>
  <w:style w:type="paragraph" w:styleId="6">
    <w:name w:val="Balloon Text"/>
    <w:basedOn w:val="1"/>
    <w:link w:val="14"/>
    <w:semiHidden/>
    <w:unhideWhenUsed/>
    <w:qFormat/>
    <w:uiPriority w:val="99"/>
    <w:rPr>
      <w:sz w:val="18"/>
      <w:szCs w:val="18"/>
    </w:rPr>
  </w:style>
  <w:style w:type="paragraph" w:styleId="7">
    <w:name w:val="footer"/>
    <w:basedOn w:val="1"/>
    <w:semiHidden/>
    <w:qFormat/>
    <w:uiPriority w:val="0"/>
    <w:pPr>
      <w:tabs>
        <w:tab w:val="center" w:pos="4153"/>
        <w:tab w:val="right" w:pos="8306"/>
      </w:tabs>
      <w:snapToGrid w:val="0"/>
      <w:jc w:val="left"/>
    </w:pPr>
    <w:rPr>
      <w:rFonts w:eastAsia="宋体"/>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4"/>
    <w:qFormat/>
    <w:uiPriority w:val="0"/>
    <w:pPr>
      <w:spacing w:after="0"/>
      <w:ind w:firstLine="420" w:firstLineChars="200"/>
    </w:pPr>
    <w:rPr>
      <w:rFonts w:ascii="Calibri" w:hAnsi="Calibri" w:cs="Times New Roman"/>
    </w:rPr>
  </w:style>
  <w:style w:type="character" w:styleId="12">
    <w:name w:val="page number"/>
    <w:basedOn w:val="11"/>
    <w:semiHidden/>
    <w:qFormat/>
    <w:uiPriority w:val="0"/>
  </w:style>
  <w:style w:type="character" w:customStyle="1" w:styleId="13">
    <w:name w:val="页眉 字符"/>
    <w:link w:val="8"/>
    <w:semiHidden/>
    <w:qFormat/>
    <w:uiPriority w:val="99"/>
    <w:rPr>
      <w:rFonts w:eastAsia="仿宋_GB2312"/>
      <w:kern w:val="2"/>
      <w:sz w:val="18"/>
      <w:szCs w:val="18"/>
    </w:rPr>
  </w:style>
  <w:style w:type="character" w:customStyle="1" w:styleId="14">
    <w:name w:val="批注框文本 字符"/>
    <w:link w:val="6"/>
    <w:semiHidden/>
    <w:qFormat/>
    <w:uiPriority w:val="99"/>
    <w:rPr>
      <w:rFonts w:eastAsia="仿宋_GB2312"/>
      <w:kern w:val="2"/>
      <w:sz w:val="18"/>
      <w:szCs w:val="18"/>
    </w:rPr>
  </w:style>
  <w:style w:type="paragraph" w:customStyle="1" w:styleId="15">
    <w:name w:val="闻政正文"/>
    <w:basedOn w:val="1"/>
    <w:qFormat/>
    <w:uiPriority w:val="0"/>
    <w:pPr>
      <w:ind w:firstLine="560"/>
    </w:pPr>
    <w:rPr>
      <w:kern w:val="0"/>
      <w:szCs w:val="28"/>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3075" textRotate="1"/>
    <customShpInfo spid="_x0000_s307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2184</Words>
  <Characters>2295</Characters>
  <Lines>3</Lines>
  <Paragraphs>1</Paragraphs>
  <TotalTime>12</TotalTime>
  <ScaleCrop>false</ScaleCrop>
  <LinksUpToDate>false</LinksUpToDate>
  <CharactersWithSpaces>2295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2011-02-27T13:26:00Z</dcterms:created>
  <dc:creator>lhn</dc:creator>
  <cp:lastModifiedBy>孟彦增</cp:lastModifiedBy>
  <cp:lastPrinted>2026-03-17T16:18:00Z</cp:lastPrinted>
  <dcterms:modified xsi:type="dcterms:W3CDTF">2026-09-24T02:41:43Z</dcterms:modified>
  <dc:title>附件3：          </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4890A6B4A5E949539B4C0A03E9F4E5DF_12</vt:lpwstr>
  </property>
  <property fmtid="{D5CDD505-2E9C-101B-9397-08002B2CF9AE}" pid="4" name="KSOTemplateDocerSaveRecord">
    <vt:lpwstr>eyJoZGlkIjoiM2JkMWUzNmZhMTRkOWVlNDkzNjFiY2ViZTJkZDUwODEiLCJ1c2VySWQiOiI5MTQwMzQ2OTYifQ==</vt:lpwstr>
  </property>
</Properties>
</file>