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DE06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Arial" w:eastAsia="方正小标宋简体" w:cs="Arial"/>
          <w:sz w:val="40"/>
          <w:szCs w:val="40"/>
        </w:rPr>
      </w:pPr>
      <w:r>
        <w:rPr>
          <w:rFonts w:hint="eastAsia" w:ascii="方正小标宋简体" w:hAnsi="Arial" w:eastAsia="方正小标宋简体" w:cs="Arial"/>
          <w:sz w:val="40"/>
          <w:szCs w:val="40"/>
        </w:rPr>
        <w:t>部门整体</w:t>
      </w:r>
      <w:r>
        <w:rPr>
          <w:rFonts w:hint="eastAsia" w:ascii="方正小标宋简体" w:hAnsi="Arial" w:eastAsia="方正小标宋简体" w:cs="Arial"/>
          <w:sz w:val="40"/>
          <w:szCs w:val="40"/>
          <w:lang w:eastAsia="zh-CN"/>
        </w:rPr>
        <w:t>支出绩</w:t>
      </w:r>
      <w:bookmarkStart w:id="0" w:name="_GoBack"/>
      <w:bookmarkEnd w:id="0"/>
      <w:r>
        <w:rPr>
          <w:rFonts w:hint="eastAsia" w:ascii="方正小标宋简体" w:hAnsi="Arial" w:eastAsia="方正小标宋简体" w:cs="Arial"/>
          <w:sz w:val="40"/>
          <w:szCs w:val="40"/>
          <w:lang w:eastAsia="zh-CN"/>
        </w:rPr>
        <w:t>效</w:t>
      </w:r>
      <w:r>
        <w:rPr>
          <w:rFonts w:hint="eastAsia" w:ascii="方正小标宋简体" w:hAnsi="Arial" w:eastAsia="方正小标宋简体" w:cs="Arial"/>
          <w:sz w:val="40"/>
          <w:szCs w:val="40"/>
        </w:rPr>
        <w:t>自评报告</w:t>
      </w:r>
    </w:p>
    <w:p w14:paraId="32FD8E0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仿宋_GB2312"/>
          <w:b/>
          <w:bCs/>
          <w:color w:val="000000"/>
        </w:rPr>
      </w:pPr>
      <w:r>
        <w:rPr>
          <w:rFonts w:hint="eastAsia" w:ascii="仿宋_GB2312"/>
          <w:color w:val="000000"/>
          <w:sz w:val="32"/>
        </w:rPr>
        <w:t>（</w:t>
      </w:r>
      <w:r>
        <w:rPr>
          <w:rFonts w:hint="eastAsia" w:ascii="仿宋_GB2312"/>
          <w:color w:val="000000"/>
          <w:sz w:val="32"/>
          <w:lang w:val="en-US" w:eastAsia="zh-CN"/>
        </w:rPr>
        <w:t>2025年度</w:t>
      </w:r>
      <w:r>
        <w:rPr>
          <w:rFonts w:hint="eastAsia" w:ascii="仿宋_GB2312"/>
          <w:color w:val="000000"/>
          <w:sz w:val="32"/>
        </w:rPr>
        <w:t>）</w:t>
      </w:r>
    </w:p>
    <w:p w14:paraId="69D8F432">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黑体" w:hAnsi="黑体" w:eastAsia="黑体" w:cs="黑体"/>
          <w:bCs/>
          <w:sz w:val="32"/>
          <w:szCs w:val="32"/>
        </w:rPr>
      </w:pPr>
      <w:r>
        <w:rPr>
          <w:rFonts w:hint="eastAsia" w:ascii="黑体" w:hAnsi="黑体" w:eastAsia="黑体" w:cs="黑体"/>
          <w:bCs/>
          <w:sz w:val="32"/>
          <w:szCs w:val="32"/>
        </w:rPr>
        <w:t>一、基本情况</w:t>
      </w:r>
    </w:p>
    <w:p w14:paraId="43C2D8C8">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outlineLvl w:val="0"/>
        <w:rPr>
          <w:rFonts w:hint="eastAsia" w:ascii="仿宋_GB2312" w:eastAsia="仿宋_GB2312"/>
          <w:b/>
          <w:bCs/>
          <w:color w:val="000000"/>
          <w:sz w:val="32"/>
          <w:szCs w:val="32"/>
          <w:lang w:eastAsia="zh-CN"/>
        </w:rPr>
      </w:pPr>
      <w:r>
        <w:rPr>
          <w:rFonts w:hint="eastAsia" w:ascii="仿宋_GB2312"/>
          <w:b/>
          <w:bCs/>
          <w:color w:val="000000"/>
          <w:sz w:val="32"/>
          <w:szCs w:val="32"/>
        </w:rPr>
        <w:t>（一）</w:t>
      </w:r>
      <w:r>
        <w:rPr>
          <w:rFonts w:ascii="仿宋_GB2312"/>
          <w:b/>
          <w:bCs/>
          <w:color w:val="000000"/>
          <w:sz w:val="32"/>
          <w:szCs w:val="32"/>
        </w:rPr>
        <w:t>年度</w:t>
      </w:r>
      <w:r>
        <w:rPr>
          <w:rFonts w:hint="eastAsia" w:ascii="仿宋_GB2312"/>
          <w:b/>
          <w:bCs/>
          <w:color w:val="000000"/>
          <w:sz w:val="32"/>
          <w:szCs w:val="32"/>
        </w:rPr>
        <w:t>部门</w:t>
      </w:r>
      <w:r>
        <w:rPr>
          <w:rFonts w:ascii="仿宋_GB2312"/>
          <w:b/>
          <w:bCs/>
          <w:color w:val="000000"/>
          <w:sz w:val="32"/>
          <w:szCs w:val="32"/>
        </w:rPr>
        <w:t>总</w:t>
      </w:r>
      <w:r>
        <w:rPr>
          <w:rFonts w:hint="eastAsia" w:ascii="仿宋_GB2312"/>
          <w:b/>
          <w:bCs/>
          <w:color w:val="000000"/>
          <w:sz w:val="32"/>
          <w:szCs w:val="32"/>
        </w:rPr>
        <w:t>目标</w:t>
      </w:r>
      <w:r>
        <w:rPr>
          <w:rFonts w:ascii="仿宋_GB2312"/>
          <w:b/>
          <w:bCs/>
          <w:color w:val="000000"/>
          <w:sz w:val="32"/>
          <w:szCs w:val="32"/>
        </w:rPr>
        <w:t>及</w:t>
      </w:r>
      <w:r>
        <w:rPr>
          <w:rFonts w:hint="eastAsia" w:ascii="仿宋_GB2312"/>
          <w:b/>
          <w:bCs/>
          <w:color w:val="000000"/>
          <w:sz w:val="32"/>
          <w:szCs w:val="32"/>
        </w:rPr>
        <w:t>主要</w:t>
      </w:r>
      <w:r>
        <w:rPr>
          <w:rFonts w:ascii="仿宋_GB2312"/>
          <w:b/>
          <w:bCs/>
          <w:color w:val="000000"/>
          <w:sz w:val="32"/>
          <w:szCs w:val="32"/>
        </w:rPr>
        <w:t>任务</w:t>
      </w:r>
      <w:r>
        <w:rPr>
          <w:rFonts w:hint="eastAsia" w:ascii="仿宋_GB2312"/>
          <w:b/>
          <w:bCs/>
          <w:color w:val="000000"/>
          <w:sz w:val="32"/>
          <w:szCs w:val="32"/>
          <w:lang w:eastAsia="zh-CN"/>
        </w:rPr>
        <w:t>。</w:t>
      </w:r>
    </w:p>
    <w:p w14:paraId="68A6BBE4">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outlineLvl w:val="0"/>
        <w:rPr>
          <w:rFonts w:hint="eastAsia" w:ascii="仿宋_GB2312" w:hAnsi="Times New Roman" w:cs="Times New Roman"/>
          <w:color w:val="000000"/>
          <w:sz w:val="32"/>
          <w:szCs w:val="32"/>
        </w:rPr>
      </w:pPr>
      <w:r>
        <w:rPr>
          <w:rFonts w:hint="eastAsia" w:ascii="仿宋_GB2312" w:hAnsi="Times New Roman" w:cs="Times New Roman"/>
          <w:color w:val="000000"/>
          <w:sz w:val="32"/>
          <w:szCs w:val="32"/>
        </w:rPr>
        <w:t>全面贯彻党的教育方针、党的二十大精神、习近平总书记关于教育的重要论述等科教兴国战略思想，规范学校内部管理体制和运行机制，推进学校依法治校，建设现代学校制度，加快建设高质量教育体系，发展素质教育，促进教育公平。</w:t>
      </w:r>
    </w:p>
    <w:p w14:paraId="5149038D">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outlineLvl w:val="0"/>
        <w:rPr>
          <w:rFonts w:hint="eastAsia" w:ascii="仿宋_GB2312" w:hAnsi="Times New Roman" w:cs="Times New Roman"/>
          <w:color w:val="000000"/>
          <w:sz w:val="32"/>
          <w:szCs w:val="32"/>
        </w:rPr>
      </w:pPr>
      <w:r>
        <w:rPr>
          <w:rFonts w:hint="eastAsia" w:ascii="仿宋_GB2312" w:hAnsi="Times New Roman" w:cs="Times New Roman"/>
          <w:color w:val="000000"/>
          <w:sz w:val="32"/>
          <w:szCs w:val="32"/>
        </w:rPr>
        <w:t>以“做党和人民满意的好老师，全面提高教育教学质量”为主题，以率先基本实现教育现代化为目标任务，坚持“做尚美教育  育尚美少年  办美好学校”的办学方向，全力实施“七彩”阳光教育和创客教育双轮驱动提升策略，着力培育“阳光、活力、健康、智慧”的校园精神。牢固树立“尚美教育”的发展理念，积极创建“温馨校园”“活力校园”“书香校园”“足球校园”培育和建设“乡村高质量教育体系”，不断提升学校办学水平和内涵品质，努力争创县级一流的教育现代化学校。</w:t>
      </w:r>
    </w:p>
    <w:p w14:paraId="32E7BF0B">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outlineLvl w:val="0"/>
        <w:rPr>
          <w:rFonts w:hint="eastAsia" w:ascii="仿宋_GB2312"/>
          <w:b/>
          <w:bCs/>
          <w:color w:val="000000"/>
          <w:sz w:val="32"/>
          <w:szCs w:val="32"/>
        </w:rPr>
      </w:pPr>
      <w:r>
        <w:rPr>
          <w:rFonts w:hint="eastAsia" w:ascii="仿宋_GB2312"/>
          <w:b/>
          <w:bCs/>
          <w:color w:val="000000"/>
          <w:sz w:val="32"/>
          <w:szCs w:val="32"/>
        </w:rPr>
        <w:t>（二）年度部门整体预算绩效目标、绩效指标设定情况。</w:t>
      </w:r>
    </w:p>
    <w:p w14:paraId="4697254F">
      <w:pPr>
        <w:pStyle w:val="2"/>
        <w:keepNext w:val="0"/>
        <w:keepLines w:val="0"/>
        <w:pageBreakBefore w:val="0"/>
        <w:widowControl w:val="0"/>
        <w:kinsoku/>
        <w:wordWrap/>
        <w:overflowPunct/>
        <w:topLinePunct w:val="0"/>
        <w:autoSpaceDE/>
        <w:autoSpaceDN/>
        <w:bidi w:val="0"/>
        <w:adjustRightInd/>
        <w:snapToGrid/>
        <w:spacing w:after="0" w:afterLines="0" w:line="600" w:lineRule="exact"/>
        <w:ind w:left="0" w:leftChars="0" w:firstLine="588" w:firstLineChars="200"/>
        <w:textAlignment w:val="auto"/>
        <w:rPr>
          <w:rFonts w:hint="eastAsia" w:ascii="楷体_GB2312" w:hAnsi="楷体_GB2312" w:eastAsia="楷体_GB2312" w:cs="楷体_GB2312"/>
          <w:b/>
          <w:bCs/>
          <w:color w:val="000000"/>
          <w:kern w:val="2"/>
          <w:sz w:val="32"/>
          <w:szCs w:val="32"/>
          <w:lang w:val="en-US" w:eastAsia="zh-CN" w:bidi="ar-SA"/>
        </w:rPr>
      </w:pPr>
      <w:r>
        <w:rPr>
          <w:rFonts w:hint="eastAsia" w:ascii="楷体_GB2312" w:hAnsi="楷体_GB2312" w:eastAsia="楷体_GB2312" w:cs="楷体_GB2312"/>
          <w:b/>
          <w:bCs/>
          <w:color w:val="000000"/>
          <w:kern w:val="2"/>
          <w:sz w:val="32"/>
          <w:szCs w:val="32"/>
          <w:lang w:val="en-US" w:eastAsia="zh-CN" w:bidi="ar-SA"/>
        </w:rPr>
        <w:t>1.</w:t>
      </w:r>
      <w:r>
        <w:rPr>
          <w:rFonts w:hint="eastAsia" w:ascii="楷体_GB2312" w:hAnsi="楷体_GB2312" w:eastAsia="楷体_GB2312" w:cs="楷体_GB2312"/>
          <w:b/>
          <w:bCs/>
          <w:color w:val="000000"/>
          <w:sz w:val="32"/>
          <w:szCs w:val="32"/>
        </w:rPr>
        <w:t>年度部门整体预算绩效目标</w:t>
      </w:r>
    </w:p>
    <w:p w14:paraId="57D66232">
      <w:pPr>
        <w:pStyle w:val="2"/>
        <w:keepNext w:val="0"/>
        <w:keepLines w:val="0"/>
        <w:pageBreakBefore w:val="0"/>
        <w:widowControl w:val="0"/>
        <w:kinsoku/>
        <w:wordWrap/>
        <w:overflowPunct/>
        <w:topLinePunct w:val="0"/>
        <w:autoSpaceDE/>
        <w:autoSpaceDN/>
        <w:bidi w:val="0"/>
        <w:adjustRightInd/>
        <w:snapToGrid/>
        <w:spacing w:after="0" w:afterLines="0" w:line="600" w:lineRule="exact"/>
        <w:ind w:left="0" w:leftChars="0" w:firstLine="588" w:firstLineChars="200"/>
        <w:textAlignment w:val="auto"/>
        <w:rPr>
          <w:rFonts w:hint="eastAsia" w:ascii="仿宋_GB2312" w:hAnsi="Times New Roman" w:eastAsia="仿宋_GB2312" w:cs="Times New Roman"/>
          <w:color w:val="000000"/>
          <w:kern w:val="2"/>
          <w:sz w:val="32"/>
          <w:szCs w:val="32"/>
          <w:lang w:val="en-US" w:eastAsia="zh-CN" w:bidi="ar-SA"/>
        </w:rPr>
      </w:pPr>
      <w:r>
        <w:rPr>
          <w:rFonts w:hint="eastAsia" w:ascii="仿宋_GB2312" w:hAnsi="Times New Roman" w:eastAsia="仿宋_GB2312" w:cs="Times New Roman"/>
          <w:color w:val="000000"/>
          <w:kern w:val="2"/>
          <w:sz w:val="32"/>
          <w:szCs w:val="32"/>
          <w:lang w:val="en-US" w:eastAsia="zh-CN" w:bidi="ar-SA"/>
        </w:rPr>
        <w:t>目标1：贯彻党的教育方针，坚持社会主义办学方向，对学生进行德智体美劳方面的教育；</w:t>
      </w:r>
    </w:p>
    <w:p w14:paraId="1840B8A5">
      <w:pPr>
        <w:pStyle w:val="2"/>
        <w:keepNext w:val="0"/>
        <w:keepLines w:val="0"/>
        <w:pageBreakBefore w:val="0"/>
        <w:widowControl w:val="0"/>
        <w:kinsoku/>
        <w:wordWrap/>
        <w:overflowPunct/>
        <w:topLinePunct w:val="0"/>
        <w:autoSpaceDE/>
        <w:autoSpaceDN/>
        <w:bidi w:val="0"/>
        <w:adjustRightInd/>
        <w:snapToGrid/>
        <w:spacing w:after="0" w:afterLines="0" w:line="600" w:lineRule="exact"/>
        <w:ind w:left="0" w:leftChars="0" w:firstLine="588" w:firstLineChars="200"/>
        <w:textAlignment w:val="auto"/>
        <w:rPr>
          <w:rFonts w:hint="eastAsia" w:ascii="仿宋_GB2312" w:hAnsi="Times New Roman" w:eastAsia="仿宋_GB2312" w:cs="Times New Roman"/>
          <w:color w:val="000000"/>
          <w:kern w:val="2"/>
          <w:sz w:val="32"/>
          <w:szCs w:val="32"/>
          <w:lang w:val="en-US" w:eastAsia="zh-CN" w:bidi="ar-SA"/>
        </w:rPr>
      </w:pPr>
      <w:r>
        <w:rPr>
          <w:rFonts w:hint="eastAsia" w:ascii="仿宋_GB2312" w:hAnsi="Times New Roman" w:eastAsia="仿宋_GB2312" w:cs="Times New Roman"/>
          <w:color w:val="000000"/>
          <w:kern w:val="2"/>
          <w:sz w:val="32"/>
          <w:szCs w:val="32"/>
          <w:lang w:val="en-US" w:eastAsia="zh-CN" w:bidi="ar-SA"/>
        </w:rPr>
        <w:t>目标2：落实义务教育公用经费保障政策，确保义务教育学校维持正常运转和适度发展，促进教育公平；</w:t>
      </w:r>
    </w:p>
    <w:p w14:paraId="4425D025">
      <w:pPr>
        <w:pStyle w:val="2"/>
        <w:keepNext w:val="0"/>
        <w:keepLines w:val="0"/>
        <w:pageBreakBefore w:val="0"/>
        <w:widowControl w:val="0"/>
        <w:kinsoku/>
        <w:wordWrap/>
        <w:overflowPunct/>
        <w:topLinePunct w:val="0"/>
        <w:autoSpaceDE/>
        <w:autoSpaceDN/>
        <w:bidi w:val="0"/>
        <w:adjustRightInd/>
        <w:snapToGrid/>
        <w:spacing w:after="0" w:afterLines="0" w:line="600" w:lineRule="exact"/>
        <w:ind w:left="0" w:leftChars="0" w:firstLine="588" w:firstLineChars="200"/>
        <w:textAlignment w:val="auto"/>
        <w:rPr>
          <w:rFonts w:hint="eastAsia" w:ascii="仿宋_GB2312" w:hAnsi="Times New Roman" w:eastAsia="仿宋_GB2312" w:cs="Times New Roman"/>
          <w:color w:val="000000"/>
          <w:kern w:val="2"/>
          <w:sz w:val="32"/>
          <w:szCs w:val="32"/>
          <w:lang w:val="en-US" w:eastAsia="zh-CN" w:bidi="ar-SA"/>
        </w:rPr>
      </w:pPr>
      <w:r>
        <w:rPr>
          <w:rFonts w:hint="eastAsia" w:ascii="仿宋_GB2312" w:hAnsi="Times New Roman" w:eastAsia="仿宋_GB2312" w:cs="Times New Roman"/>
          <w:color w:val="000000"/>
          <w:kern w:val="2"/>
          <w:sz w:val="32"/>
          <w:szCs w:val="32"/>
          <w:lang w:val="en-US" w:eastAsia="zh-CN" w:bidi="ar-SA"/>
        </w:rPr>
        <w:t>目标3：落实义务教育阶段家庭经济困难学生生活补助政策，避免义务教育阶段学生因家庭经济困难失学；</w:t>
      </w:r>
    </w:p>
    <w:p w14:paraId="36229D8A">
      <w:pPr>
        <w:pStyle w:val="2"/>
        <w:keepNext w:val="0"/>
        <w:keepLines w:val="0"/>
        <w:pageBreakBefore w:val="0"/>
        <w:widowControl w:val="0"/>
        <w:kinsoku/>
        <w:wordWrap/>
        <w:overflowPunct/>
        <w:topLinePunct w:val="0"/>
        <w:autoSpaceDE/>
        <w:autoSpaceDN/>
        <w:bidi w:val="0"/>
        <w:adjustRightInd/>
        <w:snapToGrid/>
        <w:spacing w:after="0" w:afterLines="0" w:line="600" w:lineRule="exact"/>
        <w:ind w:left="0" w:leftChars="0" w:firstLine="588" w:firstLineChars="200"/>
        <w:textAlignment w:val="auto"/>
        <w:rPr>
          <w:rFonts w:hint="eastAsia" w:ascii="仿宋_GB2312" w:hAnsi="Times New Roman" w:eastAsia="仿宋_GB2312" w:cs="Times New Roman"/>
          <w:color w:val="000000"/>
          <w:kern w:val="2"/>
          <w:sz w:val="32"/>
          <w:szCs w:val="32"/>
          <w:lang w:val="en-US" w:eastAsia="zh-CN" w:bidi="ar-SA"/>
        </w:rPr>
      </w:pPr>
      <w:r>
        <w:rPr>
          <w:rFonts w:hint="eastAsia" w:ascii="仿宋_GB2312" w:hAnsi="Times New Roman" w:eastAsia="仿宋_GB2312" w:cs="Times New Roman"/>
          <w:color w:val="000000"/>
          <w:kern w:val="2"/>
          <w:sz w:val="32"/>
          <w:szCs w:val="32"/>
          <w:lang w:val="en-US" w:eastAsia="zh-CN" w:bidi="ar-SA"/>
        </w:rPr>
        <w:t>目标4：实施农村义务教育阶段学生营养计划，促进学生的健康成长，将党和政府对青少年学生的关爱落到了实处，让人民群众真正感受到党的温暖。</w:t>
      </w:r>
    </w:p>
    <w:p w14:paraId="45599490">
      <w:pPr>
        <w:pStyle w:val="2"/>
        <w:keepNext w:val="0"/>
        <w:keepLines w:val="0"/>
        <w:pageBreakBefore w:val="0"/>
        <w:widowControl w:val="0"/>
        <w:kinsoku/>
        <w:wordWrap/>
        <w:overflowPunct/>
        <w:topLinePunct w:val="0"/>
        <w:autoSpaceDE/>
        <w:autoSpaceDN/>
        <w:bidi w:val="0"/>
        <w:adjustRightInd/>
        <w:snapToGrid/>
        <w:spacing w:after="0" w:afterLines="0" w:line="600" w:lineRule="exact"/>
        <w:ind w:left="0" w:leftChars="0" w:firstLine="588" w:firstLineChars="200"/>
        <w:textAlignment w:val="auto"/>
        <w:rPr>
          <w:rFonts w:hint="eastAsia" w:ascii="仿宋_GB2312" w:hAnsi="Times New Roman" w:eastAsia="仿宋_GB2312" w:cs="Times New Roman"/>
          <w:color w:val="000000"/>
          <w:kern w:val="2"/>
          <w:sz w:val="32"/>
          <w:szCs w:val="32"/>
          <w:lang w:val="en-US" w:eastAsia="zh-CN" w:bidi="ar-SA"/>
        </w:rPr>
      </w:pPr>
      <w:r>
        <w:rPr>
          <w:rFonts w:hint="eastAsia" w:ascii="仿宋_GB2312" w:hAnsi="Times New Roman" w:eastAsia="仿宋_GB2312" w:cs="Times New Roman"/>
          <w:color w:val="000000"/>
          <w:kern w:val="2"/>
          <w:sz w:val="32"/>
          <w:szCs w:val="32"/>
          <w:lang w:val="en-US" w:eastAsia="zh-CN" w:bidi="ar-SA"/>
        </w:rPr>
        <w:t>目标5：努力提升学校社会知名度，提升社会对学校的满意度，促进均衡发展，提高教育质量。</w:t>
      </w:r>
    </w:p>
    <w:p w14:paraId="03C02819">
      <w:pPr>
        <w:pStyle w:val="2"/>
        <w:keepNext w:val="0"/>
        <w:keepLines w:val="0"/>
        <w:pageBreakBefore w:val="0"/>
        <w:widowControl w:val="0"/>
        <w:kinsoku/>
        <w:wordWrap/>
        <w:overflowPunct/>
        <w:topLinePunct w:val="0"/>
        <w:autoSpaceDE/>
        <w:autoSpaceDN/>
        <w:bidi w:val="0"/>
        <w:adjustRightInd/>
        <w:snapToGrid/>
        <w:spacing w:after="0" w:afterLines="0" w:line="600" w:lineRule="exact"/>
        <w:ind w:left="0" w:leftChars="0" w:firstLine="588" w:firstLineChars="200"/>
        <w:textAlignment w:val="auto"/>
        <w:rPr>
          <w:rFonts w:hint="eastAsia" w:ascii="仿宋_GB2312" w:hAnsi="Times New Roman" w:eastAsia="仿宋_GB2312" w:cs="Times New Roman"/>
          <w:color w:val="000000"/>
          <w:kern w:val="2"/>
          <w:sz w:val="32"/>
          <w:szCs w:val="32"/>
          <w:lang w:val="en-US" w:eastAsia="zh-CN" w:bidi="ar-SA"/>
        </w:rPr>
      </w:pPr>
      <w:r>
        <w:rPr>
          <w:rFonts w:hint="eastAsia" w:ascii="仿宋_GB2312" w:hAnsi="Times New Roman" w:eastAsia="仿宋_GB2312" w:cs="Times New Roman"/>
          <w:color w:val="000000"/>
          <w:kern w:val="2"/>
          <w:sz w:val="32"/>
          <w:szCs w:val="32"/>
          <w:lang w:val="en-US" w:eastAsia="zh-CN" w:bidi="ar-SA"/>
        </w:rPr>
        <w:t>目标6：严守财经纪律，严格预算执行，进一步完善内控制度，强化预算绩效管理，全面提升单位预算管理水平。</w:t>
      </w:r>
    </w:p>
    <w:p w14:paraId="756A3F0C">
      <w:pPr>
        <w:pStyle w:val="3"/>
        <w:keepNext w:val="0"/>
        <w:keepLines w:val="0"/>
        <w:pageBreakBefore w:val="0"/>
        <w:widowControl w:val="0"/>
        <w:kinsoku/>
        <w:wordWrap/>
        <w:overflowPunct/>
        <w:topLinePunct w:val="0"/>
        <w:autoSpaceDE/>
        <w:autoSpaceDN/>
        <w:bidi w:val="0"/>
        <w:adjustRightInd/>
        <w:snapToGrid/>
        <w:spacing w:after="0" w:line="600" w:lineRule="exact"/>
        <w:ind w:firstLine="588" w:firstLineChars="200"/>
        <w:textAlignment w:val="auto"/>
        <w:rPr>
          <w:rFonts w:hint="eastAsia" w:ascii="楷体_GB2312" w:hAnsi="楷体_GB2312" w:eastAsia="楷体_GB2312" w:cs="楷体_GB2312"/>
          <w:b/>
          <w:bCs/>
          <w:lang w:val="en-US" w:eastAsia="zh-CN"/>
        </w:rPr>
      </w:pPr>
      <w:r>
        <w:rPr>
          <w:rFonts w:hint="eastAsia" w:ascii="楷体_GB2312" w:hAnsi="楷体_GB2312" w:eastAsia="楷体_GB2312" w:cs="楷体_GB2312"/>
          <w:b/>
          <w:bCs/>
          <w:color w:val="000000"/>
          <w:sz w:val="32"/>
          <w:szCs w:val="32"/>
          <w:lang w:val="en-US" w:eastAsia="zh-CN"/>
        </w:rPr>
        <w:t>2.</w:t>
      </w:r>
      <w:r>
        <w:rPr>
          <w:rFonts w:hint="eastAsia" w:ascii="楷体_GB2312" w:hAnsi="楷体_GB2312" w:eastAsia="楷体_GB2312" w:cs="楷体_GB2312"/>
          <w:b/>
          <w:bCs/>
          <w:color w:val="000000"/>
          <w:sz w:val="32"/>
          <w:szCs w:val="32"/>
        </w:rPr>
        <w:t>绩效指标设定情况</w:t>
      </w:r>
    </w:p>
    <w:p w14:paraId="0498D584">
      <w:pPr>
        <w:pStyle w:val="3"/>
        <w:keepNext w:val="0"/>
        <w:keepLines w:val="0"/>
        <w:pageBreakBefore w:val="0"/>
        <w:widowControl w:val="0"/>
        <w:kinsoku/>
        <w:wordWrap/>
        <w:overflowPunct/>
        <w:topLinePunct w:val="0"/>
        <w:autoSpaceDE/>
        <w:autoSpaceDN/>
        <w:bidi w:val="0"/>
        <w:adjustRightInd/>
        <w:snapToGrid/>
        <w:spacing w:after="0" w:line="600" w:lineRule="exact"/>
        <w:ind w:firstLine="588" w:firstLineChars="200"/>
        <w:textAlignment w:val="auto"/>
        <w:rPr>
          <w:rFonts w:hint="eastAsia"/>
          <w:lang w:val="en-US" w:eastAsia="zh-CN"/>
        </w:rPr>
      </w:pPr>
      <w:r>
        <w:rPr>
          <w:rFonts w:hint="eastAsia"/>
          <w:lang w:val="en-US" w:eastAsia="zh-CN"/>
        </w:rPr>
        <w:t>在绩效指标设定阶段，严格按照上级部门及单位相关工作要求，结合本岗位工作职责、年度重点工作任务和实际工作目标，坚持科学合理、量化可考、权责清晰的原则，科学设定绩效指标。</w:t>
      </w:r>
    </w:p>
    <w:p w14:paraId="200B2A86">
      <w:pPr>
        <w:pStyle w:val="3"/>
        <w:keepNext w:val="0"/>
        <w:keepLines w:val="0"/>
        <w:pageBreakBefore w:val="0"/>
        <w:widowControl w:val="0"/>
        <w:kinsoku/>
        <w:wordWrap/>
        <w:overflowPunct/>
        <w:topLinePunct w:val="0"/>
        <w:autoSpaceDE/>
        <w:autoSpaceDN/>
        <w:bidi w:val="0"/>
        <w:adjustRightInd/>
        <w:snapToGrid/>
        <w:spacing w:after="0" w:line="600" w:lineRule="exact"/>
        <w:ind w:firstLine="588" w:firstLineChars="200"/>
        <w:textAlignment w:val="auto"/>
        <w:rPr>
          <w:rFonts w:hint="default"/>
          <w:lang w:val="en-US" w:eastAsia="zh-CN"/>
        </w:rPr>
      </w:pPr>
      <w:r>
        <w:rPr>
          <w:rFonts w:hint="eastAsia"/>
          <w:lang w:val="en-US" w:eastAsia="zh-CN"/>
        </w:rPr>
        <w:t>整体支出绩效目标围绕基本运行指标、重点履职指标、部门综合指标、可持续发展能力指标四个维度，设置4个一级指标。基本运行指标方面设置预算收支管理、财会管理、采购管理、资产管理、人员管理、绩效管理等6个二级指标；重点履职指标方面设置数量指标</w:t>
      </w:r>
      <w:r>
        <w:rPr>
          <w:rFonts w:hint="eastAsia"/>
          <w:lang w:val="en-US" w:eastAsia="zh-CN"/>
        </w:rPr>
        <w:tab/>
      </w:r>
      <w:r>
        <w:rPr>
          <w:rFonts w:hint="eastAsia"/>
          <w:lang w:val="en-US" w:eastAsia="zh-CN"/>
        </w:rPr>
        <w:t>、质量指标、时效指标</w:t>
      </w:r>
      <w:r>
        <w:rPr>
          <w:rFonts w:hint="eastAsia"/>
          <w:lang w:val="en-US" w:eastAsia="zh-CN"/>
        </w:rPr>
        <w:tab/>
      </w:r>
      <w:r>
        <w:rPr>
          <w:rFonts w:hint="eastAsia"/>
          <w:lang w:val="en-US" w:eastAsia="zh-CN"/>
        </w:rPr>
        <w:t>、成本指标等4个二级指标，部门综合指标方面设立经济效益、社会效益、生态效益、服务对象满意度等4个二级指标；可持续发展能力指标方面设立组织建设、宣传培训、制度建设、改革创新等4个二级指标。根据《部门整体支出绩效评价指标体系框架》（参考）设置三级指标。</w:t>
      </w:r>
    </w:p>
    <w:p w14:paraId="70838149">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黑体" w:hAnsi="黑体" w:eastAsia="黑体" w:cs="黑体"/>
          <w:bCs/>
          <w:sz w:val="32"/>
          <w:szCs w:val="32"/>
        </w:rPr>
      </w:pPr>
    </w:p>
    <w:p w14:paraId="3A6B66AE">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黑体" w:hAnsi="黑体" w:eastAsia="黑体" w:cs="黑体"/>
          <w:bCs/>
          <w:sz w:val="32"/>
          <w:szCs w:val="32"/>
        </w:rPr>
      </w:pPr>
      <w:r>
        <w:rPr>
          <w:rFonts w:hint="eastAsia" w:ascii="黑体" w:hAnsi="黑体" w:eastAsia="黑体" w:cs="黑体"/>
          <w:bCs/>
          <w:sz w:val="32"/>
          <w:szCs w:val="32"/>
        </w:rPr>
        <w:t>二、绩效自评工作开展情况</w:t>
      </w:r>
    </w:p>
    <w:p w14:paraId="78DEE394">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color w:val="000000"/>
          <w:sz w:val="32"/>
          <w:szCs w:val="32"/>
        </w:rPr>
      </w:pPr>
      <w:r>
        <w:rPr>
          <w:rFonts w:hint="eastAsia" w:ascii="仿宋_GB2312"/>
          <w:color w:val="000000"/>
          <w:sz w:val="32"/>
          <w:szCs w:val="32"/>
        </w:rPr>
        <w:t>本次绩效评价主要通过新华镇中心小学基本情况、预算制定与明细、部门战略目标及组织架构等基础信息采集等形式，开展相关基础工作。</w:t>
      </w:r>
    </w:p>
    <w:p w14:paraId="267103A5">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color w:val="000000"/>
          <w:sz w:val="32"/>
          <w:szCs w:val="32"/>
        </w:rPr>
      </w:pPr>
      <w:r>
        <w:rPr>
          <w:rFonts w:hint="eastAsia" w:ascii="楷体_GB2312" w:hAnsi="楷体_GB2312" w:eastAsia="楷体_GB2312" w:cs="楷体_GB2312"/>
          <w:b/>
          <w:bCs/>
          <w:color w:val="000000"/>
          <w:sz w:val="32"/>
          <w:szCs w:val="32"/>
        </w:rPr>
        <w:t>1.前期准备：</w:t>
      </w:r>
      <w:r>
        <w:rPr>
          <w:rFonts w:hint="eastAsia" w:ascii="仿宋_GB2312"/>
          <w:color w:val="000000"/>
          <w:sz w:val="32"/>
          <w:szCs w:val="32"/>
        </w:rPr>
        <w:t>按照《</w:t>
      </w:r>
      <w:r>
        <w:rPr>
          <w:rFonts w:hint="eastAsia" w:ascii="仿宋_GB2312"/>
          <w:color w:val="000000"/>
          <w:sz w:val="32"/>
          <w:szCs w:val="32"/>
          <w:lang w:eastAsia="zh-CN"/>
        </w:rPr>
        <w:t>临泽县财政局关于开展</w:t>
      </w:r>
      <w:r>
        <w:rPr>
          <w:rFonts w:hint="eastAsia" w:ascii="仿宋_GB2312"/>
          <w:color w:val="000000"/>
          <w:sz w:val="32"/>
          <w:szCs w:val="32"/>
          <w:lang w:val="en-US" w:eastAsia="zh-CN"/>
        </w:rPr>
        <w:t>2025年度财政支出绩效自评工作</w:t>
      </w:r>
      <w:r>
        <w:rPr>
          <w:rFonts w:hint="eastAsia" w:ascii="仿宋_GB2312"/>
          <w:color w:val="000000"/>
          <w:sz w:val="32"/>
          <w:szCs w:val="32"/>
        </w:rPr>
        <w:t>的通知》文件要求，确定了202</w:t>
      </w:r>
      <w:r>
        <w:rPr>
          <w:rFonts w:hint="eastAsia" w:ascii="仿宋_GB2312"/>
          <w:color w:val="000000"/>
          <w:sz w:val="32"/>
          <w:szCs w:val="32"/>
          <w:lang w:val="en-US" w:eastAsia="zh-CN"/>
        </w:rPr>
        <w:t>5</w:t>
      </w:r>
      <w:r>
        <w:rPr>
          <w:rFonts w:hint="eastAsia" w:ascii="仿宋_GB2312"/>
          <w:color w:val="000000"/>
          <w:sz w:val="32"/>
          <w:szCs w:val="32"/>
        </w:rPr>
        <w:t>年度临泽县新华镇中心小学部门绩效评价的实施内容、工作范围、评价目标等。本着强化绩效目标意识、提高资金使用效率、提升绩效管理水平的原则，通过目标计划梳理、工作数据采集、项目完成情况调查、社会调研等方式评估项目资金的使用效率和工作开展情况，重点对绩效目标和绩效完成情况进行对比。</w:t>
      </w:r>
    </w:p>
    <w:p w14:paraId="66EC7EE7">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default" w:ascii="仿宋_GB2312"/>
          <w:color w:val="000000"/>
          <w:sz w:val="32"/>
          <w:szCs w:val="32"/>
          <w:lang w:val="en-US" w:eastAsia="zh-CN"/>
        </w:rPr>
      </w:pPr>
      <w:r>
        <w:rPr>
          <w:rFonts w:hint="eastAsia" w:ascii="楷体_GB2312" w:hAnsi="楷体_GB2312" w:eastAsia="楷体_GB2312" w:cs="楷体_GB2312"/>
          <w:b/>
          <w:bCs/>
          <w:color w:val="000000"/>
          <w:sz w:val="32"/>
          <w:szCs w:val="32"/>
          <w:lang w:val="en-US" w:eastAsia="zh-CN"/>
        </w:rPr>
        <w:t>2.工作导向：</w:t>
      </w:r>
      <w:r>
        <w:rPr>
          <w:rFonts w:hint="eastAsia" w:ascii="仿宋_GB2312"/>
          <w:color w:val="000000"/>
          <w:sz w:val="32"/>
          <w:szCs w:val="32"/>
          <w:lang w:val="en-US" w:eastAsia="zh-CN"/>
        </w:rPr>
        <w:t>全面深入推进预算绩效管理，构建全方位、全过程、全覆盖的预算绩效管理体系。着力以提升财政资金绩效为主线，以绩效目标实现为导向，以财政支出绩效评价为手段，以评价结果应用为保障，建立完善预算绩效管理体系，积极推进预算绩效管理工作。</w:t>
      </w:r>
    </w:p>
    <w:p w14:paraId="29CC129C">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color w:val="000000"/>
          <w:sz w:val="32"/>
          <w:szCs w:val="32"/>
        </w:rPr>
      </w:pPr>
      <w:r>
        <w:rPr>
          <w:rFonts w:hint="eastAsia" w:ascii="楷体_GB2312" w:hAnsi="楷体_GB2312" w:eastAsia="楷体_GB2312" w:cs="楷体_GB2312"/>
          <w:b/>
          <w:bCs/>
          <w:color w:val="000000"/>
          <w:sz w:val="32"/>
          <w:szCs w:val="32"/>
          <w:lang w:val="en-US" w:eastAsia="zh-CN"/>
        </w:rPr>
        <w:t>3</w:t>
      </w:r>
      <w:r>
        <w:rPr>
          <w:rFonts w:hint="eastAsia" w:ascii="楷体_GB2312" w:hAnsi="楷体_GB2312" w:eastAsia="楷体_GB2312" w:cs="楷体_GB2312"/>
          <w:b/>
          <w:bCs/>
          <w:color w:val="000000"/>
          <w:sz w:val="32"/>
          <w:szCs w:val="32"/>
        </w:rPr>
        <w:t>.数据分析及报告撰写：</w:t>
      </w:r>
      <w:r>
        <w:rPr>
          <w:rFonts w:hint="eastAsia" w:ascii="仿宋_GB2312"/>
          <w:color w:val="000000"/>
          <w:sz w:val="32"/>
          <w:szCs w:val="32"/>
        </w:rPr>
        <w:t>根据部门项目和整体绩效评价的原理和规范，对采集的数据进行处理、分析和评分，提炼结论撰写报告，并不断修正完善。</w:t>
      </w:r>
    </w:p>
    <w:p w14:paraId="1E0098D5">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黑体" w:hAnsi="黑体" w:eastAsia="黑体" w:cs="黑体"/>
          <w:bCs/>
          <w:sz w:val="32"/>
          <w:szCs w:val="32"/>
        </w:rPr>
      </w:pPr>
      <w:r>
        <w:rPr>
          <w:rFonts w:hint="eastAsia" w:ascii="黑体" w:hAnsi="黑体" w:eastAsia="黑体" w:cs="黑体"/>
          <w:bCs/>
          <w:sz w:val="32"/>
          <w:szCs w:val="32"/>
        </w:rPr>
        <w:t>三、综合评价结论</w:t>
      </w:r>
    </w:p>
    <w:p w14:paraId="25BA90C0">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黑体" w:hAnsi="黑体" w:eastAsia="黑体" w:cs="黑体"/>
          <w:bCs/>
          <w:sz w:val="32"/>
          <w:szCs w:val="32"/>
        </w:rPr>
      </w:pPr>
      <w:r>
        <w:rPr>
          <w:rFonts w:hint="eastAsia" w:ascii="仿宋_GB2312" w:hAnsi="仿宋_GB2312" w:cs="仿宋_GB2312"/>
          <w:bCs/>
          <w:sz w:val="32"/>
          <w:szCs w:val="32"/>
        </w:rPr>
        <w:t>我校对202</w:t>
      </w:r>
      <w:r>
        <w:rPr>
          <w:rFonts w:hint="eastAsia" w:ascii="仿宋_GB2312" w:hAnsi="仿宋_GB2312" w:cs="仿宋_GB2312"/>
          <w:bCs/>
          <w:sz w:val="32"/>
          <w:szCs w:val="32"/>
          <w:lang w:val="en-US" w:eastAsia="zh-CN"/>
        </w:rPr>
        <w:t>5</w:t>
      </w:r>
      <w:r>
        <w:rPr>
          <w:rFonts w:hint="eastAsia" w:ascii="仿宋_GB2312" w:hAnsi="仿宋_GB2312" w:cs="仿宋_GB2312"/>
          <w:bCs/>
          <w:sz w:val="32"/>
          <w:szCs w:val="32"/>
        </w:rPr>
        <w:t>年度财政预算资金支出经济性、效率性、有效性和可持续性进行客观、公正的评价，预算资金的分配使用均严格按照规定执行，各项重点项目资金安排都保证及时到位，每一笔收支都做到有依据、有凭证、有程序，保证了各项资金依法管理与使用</w:t>
      </w:r>
      <w:r>
        <w:rPr>
          <w:rFonts w:hint="eastAsia" w:ascii="仿宋_GB2312" w:hAnsi="仿宋_GB2312" w:cs="仿宋_GB2312"/>
          <w:bCs/>
          <w:sz w:val="32"/>
          <w:szCs w:val="32"/>
          <w:lang w:eastAsia="zh-CN"/>
        </w:rPr>
        <w:t>，</w:t>
      </w:r>
      <w:r>
        <w:rPr>
          <w:rFonts w:hint="eastAsia" w:ascii="仿宋_GB2312" w:hAnsi="仿宋_GB2312" w:cs="仿宋_GB2312"/>
          <w:bCs/>
          <w:sz w:val="32"/>
          <w:szCs w:val="32"/>
        </w:rPr>
        <w:t>最终依据自评</w:t>
      </w:r>
      <w:r>
        <w:rPr>
          <w:rFonts w:hint="eastAsia" w:ascii="仿宋_GB2312" w:hAnsi="仿宋_GB2312" w:cs="仿宋_GB2312"/>
          <w:bCs/>
          <w:sz w:val="32"/>
          <w:szCs w:val="32"/>
          <w:lang w:eastAsia="zh-CN"/>
        </w:rPr>
        <w:t>得分为</w:t>
      </w:r>
      <w:r>
        <w:rPr>
          <w:rFonts w:hint="eastAsia" w:ascii="仿宋_GB2312" w:hAnsi="仿宋_GB2312" w:cs="仿宋_GB2312"/>
          <w:bCs/>
          <w:sz w:val="32"/>
          <w:szCs w:val="32"/>
          <w:lang w:val="en-US" w:eastAsia="zh-CN"/>
        </w:rPr>
        <w:t>94.34分，其中基本运行指标得分9.59分，重点履职指标得分28.5分，部门综合指标得分为28.71分，可持续发展能力指标得分为18.5分。</w:t>
      </w:r>
      <w:r>
        <w:rPr>
          <w:rFonts w:hint="eastAsia" w:ascii="仿宋_GB2312" w:hAnsi="仿宋_GB2312" w:cs="仿宋_GB2312"/>
          <w:bCs/>
          <w:sz w:val="32"/>
          <w:szCs w:val="32"/>
        </w:rPr>
        <w:t>绩效</w:t>
      </w:r>
      <w:r>
        <w:rPr>
          <w:rFonts w:hint="eastAsia" w:ascii="仿宋_GB2312" w:hAnsi="仿宋_GB2312" w:cs="仿宋_GB2312"/>
          <w:bCs/>
          <w:sz w:val="32"/>
          <w:szCs w:val="32"/>
          <w:lang w:eastAsia="zh-CN"/>
        </w:rPr>
        <w:t>自</w:t>
      </w:r>
      <w:r>
        <w:rPr>
          <w:rFonts w:hint="eastAsia" w:ascii="仿宋_GB2312" w:hAnsi="仿宋_GB2312" w:cs="仿宋_GB2312"/>
          <w:bCs/>
          <w:sz w:val="32"/>
          <w:szCs w:val="32"/>
        </w:rPr>
        <w:t>评</w:t>
      </w:r>
      <w:r>
        <w:rPr>
          <w:rFonts w:hint="eastAsia" w:ascii="仿宋_GB2312" w:hAnsi="仿宋_GB2312" w:cs="仿宋_GB2312"/>
          <w:bCs/>
          <w:sz w:val="32"/>
          <w:szCs w:val="32"/>
          <w:lang w:eastAsia="zh-CN"/>
        </w:rPr>
        <w:t>等</w:t>
      </w:r>
      <w:r>
        <w:rPr>
          <w:rFonts w:hint="eastAsia" w:ascii="仿宋_GB2312" w:hAnsi="仿宋_GB2312" w:cs="仿宋_GB2312"/>
          <w:bCs/>
          <w:sz w:val="32"/>
          <w:szCs w:val="32"/>
        </w:rPr>
        <w:t>级为“优秀”</w:t>
      </w:r>
      <w:r>
        <w:rPr>
          <w:rFonts w:hint="eastAsia" w:ascii="仿宋_GB2312" w:hAnsi="仿宋_GB2312" w:cs="仿宋_GB2312"/>
          <w:bCs/>
          <w:sz w:val="32"/>
          <w:szCs w:val="32"/>
          <w:lang w:eastAsia="zh-CN"/>
        </w:rPr>
        <w:t>等级</w:t>
      </w:r>
      <w:r>
        <w:rPr>
          <w:rFonts w:hint="eastAsia" w:ascii="仿宋_GB2312" w:hAnsi="仿宋_GB2312" w:cs="仿宋_GB2312"/>
          <w:bCs/>
          <w:sz w:val="32"/>
          <w:szCs w:val="32"/>
        </w:rPr>
        <w:t>。</w:t>
      </w:r>
    </w:p>
    <w:p w14:paraId="38FA566B">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黑体" w:hAnsi="黑体" w:eastAsia="黑体" w:cs="黑体"/>
          <w:bCs/>
          <w:sz w:val="32"/>
          <w:szCs w:val="32"/>
        </w:rPr>
      </w:pPr>
      <w:r>
        <w:rPr>
          <w:rFonts w:hint="eastAsia" w:ascii="黑体" w:hAnsi="黑体" w:eastAsia="黑体" w:cs="黑体"/>
          <w:bCs/>
          <w:sz w:val="32"/>
          <w:szCs w:val="32"/>
        </w:rPr>
        <w:t>四、绩效目标实现情况分析</w:t>
      </w:r>
    </w:p>
    <w:p w14:paraId="595AF784">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outlineLvl w:val="0"/>
        <w:rPr>
          <w:rFonts w:ascii="楷体_GB2312" w:hAnsi="楷体_GB2312" w:eastAsia="楷体_GB2312" w:cs="楷体_GB2312"/>
          <w:b/>
          <w:bCs w:val="0"/>
          <w:sz w:val="32"/>
          <w:szCs w:val="32"/>
        </w:rPr>
      </w:pPr>
      <w:r>
        <w:rPr>
          <w:rFonts w:hint="eastAsia" w:ascii="楷体_GB2312" w:hAnsi="楷体_GB2312" w:eastAsia="楷体_GB2312" w:cs="楷体_GB2312"/>
          <w:b/>
          <w:bCs w:val="0"/>
          <w:sz w:val="32"/>
          <w:szCs w:val="32"/>
        </w:rPr>
        <w:t>（一）部门资金情况分析</w:t>
      </w:r>
    </w:p>
    <w:p w14:paraId="7081A916">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楷体_GB2312" w:hAnsi="楷体_GB2312" w:eastAsia="楷体_GB2312" w:cs="楷体_GB2312"/>
          <w:b/>
          <w:bCs/>
          <w:sz w:val="32"/>
          <w:szCs w:val="32"/>
          <w:lang w:val="en-US" w:eastAsia="zh-CN"/>
        </w:rPr>
        <w:t>1.资金到位情况。</w:t>
      </w:r>
      <w:r>
        <w:rPr>
          <w:rFonts w:hint="eastAsia" w:ascii="仿宋_GB2312"/>
          <w:sz w:val="32"/>
          <w:szCs w:val="32"/>
        </w:rPr>
        <w:t>202</w:t>
      </w:r>
      <w:r>
        <w:rPr>
          <w:rFonts w:hint="eastAsia" w:ascii="仿宋_GB2312"/>
          <w:sz w:val="32"/>
          <w:szCs w:val="32"/>
          <w:lang w:val="en-US" w:eastAsia="zh-CN"/>
        </w:rPr>
        <w:t>5</w:t>
      </w:r>
      <w:r>
        <w:rPr>
          <w:rFonts w:hint="eastAsia" w:ascii="仿宋_GB2312"/>
          <w:sz w:val="32"/>
          <w:szCs w:val="32"/>
        </w:rPr>
        <w:t>年我校预算编制与履职目标衔接紧密，编制依据充分、数据详实。基本支出</w:t>
      </w:r>
      <w:r>
        <w:rPr>
          <w:rFonts w:hint="eastAsia" w:ascii="仿宋_GB2312"/>
          <w:sz w:val="32"/>
          <w:szCs w:val="32"/>
          <w:lang w:eastAsia="zh-CN"/>
        </w:rPr>
        <w:t>全年</w:t>
      </w:r>
      <w:r>
        <w:rPr>
          <w:rFonts w:hint="eastAsia" w:ascii="仿宋_GB2312"/>
          <w:sz w:val="32"/>
          <w:szCs w:val="32"/>
        </w:rPr>
        <w:t>预算</w:t>
      </w:r>
      <w:r>
        <w:rPr>
          <w:rFonts w:hint="eastAsia" w:ascii="仿宋_GB2312"/>
          <w:sz w:val="32"/>
          <w:szCs w:val="32"/>
          <w:lang w:val="en-US" w:eastAsia="zh-CN"/>
        </w:rPr>
        <w:t>1469.19万元，其中：人员经费1398.02万元，公用经费71.17万元，项目支出353.53万元。</w:t>
      </w:r>
      <w:r>
        <w:rPr>
          <w:rFonts w:hint="eastAsia" w:ascii="仿宋_GB2312"/>
          <w:sz w:val="32"/>
          <w:szCs w:val="32"/>
        </w:rPr>
        <w:t>能够保障机构正常运转，人员工资、日常公用经费支出无缺口，且不存在用项目资金弥补公用经费不足的情况。</w:t>
      </w:r>
    </w:p>
    <w:p w14:paraId="6662930E">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楷体_GB2312" w:hAnsi="楷体_GB2312" w:eastAsia="楷体_GB2312" w:cs="楷体_GB2312"/>
          <w:b/>
          <w:bCs/>
          <w:sz w:val="32"/>
          <w:szCs w:val="32"/>
          <w:lang w:val="en-US" w:eastAsia="zh-CN"/>
        </w:rPr>
        <w:t>2.资金执行情况。</w:t>
      </w:r>
      <w:r>
        <w:rPr>
          <w:rFonts w:hint="eastAsia" w:ascii="仿宋_GB2312"/>
          <w:sz w:val="32"/>
          <w:szCs w:val="32"/>
        </w:rPr>
        <w:t>本年度我校严格执行年初预算，一般公共预算财政性支出总额控制基本在预算总额内，公共财政预算未进行相关事项调整。</w:t>
      </w:r>
      <w:r>
        <w:rPr>
          <w:rFonts w:hint="eastAsia" w:ascii="仿宋_GB2312"/>
          <w:sz w:val="32"/>
          <w:szCs w:val="32"/>
          <w:lang w:eastAsia="zh-CN"/>
        </w:rPr>
        <w:t>全年执行</w:t>
      </w:r>
      <w:r>
        <w:rPr>
          <w:rFonts w:hint="eastAsia" w:ascii="仿宋_GB2312"/>
          <w:sz w:val="32"/>
          <w:szCs w:val="32"/>
        </w:rPr>
        <w:t>基本支出</w:t>
      </w:r>
      <w:r>
        <w:rPr>
          <w:rFonts w:hint="eastAsia" w:ascii="仿宋_GB2312"/>
          <w:sz w:val="32"/>
          <w:szCs w:val="32"/>
          <w:lang w:val="en-US" w:eastAsia="zh-CN"/>
        </w:rPr>
        <w:t>1371.87万元，其中：人员经费1305.22万元，公用经费66.65万元，项目支出275.37万元。</w:t>
      </w:r>
      <w:r>
        <w:rPr>
          <w:rFonts w:hint="eastAsia" w:ascii="仿宋_GB2312"/>
          <w:sz w:val="32"/>
          <w:szCs w:val="32"/>
        </w:rPr>
        <w:t>政府采购程序规范，实际政府采购金额与预算相符，本年度无结转结余资金，“三公”经费预算总额严格控制在预算指标内，支出控制较好，无公务接待费。重点支出保障率为100%。</w:t>
      </w:r>
    </w:p>
    <w:p w14:paraId="75371B55">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楷体_GB2312" w:hAnsi="楷体_GB2312" w:eastAsia="楷体_GB2312" w:cs="楷体_GB2312"/>
          <w:b/>
          <w:bCs/>
          <w:sz w:val="32"/>
          <w:szCs w:val="32"/>
          <w:lang w:val="en-US" w:eastAsia="zh-CN"/>
        </w:rPr>
        <w:t>3.资金管理情况。</w:t>
      </w:r>
      <w:r>
        <w:rPr>
          <w:rFonts w:hint="eastAsia" w:ascii="仿宋_GB2312" w:hAnsi="Times New Roman" w:cs="Times New Roman"/>
          <w:sz w:val="32"/>
          <w:szCs w:val="32"/>
          <w:lang w:val="en-US" w:eastAsia="zh-CN"/>
        </w:rPr>
        <w:t>我校严格落实《临泽县新华镇中心小学预算经费绩效管理暂行办法》等制度，提高财政资金配置和使用效益，实现预算和绩效管理一体化。</w:t>
      </w:r>
    </w:p>
    <w:p w14:paraId="23CD0F4E">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outlineLvl w:val="0"/>
        <w:rPr>
          <w:rFonts w:hint="eastAsia" w:ascii="楷体_GB2312" w:hAnsi="楷体_GB2312" w:eastAsia="楷体_GB2312" w:cs="楷体_GB2312"/>
          <w:b/>
          <w:bCs w:val="0"/>
          <w:sz w:val="32"/>
          <w:szCs w:val="32"/>
        </w:rPr>
      </w:pPr>
    </w:p>
    <w:p w14:paraId="4891DBBF">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outlineLvl w:val="0"/>
        <w:rPr>
          <w:rFonts w:ascii="楷体_GB2312" w:hAnsi="楷体_GB2312" w:eastAsia="楷体_GB2312" w:cs="楷体_GB2312"/>
          <w:b/>
          <w:bCs w:val="0"/>
          <w:sz w:val="32"/>
          <w:szCs w:val="32"/>
        </w:rPr>
      </w:pPr>
      <w:r>
        <w:rPr>
          <w:rFonts w:hint="eastAsia" w:ascii="楷体_GB2312" w:hAnsi="楷体_GB2312" w:eastAsia="楷体_GB2312" w:cs="楷体_GB2312"/>
          <w:b/>
          <w:bCs w:val="0"/>
          <w:sz w:val="32"/>
          <w:szCs w:val="32"/>
        </w:rPr>
        <w:t>（二）项目绩效指标完成情况分析</w:t>
      </w:r>
    </w:p>
    <w:p w14:paraId="0AD7F2A0">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1.投入管理指标完成情况分析</w:t>
      </w:r>
    </w:p>
    <w:p w14:paraId="2C806C03">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eastAsia="仿宋_GB2312"/>
          <w:sz w:val="32"/>
          <w:szCs w:val="32"/>
          <w:lang w:val="en-US" w:eastAsia="zh-CN"/>
        </w:rPr>
      </w:pPr>
      <w:r>
        <w:rPr>
          <w:rFonts w:hint="eastAsia" w:ascii="仿宋_GB2312"/>
          <w:sz w:val="32"/>
          <w:szCs w:val="32"/>
          <w:lang w:eastAsia="zh-CN"/>
        </w:rPr>
        <w:t>（</w:t>
      </w:r>
      <w:r>
        <w:rPr>
          <w:rFonts w:hint="eastAsia" w:ascii="仿宋_GB2312"/>
          <w:sz w:val="32"/>
          <w:szCs w:val="32"/>
          <w:lang w:val="en-US" w:eastAsia="zh-CN"/>
        </w:rPr>
        <w:t>1</w:t>
      </w:r>
      <w:r>
        <w:rPr>
          <w:rFonts w:hint="eastAsia" w:ascii="仿宋_GB2312"/>
          <w:sz w:val="32"/>
          <w:szCs w:val="32"/>
          <w:lang w:eastAsia="zh-CN"/>
        </w:rPr>
        <w:t>）</w:t>
      </w:r>
      <w:r>
        <w:rPr>
          <w:rFonts w:hint="eastAsia" w:ascii="仿宋_GB2312"/>
          <w:sz w:val="32"/>
          <w:szCs w:val="32"/>
        </w:rPr>
        <w:t>工作目标</w:t>
      </w:r>
      <w:r>
        <w:rPr>
          <w:rFonts w:ascii="仿宋_GB2312"/>
          <w:sz w:val="32"/>
          <w:szCs w:val="32"/>
        </w:rPr>
        <w:t>完成情况</w:t>
      </w:r>
      <w:r>
        <w:rPr>
          <w:rFonts w:hint="eastAsia" w:ascii="仿宋_GB2312"/>
          <w:sz w:val="32"/>
          <w:szCs w:val="32"/>
          <w:lang w:val="en-US" w:eastAsia="zh-CN"/>
        </w:rPr>
        <w:t>。我单位将绩效理念和方法融入预算编制、执行、决算和监督全过程认真开展各项工作，年度部门整体预算绩效目标全面完成。</w:t>
      </w:r>
    </w:p>
    <w:p w14:paraId="4C64F9FB">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lang w:eastAsia="zh-CN"/>
        </w:rPr>
      </w:pPr>
      <w:r>
        <w:rPr>
          <w:rFonts w:hint="eastAsia" w:ascii="仿宋_GB2312"/>
          <w:sz w:val="32"/>
          <w:szCs w:val="32"/>
          <w:lang w:eastAsia="zh-CN"/>
        </w:rPr>
        <w:t>（</w:t>
      </w:r>
      <w:r>
        <w:rPr>
          <w:rFonts w:hint="eastAsia" w:ascii="仿宋_GB2312"/>
          <w:sz w:val="32"/>
          <w:szCs w:val="32"/>
          <w:lang w:val="en-US" w:eastAsia="zh-CN"/>
        </w:rPr>
        <w:t>2</w:t>
      </w:r>
      <w:r>
        <w:rPr>
          <w:rFonts w:hint="eastAsia" w:ascii="仿宋_GB2312"/>
          <w:sz w:val="32"/>
          <w:szCs w:val="32"/>
          <w:lang w:eastAsia="zh-CN"/>
        </w:rPr>
        <w:t>）</w:t>
      </w:r>
      <w:r>
        <w:rPr>
          <w:rFonts w:hint="eastAsia" w:ascii="仿宋_GB2312"/>
          <w:sz w:val="32"/>
          <w:szCs w:val="32"/>
        </w:rPr>
        <w:t>预算和财务管理完成情况</w:t>
      </w:r>
      <w:r>
        <w:rPr>
          <w:rFonts w:hint="eastAsia" w:ascii="仿宋_GB2312"/>
          <w:sz w:val="32"/>
          <w:szCs w:val="32"/>
          <w:lang w:eastAsia="zh-CN"/>
        </w:rPr>
        <w:t>。依据《中小学校财务制度》加强财务管理，落实好预算执行及财务核算工作，接受主管部门审查和监督。</w:t>
      </w:r>
    </w:p>
    <w:p w14:paraId="55DF5D83">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仿宋_GB2312"/>
          <w:sz w:val="32"/>
          <w:szCs w:val="32"/>
        </w:rPr>
      </w:pPr>
      <w:r>
        <w:rPr>
          <w:rFonts w:hint="eastAsia" w:ascii="仿宋_GB2312"/>
          <w:sz w:val="32"/>
          <w:szCs w:val="32"/>
          <w:lang w:eastAsia="zh-CN"/>
        </w:rPr>
        <w:t>（</w:t>
      </w:r>
      <w:r>
        <w:rPr>
          <w:rFonts w:hint="eastAsia" w:ascii="仿宋_GB2312"/>
          <w:sz w:val="32"/>
          <w:szCs w:val="32"/>
          <w:lang w:val="en-US" w:eastAsia="zh-CN"/>
        </w:rPr>
        <w:t>3</w:t>
      </w:r>
      <w:r>
        <w:rPr>
          <w:rFonts w:hint="eastAsia" w:ascii="仿宋_GB2312"/>
          <w:sz w:val="32"/>
          <w:szCs w:val="32"/>
          <w:lang w:eastAsia="zh-CN"/>
        </w:rPr>
        <w:t>）</w:t>
      </w:r>
      <w:r>
        <w:rPr>
          <w:rFonts w:hint="eastAsia" w:ascii="仿宋_GB2312"/>
          <w:sz w:val="32"/>
          <w:szCs w:val="32"/>
        </w:rPr>
        <w:t>绩效管理完成</w:t>
      </w:r>
      <w:r>
        <w:rPr>
          <w:rFonts w:ascii="仿宋_GB2312"/>
          <w:sz w:val="32"/>
          <w:szCs w:val="32"/>
        </w:rPr>
        <w:t>情况</w:t>
      </w:r>
      <w:r>
        <w:rPr>
          <w:rFonts w:hint="eastAsia" w:ascii="仿宋_GB2312"/>
          <w:sz w:val="32"/>
          <w:szCs w:val="32"/>
        </w:rPr>
        <w:t>。</w:t>
      </w:r>
      <w:r>
        <w:rPr>
          <w:rFonts w:hint="eastAsia" w:ascii="仿宋_GB2312"/>
          <w:sz w:val="32"/>
          <w:szCs w:val="32"/>
          <w:lang w:eastAsia="zh-CN"/>
        </w:rPr>
        <w:t>认真</w:t>
      </w:r>
      <w:r>
        <w:rPr>
          <w:rFonts w:hint="eastAsia" w:ascii="仿宋_GB2312"/>
          <w:sz w:val="32"/>
          <w:szCs w:val="32"/>
        </w:rPr>
        <w:t>开展事前绩效评估、绩效目标管理、绩效运行监控、绩效评价等工作，按时完成收集、整理、分析与部门整体阶段性资金支出及绩效目标完成相关的数据、信息并上报、预决算及时公开等工作。</w:t>
      </w:r>
    </w:p>
    <w:p w14:paraId="61950E58">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2.产出指标完成情况分析</w:t>
      </w:r>
    </w:p>
    <w:p w14:paraId="75DA7308">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lang w:val="en-US" w:eastAsia="zh-CN"/>
        </w:rPr>
      </w:pPr>
      <w:r>
        <w:rPr>
          <w:rFonts w:hint="eastAsia" w:ascii="仿宋_GB2312"/>
          <w:sz w:val="32"/>
          <w:szCs w:val="32"/>
          <w:lang w:eastAsia="zh-CN"/>
        </w:rPr>
        <w:t>（</w:t>
      </w:r>
      <w:r>
        <w:rPr>
          <w:rFonts w:hint="eastAsia" w:ascii="仿宋_GB2312"/>
          <w:sz w:val="32"/>
          <w:szCs w:val="32"/>
          <w:lang w:val="en-US" w:eastAsia="zh-CN"/>
        </w:rPr>
        <w:t>1</w:t>
      </w:r>
      <w:r>
        <w:rPr>
          <w:rFonts w:hint="eastAsia" w:ascii="仿宋_GB2312"/>
          <w:sz w:val="32"/>
          <w:szCs w:val="32"/>
          <w:lang w:eastAsia="zh-CN"/>
        </w:rPr>
        <w:t>）</w:t>
      </w:r>
      <w:r>
        <w:rPr>
          <w:rFonts w:hint="eastAsia" w:ascii="仿宋_GB2312"/>
          <w:sz w:val="32"/>
          <w:szCs w:val="32"/>
        </w:rPr>
        <w:t>重点工作任务完成情况</w:t>
      </w:r>
      <w:r>
        <w:rPr>
          <w:rFonts w:hint="eastAsia" w:ascii="仿宋_GB2312"/>
          <w:sz w:val="32"/>
          <w:szCs w:val="32"/>
          <w:lang w:val="en-US" w:eastAsia="zh-CN"/>
        </w:rPr>
        <w:t>。2025年重点工作办结率为100%，实际完成率、完成及时率、质量达标率均为98%以上。</w:t>
      </w:r>
    </w:p>
    <w:p w14:paraId="687A2FE6">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仿宋_GB2312"/>
          <w:sz w:val="32"/>
          <w:szCs w:val="32"/>
        </w:rPr>
      </w:pPr>
      <w:r>
        <w:rPr>
          <w:rFonts w:hint="eastAsia" w:ascii="仿宋_GB2312"/>
          <w:sz w:val="32"/>
          <w:szCs w:val="32"/>
          <w:lang w:val="en-US" w:eastAsia="zh-CN"/>
        </w:rPr>
        <w:t>（2）</w:t>
      </w:r>
      <w:r>
        <w:rPr>
          <w:rFonts w:hint="eastAsia" w:ascii="仿宋_GB2312"/>
          <w:sz w:val="32"/>
          <w:szCs w:val="32"/>
        </w:rPr>
        <w:t>履职目标实现情况</w:t>
      </w:r>
      <w:r>
        <w:rPr>
          <w:rFonts w:ascii="仿宋_GB2312"/>
          <w:sz w:val="32"/>
          <w:szCs w:val="32"/>
        </w:rPr>
        <w:t>。</w:t>
      </w:r>
      <w:r>
        <w:rPr>
          <w:rFonts w:hint="eastAsia" w:ascii="仿宋_GB2312"/>
          <w:sz w:val="32"/>
          <w:szCs w:val="32"/>
        </w:rPr>
        <w:t>认真履职完成各项工作任务，按照年初预算全面完成项目，工作成效积极向前发展，重点工作计划任务内容指标在规定的时限内完成。</w:t>
      </w:r>
    </w:p>
    <w:p w14:paraId="302D6961">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3.效益指标完成情况分析</w:t>
      </w:r>
    </w:p>
    <w:p w14:paraId="26BE26F5">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lang w:eastAsia="zh-CN"/>
        </w:rPr>
      </w:pPr>
      <w:r>
        <w:rPr>
          <w:rFonts w:hint="eastAsia" w:ascii="仿宋_GB2312"/>
          <w:sz w:val="32"/>
          <w:szCs w:val="32"/>
          <w:lang w:eastAsia="zh-CN"/>
        </w:rPr>
        <w:t>（</w:t>
      </w:r>
      <w:r>
        <w:rPr>
          <w:rFonts w:hint="eastAsia" w:ascii="仿宋_GB2312"/>
          <w:sz w:val="32"/>
          <w:szCs w:val="32"/>
          <w:lang w:val="en-US" w:eastAsia="zh-CN"/>
        </w:rPr>
        <w:t>1</w:t>
      </w:r>
      <w:r>
        <w:rPr>
          <w:rFonts w:hint="eastAsia" w:ascii="仿宋_GB2312"/>
          <w:sz w:val="32"/>
          <w:szCs w:val="32"/>
          <w:lang w:eastAsia="zh-CN"/>
        </w:rPr>
        <w:t>）</w:t>
      </w:r>
      <w:r>
        <w:rPr>
          <w:rFonts w:hint="eastAsia" w:ascii="仿宋_GB2312"/>
          <w:sz w:val="32"/>
          <w:szCs w:val="32"/>
        </w:rPr>
        <w:t>履职效益</w:t>
      </w:r>
      <w:r>
        <w:rPr>
          <w:rFonts w:ascii="仿宋_GB2312"/>
          <w:sz w:val="32"/>
          <w:szCs w:val="32"/>
        </w:rPr>
        <w:t>完成情况</w:t>
      </w:r>
      <w:r>
        <w:rPr>
          <w:rFonts w:hint="eastAsia" w:ascii="仿宋_GB2312"/>
          <w:sz w:val="32"/>
          <w:szCs w:val="32"/>
          <w:lang w:eastAsia="zh-CN"/>
        </w:rPr>
        <w:t>。项目实施有效的保证了义务教育学校正常运转和适度发展，办学条件有效改善，学校标准化水平全面提升，城乡义务教育均衡发展，教师激励机制进一步完善，“温馨校园”建设基础条件更加坚实，社会认可度较高。</w:t>
      </w:r>
    </w:p>
    <w:p w14:paraId="2B1B122D">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eastAsia="仿宋_GB2312"/>
          <w:sz w:val="32"/>
          <w:szCs w:val="32"/>
          <w:lang w:eastAsia="zh-CN"/>
        </w:rPr>
      </w:pPr>
      <w:r>
        <w:rPr>
          <w:rFonts w:hint="eastAsia" w:ascii="仿宋_GB2312"/>
          <w:sz w:val="32"/>
          <w:szCs w:val="32"/>
          <w:lang w:eastAsia="zh-CN"/>
        </w:rPr>
        <w:t>（</w:t>
      </w:r>
      <w:r>
        <w:rPr>
          <w:rFonts w:hint="eastAsia" w:ascii="仿宋_GB2312"/>
          <w:sz w:val="32"/>
          <w:szCs w:val="32"/>
          <w:lang w:val="en-US" w:eastAsia="zh-CN"/>
        </w:rPr>
        <w:t>2</w:t>
      </w:r>
      <w:r>
        <w:rPr>
          <w:rFonts w:hint="eastAsia" w:ascii="仿宋_GB2312"/>
          <w:sz w:val="32"/>
          <w:szCs w:val="32"/>
          <w:lang w:eastAsia="zh-CN"/>
        </w:rPr>
        <w:t>）</w:t>
      </w:r>
      <w:r>
        <w:rPr>
          <w:rFonts w:hint="eastAsia" w:ascii="仿宋_GB2312"/>
          <w:sz w:val="32"/>
          <w:szCs w:val="32"/>
        </w:rPr>
        <w:t>满意度</w:t>
      </w:r>
      <w:r>
        <w:rPr>
          <w:rFonts w:ascii="仿宋_GB2312"/>
          <w:sz w:val="32"/>
          <w:szCs w:val="32"/>
        </w:rPr>
        <w:t>情况。</w:t>
      </w:r>
      <w:r>
        <w:rPr>
          <w:rFonts w:hint="eastAsia" w:ascii="仿宋_GB2312"/>
          <w:sz w:val="32"/>
          <w:szCs w:val="32"/>
        </w:rPr>
        <w:t>服务对象对部门履职效果的满意程度</w:t>
      </w:r>
      <w:r>
        <w:rPr>
          <w:rFonts w:hint="eastAsia" w:ascii="仿宋_GB2312"/>
          <w:sz w:val="32"/>
          <w:szCs w:val="32"/>
          <w:lang w:eastAsia="zh-CN"/>
        </w:rPr>
        <w:t>为</w:t>
      </w:r>
      <w:r>
        <w:rPr>
          <w:rFonts w:hint="eastAsia" w:ascii="仿宋_GB2312"/>
          <w:sz w:val="32"/>
          <w:szCs w:val="32"/>
          <w:lang w:val="en-US" w:eastAsia="zh-CN"/>
        </w:rPr>
        <w:t>95</w:t>
      </w:r>
      <w:r>
        <w:rPr>
          <w:rFonts w:hint="eastAsia" w:ascii="仿宋_GB2312"/>
          <w:sz w:val="32"/>
          <w:szCs w:val="32"/>
        </w:rPr>
        <w:t>%</w:t>
      </w:r>
      <w:r>
        <w:rPr>
          <w:rFonts w:hint="eastAsia" w:ascii="仿宋_GB2312"/>
          <w:sz w:val="32"/>
          <w:szCs w:val="32"/>
          <w:lang w:eastAsia="zh-CN"/>
        </w:rPr>
        <w:t>以上，满意度较高。</w:t>
      </w:r>
    </w:p>
    <w:p w14:paraId="62069E4E">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黑体" w:hAnsi="黑体" w:eastAsia="黑体" w:cs="黑体"/>
          <w:bCs/>
          <w:sz w:val="32"/>
          <w:szCs w:val="32"/>
        </w:rPr>
      </w:pPr>
      <w:r>
        <w:rPr>
          <w:rFonts w:hint="eastAsia" w:ascii="黑体" w:hAnsi="黑体" w:eastAsia="黑体" w:cs="黑体"/>
          <w:bCs/>
          <w:sz w:val="32"/>
          <w:szCs w:val="32"/>
        </w:rPr>
        <w:t>五、发现的主要问题和改进措施</w:t>
      </w:r>
    </w:p>
    <w:p w14:paraId="35474A39">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1.绩效目标的科学性、合理性还需进一步细化和明确，绩效信息管理完善性等方面还有待提升。</w:t>
      </w:r>
    </w:p>
    <w:p w14:paraId="3F49DABB">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2.绩效管理体制、机制还不够健全。一是协调机制不够健全。把绩效管理工作只落实到财务人员头上，单位内部没有建立绩效评价协调机制，而财务人员对绩效指标的一些基础数据、信息资料不是很清楚，存在被动应付现象。二是绩效激励约束机制尚未建立。绩效结果与预算安排和政策调整的挂钩机制尚未建立，预算绩效管理对优化财政资源配置和提高政府效能的作用没有充分发挥。</w:t>
      </w:r>
    </w:p>
    <w:p w14:paraId="28F26861">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eastAsia="仿宋_GB2312"/>
          <w:sz w:val="32"/>
          <w:szCs w:val="32"/>
          <w:lang w:eastAsia="zh-CN"/>
        </w:rPr>
      </w:pPr>
      <w:r>
        <w:rPr>
          <w:rFonts w:hint="eastAsia" w:ascii="仿宋_GB2312"/>
          <w:sz w:val="32"/>
          <w:szCs w:val="32"/>
        </w:rPr>
        <w:t>3.财务人员的业务水平和能力还需进一步加强学习和提高</w:t>
      </w:r>
      <w:r>
        <w:rPr>
          <w:rFonts w:hint="eastAsia" w:ascii="仿宋_GB2312"/>
          <w:sz w:val="32"/>
          <w:szCs w:val="32"/>
          <w:lang w:eastAsia="zh-CN"/>
        </w:rPr>
        <w:t>。</w:t>
      </w:r>
    </w:p>
    <w:p w14:paraId="1455581B">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黑体" w:hAnsi="黑体" w:eastAsia="黑体" w:cs="黑体"/>
          <w:bCs/>
          <w:sz w:val="32"/>
          <w:szCs w:val="32"/>
        </w:rPr>
      </w:pPr>
      <w:r>
        <w:rPr>
          <w:rFonts w:hint="eastAsia" w:ascii="黑体" w:hAnsi="黑体" w:eastAsia="黑体" w:cs="黑体"/>
          <w:bCs/>
          <w:sz w:val="32"/>
          <w:szCs w:val="32"/>
        </w:rPr>
        <w:t>六、部门整体绩效自评结果拟应用和公开情况</w:t>
      </w:r>
    </w:p>
    <w:p w14:paraId="19E74DA2">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1.健全预算绩效管理制度体系，为预算绩效管理改革提供制度保障。我校对上级部门出台的预算绩效管理制度和办法进行梳理，按照深化预算绩效管理改革的要求进行修订、完善。加强本级财政专项资金绩效管理工作机制建设，全面推进预算绩效管理工作的稳步开展，提高财政预算绩效管理水平。</w:t>
      </w:r>
    </w:p>
    <w:p w14:paraId="64177FEC">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2.树立预算绩效管理理念，落实全过程预算绩效管理改革工作要求。认真履行预算绩效管理主体责任，采取有效措施，抓好“预算前、预算中、预算后”三个关键环节的绩效目标管理、绩效运行跟踪管理和绩效评价管理工作，做到“用钱必问效，无效必问责”，确保每一分钱用到实处，发挥最大效益。 </w:t>
      </w:r>
    </w:p>
    <w:p w14:paraId="2FAC4B9C">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3.做好预算绩效评价结果的反馈，强化评价结果应用。不断探索创新绩效评价结果运用方式，从做好评价结果反馈、抓好整改跟踪落实、强化评价结果应用、突出绩效问责等方面扩大运用范围，增强运用效力。</w:t>
      </w:r>
    </w:p>
    <w:p w14:paraId="10B28718">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4.完善绩效管理工作考核，促进预算绩效管理工作开展。按照年度工作要求，做好本部门绩效管理工作的总结、考核自评工作，积极组织按时间节点开展评价，对照评价指标体系科学地做好绩效评价。</w:t>
      </w:r>
    </w:p>
    <w:p w14:paraId="02B9BCF1">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5.加强绩效管理信息公开和宣传。建立预算绩效管理工作定期报送制度，定期公布预算绩效管理工作进展情况；及时宣传预算绩效管理工作政策、制度和工作进展情况，扩大预算绩效管理工作的影响面和社会认知度，为预算绩效管理工作营造良好的社会氛围；加强绩效管理机构建设和人员配置，保障本部门预算绩效管理工作的开展。</w:t>
      </w:r>
    </w:p>
    <w:p w14:paraId="42280C18">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黑体" w:hAnsi="黑体" w:eastAsia="黑体" w:cs="黑体"/>
          <w:bCs/>
          <w:sz w:val="32"/>
          <w:szCs w:val="32"/>
        </w:rPr>
      </w:pPr>
      <w:r>
        <w:rPr>
          <w:rFonts w:hint="eastAsia" w:ascii="黑体" w:hAnsi="黑体" w:eastAsia="黑体" w:cs="黑体"/>
          <w:bCs/>
          <w:sz w:val="32"/>
          <w:szCs w:val="32"/>
        </w:rPr>
        <w:t>七、部门整体绩效自评工作的经验、问题和建议</w:t>
      </w:r>
    </w:p>
    <w:p w14:paraId="21574CC7">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1.增强部门绩效管理意识，加强预算绩效目标管理，根据年度重点工作设置项目绩效目标，编制完整、量化可考核的绩效指标，对绩效目标进行细化、分解，明确绩效指标值，具有考核性、可衡量性，全面完整反映项目的预期产出和效果。  　　</w:t>
      </w:r>
    </w:p>
    <w:p w14:paraId="708B37E1">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2.加强绩效目标基础管理。加强学习加深对绩效目标的理解，掌握编制方法，规范填写绩效目标、绩效指标、指标值、度量单位、指标类型等，切实提高绩效目标编制水平。对于绩效目标不符合要求的及时修改、完善。</w:t>
      </w:r>
    </w:p>
    <w:p w14:paraId="3B859F99">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3. 进一步完善细化绩效管理制度建设。建立健全事前绩效评估、绩效目标管理、绩效运行监控、开展绩效评价和结果应用等全过程的绩效管理制度的工作流程。</w:t>
      </w:r>
    </w:p>
    <w:p w14:paraId="475096C6">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4.强化预算约束力，规范使用资金及会计核算，按规定及时拨付项目资金，避免因资金拨付时效而影响资金使用效益。强化预算约束力，按规范支出项目资金，确保财政资金规范使用。</w:t>
      </w:r>
    </w:p>
    <w:p w14:paraId="081029E8">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hint="eastAsia" w:ascii="仿宋_GB2312"/>
          <w:sz w:val="32"/>
          <w:szCs w:val="32"/>
        </w:rPr>
      </w:pPr>
      <w:r>
        <w:rPr>
          <w:rFonts w:hint="eastAsia" w:ascii="仿宋_GB2312"/>
          <w:sz w:val="32"/>
          <w:szCs w:val="32"/>
        </w:rPr>
        <w:t>5.加强对部门财务人员的培训，进一步提高业务水平。</w:t>
      </w:r>
    </w:p>
    <w:p w14:paraId="57A87704">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rPr>
          <w:rFonts w:ascii="黑体" w:hAnsi="黑体" w:eastAsia="黑体" w:cs="黑体"/>
          <w:bCs/>
          <w:sz w:val="32"/>
          <w:szCs w:val="32"/>
        </w:rPr>
      </w:pPr>
      <w:r>
        <w:rPr>
          <w:rFonts w:hint="eastAsia" w:ascii="黑体" w:hAnsi="黑体" w:eastAsia="黑体" w:cs="黑体"/>
          <w:bCs/>
          <w:sz w:val="32"/>
          <w:szCs w:val="32"/>
        </w:rPr>
        <w:t>八、其他需要说明的问题</w:t>
      </w:r>
    </w:p>
    <w:p w14:paraId="26597918">
      <w:pPr>
        <w:keepNext w:val="0"/>
        <w:keepLines w:val="0"/>
        <w:pageBreakBefore w:val="0"/>
        <w:widowControl w:val="0"/>
        <w:kinsoku/>
        <w:wordWrap/>
        <w:overflowPunct/>
        <w:topLinePunct w:val="0"/>
        <w:autoSpaceDE/>
        <w:autoSpaceDN/>
        <w:bidi w:val="0"/>
        <w:adjustRightInd/>
        <w:snapToGrid/>
        <w:spacing w:line="600" w:lineRule="exact"/>
        <w:ind w:firstLine="588" w:firstLineChars="200"/>
        <w:textAlignment w:val="auto"/>
      </w:pPr>
      <w:r>
        <w:rPr>
          <w:rFonts w:hint="eastAsia"/>
          <w:sz w:val="32"/>
          <w:szCs w:val="32"/>
          <w:lang w:eastAsia="zh-CN"/>
        </w:rPr>
        <w:t>无</w:t>
      </w:r>
    </w:p>
    <w:sectPr>
      <w:footerReference r:id="rId3" w:type="default"/>
      <w:footerReference r:id="rId4" w:type="even"/>
      <w:pgSz w:w="11906" w:h="16838"/>
      <w:pgMar w:top="1440" w:right="1797" w:bottom="1440" w:left="1797" w:header="851" w:footer="992" w:gutter="0"/>
      <w:pgNumType w:fmt="numberInDash"/>
      <w:cols w:space="720" w:num="1"/>
      <w:docGrid w:type="linesAndChars" w:linePitch="606" w:charSpace="-53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1C5DD">
    <w:pPr>
      <w:pStyle w:val="5"/>
    </w:pPr>
    <w:r>
      <w:rPr>
        <w:sz w:val="18"/>
      </w:rP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5517E8FE">
                <w:pPr>
                  <w:pStyle w:val="5"/>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DE7BD">
    <w:pPr>
      <w:pStyle w:val="5"/>
      <w:framePr w:wrap="around" w:vAnchor="text" w:hAnchor="margin" w:xAlign="center" w:y="1"/>
      <w:rPr>
        <w:rStyle w:val="9"/>
      </w:rPr>
    </w:pPr>
    <w:r>
      <w:fldChar w:fldCharType="begin"/>
    </w:r>
    <w:r>
      <w:rPr>
        <w:rStyle w:val="9"/>
      </w:rPr>
      <w:instrText xml:space="preserve">PAGE  </w:instrText>
    </w:r>
    <w:r>
      <w:fldChar w:fldCharType="end"/>
    </w:r>
  </w:p>
  <w:p w14:paraId="3835C2CB">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HorizontalSpacing w:val="150"/>
  <w:drawingGridVerticalSpacing w:val="581"/>
  <w:displayHorizontalDrawingGridEvery w:val="0"/>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zk5NjVhZmIyZTk2OGE2YWNjNWUyNTFjNzkwMzYxYTIifQ=="/>
  </w:docVars>
  <w:rsids>
    <w:rsidRoot w:val="00C945F1"/>
    <w:rsid w:val="000066F3"/>
    <w:rsid w:val="00007D3D"/>
    <w:rsid w:val="00014178"/>
    <w:rsid w:val="00023C41"/>
    <w:rsid w:val="00025AB1"/>
    <w:rsid w:val="00080926"/>
    <w:rsid w:val="000A50B1"/>
    <w:rsid w:val="000C561F"/>
    <w:rsid w:val="00107096"/>
    <w:rsid w:val="00174027"/>
    <w:rsid w:val="001D0FE8"/>
    <w:rsid w:val="00231F71"/>
    <w:rsid w:val="002329CA"/>
    <w:rsid w:val="002A1601"/>
    <w:rsid w:val="002B25B1"/>
    <w:rsid w:val="0035434B"/>
    <w:rsid w:val="00405AE2"/>
    <w:rsid w:val="00405C47"/>
    <w:rsid w:val="004E61B2"/>
    <w:rsid w:val="004E7817"/>
    <w:rsid w:val="005520A5"/>
    <w:rsid w:val="00595B97"/>
    <w:rsid w:val="005A1A96"/>
    <w:rsid w:val="005B6326"/>
    <w:rsid w:val="005D1DFC"/>
    <w:rsid w:val="005E263C"/>
    <w:rsid w:val="006E016F"/>
    <w:rsid w:val="00735765"/>
    <w:rsid w:val="0084038F"/>
    <w:rsid w:val="0086127D"/>
    <w:rsid w:val="008762B9"/>
    <w:rsid w:val="008F39C6"/>
    <w:rsid w:val="00994F70"/>
    <w:rsid w:val="00AA3097"/>
    <w:rsid w:val="00B06CC7"/>
    <w:rsid w:val="00B12614"/>
    <w:rsid w:val="00B40D97"/>
    <w:rsid w:val="00C47558"/>
    <w:rsid w:val="00C524E0"/>
    <w:rsid w:val="00C86B00"/>
    <w:rsid w:val="00C945F1"/>
    <w:rsid w:val="00CD4B0E"/>
    <w:rsid w:val="00CD50D7"/>
    <w:rsid w:val="00D6561F"/>
    <w:rsid w:val="00D80BA2"/>
    <w:rsid w:val="00E06D11"/>
    <w:rsid w:val="00E2502F"/>
    <w:rsid w:val="00EE67E7"/>
    <w:rsid w:val="00F22FE2"/>
    <w:rsid w:val="00F4795B"/>
    <w:rsid w:val="00FB255E"/>
    <w:rsid w:val="00FC3ED4"/>
    <w:rsid w:val="00FE1050"/>
    <w:rsid w:val="00FF1168"/>
    <w:rsid w:val="060774EA"/>
    <w:rsid w:val="0D3B3F1D"/>
    <w:rsid w:val="0F2561EC"/>
    <w:rsid w:val="0FCF6803"/>
    <w:rsid w:val="16FE2244"/>
    <w:rsid w:val="17B9616B"/>
    <w:rsid w:val="17EC6476"/>
    <w:rsid w:val="1F996FAD"/>
    <w:rsid w:val="237A0EA4"/>
    <w:rsid w:val="249D1405"/>
    <w:rsid w:val="24FE68ED"/>
    <w:rsid w:val="251913F0"/>
    <w:rsid w:val="29E11806"/>
    <w:rsid w:val="2A633AF4"/>
    <w:rsid w:val="2C695D17"/>
    <w:rsid w:val="33D67240"/>
    <w:rsid w:val="3A7C292F"/>
    <w:rsid w:val="3C072315"/>
    <w:rsid w:val="42575CA3"/>
    <w:rsid w:val="4464345D"/>
    <w:rsid w:val="446E1F07"/>
    <w:rsid w:val="46183E96"/>
    <w:rsid w:val="4690085B"/>
    <w:rsid w:val="472870E1"/>
    <w:rsid w:val="47521101"/>
    <w:rsid w:val="477F39C5"/>
    <w:rsid w:val="4901159C"/>
    <w:rsid w:val="4CF46E26"/>
    <w:rsid w:val="4D452868"/>
    <w:rsid w:val="53F768DD"/>
    <w:rsid w:val="55BC7090"/>
    <w:rsid w:val="56E86456"/>
    <w:rsid w:val="579161E1"/>
    <w:rsid w:val="58016EF8"/>
    <w:rsid w:val="5D1859F9"/>
    <w:rsid w:val="61DD104F"/>
    <w:rsid w:val="65B57A1A"/>
    <w:rsid w:val="680110BE"/>
    <w:rsid w:val="68A11FFC"/>
    <w:rsid w:val="68AF1577"/>
    <w:rsid w:val="69356E1D"/>
    <w:rsid w:val="69A41E76"/>
    <w:rsid w:val="6C113FB5"/>
    <w:rsid w:val="6D034232"/>
    <w:rsid w:val="6DDB1EA4"/>
    <w:rsid w:val="70866A62"/>
    <w:rsid w:val="718747D9"/>
    <w:rsid w:val="77C877A1"/>
    <w:rsid w:val="7858735C"/>
    <w:rsid w:val="78DF7854"/>
    <w:rsid w:val="7A2623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0"/>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3"/>
    <w:unhideWhenUsed/>
    <w:qFormat/>
    <w:uiPriority w:val="99"/>
    <w:pPr>
      <w:spacing w:after="120" w:afterLines="0" w:line="480" w:lineRule="auto"/>
      <w:ind w:left="420" w:leftChars="200"/>
    </w:pPr>
  </w:style>
  <w:style w:type="paragraph" w:styleId="3">
    <w:name w:val="Body Text"/>
    <w:basedOn w:val="1"/>
    <w:qFormat/>
    <w:uiPriority w:val="99"/>
    <w:pPr>
      <w:spacing w:after="120"/>
    </w:pPr>
    <w:rPr>
      <w:rFonts w:eastAsia="仿宋_GB2312"/>
      <w:sz w:val="32"/>
    </w:rPr>
  </w:style>
  <w:style w:type="paragraph" w:styleId="4">
    <w:name w:val="Balloon Text"/>
    <w:basedOn w:val="1"/>
    <w:link w:val="11"/>
    <w:semiHidden/>
    <w:unhideWhenUsed/>
    <w:qFormat/>
    <w:uiPriority w:val="99"/>
    <w:rPr>
      <w:sz w:val="18"/>
      <w:szCs w:val="18"/>
    </w:rPr>
  </w:style>
  <w:style w:type="paragraph" w:styleId="5">
    <w:name w:val="footer"/>
    <w:basedOn w:val="1"/>
    <w:semiHidden/>
    <w:qFormat/>
    <w:uiPriority w:val="0"/>
    <w:pPr>
      <w:tabs>
        <w:tab w:val="center" w:pos="4153"/>
        <w:tab w:val="right" w:pos="8306"/>
      </w:tabs>
      <w:snapToGrid w:val="0"/>
      <w:jc w:val="left"/>
    </w:pPr>
    <w:rPr>
      <w:rFonts w:eastAsia="宋体"/>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page number"/>
    <w:basedOn w:val="8"/>
    <w:semiHidden/>
    <w:qFormat/>
    <w:uiPriority w:val="0"/>
  </w:style>
  <w:style w:type="character" w:customStyle="1" w:styleId="10">
    <w:name w:val="页眉 字符"/>
    <w:link w:val="6"/>
    <w:semiHidden/>
    <w:qFormat/>
    <w:uiPriority w:val="99"/>
    <w:rPr>
      <w:rFonts w:eastAsia="仿宋_GB2312"/>
      <w:kern w:val="2"/>
      <w:sz w:val="18"/>
      <w:szCs w:val="18"/>
    </w:rPr>
  </w:style>
  <w:style w:type="character" w:customStyle="1" w:styleId="11">
    <w:name w:val="批注框文本 字符"/>
    <w:link w:val="4"/>
    <w:semiHidden/>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3876</Words>
  <Characters>3987</Characters>
  <Lines>3</Lines>
  <Paragraphs>1</Paragraphs>
  <TotalTime>11</TotalTime>
  <ScaleCrop>false</ScaleCrop>
  <LinksUpToDate>false</LinksUpToDate>
  <CharactersWithSpaces>3999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2011-02-27T05:26:00Z</dcterms:created>
  <dc:creator>lhn</dc:creator>
  <cp:lastModifiedBy>宋增权</cp:lastModifiedBy>
  <cp:lastPrinted>2025-02-20T10:00:00Z</cp:lastPrinted>
  <dcterms:modified xsi:type="dcterms:W3CDTF">2026-03-12T03:49:28Z</dcterms:modified>
  <dc:title>附件3：          </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4890A6B4A5E949539B4C0A03E9F4E5DF_12</vt:lpwstr>
  </property>
  <property fmtid="{D5CDD505-2E9C-101B-9397-08002B2CF9AE}" pid="4" name="KSOTemplateDocerSaveRecord">
    <vt:lpwstr>eyJoZGlkIjoiNGFmMzYwNjQxZDRhNzAwZGVlZGQxOGE5MTc4OTBiYTkiLCJ1c2VySWQiOiIxMjgzNjg2MDU4In0=</vt:lpwstr>
  </property>
</Properties>
</file>