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CE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 w14:paraId="2C09C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省级旅游发展专项资金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绩效自评报告</w:t>
      </w:r>
      <w:bookmarkEnd w:id="0"/>
    </w:p>
    <w:p w14:paraId="596B402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p w14:paraId="4D9B9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一、绩效目标分解下达情况</w:t>
      </w:r>
    </w:p>
    <w:p w14:paraId="06FD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财政下达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/>
          <w:sz w:val="32"/>
          <w:szCs w:val="32"/>
          <w:lang w:val="en-US" w:eastAsia="zh-CN"/>
        </w:rPr>
        <w:t>局2024年省级旅游发展专项资金5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  <w:lang w:eastAsia="zh-CN"/>
        </w:rPr>
        <w:t>主要用于临泽县旅游资源普查工作。</w:t>
      </w:r>
    </w:p>
    <w:p w14:paraId="5D933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二、绩效目标完成情况分析</w:t>
      </w:r>
    </w:p>
    <w:p w14:paraId="72467B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（一）资金投入情况分析</w:t>
      </w:r>
    </w:p>
    <w:p w14:paraId="02743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1.项目资金执行情况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分析</w:t>
      </w:r>
    </w:p>
    <w:p w14:paraId="56CC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财政下达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/>
          <w:sz w:val="32"/>
          <w:szCs w:val="32"/>
          <w:lang w:val="en-US" w:eastAsia="zh-CN"/>
        </w:rPr>
        <w:t>局2024年省级旅游发展专项资金5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至目前实际完成支付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我局严格按照相关规定对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资金进行统筹和监管，充分发挥了财政资金对旅游产业项目的支持引导作用。</w:t>
      </w:r>
    </w:p>
    <w:p w14:paraId="18A71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2.项目资金管理情况分析</w:t>
      </w:r>
    </w:p>
    <w:p w14:paraId="175827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项目资金使用上我局按照专款专用、及时拨付、定期检查的要求，认真做好资金的使用管理，项目资金全部通过财政专户集中支付的方式拨付，对使用专项资金的项目定期进行检查指导，现场查看建设进度，严格资金使用范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资金使用安全规范。</w:t>
      </w:r>
    </w:p>
    <w:p w14:paraId="2CF67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（二）总体绩效目标完成情况分析</w:t>
      </w:r>
    </w:p>
    <w:p w14:paraId="2E2DF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财政下达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/>
          <w:sz w:val="32"/>
          <w:szCs w:val="32"/>
          <w:lang w:val="en-US" w:eastAsia="zh-CN"/>
        </w:rPr>
        <w:t>局2024年省级旅游发展专项资金5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Cs/>
          <w:sz w:val="32"/>
        </w:rPr>
        <w:t>通过自评，申报实施的</w:t>
      </w:r>
      <w:r>
        <w:rPr>
          <w:rFonts w:hint="eastAsia" w:ascii="仿宋_GB2312" w:hAnsi="仿宋_GB2312"/>
          <w:bCs/>
          <w:sz w:val="32"/>
          <w:lang w:eastAsia="zh-CN"/>
        </w:rPr>
        <w:t>临泽县旅游资源普查项目</w:t>
      </w:r>
      <w:r>
        <w:rPr>
          <w:rFonts w:hint="eastAsia" w:ascii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bCs/>
          <w:sz w:val="32"/>
          <w:lang w:eastAsia="zh-CN"/>
        </w:rPr>
        <w:t>项目绩效</w:t>
      </w:r>
      <w:r>
        <w:rPr>
          <w:rFonts w:hint="eastAsia" w:ascii="仿宋_GB2312" w:hAnsi="仿宋_GB2312" w:eastAsia="仿宋_GB2312"/>
          <w:bCs/>
          <w:sz w:val="32"/>
        </w:rPr>
        <w:t>目标任务全面完成，项目绩效目标全部实现。</w:t>
      </w:r>
    </w:p>
    <w:p w14:paraId="79A49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（三）绩效指标完成情况分析</w:t>
      </w:r>
    </w:p>
    <w:p w14:paraId="5FCA26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产出指标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分析。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根据临泽县旅游资源实际情况，</w:t>
      </w:r>
      <w:r>
        <w:rPr>
          <w:rFonts w:hint="eastAsia" w:ascii="仿宋_GB2312"/>
          <w:sz w:val="32"/>
          <w:szCs w:val="32"/>
          <w:lang w:val="en-US" w:eastAsia="zh-CN"/>
        </w:rPr>
        <w:t>确定甘肃省地矿局水勘院为第三方技术支撑单位，</w:t>
      </w:r>
      <w:r>
        <w:rPr>
          <w:rFonts w:hint="eastAsia" w:ascii="仿宋" w:eastAsia="仿宋" w:cs="仿宋"/>
          <w:bCs/>
          <w:spacing w:val="0"/>
          <w:sz w:val="32"/>
          <w:szCs w:val="32"/>
          <w:lang w:eastAsia="zh-CN"/>
        </w:rPr>
        <w:t>对全县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大类</w:t>
      </w:r>
      <w:r>
        <w:rPr>
          <w:rFonts w:hint="eastAsia" w:ascii="仿宋" w:eastAsia="仿宋" w:cs="仿宋"/>
          <w:bCs/>
          <w:spacing w:val="0"/>
          <w:sz w:val="32"/>
          <w:szCs w:val="32"/>
        </w:rPr>
        <w:t>旅游资源开展普查</w:t>
      </w:r>
      <w:r>
        <w:rPr>
          <w:rFonts w:hint="eastAsia" w:ascii="仿宋" w:eastAsia="仿宋" w:cs="仿宋"/>
          <w:bCs/>
          <w:spacing w:val="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对采集的资料信息及时开展分析评估和转化处理，编制完成《临泽县旅游资源普查成果报告》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/>
          <w:sz w:val="32"/>
          <w:szCs w:val="32"/>
          <w:lang w:val="en-US" w:eastAsia="zh-CN"/>
        </w:rPr>
        <w:t>并提交甘肃省旅游资源数据库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p w14:paraId="682651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效益指标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分析。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按照“应查尽查、应普尽普”原则，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累计确定资源单体502处</w:t>
      </w:r>
      <w:r>
        <w:rPr>
          <w:rFonts w:hint="eastAsia" w:ascii="仿宋_GB2312" w:hAnsi="宋体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其中</w:t>
      </w:r>
      <w:r>
        <w:rPr>
          <w:rFonts w:hint="default" w:ascii="仿宋_GB2312" w:hAnsi="宋体" w:eastAsia="仿宋_GB2312" w:cs="Times New Roman"/>
          <w:spacing w:val="0"/>
          <w:sz w:val="32"/>
          <w:szCs w:val="32"/>
          <w:lang w:val="en-US" w:eastAsia="zh-CN"/>
        </w:rPr>
        <w:t>优良级旅游资源单体9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6处</w:t>
      </w:r>
      <w:r>
        <w:rPr>
          <w:rFonts w:hint="default" w:ascii="仿宋_GB2312" w:hAnsi="宋体" w:eastAsia="仿宋_GB2312" w:cs="Times New Roman"/>
          <w:b/>
          <w:bCs/>
          <w:spacing w:val="0"/>
          <w:sz w:val="24"/>
          <w:szCs w:val="24"/>
          <w:lang w:val="en-US" w:eastAsia="zh-CN"/>
        </w:rPr>
        <w:t>，</w:t>
      </w:r>
      <w:r>
        <w:rPr>
          <w:rFonts w:hint="default" w:ascii="仿宋_GB2312" w:hAnsi="宋体" w:eastAsia="仿宋_GB2312" w:cs="Times New Roman"/>
          <w:spacing w:val="0"/>
          <w:sz w:val="32"/>
          <w:szCs w:val="32"/>
          <w:lang w:val="en-US" w:eastAsia="zh-CN"/>
        </w:rPr>
        <w:t>普通级旅游资源单体406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处</w:t>
      </w:r>
      <w:r>
        <w:rPr>
          <w:rFonts w:hint="eastAsia" w:ascii="仿宋_GB2312" w:hAnsi="宋体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基本做到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全县旅游资源普查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无死角、全覆盖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。</w:t>
      </w:r>
    </w:p>
    <w:p w14:paraId="6CE172B6"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满意度指标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分析。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摸清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全县旅游资源家底，增加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资源储备，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eastAsia="zh-CN"/>
        </w:rPr>
        <w:t>为更好地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保护和开发文化旅游资源，全面推动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临泽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县文化旅游高质量发展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资源基底保障。</w:t>
      </w:r>
    </w:p>
    <w:p w14:paraId="34FCE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三、偏离绩效目标的原因和下一步改进措施</w:t>
      </w:r>
    </w:p>
    <w:p w14:paraId="324AE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snapToGrid w:val="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宋体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宋体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宋体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财政下达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我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局2024年旅游发展专项资金5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实际到位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/>
          <w:bCs/>
          <w:snapToGrid w:val="0"/>
          <w:kern w:val="0"/>
          <w:sz w:val="32"/>
          <w:lang w:val="en-US" w:eastAsia="zh-CN"/>
        </w:rPr>
        <w:t>项目100%执行到位。</w:t>
      </w:r>
    </w:p>
    <w:p w14:paraId="00E6EF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绩效自评结果拟应用和公开情况</w:t>
      </w:r>
    </w:p>
    <w:p w14:paraId="4BDB9BDA">
      <w:pPr>
        <w:keepNext w:val="0"/>
        <w:keepLines w:val="0"/>
        <w:pageBreakBefore w:val="0"/>
        <w:widowControl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经过自查评估，</w:t>
      </w:r>
      <w:r>
        <w:rPr>
          <w:rFonts w:hint="eastAsia" w:ascii="仿宋_GB2312"/>
          <w:sz w:val="32"/>
          <w:szCs w:val="32"/>
          <w:lang w:val="en-US" w:eastAsia="zh-CN"/>
        </w:rPr>
        <w:t>2024年省级旅游发展专项资金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及时足额到位，管理制度健全且得到了有效执行，在</w:t>
      </w:r>
      <w:r>
        <w:rPr>
          <w:rFonts w:hint="eastAsia" w:ascii="仿宋_GB2312" w:hAnsi="宋体" w:cs="Arial"/>
          <w:color w:val="000000"/>
          <w:kern w:val="0"/>
          <w:sz w:val="32"/>
          <w:szCs w:val="32"/>
          <w:lang w:val="en-US" w:eastAsia="zh-CN"/>
        </w:rPr>
        <w:t>进一步摸清旅游资源家底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方面发挥了重要的资金保障作用。</w:t>
      </w:r>
    </w:p>
    <w:p w14:paraId="18587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五、其他需要说明的问题</w:t>
      </w:r>
    </w:p>
    <w:p w14:paraId="58AAD9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项目资金在申报、分配、下达和执行的各环节，受财政部门严格监督，未发现违规使用问题。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BDDF9">
    <w:pPr>
      <w:pStyle w:val="4"/>
      <w:ind w:right="45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7D24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7D24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6F3AC"/>
    <w:multiLevelType w:val="singleLevel"/>
    <w:tmpl w:val="ACA6F3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963D3"/>
    <w:rsid w:val="40333762"/>
    <w:rsid w:val="6869602D"/>
    <w:rsid w:val="7C1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1318</Words>
  <Characters>1416</Characters>
  <Lines>0</Lines>
  <Paragraphs>0</Paragraphs>
  <TotalTime>2</TotalTime>
  <ScaleCrop>false</ScaleCrop>
  <LinksUpToDate>false</LinksUpToDate>
  <CharactersWithSpaces>1440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2025-02-26T08:56:00Z</dcterms:created>
  <dc:creator>贝贝贝贝贝贝贝</dc:creator>
  <cp:lastModifiedBy>晴天^O^娃娃</cp:lastModifiedBy>
  <cp:lastPrinted>2025-02-27T03:10:00Z</cp:lastPrinted>
  <dcterms:modified xsi:type="dcterms:W3CDTF">2025-02-27T03:38:25Z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BE7A8FAAE43247A59152C51224054F85_13</vt:lpwstr>
  </property>
  <property fmtid="{D5CDD505-2E9C-101B-9397-08002B2CF9AE}" pid="4" name="KSOTemplateDocerSaveRecord">
    <vt:lpwstr>eyJoZGlkIjoiMTM3ZWNlNzY4MjNmOGRkOGVhNWZmY2FiZDM5NDMwNmQiLCJ1c2VySWQiOiI0NTI0MDkwNjMifQ==</vt:lpwstr>
  </property>
</Properties>
</file>