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3D463">
      <w:pPr>
        <w:keepNext w:val="0"/>
        <w:keepLines w:val="0"/>
        <w:pageBreakBefore w:val="0"/>
        <w:widowControl/>
        <w:kinsoku/>
        <w:wordWrap/>
        <w:overflowPunct/>
        <w:topLinePunct w:val="0"/>
        <w:autoSpaceDE w:val="0"/>
        <w:autoSpaceDN w:val="0"/>
        <w:bidi w:val="0"/>
        <w:adjustRightInd w:val="0"/>
        <w:snapToGrid w:val="0"/>
        <w:spacing w:line="600" w:lineRule="exact"/>
        <w:ind w:left="0" w:right="0"/>
        <w:jc w:val="center"/>
        <w:textAlignment w:val="baseline"/>
        <w:rPr>
          <w:rFonts w:hint="eastAsia" w:ascii="方正小标宋简体" w:hAnsi="方正小标宋简体" w:eastAsia="方正小标宋简体" w:cs="方正小标宋简体"/>
          <w:b w:val="0"/>
          <w:bCs w:val="0"/>
          <w:spacing w:val="-13"/>
          <w:sz w:val="44"/>
          <w:szCs w:val="44"/>
        </w:rPr>
      </w:pPr>
    </w:p>
    <w:p w14:paraId="13B11EF8">
      <w:pPr>
        <w:keepNext w:val="0"/>
        <w:keepLines w:val="0"/>
        <w:pageBreakBefore w:val="0"/>
        <w:widowControl w:val="0"/>
        <w:kinsoku/>
        <w:wordWrap/>
        <w:overflowPunct/>
        <w:topLinePunct w:val="0"/>
        <w:autoSpaceDE/>
        <w:autoSpaceDN/>
        <w:bidi w:val="0"/>
        <w:adjustRightInd/>
        <w:snapToGrid/>
        <w:spacing w:line="580" w:lineRule="exact"/>
        <w:ind w:left="0" w:leftChars="0" w:right="0" w:rightChars="0"/>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z w:val="44"/>
          <w:szCs w:val="44"/>
        </w:rPr>
        <w:t>中央政法纪检监察转移支付资金</w:t>
      </w:r>
    </w:p>
    <w:p w14:paraId="08D74F7E">
      <w:pPr>
        <w:keepNext w:val="0"/>
        <w:keepLines w:val="0"/>
        <w:pageBreakBefore w:val="0"/>
        <w:widowControl/>
        <w:kinsoku/>
        <w:wordWrap/>
        <w:overflowPunct/>
        <w:topLinePunct w:val="0"/>
        <w:autoSpaceDE w:val="0"/>
        <w:autoSpaceDN w:val="0"/>
        <w:bidi w:val="0"/>
        <w:adjustRightInd w:val="0"/>
        <w:snapToGrid w:val="0"/>
        <w:spacing w:line="600" w:lineRule="exact"/>
        <w:ind w:left="0" w:right="0"/>
        <w:jc w:val="center"/>
        <w:textAlignment w:val="baseline"/>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spacing w:val="-13"/>
          <w:sz w:val="44"/>
          <w:szCs w:val="44"/>
        </w:rPr>
        <w:t>202</w:t>
      </w:r>
      <w:r>
        <w:rPr>
          <w:rFonts w:hint="eastAsia" w:ascii="方正小标宋简体" w:hAnsi="方正小标宋简体" w:eastAsia="方正小标宋简体" w:cs="方正小标宋简体"/>
          <w:b w:val="0"/>
          <w:bCs w:val="0"/>
          <w:spacing w:val="-13"/>
          <w:sz w:val="44"/>
          <w:szCs w:val="44"/>
          <w:lang w:val="en-US" w:eastAsia="zh-CN"/>
        </w:rPr>
        <w:t>4</w:t>
      </w:r>
      <w:r>
        <w:rPr>
          <w:rFonts w:hint="eastAsia" w:ascii="方正小标宋简体" w:hAnsi="方正小标宋简体" w:eastAsia="方正小标宋简体" w:cs="方正小标宋简体"/>
          <w:b w:val="0"/>
          <w:bCs w:val="0"/>
          <w:spacing w:val="-13"/>
          <w:sz w:val="44"/>
          <w:szCs w:val="44"/>
        </w:rPr>
        <w:t>年度绩效自评报告</w:t>
      </w:r>
    </w:p>
    <w:p w14:paraId="44EAACC8">
      <w:pPr>
        <w:keepNext w:val="0"/>
        <w:keepLines w:val="0"/>
        <w:pageBreakBefore w:val="0"/>
        <w:widowControl/>
        <w:kinsoku/>
        <w:wordWrap/>
        <w:overflowPunct/>
        <w:topLinePunct w:val="0"/>
        <w:autoSpaceDE w:val="0"/>
        <w:autoSpaceDN w:val="0"/>
        <w:bidi w:val="0"/>
        <w:adjustRightInd w:val="0"/>
        <w:snapToGrid w:val="0"/>
        <w:spacing w:line="600" w:lineRule="exact"/>
        <w:ind w:left="0" w:right="0"/>
        <w:jc w:val="both"/>
        <w:textAlignment w:val="baseline"/>
        <w:outlineLvl w:val="0"/>
        <w:rPr>
          <w:rFonts w:hint="eastAsia" w:ascii="仿宋_GB2312" w:hAnsi="仿宋_GB2312" w:eastAsia="仿宋_GB2312" w:cs="仿宋_GB2312"/>
          <w:b w:val="0"/>
          <w:bCs w:val="0"/>
          <w:spacing w:val="-9"/>
          <w:sz w:val="32"/>
          <w:szCs w:val="32"/>
        </w:rPr>
      </w:pPr>
    </w:p>
    <w:p w14:paraId="073770E0">
      <w:pPr>
        <w:pStyle w:val="5"/>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一、绩效目标分解下达情况</w:t>
      </w:r>
    </w:p>
    <w:p w14:paraId="582BBF6F">
      <w:pPr>
        <w:pStyle w:val="5"/>
        <w:keepNext w:val="0"/>
        <w:keepLines w:val="0"/>
        <w:pageBreakBefore w:val="0"/>
        <w:widowControl/>
        <w:kinsoku/>
        <w:wordWrap/>
        <w:overflowPunct/>
        <w:topLinePunct w:val="0"/>
        <w:autoSpaceDE w:val="0"/>
        <w:autoSpaceDN w:val="0"/>
        <w:bidi w:val="0"/>
        <w:adjustRightInd w:val="0"/>
        <w:snapToGrid w:val="0"/>
        <w:spacing w:line="600" w:lineRule="exact"/>
        <w:ind w:right="0" w:firstLine="643" w:firstLineChars="200"/>
        <w:jc w:val="both"/>
        <w:textAlignment w:val="baseline"/>
        <w:rPr>
          <w:rFonts w:hint="eastAsia" w:ascii="仿宋_GB2312" w:hAnsi="仿宋_GB2312" w:eastAsia="仿宋_GB2312" w:cs="仿宋_GB2312"/>
          <w:b/>
          <w:bCs/>
          <w:kern w:val="2"/>
          <w:sz w:val="32"/>
          <w:szCs w:val="32"/>
          <w:lang w:eastAsia="zh-CN"/>
        </w:rPr>
      </w:pPr>
      <w:r>
        <w:rPr>
          <w:rFonts w:hint="eastAsia" w:ascii="仿宋_GB2312" w:hAnsi="仿宋_GB2312" w:eastAsia="仿宋_GB2312" w:cs="仿宋_GB2312"/>
          <w:b/>
          <w:bCs/>
          <w:kern w:val="2"/>
          <w:sz w:val="32"/>
          <w:szCs w:val="32"/>
          <w:lang w:eastAsia="zh-CN"/>
        </w:rPr>
        <w:t>（一）下达中央政法转移支付预算和绩效目标情况</w:t>
      </w:r>
    </w:p>
    <w:p w14:paraId="3564DAAC">
      <w:pPr>
        <w:keepNext w:val="0"/>
        <w:keepLines w:val="0"/>
        <w:pageBreakBefore w:val="0"/>
        <w:wordWrap/>
        <w:overflowPunct/>
        <w:topLinePunct w:val="0"/>
        <w:bidi w:val="0"/>
        <w:adjustRightInd w:val="0"/>
        <w:snapToGrid w:val="0"/>
        <w:spacing w:before="120" w:line="600" w:lineRule="exact"/>
        <w:ind w:left="0" w:firstLine="640" w:firstLineChars="200"/>
        <w:jc w:val="left"/>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sz w:val="32"/>
          <w:szCs w:val="32"/>
          <w:lang w:val="en-US" w:eastAsia="zh-CN"/>
        </w:rPr>
        <w:t>本部门</w:t>
      </w:r>
      <w:r>
        <w:rPr>
          <w:rFonts w:hint="eastAsia" w:ascii="仿宋_GB2312" w:hAnsi="仿宋_GB2312" w:eastAsia="仿宋_GB2312" w:cs="仿宋_GB2312"/>
          <w:sz w:val="32"/>
          <w:szCs w:val="32"/>
        </w:rPr>
        <w:t>20</w:t>
      </w:r>
      <w:r>
        <w:rPr>
          <w:rFonts w:hint="eastAsia" w:ascii="仿宋_GB2312" w:hAnsi="仿宋_GB2312" w:eastAsia="仿宋_GB2312" w:cs="仿宋_GB2312"/>
          <w:sz w:val="32"/>
          <w:szCs w:val="32"/>
          <w:lang w:val="en-US" w:eastAsia="zh-CN"/>
        </w:rPr>
        <w:t>24</w:t>
      </w:r>
      <w:r>
        <w:rPr>
          <w:rFonts w:hint="eastAsia" w:ascii="仿宋_GB2312" w:hAnsi="仿宋_GB2312" w:eastAsia="仿宋_GB2312" w:cs="仿宋_GB2312"/>
          <w:sz w:val="32"/>
          <w:szCs w:val="32"/>
        </w:rPr>
        <w:t>年</w:t>
      </w:r>
      <w:r>
        <w:rPr>
          <w:rFonts w:hint="eastAsia" w:ascii="仿宋_GB2312" w:hAnsi="仿宋_GB2312" w:eastAsia="仿宋_GB2312" w:cs="仿宋_GB2312"/>
          <w:sz w:val="32"/>
          <w:szCs w:val="32"/>
          <w:lang w:eastAsia="zh-CN"/>
        </w:rPr>
        <w:t>安排转移支付资金</w:t>
      </w:r>
      <w:r>
        <w:rPr>
          <w:rFonts w:hint="eastAsia" w:ascii="仿宋_GB2312" w:hAnsi="仿宋_GB2312" w:eastAsia="仿宋_GB2312" w:cs="仿宋_GB2312"/>
          <w:sz w:val="32"/>
          <w:szCs w:val="32"/>
          <w:lang w:val="en-US" w:eastAsia="zh-CN"/>
        </w:rPr>
        <w:t>481万元</w:t>
      </w:r>
      <w:r>
        <w:rPr>
          <w:rFonts w:hint="eastAsia" w:ascii="仿宋_GB2312" w:hAnsi="仿宋_GB2312" w:eastAsia="仿宋_GB2312" w:cs="仿宋_GB2312"/>
          <w:color w:val="auto"/>
          <w:sz w:val="32"/>
          <w:szCs w:val="32"/>
          <w:u w:val="none"/>
          <w:lang w:val="en-US" w:eastAsia="zh-CN"/>
        </w:rPr>
        <w:t>。</w:t>
      </w:r>
      <w:r>
        <w:rPr>
          <w:rFonts w:hint="eastAsia" w:ascii="仿宋_GB2312" w:hAnsi="仿宋_GB2312" w:eastAsia="仿宋_GB2312" w:cs="仿宋_GB2312"/>
          <w:kern w:val="2"/>
          <w:sz w:val="32"/>
          <w:szCs w:val="32"/>
          <w:lang w:val="en-US" w:eastAsia="zh-CN"/>
        </w:rPr>
        <w:t>2024年度绩效目标：</w:t>
      </w:r>
      <w:r>
        <w:rPr>
          <w:rStyle w:val="15"/>
          <w:rFonts w:hint="eastAsia" w:ascii="仿宋_GB2312" w:hAnsi="仿宋_GB2312" w:eastAsia="仿宋_GB2312" w:cs="仿宋_GB2312"/>
          <w:b w:val="0"/>
          <w:bCs w:val="0"/>
          <w:color w:val="000000"/>
          <w:sz w:val="32"/>
          <w:szCs w:val="32"/>
        </w:rPr>
        <w:t>公安机关政法纪检监察转移支付</w:t>
      </w:r>
      <w:r>
        <w:rPr>
          <w:rStyle w:val="15"/>
          <w:rFonts w:hint="eastAsia" w:ascii="仿宋_GB2312" w:hAnsi="仿宋_GB2312" w:eastAsia="仿宋_GB2312" w:cs="仿宋_GB2312"/>
          <w:b w:val="0"/>
          <w:bCs w:val="0"/>
          <w:color w:val="000000"/>
          <w:sz w:val="32"/>
          <w:szCs w:val="32"/>
          <w:lang w:eastAsia="zh-CN"/>
        </w:rPr>
        <w:t>资金</w:t>
      </w:r>
      <w:r>
        <w:rPr>
          <w:rStyle w:val="15"/>
          <w:rFonts w:hint="eastAsia" w:ascii="仿宋_GB2312" w:hAnsi="仿宋_GB2312" w:eastAsia="仿宋_GB2312" w:cs="仿宋_GB2312"/>
          <w:b w:val="0"/>
          <w:bCs w:val="0"/>
          <w:color w:val="000000"/>
          <w:sz w:val="32"/>
          <w:szCs w:val="32"/>
        </w:rPr>
        <w:t>促进政法机关执法水平和能力的提高，提升政法机关信息化水平和办案效率；完成各类应急装备的采购及配发，保证一线民警必要装备的配备，有效处置各类警情；完成</w:t>
      </w:r>
      <w:r>
        <w:rPr>
          <w:rStyle w:val="15"/>
          <w:rFonts w:hint="eastAsia" w:ascii="仿宋_GB2312" w:hAnsi="仿宋_GB2312" w:eastAsia="仿宋_GB2312" w:cs="仿宋_GB2312"/>
          <w:b w:val="0"/>
          <w:bCs w:val="0"/>
          <w:color w:val="000000"/>
          <w:sz w:val="32"/>
          <w:szCs w:val="32"/>
          <w:lang w:eastAsia="zh-CN"/>
        </w:rPr>
        <w:t>公安</w:t>
      </w:r>
      <w:r>
        <w:rPr>
          <w:rStyle w:val="15"/>
          <w:rFonts w:hint="eastAsia" w:ascii="仿宋_GB2312" w:hAnsi="仿宋_GB2312" w:eastAsia="仿宋_GB2312" w:cs="仿宋_GB2312"/>
          <w:b w:val="0"/>
          <w:bCs w:val="0"/>
          <w:color w:val="000000"/>
          <w:sz w:val="32"/>
          <w:szCs w:val="32"/>
        </w:rPr>
        <w:t>信息化项目的持续建设，开展侦察办案工作，扫黑除恶、禁毒、破案追讨等专项行动，大力打击电信诈骗、非法集资等违法犯罪活动；强化法律监督，化解社会矛盾，加强法制宣传，维护社会稳定，维护公平正义；增强政法工作效率、促进社会公平和地区间公共服务均等、保障民生民利、保障社会治安综合治理等所需要达到的社会效益目标。</w:t>
      </w:r>
    </w:p>
    <w:p w14:paraId="12968F3F">
      <w:pPr>
        <w:pStyle w:val="5"/>
        <w:keepNext w:val="0"/>
        <w:keepLines w:val="0"/>
        <w:pageBreakBefore w:val="0"/>
        <w:widowControl/>
        <w:numPr>
          <w:ilvl w:val="0"/>
          <w:numId w:val="0"/>
        </w:numPr>
        <w:kinsoku/>
        <w:wordWrap/>
        <w:overflowPunct/>
        <w:topLinePunct w:val="0"/>
        <w:autoSpaceDE w:val="0"/>
        <w:autoSpaceDN w:val="0"/>
        <w:bidi w:val="0"/>
        <w:adjustRightInd w:val="0"/>
        <w:snapToGrid w:val="0"/>
        <w:spacing w:line="600" w:lineRule="exact"/>
        <w:ind w:right="0" w:rightChars="0" w:firstLine="643" w:firstLineChars="200"/>
        <w:jc w:val="both"/>
        <w:textAlignment w:val="baseline"/>
        <w:rPr>
          <w:rFonts w:hint="eastAsia" w:ascii="仿宋_GB2312" w:hAnsi="仿宋_GB2312" w:eastAsia="仿宋_GB2312" w:cs="仿宋_GB2312"/>
          <w:kern w:val="2"/>
          <w:sz w:val="32"/>
          <w:szCs w:val="32"/>
          <w:lang w:eastAsia="zh-CN"/>
        </w:rPr>
      </w:pPr>
      <w:r>
        <w:rPr>
          <w:rFonts w:hint="eastAsia" w:ascii="仿宋_GB2312" w:hAnsi="仿宋_GB2312" w:eastAsia="仿宋_GB2312" w:cs="仿宋_GB2312"/>
          <w:b/>
          <w:bCs/>
          <w:kern w:val="2"/>
          <w:sz w:val="32"/>
          <w:szCs w:val="32"/>
          <w:lang w:eastAsia="zh-CN"/>
        </w:rPr>
        <w:t>（二）资金安排、分解下达预算和绩效目标情况</w:t>
      </w:r>
    </w:p>
    <w:p w14:paraId="2F3CC81E">
      <w:pPr>
        <w:keepNext w:val="0"/>
        <w:keepLines w:val="0"/>
        <w:pageBreakBefore w:val="0"/>
        <w:numPr>
          <w:ilvl w:val="0"/>
          <w:numId w:val="0"/>
        </w:numPr>
        <w:kinsoku/>
        <w:wordWrap/>
        <w:overflowPunct/>
        <w:topLinePunct w:val="0"/>
        <w:autoSpaceDE/>
        <w:autoSpaceDN/>
        <w:bidi w:val="0"/>
        <w:adjustRightInd/>
        <w:spacing w:line="600" w:lineRule="exact"/>
        <w:ind w:left="0" w:firstLine="640" w:firstLineChars="200"/>
        <w:textAlignment w:val="auto"/>
        <w:rPr>
          <w:rStyle w:val="15"/>
          <w:rFonts w:hint="eastAsia" w:ascii="仿宋_GB2312" w:hAnsi="仿宋_GB2312" w:eastAsia="仿宋_GB2312" w:cs="仿宋_GB2312"/>
          <w:b w:val="0"/>
          <w:bCs w:val="0"/>
          <w:color w:val="000000"/>
          <w:sz w:val="32"/>
          <w:szCs w:val="32"/>
          <w:lang w:val="en-US"/>
        </w:rPr>
      </w:pPr>
      <w:r>
        <w:rPr>
          <w:rFonts w:hint="eastAsia" w:ascii="仿宋_GB2312" w:hAnsi="仿宋_GB2312" w:eastAsia="仿宋_GB2312" w:cs="仿宋_GB2312"/>
          <w:kern w:val="2"/>
          <w:sz w:val="32"/>
          <w:szCs w:val="32"/>
          <w:lang w:val="en-US" w:eastAsia="zh-CN"/>
        </w:rPr>
        <w:t>2024年下达转移支付资金481万元，预算执行481万元，</w:t>
      </w:r>
      <w:r>
        <w:rPr>
          <w:rFonts w:hint="eastAsia" w:ascii="仿宋_GB2312" w:hAnsi="仿宋_GB2312" w:eastAsia="仿宋_GB2312" w:cs="仿宋_GB2312"/>
          <w:sz w:val="32"/>
          <w:szCs w:val="32"/>
          <w:lang w:val="en-US" w:eastAsia="zh-CN"/>
        </w:rPr>
        <w:t>预算执行率100%。其</w:t>
      </w:r>
      <w:r>
        <w:rPr>
          <w:rStyle w:val="15"/>
          <w:rFonts w:hint="eastAsia" w:ascii="仿宋_GB2312" w:hAnsi="仿宋_GB2312" w:eastAsia="仿宋_GB2312" w:cs="仿宋_GB2312"/>
          <w:b w:val="0"/>
          <w:bCs w:val="0"/>
          <w:color w:val="000000"/>
          <w:sz w:val="32"/>
          <w:szCs w:val="32"/>
          <w:lang w:val="en-US" w:eastAsia="zh-CN"/>
        </w:rPr>
        <w:t>中第一批甘财政法(2023）45号-全省公安机关政法转移支付资金下达446万元，第二批</w:t>
      </w:r>
      <w:r>
        <w:rPr>
          <w:rStyle w:val="15"/>
          <w:rFonts w:hint="eastAsia" w:ascii="仿宋_GB2312" w:hAnsi="仿宋_GB2312" w:eastAsia="仿宋_GB2312" w:cs="仿宋_GB2312"/>
          <w:b w:val="0"/>
          <w:bCs w:val="0"/>
          <w:color w:val="000000"/>
          <w:sz w:val="32"/>
          <w:szCs w:val="32"/>
        </w:rPr>
        <w:t>甘财政</w:t>
      </w:r>
      <w:r>
        <w:rPr>
          <w:rStyle w:val="15"/>
          <w:rFonts w:hint="eastAsia" w:ascii="仿宋_GB2312" w:hAnsi="仿宋_GB2312" w:eastAsia="仿宋_GB2312" w:cs="仿宋_GB2312"/>
          <w:b w:val="0"/>
          <w:bCs w:val="0"/>
          <w:color w:val="000000"/>
          <w:sz w:val="32"/>
          <w:szCs w:val="32"/>
          <w:lang w:eastAsia="zh-CN"/>
        </w:rPr>
        <w:t>（</w:t>
      </w:r>
      <w:r>
        <w:rPr>
          <w:rStyle w:val="15"/>
          <w:rFonts w:hint="eastAsia" w:ascii="仿宋_GB2312" w:hAnsi="仿宋_GB2312" w:eastAsia="仿宋_GB2312" w:cs="仿宋_GB2312"/>
          <w:b w:val="0"/>
          <w:bCs w:val="0"/>
          <w:color w:val="000000"/>
          <w:sz w:val="32"/>
          <w:szCs w:val="32"/>
        </w:rPr>
        <w:t>2024</w:t>
      </w:r>
      <w:r>
        <w:rPr>
          <w:rStyle w:val="15"/>
          <w:rFonts w:hint="eastAsia" w:ascii="仿宋_GB2312" w:hAnsi="仿宋_GB2312" w:eastAsia="仿宋_GB2312" w:cs="仿宋_GB2312"/>
          <w:b w:val="0"/>
          <w:bCs w:val="0"/>
          <w:color w:val="000000"/>
          <w:sz w:val="32"/>
          <w:szCs w:val="32"/>
          <w:lang w:eastAsia="zh-CN"/>
        </w:rPr>
        <w:t>）</w:t>
      </w:r>
      <w:r>
        <w:rPr>
          <w:rStyle w:val="15"/>
          <w:rFonts w:hint="eastAsia" w:ascii="仿宋_GB2312" w:hAnsi="仿宋_GB2312" w:eastAsia="仿宋_GB2312" w:cs="仿宋_GB2312"/>
          <w:b w:val="0"/>
          <w:bCs w:val="0"/>
          <w:color w:val="000000"/>
          <w:sz w:val="32"/>
          <w:szCs w:val="32"/>
        </w:rPr>
        <w:t>9号-公安机关政法转移支付资金</w:t>
      </w:r>
      <w:r>
        <w:rPr>
          <w:rStyle w:val="15"/>
          <w:rFonts w:hint="eastAsia" w:ascii="仿宋_GB2312" w:hAnsi="仿宋_GB2312" w:eastAsia="仿宋_GB2312" w:cs="仿宋_GB2312"/>
          <w:b w:val="0"/>
          <w:bCs w:val="0"/>
          <w:color w:val="000000"/>
          <w:sz w:val="32"/>
          <w:szCs w:val="32"/>
          <w:lang w:eastAsia="zh-CN"/>
        </w:rPr>
        <w:t>下达</w:t>
      </w:r>
      <w:r>
        <w:rPr>
          <w:rStyle w:val="15"/>
          <w:rFonts w:hint="eastAsia" w:ascii="仿宋_GB2312" w:hAnsi="仿宋_GB2312" w:eastAsia="仿宋_GB2312" w:cs="仿宋_GB2312"/>
          <w:b w:val="0"/>
          <w:bCs w:val="0"/>
          <w:color w:val="000000"/>
          <w:sz w:val="32"/>
          <w:szCs w:val="32"/>
          <w:lang w:val="en-US" w:eastAsia="zh-CN"/>
        </w:rPr>
        <w:t>35万元。</w:t>
      </w:r>
    </w:p>
    <w:p w14:paraId="092E197B">
      <w:pPr>
        <w:keepNext w:val="0"/>
        <w:keepLines w:val="0"/>
        <w:pageBreakBefore w:val="0"/>
        <w:numPr>
          <w:ilvl w:val="0"/>
          <w:numId w:val="0"/>
        </w:numPr>
        <w:wordWrap/>
        <w:overflowPunct/>
        <w:topLinePunct w:val="0"/>
        <w:bidi w:val="0"/>
        <w:spacing w:line="600" w:lineRule="exact"/>
        <w:ind w:left="0"/>
        <w:rPr>
          <w:rFonts w:hint="eastAsia" w:ascii="仿宋_GB2312" w:hAnsi="仿宋_GB2312" w:eastAsia="仿宋_GB2312" w:cs="仿宋_GB2312"/>
          <w:sz w:val="32"/>
          <w:szCs w:val="32"/>
          <w:lang w:eastAsia="zh-CN"/>
        </w:rPr>
      </w:pPr>
    </w:p>
    <w:p w14:paraId="3E18F6A9">
      <w:pPr>
        <w:pStyle w:val="5"/>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二、绩效目标完成情况分析</w:t>
      </w:r>
    </w:p>
    <w:p w14:paraId="46B9D2FA">
      <w:pPr>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（一）资金投入情况分析。</w:t>
      </w:r>
    </w:p>
    <w:p w14:paraId="406C05D4">
      <w:pPr>
        <w:keepNext w:val="0"/>
        <w:keepLines w:val="0"/>
        <w:pageBreakBefore w:val="0"/>
        <w:kinsoku/>
        <w:wordWrap/>
        <w:overflowPunct/>
        <w:topLinePunct w:val="0"/>
        <w:autoSpaceDE/>
        <w:autoSpaceDN/>
        <w:bidi w:val="0"/>
        <w:adjustRightInd/>
        <w:snapToGrid w:val="0"/>
        <w:spacing w:line="60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1.项目资金到位情况分析。</w:t>
      </w:r>
      <w:r>
        <w:rPr>
          <w:rFonts w:hint="eastAsia" w:ascii="仿宋_GB2312" w:hAnsi="仿宋_GB2312" w:eastAsia="仿宋_GB2312" w:cs="仿宋_GB2312"/>
          <w:sz w:val="32"/>
          <w:szCs w:val="32"/>
          <w:lang w:val="en-US" w:eastAsia="zh-CN"/>
        </w:rPr>
        <w:t>2024年度政法转移支付资金收入总计481万元，资金到位率100%。</w:t>
      </w:r>
    </w:p>
    <w:p w14:paraId="1E636C43">
      <w:pPr>
        <w:keepNext w:val="0"/>
        <w:keepLines w:val="0"/>
        <w:pageBreakBefore w:val="0"/>
        <w:kinsoku/>
        <w:wordWrap/>
        <w:overflowPunct/>
        <w:topLinePunct w:val="0"/>
        <w:autoSpaceDE/>
        <w:autoSpaceDN/>
        <w:bidi w:val="0"/>
        <w:adjustRightInd/>
        <w:snapToGrid w:val="0"/>
        <w:spacing w:line="60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2.项目资金执行情况分析。</w:t>
      </w:r>
      <w:r>
        <w:rPr>
          <w:rFonts w:hint="eastAsia" w:ascii="仿宋_GB2312" w:hAnsi="仿宋_GB2312" w:eastAsia="仿宋_GB2312" w:cs="仿宋_GB2312"/>
          <w:sz w:val="32"/>
          <w:szCs w:val="32"/>
          <w:lang w:val="en-US" w:eastAsia="zh-CN"/>
        </w:rPr>
        <w:t>2024年度执行政法转移支付资金481万元，支付481万元，预算执行率100%。</w:t>
      </w:r>
    </w:p>
    <w:p w14:paraId="01D421C6">
      <w:pPr>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（二）</w:t>
      </w:r>
      <w:r>
        <w:rPr>
          <w:rFonts w:hint="eastAsia" w:ascii="仿宋_GB2312" w:hAnsi="仿宋_GB2312" w:eastAsia="仿宋_GB2312" w:cs="仿宋_GB2312"/>
          <w:b/>
          <w:bCs/>
          <w:sz w:val="32"/>
          <w:szCs w:val="32"/>
        </w:rPr>
        <w:t>项目资金管理情况分析。</w:t>
      </w:r>
    </w:p>
    <w:p w14:paraId="619717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1、资金分配科学性 </w:t>
      </w:r>
    </w:p>
    <w:p w14:paraId="188FB9DC">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认真落实财政部、公安部制定因素和重点投向，资金分配资金科学、合理。</w:t>
      </w:r>
    </w:p>
    <w:p w14:paraId="35EC5E71">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下达及时性  </w:t>
      </w:r>
    </w:p>
    <w:p w14:paraId="65159905">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left"/>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严格按照预算法及其实施条例、转移支付管理制度规定的时限要求及时分解下达资金。</w:t>
      </w:r>
    </w:p>
    <w:p w14:paraId="7A6E6AD0">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firstLine="640" w:firstLineChars="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拨付合规性 </w:t>
      </w:r>
    </w:p>
    <w:p w14:paraId="32252AB1">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严格按照国库集中支付制度有关规定支付资金，未出现违规将资金从国库转入财政专户或支付到预算单位实有资金账户等问题。</w:t>
      </w:r>
    </w:p>
    <w:p w14:paraId="5D88145A">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firstLine="640" w:firstLineChars="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使用规范性  </w:t>
      </w:r>
    </w:p>
    <w:p w14:paraId="46D6F58B">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严格按照下达预算要求执行，未出现截留、挪用等问题。转移支付资金主要用于办案业务费和业务装备费开支，未擅自扩大开支范围。</w:t>
      </w:r>
    </w:p>
    <w:p w14:paraId="05FFBB2A">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firstLine="64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执行准确性 </w:t>
      </w:r>
      <w:r>
        <w:rPr>
          <w:rFonts w:hint="eastAsia" w:ascii="仿宋_GB2312" w:hAnsi="仿宋_GB2312" w:eastAsia="仿宋_GB2312" w:cs="仿宋_GB2312"/>
          <w:color w:val="auto"/>
          <w:kern w:val="2"/>
          <w:sz w:val="32"/>
          <w:szCs w:val="32"/>
          <w:lang w:val="en-US" w:eastAsia="zh-CN" w:bidi="ar-SA"/>
        </w:rPr>
        <w:t xml:space="preserve"> </w:t>
      </w:r>
    </w:p>
    <w:p w14:paraId="478A6EA2">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jc w:val="both"/>
        <w:textAlignment w:val="auto"/>
        <w:rPr>
          <w:rFonts w:hint="eastAsia" w:ascii="仿宋_GB2312" w:hAnsi="仿宋_GB2312" w:eastAsia="仿宋_GB2312" w:cs="仿宋_GB2312"/>
          <w:b w:val="0"/>
          <w:bCs w:val="0"/>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按照上级中央政法转移支付资金481万元，资金总支出481万元，资金执行率100%。所有支出资金做到上级下达预算安排的金</w:t>
      </w:r>
      <w:r>
        <w:rPr>
          <w:rFonts w:hint="eastAsia" w:ascii="仿宋_GB2312" w:hAnsi="仿宋_GB2312" w:eastAsia="仿宋_GB2312" w:cs="仿宋_GB2312"/>
          <w:b w:val="0"/>
          <w:bCs w:val="0"/>
          <w:color w:val="auto"/>
          <w:kern w:val="2"/>
          <w:sz w:val="32"/>
          <w:szCs w:val="32"/>
          <w:lang w:val="en-US" w:eastAsia="zh-CN" w:bidi="ar-SA"/>
        </w:rPr>
        <w:t>额执行，不存在执行数偏离预算数。</w:t>
      </w:r>
    </w:p>
    <w:p w14:paraId="7D24D57C">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firstLine="640" w:firstLineChars="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 xml:space="preserve">预算绩效管理情况 </w:t>
      </w:r>
      <w:r>
        <w:rPr>
          <w:rFonts w:hint="eastAsia" w:ascii="仿宋_GB2312" w:hAnsi="仿宋_GB2312" w:eastAsia="仿宋_GB2312" w:cs="仿宋_GB2312"/>
          <w:color w:val="auto"/>
          <w:kern w:val="2"/>
          <w:sz w:val="32"/>
          <w:szCs w:val="32"/>
          <w:lang w:val="en-US" w:eastAsia="zh-CN" w:bidi="ar-SA"/>
        </w:rPr>
        <w:t xml:space="preserve">  </w:t>
      </w:r>
    </w:p>
    <w:p w14:paraId="41F8DAAC">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color w:val="auto"/>
          <w:kern w:val="2"/>
          <w:sz w:val="32"/>
          <w:szCs w:val="32"/>
          <w:lang w:val="en-US" w:eastAsia="zh-CN" w:bidi="ar-SA"/>
        </w:rPr>
      </w:pPr>
      <w:r>
        <w:rPr>
          <w:rFonts w:hint="eastAsia" w:ascii="仿宋_GB2312" w:hAnsi="仿宋_GB2312" w:eastAsia="仿宋_GB2312" w:cs="仿宋_GB2312"/>
          <w:color w:val="auto"/>
          <w:kern w:val="2"/>
          <w:sz w:val="32"/>
          <w:szCs w:val="32"/>
          <w:lang w:val="en-US" w:eastAsia="zh-CN" w:bidi="ar-SA"/>
        </w:rPr>
        <w:t>在细化下达预算时同步下达绩效目标指标，按要求开展绩效监控和绩效评价，提高绩效目标与项目预算的匹配性，实现了绩效目标全覆盖。</w:t>
      </w:r>
    </w:p>
    <w:p w14:paraId="67F55587">
      <w:pPr>
        <w:pStyle w:val="9"/>
        <w:keepNext w:val="0"/>
        <w:keepLines w:val="0"/>
        <w:pageBreakBefore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firstLine="640" w:firstLineChars="0"/>
        <w:jc w:val="both"/>
        <w:textAlignment w:val="auto"/>
        <w:rPr>
          <w:rFonts w:hint="eastAsia" w:ascii="仿宋_GB2312" w:hAnsi="仿宋_GB2312" w:eastAsia="仿宋_GB2312" w:cs="仿宋_GB2312"/>
          <w:b/>
          <w:bCs/>
          <w:color w:val="auto"/>
          <w:kern w:val="2"/>
          <w:sz w:val="32"/>
          <w:szCs w:val="32"/>
          <w:lang w:val="en-US" w:eastAsia="zh-CN" w:bidi="ar-SA"/>
        </w:rPr>
      </w:pPr>
      <w:r>
        <w:rPr>
          <w:rFonts w:hint="eastAsia" w:ascii="仿宋_GB2312" w:hAnsi="仿宋_GB2312" w:eastAsia="仿宋_GB2312" w:cs="仿宋_GB2312"/>
          <w:b/>
          <w:bCs/>
          <w:color w:val="auto"/>
          <w:kern w:val="2"/>
          <w:sz w:val="32"/>
          <w:szCs w:val="32"/>
          <w:lang w:val="en-US" w:eastAsia="zh-CN" w:bidi="ar-SA"/>
        </w:rPr>
        <w:t>支出责任履行情况</w:t>
      </w:r>
    </w:p>
    <w:p w14:paraId="3528B484">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color w:val="auto"/>
          <w:kern w:val="2"/>
          <w:sz w:val="32"/>
          <w:szCs w:val="32"/>
          <w:lang w:val="en-US" w:eastAsia="zh-CN" w:bidi="ar-SA"/>
        </w:rPr>
        <w:t>我单位认真履行中央政法转移资金支出责任。该项目资金主要是办案业务费和业务装备费。县级资金主要保障执法办案中心建设项目、社会治安智能化建设项目、雪亮工程建设项目、执法办案等方面资金投入资金量大。</w:t>
      </w:r>
    </w:p>
    <w:p w14:paraId="3EDCF284">
      <w:pPr>
        <w:keepNext w:val="0"/>
        <w:keepLines w:val="0"/>
        <w:pageBreakBefore w:val="0"/>
        <w:widowControl/>
        <w:numPr>
          <w:ilvl w:val="0"/>
          <w:numId w:val="0"/>
        </w:numPr>
        <w:kinsoku/>
        <w:wordWrap/>
        <w:overflowPunct/>
        <w:topLinePunct w:val="0"/>
        <w:autoSpaceDE w:val="0"/>
        <w:autoSpaceDN w:val="0"/>
        <w:bidi w:val="0"/>
        <w:adjustRightInd w:val="0"/>
        <w:snapToGrid w:val="0"/>
        <w:spacing w:line="600" w:lineRule="exact"/>
        <w:ind w:right="0" w:rightChars="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（三）</w:t>
      </w:r>
      <w:r>
        <w:rPr>
          <w:rFonts w:hint="eastAsia" w:ascii="仿宋_GB2312" w:hAnsi="仿宋_GB2312" w:eastAsia="仿宋_GB2312" w:cs="仿宋_GB2312"/>
          <w:b/>
          <w:bCs/>
          <w:sz w:val="32"/>
          <w:szCs w:val="32"/>
        </w:rPr>
        <w:t>总体绩效目标完成情况分析。</w:t>
      </w:r>
    </w:p>
    <w:p w14:paraId="0708932D">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深化“祁连1号”行动，主动创安、主动创稳，基层基础工作向行稳致远迈进。</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一是重心下沉“强底座”。</w:t>
      </w:r>
      <w:r>
        <w:rPr>
          <w:rFonts w:hint="eastAsia" w:ascii="仿宋_GB2312" w:hAnsi="仿宋_GB2312" w:eastAsia="仿宋_GB2312" w:cs="仿宋_GB2312"/>
          <w:color w:val="000000" w:themeColor="text1"/>
          <w:sz w:val="32"/>
          <w:szCs w:val="32"/>
          <w:shd w:val="clear" w:color="auto" w:fill="FFFFFF"/>
          <w:lang w:val="en-US" w:eastAsia="zh-CN"/>
          <w14:textFill>
            <w14:solidFill>
              <w14:schemeClr w14:val="tx1"/>
            </w14:solidFill>
          </w14:textFill>
        </w:rPr>
        <w:t>深耕社区警务，“一村一辅警”和交通安全辅警配备率达100%。做实主动警务、防控警务，</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全县刑事、治安案件发案226、311起，同比分别下降24.5%、32.9%，命</w:t>
      </w:r>
      <w:r>
        <w:rPr>
          <w:rFonts w:hint="eastAsia" w:ascii="仿宋_GB2312" w:hAnsi="仿宋_GB2312" w:eastAsia="仿宋_GB2312" w:cs="仿宋_GB2312"/>
          <w:color w:val="000000" w:themeColor="text1"/>
          <w:kern w:val="0"/>
          <w:sz w:val="32"/>
          <w:szCs w:val="32"/>
          <w:lang w:val="en-US" w:eastAsia="zh-CN"/>
          <w14:textFill>
            <w14:solidFill>
              <w14:schemeClr w14:val="tx1"/>
            </w14:solidFill>
          </w14:textFill>
        </w:rPr>
        <w:t>案连续21个月、电诈预后被骗连续13个月零发生</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。10个派出所档案室全部完成省一级达标复核验收。</w:t>
      </w:r>
      <w:r>
        <w:rPr>
          <w:rFonts w:hint="eastAsia" w:ascii="仿宋_GB2312" w:hAnsi="仿宋_GB2312" w:eastAsia="仿宋_GB2312" w:cs="仿宋_GB2312"/>
          <w:color w:val="000000" w:themeColor="text1"/>
          <w:spacing w:val="-6"/>
          <w:sz w:val="32"/>
          <w:szCs w:val="32"/>
          <w:highlight w:val="none"/>
          <w:shd w:val="clear" w:color="auto" w:fill="FFFFFF"/>
          <w:lang w:eastAsia="zh-CN"/>
          <w14:textFill>
            <w14:solidFill>
              <w14:schemeClr w14:val="tx1"/>
            </w14:solidFill>
          </w14:textFill>
        </w:rPr>
        <w:t>监所管理连续</w:t>
      </w:r>
      <w:r>
        <w:rPr>
          <w:rFonts w:hint="eastAsia" w:ascii="仿宋_GB2312" w:hAnsi="仿宋_GB2312" w:eastAsia="仿宋_GB2312" w:cs="仿宋_GB2312"/>
          <w:color w:val="000000" w:themeColor="text1"/>
          <w:spacing w:val="-6"/>
          <w:sz w:val="32"/>
          <w:szCs w:val="32"/>
          <w:highlight w:val="none"/>
          <w:shd w:val="clear" w:color="auto" w:fill="FFFFFF"/>
          <w:lang w:val="en-US" w:eastAsia="zh-CN"/>
          <w14:textFill>
            <w14:solidFill>
              <w14:schemeClr w14:val="tx1"/>
            </w14:solidFill>
          </w14:textFill>
        </w:rPr>
        <w:t>22年安全无事故。</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二是防线前置“控风险”。</w:t>
      </w:r>
      <w:r>
        <w:rPr>
          <w:rFonts w:hint="eastAsia" w:ascii="仿宋_GB2312" w:hAnsi="仿宋_GB2312" w:eastAsia="仿宋_GB2312" w:cs="仿宋_GB2312"/>
          <w:color w:val="000000" w:themeColor="text1"/>
          <w:sz w:val="32"/>
          <w:szCs w:val="32"/>
          <w14:textFill>
            <w14:solidFill>
              <w14:schemeClr w14:val="tx1"/>
            </w14:solidFill>
          </w14:textFill>
        </w:rPr>
        <w:t>梯次部署治安整治“十大行动”“夏季行动”</w:t>
      </w:r>
      <w:r>
        <w:rPr>
          <w:rFonts w:hint="eastAsia" w:ascii="仿宋_GB2312" w:hAnsi="仿宋_GB2312" w:eastAsia="仿宋_GB2312" w:cs="仿宋_GB2312"/>
          <w:color w:val="000000" w:themeColor="text1"/>
          <w:sz w:val="32"/>
          <w:szCs w:val="32"/>
          <w:lang w:eastAsia="zh-CN"/>
          <w14:textFill>
            <w14:solidFill>
              <w14:schemeClr w14:val="tx1"/>
            </w14:solidFill>
          </w14:textFill>
        </w:rPr>
        <w:t>“冬季行动”</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治安掌控力不断提升。纵深推进“化解矛盾风险、维护社会稳定”专项治理，精准纳管“三类场所”75处、“三类人”382名，有效提高管事率、处置力。“一揽子”治理道路隐患113处，</w:t>
      </w:r>
      <w:r>
        <w:rPr>
          <w:rFonts w:hint="eastAsia" w:ascii="仿宋_GB2312" w:hAnsi="仿宋_GB2312" w:eastAsia="仿宋_GB2312" w:cs="仿宋_GB2312"/>
          <w:color w:val="000000" w:themeColor="text1"/>
          <w:sz w:val="32"/>
          <w:szCs w:val="32"/>
          <w14:textFill>
            <w14:solidFill>
              <w14:schemeClr w14:val="tx1"/>
            </w14:solidFill>
          </w14:textFill>
        </w:rPr>
        <w:t>交通事故</w:t>
      </w:r>
      <w:r>
        <w:rPr>
          <w:rFonts w:hint="eastAsia" w:ascii="仿宋_GB2312" w:hAnsi="仿宋_GB2312" w:eastAsia="仿宋_GB2312" w:cs="仿宋_GB2312"/>
          <w:color w:val="000000" w:themeColor="text1"/>
          <w:sz w:val="32"/>
          <w:szCs w:val="32"/>
          <w:lang w:eastAsia="zh-CN"/>
          <w14:textFill>
            <w14:solidFill>
              <w14:schemeClr w14:val="tx1"/>
            </w14:solidFill>
          </w14:textFill>
        </w:rPr>
        <w:t>起数、</w:t>
      </w:r>
      <w:r>
        <w:rPr>
          <w:rFonts w:hint="eastAsia" w:ascii="仿宋_GB2312" w:hAnsi="仿宋_GB2312" w:eastAsia="仿宋_GB2312" w:cs="仿宋_GB2312"/>
          <w:color w:val="000000" w:themeColor="text1"/>
          <w:sz w:val="32"/>
          <w:szCs w:val="32"/>
          <w14:textFill>
            <w14:solidFill>
              <w14:schemeClr w14:val="tx1"/>
            </w14:solidFill>
          </w14:textFill>
        </w:rPr>
        <w:t>死亡人数</w:t>
      </w:r>
      <w:r>
        <w:rPr>
          <w:rFonts w:hint="eastAsia" w:ascii="仿宋_GB2312" w:hAnsi="仿宋_GB2312" w:eastAsia="仿宋_GB2312" w:cs="仿宋_GB2312"/>
          <w:color w:val="000000" w:themeColor="text1"/>
          <w:sz w:val="32"/>
          <w:szCs w:val="32"/>
          <w:lang w:eastAsia="zh-CN"/>
          <w14:textFill>
            <w14:solidFill>
              <w14:schemeClr w14:val="tx1"/>
            </w14:solidFill>
          </w14:textFill>
        </w:rPr>
        <w:t>同比分别下降</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19.23</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和</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13.33</w:t>
      </w:r>
      <w:r>
        <w:rPr>
          <w:rFonts w:hint="eastAsia" w:ascii="仿宋_GB2312" w:hAnsi="仿宋_GB2312" w:eastAsia="仿宋_GB2312" w:cs="仿宋_GB2312"/>
          <w:color w:val="000000" w:themeColor="text1"/>
          <w:sz w:val="32"/>
          <w:szCs w:val="32"/>
          <w14:textFill>
            <w14:solidFill>
              <w14:schemeClr w14:val="tx1"/>
            </w14:solidFill>
          </w14:textFill>
        </w:rPr>
        <w:t>%</w:t>
      </w:r>
      <w:r>
        <w:rPr>
          <w:rFonts w:hint="eastAsia" w:ascii="仿宋_GB2312" w:hAnsi="仿宋_GB2312" w:eastAsia="仿宋_GB2312" w:cs="仿宋_GB2312"/>
          <w:color w:val="000000" w:themeColor="text1"/>
          <w:sz w:val="32"/>
          <w:szCs w:val="32"/>
          <w:lang w:eastAsia="zh-CN"/>
          <w14:textFill>
            <w14:solidFill>
              <w14:schemeClr w14:val="tx1"/>
            </w14:solidFill>
          </w14:textFill>
        </w:rPr>
        <w:t>，“减量控大”位列全市优秀等次。</w:t>
      </w:r>
      <w:r>
        <w:rPr>
          <w:rFonts w:hint="eastAsia" w:ascii="仿宋_GB2312" w:hAnsi="仿宋_GB2312" w:eastAsia="仿宋_GB2312" w:cs="仿宋_GB2312"/>
          <w:b/>
          <w:bCs/>
          <w:color w:val="000000" w:themeColor="text1"/>
          <w:kern w:val="0"/>
          <w:sz w:val="32"/>
          <w:szCs w:val="32"/>
          <w:lang w:val="en-US" w:eastAsia="zh-CN" w:bidi="ar-SA"/>
          <w14:textFill>
            <w14:solidFill>
              <w14:schemeClr w14:val="tx1"/>
            </w14:solidFill>
          </w14:textFill>
        </w:rPr>
        <w:t>三是关口前移“止纷争”。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创新警调对接“14条措施+一事一档”机制，</w:t>
      </w:r>
      <w:r>
        <w:rPr>
          <w:rFonts w:hint="eastAsia" w:ascii="仿宋_GB2312" w:hAnsi="仿宋_GB2312" w:eastAsia="仿宋_GB2312" w:cs="仿宋_GB2312"/>
          <w:color w:val="000000" w:themeColor="text1"/>
          <w:sz w:val="32"/>
          <w:szCs w:val="32"/>
          <w:lang w:eastAsia="zh-CN"/>
          <w14:textFill>
            <w14:solidFill>
              <w14:schemeClr w14:val="tx1"/>
            </w14:solidFill>
          </w14:textFill>
        </w:rPr>
        <w:t>治理重复警情</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150起，化解矛盾纠纷1657起，</w:t>
      </w:r>
      <w:r>
        <w:rPr>
          <w:rFonts w:hint="eastAsia" w:ascii="仿宋_GB2312" w:hAnsi="仿宋_GB2312" w:eastAsia="仿宋_GB2312" w:cs="仿宋_GB2312"/>
          <w:color w:val="000000" w:themeColor="text1"/>
          <w:sz w:val="32"/>
          <w:szCs w:val="32"/>
          <w14:textFill>
            <w14:solidFill>
              <w14:schemeClr w14:val="tx1"/>
            </w14:solidFill>
          </w14:textFill>
        </w:rPr>
        <w:t>因纠纷引发的</w:t>
      </w:r>
      <w:r>
        <w:rPr>
          <w:rFonts w:hint="eastAsia" w:ascii="仿宋_GB2312" w:hAnsi="仿宋_GB2312" w:eastAsia="仿宋_GB2312" w:cs="仿宋_GB2312"/>
          <w:color w:val="000000" w:themeColor="text1"/>
          <w:sz w:val="32"/>
          <w:szCs w:val="32"/>
          <w:lang w:eastAsia="zh-CN"/>
          <w14:textFill>
            <w14:solidFill>
              <w14:schemeClr w14:val="tx1"/>
            </w14:solidFill>
          </w14:textFill>
        </w:rPr>
        <w:t>案件</w:t>
      </w:r>
      <w:r>
        <w:rPr>
          <w:rFonts w:hint="eastAsia" w:ascii="仿宋_GB2312" w:hAnsi="仿宋_GB2312" w:eastAsia="仿宋_GB2312" w:cs="仿宋_GB2312"/>
          <w:color w:val="000000" w:themeColor="text1"/>
          <w:sz w:val="32"/>
          <w:szCs w:val="32"/>
          <w14:textFill>
            <w14:solidFill>
              <w14:schemeClr w14:val="tx1"/>
            </w14:solidFill>
          </w14:textFill>
        </w:rPr>
        <w:t>同比下降30%</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w:t>
      </w:r>
      <w:r>
        <w:rPr>
          <w:rStyle w:val="13"/>
          <w:rFonts w:hint="eastAsia" w:ascii="仿宋_GB2312" w:hAnsi="仿宋_GB2312" w:eastAsia="仿宋_GB2312" w:cs="仿宋_GB2312"/>
          <w:b w:val="0"/>
          <w:bCs w:val="0"/>
          <w:color w:val="000000" w:themeColor="text1"/>
          <w:spacing w:val="0"/>
          <w:kern w:val="0"/>
          <w:sz w:val="32"/>
          <w:szCs w:val="32"/>
          <w:shd w:val="clear" w:fill="FFFFFF"/>
          <w:lang w:val="en-US" w:eastAsia="zh-CN" w:bidi="ar"/>
          <w14:textFill>
            <w14:solidFill>
              <w14:schemeClr w14:val="tx1"/>
            </w14:solidFill>
          </w14:textFill>
        </w:rPr>
        <w:t>落实“一把手下访+领导包案+专班攻坚”机制，“控增减存”信访事项</w:t>
      </w:r>
      <w:r>
        <w:rPr>
          <w:rStyle w:val="13"/>
          <w:rFonts w:hint="eastAsia" w:ascii="仿宋_GB2312" w:hAnsi="仿宋_GB2312" w:eastAsia="仿宋_GB2312" w:cs="仿宋_GB2312"/>
          <w:b w:val="0"/>
          <w:bCs w:val="0"/>
          <w:color w:val="000000" w:themeColor="text1"/>
          <w:spacing w:val="-6"/>
          <w:kern w:val="0"/>
          <w:sz w:val="32"/>
          <w:szCs w:val="32"/>
          <w:shd w:val="clear" w:fill="FFFFFF"/>
          <w:lang w:val="en-US" w:eastAsia="zh-CN" w:bidi="ar"/>
          <w14:textFill>
            <w14:solidFill>
              <w14:schemeClr w14:val="tx1"/>
            </w14:solidFill>
          </w14:textFill>
        </w:rPr>
        <w:t>全部化解。</w:t>
      </w:r>
    </w:p>
    <w:p w14:paraId="0BF72832">
      <w:pPr>
        <w:keepNext w:val="0"/>
        <w:keepLines w:val="0"/>
        <w:pageBreakBefore w:val="0"/>
        <w:widowControl/>
        <w:kinsoku/>
        <w:wordWrap/>
        <w:overflowPunct/>
        <w:topLinePunct w:val="0"/>
        <w:autoSpaceDE w:val="0"/>
        <w:autoSpaceDN w:val="0"/>
        <w:bidi w:val="0"/>
        <w:adjustRightInd w:val="0"/>
        <w:snapToGrid w:val="0"/>
        <w:spacing w:line="600" w:lineRule="exact"/>
        <w:ind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（四）</w:t>
      </w:r>
      <w:r>
        <w:rPr>
          <w:rFonts w:hint="eastAsia" w:ascii="仿宋_GB2312" w:hAnsi="仿宋_GB2312" w:eastAsia="仿宋_GB2312" w:cs="仿宋_GB2312"/>
          <w:b/>
          <w:bCs/>
          <w:sz w:val="32"/>
          <w:szCs w:val="32"/>
        </w:rPr>
        <w:t>绩效目标完成情况分析</w:t>
      </w:r>
    </w:p>
    <w:p w14:paraId="505AC52A">
      <w:pPr>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1.产出指标完成情况分析。</w:t>
      </w:r>
    </w:p>
    <w:p w14:paraId="5F724A3C">
      <w:pPr>
        <w:keepNext w:val="0"/>
        <w:keepLines w:val="0"/>
        <w:pageBreakBefore w:val="0"/>
        <w:widowControl w:val="0"/>
        <w:kinsoku/>
        <w:wordWrap/>
        <w:overflowPunct/>
        <w:topLinePunct w:val="0"/>
        <w:autoSpaceDE/>
        <w:autoSpaceDN/>
        <w:bidi w:val="0"/>
        <w:adjustRightInd/>
        <w:snapToGrid/>
        <w:spacing w:line="600" w:lineRule="exact"/>
        <w:ind w:left="0" w:firstLine="643"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（1）数量指标。</w:t>
      </w:r>
    </w:p>
    <w:p w14:paraId="1AEAAFD4">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sz w:val="32"/>
          <w:szCs w:val="32"/>
          <w:lang w:val="en-US" w:eastAsia="zh-CN"/>
        </w:rPr>
        <w:t>一是政法转移支付资金全面保障基层队所办案业务费、业务装备经费，我局全面保障24个基层科所队室办案业务费、业务装备经费，完成年内目标任务。</w:t>
      </w:r>
      <w:r>
        <w:rPr>
          <w:rFonts w:hint="eastAsia" w:ascii="仿宋_GB2312" w:hAnsi="仿宋_GB2312" w:eastAsia="仿宋_GB2312" w:cs="仿宋_GB2312"/>
          <w:kern w:val="2"/>
          <w:sz w:val="32"/>
          <w:szCs w:val="32"/>
          <w:lang w:val="en-US" w:eastAsia="zh-CN" w:bidi="ar-SA"/>
        </w:rPr>
        <w:t>2024年形成办案业务经费438.4万元。主要用于案件办理及重大安保执勤经费支出。破获刑事案件164起，抓获犯罪嫌疑人564人，移送起诉142人，其中八类案件100%全破，“两抢一盗”破案率同比上升11.5个百分点。常态化开展扫黑除恶，办结线索27条，办结率100%。深化“四专两合力”，电诈发案、损失数同比分别下降46.3%、19.8%，挽损数同比上升18.1%。</w:t>
      </w:r>
    </w:p>
    <w:p w14:paraId="0B4A11A1">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kern w:val="2"/>
          <w:sz w:val="32"/>
          <w:szCs w:val="32"/>
          <w:lang w:val="en-US" w:eastAsia="zh-CN" w:bidi="ar-SA"/>
        </w:rPr>
      </w:pPr>
      <w:r>
        <w:rPr>
          <w:rFonts w:hint="eastAsia" w:ascii="仿宋_GB2312" w:hAnsi="仿宋_GB2312" w:eastAsia="仿宋_GB2312" w:cs="仿宋_GB2312"/>
          <w:kern w:val="2"/>
          <w:sz w:val="32"/>
          <w:szCs w:val="32"/>
          <w:lang w:val="en-US" w:eastAsia="zh-CN" w:bidi="ar-SA"/>
        </w:rPr>
        <w:t>二是深化能力素质提升“十大行动”，开展实战练兵140余场次。聚势创先争优，机关团支部、板桥派出所分别获评“全省五四红旗团支部”“全省公安机关成绩突出集体”。</w:t>
      </w:r>
    </w:p>
    <w:p w14:paraId="654E246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 xml:space="preserve"> 三是突出“全警用、用全警”，初、中级建模师数量同比分别增长13.3%、56.2%，指挥中心荣获全市建模比武竞赛二等奖。坚持全域用、用全程，传统可防性案件同比下降60%，非现场交</w:t>
      </w:r>
      <w:r>
        <w:rPr>
          <w:rFonts w:hint="eastAsia" w:ascii="仿宋_GB2312" w:hAnsi="仿宋_GB2312" w:eastAsia="仿宋_GB2312" w:cs="仿宋_GB2312"/>
          <w:color w:val="000000" w:themeColor="text1"/>
          <w:spacing w:val="-6"/>
          <w:sz w:val="32"/>
          <w:szCs w:val="32"/>
          <w:lang w:val="en-US" w:eastAsia="zh-CN"/>
          <w14:textFill>
            <w14:solidFill>
              <w14:schemeClr w14:val="tx1"/>
            </w14:solidFill>
          </w14:textFill>
        </w:rPr>
        <w:t>通违法查处率提升80%，</w:t>
      </w:r>
      <w:r>
        <w:rPr>
          <w:rFonts w:hint="eastAsia" w:ascii="仿宋_GB2312" w:hAnsi="仿宋_GB2312" w:eastAsia="仿宋_GB2312" w:cs="仿宋_GB2312"/>
          <w:color w:val="000000" w:themeColor="text1"/>
          <w:spacing w:val="-6"/>
          <w:sz w:val="32"/>
          <w:szCs w:val="32"/>
          <w:highlight w:val="none"/>
          <w:shd w:val="clear" w:color="auto" w:fill="auto"/>
          <w:lang w:val="en-US" w:eastAsia="zh-CN"/>
          <w14:textFill>
            <w14:solidFill>
              <w14:schemeClr w14:val="tx1"/>
            </w14:solidFill>
          </w14:textFill>
        </w:rPr>
        <w:t>救助服务群众1300余人次。</w:t>
      </w:r>
    </w:p>
    <w:p w14:paraId="4C109750">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2"/>
          <w:sz w:val="32"/>
          <w:szCs w:val="32"/>
          <w:lang w:val="en-US" w:eastAsia="zh-CN" w:bidi="ar-SA"/>
        </w:rPr>
        <w:t>四是2024年转移支付资金业务装备经费42.6万元。主要用于：专用设备购置42.6万元。</w:t>
      </w:r>
      <w:r>
        <w:rPr>
          <w:rFonts w:hint="eastAsia" w:ascii="仿宋_GB2312" w:hAnsi="仿宋_GB2312" w:eastAsia="仿宋_GB2312" w:cs="仿宋_GB2312"/>
          <w:color w:val="000000"/>
          <w:sz w:val="32"/>
          <w:szCs w:val="32"/>
        </w:rPr>
        <w:t>主要涉及购置</w:t>
      </w:r>
      <w:r>
        <w:rPr>
          <w:rFonts w:hint="eastAsia" w:ascii="仿宋_GB2312" w:hAnsi="仿宋_GB2312" w:eastAsia="仿宋_GB2312" w:cs="仿宋_GB2312"/>
          <w:color w:val="000000"/>
          <w:sz w:val="32"/>
          <w:szCs w:val="32"/>
          <w:lang w:eastAsia="zh-CN"/>
        </w:rPr>
        <w:t>执法执勤车辆、虹膜设备、对讲机电池、特警遂行装备、业务保密柜类等。</w:t>
      </w:r>
      <w:r>
        <w:rPr>
          <w:rFonts w:hint="eastAsia" w:ascii="仿宋_GB2312" w:hAnsi="仿宋_GB2312" w:eastAsia="仿宋_GB2312" w:cs="仿宋_GB2312"/>
          <w:kern w:val="2"/>
          <w:sz w:val="32"/>
          <w:szCs w:val="32"/>
          <w:lang w:val="en-US" w:eastAsia="zh-CN" w:bidi="ar-SA"/>
        </w:rPr>
        <w:t>逐年加强公安机关武器装备建设、为执法办案、打击违法犯罪提供有力保障。</w:t>
      </w:r>
    </w:p>
    <w:p w14:paraId="5F1F2E1B">
      <w:pPr>
        <w:keepNext w:val="0"/>
        <w:keepLines w:val="0"/>
        <w:pageBreakBefore w:val="0"/>
        <w:widowControl/>
        <w:numPr>
          <w:ilvl w:val="0"/>
          <w:numId w:val="2"/>
        </w:numPr>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质量指标。</w:t>
      </w:r>
    </w:p>
    <w:p w14:paraId="3D924CB8">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shd w:val="clear" w:fill="FFFFFF"/>
        </w:rPr>
        <w:t>20</w:t>
      </w:r>
      <w:r>
        <w:rPr>
          <w:rFonts w:hint="eastAsia" w:ascii="仿宋_GB2312" w:hAnsi="仿宋_GB2312" w:eastAsia="仿宋_GB2312" w:cs="仿宋_GB2312"/>
          <w:i w:val="0"/>
          <w:iCs w:val="0"/>
          <w:caps w:val="0"/>
          <w:color w:val="000000"/>
          <w:spacing w:val="0"/>
          <w:sz w:val="32"/>
          <w:szCs w:val="32"/>
          <w:shd w:val="clear" w:fill="FFFFFF"/>
          <w:lang w:val="en-US" w:eastAsia="zh-CN"/>
        </w:rPr>
        <w:t>24</w:t>
      </w:r>
      <w:r>
        <w:rPr>
          <w:rFonts w:hint="eastAsia" w:ascii="仿宋_GB2312" w:hAnsi="仿宋_GB2312" w:eastAsia="仿宋_GB2312" w:cs="仿宋_GB2312"/>
          <w:i w:val="0"/>
          <w:iCs w:val="0"/>
          <w:caps w:val="0"/>
          <w:color w:val="000000"/>
          <w:spacing w:val="0"/>
          <w:sz w:val="32"/>
          <w:szCs w:val="32"/>
          <w:shd w:val="clear" w:fill="FFFFFF"/>
        </w:rPr>
        <w:t>年</w:t>
      </w:r>
      <w:r>
        <w:rPr>
          <w:rFonts w:hint="eastAsia" w:ascii="仿宋_GB2312" w:hAnsi="仿宋_GB2312" w:eastAsia="仿宋_GB2312" w:cs="仿宋_GB2312"/>
          <w:i w:val="0"/>
          <w:iCs w:val="0"/>
          <w:caps w:val="0"/>
          <w:color w:val="000000"/>
          <w:spacing w:val="0"/>
          <w:sz w:val="32"/>
          <w:szCs w:val="32"/>
          <w:shd w:val="clear" w:fill="FFFFFF"/>
          <w:lang w:eastAsia="zh-CN"/>
        </w:rPr>
        <w:t>支付</w:t>
      </w:r>
      <w:r>
        <w:rPr>
          <w:rFonts w:hint="eastAsia" w:ascii="仿宋_GB2312" w:hAnsi="仿宋_GB2312" w:eastAsia="仿宋_GB2312" w:cs="仿宋_GB2312"/>
          <w:i w:val="0"/>
          <w:iCs w:val="0"/>
          <w:caps w:val="0"/>
          <w:color w:val="000000"/>
          <w:spacing w:val="0"/>
          <w:sz w:val="32"/>
          <w:szCs w:val="32"/>
          <w:shd w:val="clear" w:fill="FFFFFF"/>
        </w:rPr>
        <w:t>业务装备经费</w:t>
      </w:r>
      <w:r>
        <w:rPr>
          <w:rFonts w:hint="eastAsia" w:ascii="仿宋_GB2312" w:hAnsi="仿宋_GB2312" w:eastAsia="仿宋_GB2312" w:cs="仿宋_GB2312"/>
          <w:i w:val="0"/>
          <w:iCs w:val="0"/>
          <w:caps w:val="0"/>
          <w:color w:val="000000"/>
          <w:spacing w:val="0"/>
          <w:sz w:val="32"/>
          <w:szCs w:val="32"/>
          <w:shd w:val="clear" w:fill="FFFFFF"/>
          <w:lang w:val="en-US" w:eastAsia="zh-CN"/>
        </w:rPr>
        <w:t>42.6</w:t>
      </w:r>
      <w:r>
        <w:rPr>
          <w:rFonts w:hint="eastAsia" w:ascii="仿宋_GB2312" w:hAnsi="仿宋_GB2312" w:eastAsia="仿宋_GB2312" w:cs="仿宋_GB2312"/>
          <w:i w:val="0"/>
          <w:iCs w:val="0"/>
          <w:caps w:val="0"/>
          <w:color w:val="000000"/>
          <w:spacing w:val="0"/>
          <w:sz w:val="32"/>
          <w:szCs w:val="32"/>
          <w:shd w:val="clear" w:fill="FFFFFF"/>
        </w:rPr>
        <w:t>万元，</w:t>
      </w:r>
      <w:r>
        <w:rPr>
          <w:rFonts w:hint="eastAsia" w:ascii="仿宋_GB2312" w:hAnsi="仿宋_GB2312" w:eastAsia="仿宋_GB2312" w:cs="仿宋_GB2312"/>
          <w:i w:val="0"/>
          <w:iCs w:val="0"/>
          <w:caps w:val="0"/>
          <w:color w:val="000000"/>
          <w:spacing w:val="0"/>
          <w:sz w:val="32"/>
          <w:szCs w:val="32"/>
          <w:shd w:val="clear" w:fill="FFFFFF"/>
          <w:lang w:eastAsia="zh-CN"/>
        </w:rPr>
        <w:t>警用装备、</w:t>
      </w:r>
      <w:r>
        <w:rPr>
          <w:rFonts w:hint="eastAsia" w:ascii="仿宋_GB2312" w:hAnsi="仿宋_GB2312" w:eastAsia="仿宋_GB2312" w:cs="仿宋_GB2312"/>
          <w:i w:val="0"/>
          <w:iCs w:val="0"/>
          <w:caps w:val="0"/>
          <w:color w:val="000000"/>
          <w:spacing w:val="0"/>
          <w:sz w:val="32"/>
          <w:szCs w:val="32"/>
          <w:shd w:val="clear" w:fill="FFFFFF"/>
          <w:lang w:val="en-US" w:eastAsia="zh-CN"/>
        </w:rPr>
        <w:t>被装</w:t>
      </w:r>
      <w:r>
        <w:rPr>
          <w:rFonts w:hint="eastAsia" w:ascii="仿宋_GB2312" w:hAnsi="仿宋_GB2312" w:eastAsia="仿宋_GB2312" w:cs="仿宋_GB2312"/>
          <w:i w:val="0"/>
          <w:iCs w:val="0"/>
          <w:caps w:val="0"/>
          <w:color w:val="000000"/>
          <w:spacing w:val="0"/>
          <w:sz w:val="32"/>
          <w:szCs w:val="32"/>
          <w:shd w:val="clear" w:fill="FFFFFF"/>
          <w:lang w:eastAsia="zh-CN"/>
        </w:rPr>
        <w:t>采购验收合格率达到</w:t>
      </w:r>
      <w:r>
        <w:rPr>
          <w:rFonts w:hint="eastAsia" w:ascii="仿宋_GB2312" w:hAnsi="仿宋_GB2312" w:eastAsia="仿宋_GB2312" w:cs="仿宋_GB2312"/>
          <w:i w:val="0"/>
          <w:iCs w:val="0"/>
          <w:caps w:val="0"/>
          <w:color w:val="000000"/>
          <w:spacing w:val="0"/>
          <w:sz w:val="32"/>
          <w:szCs w:val="32"/>
          <w:shd w:val="clear" w:fill="FFFFFF"/>
          <w:lang w:val="en-US" w:eastAsia="zh-CN"/>
        </w:rPr>
        <w:t>100%</w:t>
      </w:r>
      <w:r>
        <w:rPr>
          <w:rFonts w:hint="eastAsia" w:ascii="仿宋_GB2312" w:hAnsi="仿宋_GB2312" w:eastAsia="仿宋_GB2312" w:cs="仿宋_GB2312"/>
          <w:i w:val="0"/>
          <w:iCs w:val="0"/>
          <w:caps w:val="0"/>
          <w:color w:val="000000"/>
          <w:spacing w:val="0"/>
          <w:sz w:val="32"/>
          <w:szCs w:val="32"/>
          <w:shd w:val="clear" w:fill="FFFFFF"/>
        </w:rPr>
        <w:t>，</w:t>
      </w:r>
      <w:r>
        <w:rPr>
          <w:rFonts w:hint="eastAsia" w:ascii="仿宋_GB2312" w:hAnsi="仿宋_GB2312" w:eastAsia="仿宋_GB2312" w:cs="仿宋_GB2312"/>
          <w:i w:val="0"/>
          <w:iCs w:val="0"/>
          <w:caps w:val="0"/>
          <w:color w:val="000000"/>
          <w:spacing w:val="0"/>
          <w:sz w:val="32"/>
          <w:szCs w:val="32"/>
          <w:shd w:val="clear" w:fill="FFFFFF"/>
          <w:lang w:eastAsia="zh-CN"/>
        </w:rPr>
        <w:t>新增设备使用率达到</w:t>
      </w:r>
      <w:r>
        <w:rPr>
          <w:rFonts w:hint="eastAsia" w:ascii="仿宋_GB2312" w:hAnsi="仿宋_GB2312" w:eastAsia="仿宋_GB2312" w:cs="仿宋_GB2312"/>
          <w:i w:val="0"/>
          <w:iCs w:val="0"/>
          <w:caps w:val="0"/>
          <w:color w:val="000000"/>
          <w:spacing w:val="0"/>
          <w:sz w:val="32"/>
          <w:szCs w:val="32"/>
          <w:shd w:val="clear" w:fill="FFFFFF"/>
          <w:lang w:val="en-US" w:eastAsia="zh-CN"/>
        </w:rPr>
        <w:t>100%,</w:t>
      </w:r>
      <w:r>
        <w:rPr>
          <w:rFonts w:hint="eastAsia" w:ascii="仿宋_GB2312" w:hAnsi="仿宋_GB2312" w:eastAsia="仿宋_GB2312" w:cs="仿宋_GB2312"/>
          <w:i w:val="0"/>
          <w:iCs w:val="0"/>
          <w:caps w:val="0"/>
          <w:color w:val="000000"/>
          <w:spacing w:val="0"/>
          <w:sz w:val="32"/>
          <w:szCs w:val="32"/>
          <w:shd w:val="clear" w:fill="FFFFFF"/>
        </w:rPr>
        <w:t>较好地保障了我</w:t>
      </w:r>
      <w:r>
        <w:rPr>
          <w:rFonts w:hint="eastAsia" w:ascii="仿宋_GB2312" w:hAnsi="仿宋_GB2312" w:eastAsia="仿宋_GB2312" w:cs="仿宋_GB2312"/>
          <w:i w:val="0"/>
          <w:iCs w:val="0"/>
          <w:caps w:val="0"/>
          <w:color w:val="000000"/>
          <w:spacing w:val="0"/>
          <w:sz w:val="32"/>
          <w:szCs w:val="32"/>
          <w:shd w:val="clear" w:fill="FFFFFF"/>
          <w:lang w:eastAsia="zh-CN"/>
        </w:rPr>
        <w:t>局执法</w:t>
      </w:r>
      <w:r>
        <w:rPr>
          <w:rFonts w:hint="eastAsia" w:ascii="仿宋_GB2312" w:hAnsi="仿宋_GB2312" w:eastAsia="仿宋_GB2312" w:cs="仿宋_GB2312"/>
          <w:i w:val="0"/>
          <w:iCs w:val="0"/>
          <w:caps w:val="0"/>
          <w:color w:val="000000"/>
          <w:spacing w:val="0"/>
          <w:sz w:val="32"/>
          <w:szCs w:val="32"/>
          <w:shd w:val="clear" w:fill="FFFFFF"/>
        </w:rPr>
        <w:t>工作顺利开展</w:t>
      </w:r>
      <w:r>
        <w:rPr>
          <w:rFonts w:hint="eastAsia" w:ascii="仿宋_GB2312" w:hAnsi="仿宋_GB2312" w:eastAsia="仿宋_GB2312" w:cs="仿宋_GB2312"/>
          <w:i w:val="0"/>
          <w:iCs w:val="0"/>
          <w:caps w:val="0"/>
          <w:color w:val="000000"/>
          <w:spacing w:val="0"/>
          <w:sz w:val="32"/>
          <w:szCs w:val="32"/>
          <w:shd w:val="clear" w:fill="FFFFFF"/>
          <w:lang w:eastAsia="zh-CN"/>
        </w:rPr>
        <w:t>。</w:t>
      </w:r>
    </w:p>
    <w:p w14:paraId="037731A2">
      <w:pPr>
        <w:keepNext w:val="0"/>
        <w:keepLines w:val="0"/>
        <w:pageBreakBefore w:val="0"/>
        <w:widowControl/>
        <w:numPr>
          <w:ilvl w:val="0"/>
          <w:numId w:val="0"/>
        </w:numPr>
        <w:kinsoku/>
        <w:wordWrap/>
        <w:overflowPunct/>
        <w:topLinePunct w:val="0"/>
        <w:autoSpaceDE w:val="0"/>
        <w:autoSpaceDN w:val="0"/>
        <w:bidi w:val="0"/>
        <w:adjustRightInd w:val="0"/>
        <w:snapToGrid w:val="0"/>
        <w:spacing w:line="600" w:lineRule="exact"/>
        <w:ind w:leftChars="0" w:right="0" w:rightChars="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3</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时效指标。</w:t>
      </w:r>
    </w:p>
    <w:p w14:paraId="0978572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leftChars="0" w:right="0" w:rightChars="0" w:firstLine="640" w:firstLineChars="200"/>
        <w:jc w:val="both"/>
        <w:textAlignment w:val="auto"/>
        <w:rPr>
          <w:rFonts w:hint="eastAsia" w:ascii="仿宋_GB2312" w:hAnsi="仿宋_GB2312" w:eastAsia="仿宋_GB2312" w:cs="仿宋_GB2312"/>
          <w:i w:val="0"/>
          <w:iCs w:val="0"/>
          <w:caps w:val="0"/>
          <w:color w:val="000000"/>
          <w:spacing w:val="0"/>
          <w:sz w:val="32"/>
          <w:szCs w:val="32"/>
          <w:shd w:val="clear" w:fill="FFFFFF"/>
          <w:lang w:val="en-US" w:eastAsia="zh-CN"/>
        </w:rPr>
      </w:pPr>
      <w:r>
        <w:rPr>
          <w:rFonts w:hint="eastAsia" w:ascii="仿宋_GB2312" w:hAnsi="仿宋_GB2312" w:eastAsia="仿宋_GB2312" w:cs="仿宋_GB2312"/>
          <w:i w:val="0"/>
          <w:iCs w:val="0"/>
          <w:caps w:val="0"/>
          <w:color w:val="000000"/>
          <w:spacing w:val="0"/>
          <w:sz w:val="32"/>
          <w:szCs w:val="32"/>
          <w:shd w:val="clear" w:fill="FFFFFF"/>
          <w:lang w:val="en-US" w:eastAsia="zh-CN"/>
        </w:rPr>
        <w:t>2024年政法转移支付资金全部到位，资金到位率100%；</w:t>
      </w:r>
    </w:p>
    <w:p w14:paraId="4883A5E3">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i w:val="0"/>
          <w:iCs w:val="0"/>
          <w:caps w:val="0"/>
          <w:color w:val="000000"/>
          <w:spacing w:val="0"/>
          <w:sz w:val="32"/>
          <w:szCs w:val="32"/>
          <w:shd w:val="clear" w:fill="FFFFFF"/>
          <w:lang w:val="en-US" w:eastAsia="zh-CN"/>
        </w:rPr>
        <w:t>我局及时查漏补缺，对基层队所提出的装备需求计划，及时购买，完成年内装备采购计划。年内受理的各类刑事案件、治安案件，案件破案率、查结率较上年同比有较大提升。年内未发生受理案件、查结案件不及时的情况。</w:t>
      </w:r>
    </w:p>
    <w:p w14:paraId="49EFE031">
      <w:pPr>
        <w:keepNext w:val="0"/>
        <w:keepLines w:val="0"/>
        <w:pageBreakBefore w:val="0"/>
        <w:widowControl/>
        <w:numPr>
          <w:ilvl w:val="0"/>
          <w:numId w:val="0"/>
        </w:numPr>
        <w:kinsoku/>
        <w:wordWrap/>
        <w:overflowPunct/>
        <w:topLinePunct w:val="0"/>
        <w:autoSpaceDE w:val="0"/>
        <w:autoSpaceDN w:val="0"/>
        <w:bidi w:val="0"/>
        <w:adjustRightInd w:val="0"/>
        <w:snapToGrid w:val="0"/>
        <w:spacing w:line="600" w:lineRule="exact"/>
        <w:ind w:leftChars="0" w:right="0" w:rightChars="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lang w:val="en-US" w:eastAsia="zh-CN"/>
        </w:rPr>
        <w:t>4</w:t>
      </w:r>
      <w:r>
        <w:rPr>
          <w:rFonts w:hint="eastAsia" w:ascii="仿宋_GB2312" w:hAnsi="仿宋_GB2312" w:eastAsia="仿宋_GB2312" w:cs="仿宋_GB2312"/>
          <w:b/>
          <w:bCs/>
          <w:sz w:val="32"/>
          <w:szCs w:val="32"/>
          <w:lang w:eastAsia="zh-CN"/>
        </w:rPr>
        <w:t>）</w:t>
      </w:r>
      <w:r>
        <w:rPr>
          <w:rFonts w:hint="eastAsia" w:ascii="仿宋_GB2312" w:hAnsi="仿宋_GB2312" w:eastAsia="仿宋_GB2312" w:cs="仿宋_GB2312"/>
          <w:b/>
          <w:bCs/>
          <w:sz w:val="32"/>
          <w:szCs w:val="32"/>
        </w:rPr>
        <w:t>成本指标。</w:t>
      </w:r>
    </w:p>
    <w:p w14:paraId="360062EB">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3"/>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kern w:val="2"/>
          <w:sz w:val="32"/>
          <w:szCs w:val="32"/>
          <w:lang w:val="en-US" w:eastAsia="zh-CN" w:bidi="ar-SA"/>
        </w:rPr>
        <w:t>我局秉持</w:t>
      </w:r>
      <w:r>
        <w:rPr>
          <w:rFonts w:hint="eastAsia" w:ascii="仿宋_GB2312" w:hAnsi="仿宋_GB2312" w:eastAsia="仿宋_GB2312" w:cs="仿宋_GB2312"/>
          <w:color w:val="000000"/>
          <w:kern w:val="0"/>
          <w:sz w:val="32"/>
          <w:szCs w:val="32"/>
        </w:rPr>
        <w:t>厉行勤俭节约、反对铺张浪费，提高能源资源利用效率，</w:t>
      </w:r>
      <w:r>
        <w:rPr>
          <w:rFonts w:hint="eastAsia" w:ascii="仿宋_GB2312" w:hAnsi="仿宋_GB2312" w:eastAsia="仿宋_GB2312" w:cs="仿宋_GB2312"/>
          <w:kern w:val="2"/>
          <w:sz w:val="32"/>
          <w:szCs w:val="32"/>
          <w:lang w:val="en-US" w:eastAsia="zh-CN" w:bidi="ar-SA"/>
        </w:rPr>
        <w:t>努力做到少花钱多办事、减少浪费，节约成本。年内转移支付总收入</w:t>
      </w:r>
      <w:r>
        <w:rPr>
          <w:rFonts w:hint="eastAsia" w:ascii="仿宋_GB2312" w:hAnsi="仿宋_GB2312" w:eastAsia="仿宋_GB2312" w:cs="仿宋_GB2312"/>
          <w:sz w:val="32"/>
          <w:szCs w:val="32"/>
          <w:lang w:val="en-US" w:eastAsia="zh-CN"/>
        </w:rPr>
        <w:t>481元，支出在预算范围内。</w:t>
      </w:r>
    </w:p>
    <w:p w14:paraId="4AA5FC1F">
      <w:pPr>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2.效益指标完成情况分析。</w:t>
      </w:r>
    </w:p>
    <w:p w14:paraId="0E9A6277">
      <w:pPr>
        <w:keepNext w:val="0"/>
        <w:keepLines w:val="0"/>
        <w:pageBreakBefore w:val="0"/>
        <w:wordWrap/>
        <w:overflowPunct/>
        <w:topLinePunct w:val="0"/>
        <w:bidi w:val="0"/>
        <w:spacing w:line="600" w:lineRule="exact"/>
        <w:ind w:left="0" w:firstLine="640" w:firstLineChars="200"/>
        <w:rPr>
          <w:rFonts w:hint="eastAsia" w:ascii="仿宋_GB2312" w:hAnsi="仿宋_GB2312" w:eastAsia="仿宋_GB2312" w:cs="仿宋_GB2312"/>
          <w:snapToGrid w:val="0"/>
          <w:color w:val="000000"/>
          <w:kern w:val="0"/>
          <w:sz w:val="32"/>
          <w:szCs w:val="32"/>
          <w:lang w:val="en-US" w:eastAsia="zh-CN" w:bidi="ar"/>
        </w:rPr>
      </w:pPr>
      <w:r>
        <w:rPr>
          <w:rFonts w:hint="eastAsia" w:ascii="仿宋_GB2312" w:hAnsi="仿宋_GB2312" w:eastAsia="仿宋_GB2312" w:cs="仿宋_GB2312"/>
          <w:sz w:val="32"/>
          <w:szCs w:val="32"/>
        </w:rPr>
        <w:t>（1）经济效益。</w:t>
      </w:r>
      <w:r>
        <w:rPr>
          <w:rFonts w:hint="eastAsia" w:ascii="仿宋_GB2312" w:hAnsi="仿宋_GB2312" w:eastAsia="仿宋_GB2312" w:cs="仿宋_GB2312"/>
          <w:snapToGrid w:val="0"/>
          <w:color w:val="000000"/>
          <w:kern w:val="0"/>
          <w:sz w:val="32"/>
          <w:szCs w:val="32"/>
          <w:lang w:val="en-US" w:eastAsia="zh-CN" w:bidi="ar"/>
        </w:rPr>
        <w:t>打击诈骗、非法集资等犯罪行为，直接挽回了群众和企业的经济损失，维护企业正常经营，保障市场秩序。集中资源侦办重大案件，实现成本效益最大化。</w:t>
      </w:r>
    </w:p>
    <w:p w14:paraId="52E0C395">
      <w:pPr>
        <w:pStyle w:val="16"/>
        <w:keepNext w:val="0"/>
        <w:keepLines w:val="0"/>
        <w:pageBreakBefore w:val="0"/>
        <w:widowControl w:val="0"/>
        <w:kinsoku/>
        <w:wordWrap/>
        <w:overflowPunct/>
        <w:topLinePunct w:val="0"/>
        <w:autoSpaceDE/>
        <w:autoSpaceDN/>
        <w:bidi w:val="0"/>
        <w:adjustRightInd/>
        <w:snapToGrid/>
        <w:spacing w:line="60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napToGrid w:val="0"/>
          <w:color w:val="000000"/>
          <w:kern w:val="0"/>
          <w:sz w:val="32"/>
          <w:szCs w:val="32"/>
          <w:lang w:val="en-US" w:eastAsia="zh-CN" w:bidi="ar"/>
        </w:rPr>
        <w:t>（2）社会效益。找准找实公安服务大局切入点、发力点</w:t>
      </w:r>
      <w:r>
        <w:rPr>
          <w:rFonts w:hint="eastAsia" w:ascii="仿宋_GB2312" w:hAnsi="仿宋_GB2312" w:eastAsia="仿宋_GB2312" w:cs="仿宋_GB2312"/>
          <w:color w:val="000000" w:themeColor="text1"/>
          <w:kern w:val="0"/>
          <w:sz w:val="32"/>
          <w:szCs w:val="32"/>
          <w:shd w:val="clear" w:color="auto" w:fill="auto"/>
          <w:lang w:val="en-US" w:eastAsia="zh-CN"/>
          <w14:textFill>
            <w14:solidFill>
              <w14:schemeClr w14:val="tx1"/>
            </w14:solidFill>
          </w14:textFill>
        </w:rPr>
        <w:t>， 高质量发展和高水平安全实现良性互动。</w:t>
      </w:r>
      <w:r>
        <w:rPr>
          <w:rFonts w:hint="eastAsia" w:ascii="仿宋_GB2312" w:hAnsi="仿宋_GB2312" w:eastAsia="仿宋_GB2312" w:cs="仿宋_GB2312"/>
          <w:b w:val="0"/>
          <w:bCs w:val="0"/>
          <w:color w:val="000000" w:themeColor="text1"/>
          <w:kern w:val="0"/>
          <w:sz w:val="32"/>
          <w:szCs w:val="32"/>
          <w:shd w:val="clear" w:color="auto" w:fill="auto"/>
          <w:lang w:val="en-US" w:eastAsia="zh-CN"/>
          <w14:textFill>
            <w14:solidFill>
              <w14:schemeClr w14:val="tx1"/>
            </w14:solidFill>
          </w14:textFill>
        </w:rPr>
        <w:t>一是助企纾困“零延误”。落实“包抓联系”普惠纾困、“护航警官”直达支持、“法治保障”滴灌帮扶机制，为企业解决“急难愁盼”问题11个。</w:t>
      </w:r>
      <w:r>
        <w:rPr>
          <w:rFonts w:hint="eastAsia" w:ascii="仿宋_GB2312" w:hAnsi="仿宋_GB2312" w:eastAsia="仿宋_GB2312" w:cs="仿宋_GB2312"/>
          <w:b w:val="0"/>
          <w:bCs w:val="0"/>
          <w:color w:val="000000" w:themeColor="text1"/>
          <w:kern w:val="2"/>
          <w:sz w:val="32"/>
          <w:szCs w:val="32"/>
          <w:lang w:val="en-US" w:eastAsia="zh-CN" w:bidi="ar-SA"/>
          <w14:textFill>
            <w14:solidFill>
              <w14:schemeClr w14:val="tx1"/>
            </w14:solidFill>
          </w14:textFill>
        </w:rPr>
        <w:t>高效防范应对经济金融风险，</w:t>
      </w:r>
      <w:r>
        <w:rPr>
          <w:rFonts w:hint="eastAsia" w:ascii="仿宋_GB2312" w:hAnsi="仿宋_GB2312" w:eastAsia="仿宋_GB2312" w:cs="仿宋_GB2312"/>
          <w:b w:val="0"/>
          <w:bCs w:val="0"/>
          <w:color w:val="000000" w:themeColor="text1"/>
          <w:kern w:val="0"/>
          <w:sz w:val="32"/>
          <w:szCs w:val="32"/>
          <w:shd w:val="clear" w:color="auto" w:fill="auto"/>
          <w:lang w:val="en-US" w:eastAsia="zh-CN"/>
          <w14:textFill>
            <w14:solidFill>
              <w14:schemeClr w14:val="tx1"/>
            </w14:solidFill>
          </w14:textFill>
        </w:rPr>
        <w:t>协助清收现金3479万元，挽回损失3513.76万元。二是服务大局“零偏差”。聚力实施生态、旅游、产业“三大警务”，召开全县生态旅游警务会议，以“两办”名义印发工作任务清单，配套完善旅游警务2+1+1、生态警务2+3机制措施，推行“1347”旅游警务模式，圆满完成西北警务协作会议、“千里河西大联防”协作会议承办任务和调研观摩。三是暖心服务“零距离”。</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深化公安“放管服”改革，</w:t>
      </w:r>
      <w:r>
        <w:rPr>
          <w:rFonts w:hint="eastAsia" w:ascii="仿宋_GB2312" w:hAnsi="仿宋_GB2312" w:eastAsia="仿宋_GB2312" w:cs="仿宋_GB2312"/>
          <w:b w:val="0"/>
          <w:bCs w:val="0"/>
          <w:color w:val="000000" w:themeColor="text1"/>
          <w:kern w:val="2"/>
          <w:sz w:val="32"/>
          <w:szCs w:val="32"/>
          <w:lang w:val="en-US" w:eastAsia="zh-CN" w:bidi="ar"/>
          <w14:textFill>
            <w14:solidFill>
              <w14:schemeClr w14:val="tx1"/>
            </w14:solidFill>
          </w14:textFill>
        </w:rPr>
        <w:t>政务服务事项100%网上可办，</w:t>
      </w:r>
      <w:r>
        <w:rPr>
          <w:rFonts w:hint="eastAsia" w:ascii="仿宋_GB2312" w:hAnsi="仿宋_GB2312" w:eastAsia="仿宋_GB2312" w:cs="仿宋_GB2312"/>
          <w:b w:val="0"/>
          <w:bCs w:val="0"/>
          <w:color w:val="000000" w:themeColor="text1"/>
          <w:sz w:val="32"/>
          <w:szCs w:val="32"/>
          <w14:textFill>
            <w14:solidFill>
              <w14:schemeClr w14:val="tx1"/>
            </w14:solidFill>
          </w14:textFill>
        </w:rPr>
        <w:t>21类</w:t>
      </w:r>
      <w:r>
        <w:rPr>
          <w:rFonts w:hint="eastAsia" w:ascii="仿宋_GB2312" w:hAnsi="仿宋_GB2312" w:eastAsia="仿宋_GB2312" w:cs="仿宋_GB2312"/>
          <w:b w:val="0"/>
          <w:bCs w:val="0"/>
          <w:color w:val="000000" w:themeColor="text1"/>
          <w:sz w:val="32"/>
          <w:szCs w:val="32"/>
          <w:lang w:eastAsia="zh-CN"/>
          <w14:textFill>
            <w14:solidFill>
              <w14:schemeClr w14:val="tx1"/>
            </w14:solidFill>
          </w14:textFill>
        </w:rPr>
        <w:t>交管业务实现</w:t>
      </w:r>
      <w:r>
        <w:rPr>
          <w:rFonts w:hint="eastAsia" w:ascii="仿宋_GB2312" w:hAnsi="仿宋_GB2312" w:eastAsia="仿宋_GB2312" w:cs="仿宋_GB2312"/>
          <w:b w:val="0"/>
          <w:bCs w:val="0"/>
          <w:color w:val="000000" w:themeColor="text1"/>
          <w:sz w:val="32"/>
          <w:szCs w:val="32"/>
          <w14:textFill>
            <w14:solidFill>
              <w14:schemeClr w14:val="tx1"/>
            </w14:solidFill>
          </w14:textFill>
        </w:rPr>
        <w:t>“一证即办”。</w:t>
      </w:r>
      <w:r>
        <w:rPr>
          <w:rFonts w:hint="eastAsia" w:ascii="仿宋_GB2312" w:hAnsi="仿宋_GB2312" w:eastAsia="仿宋_GB2312" w:cs="仿宋_GB2312"/>
          <w:b w:val="0"/>
          <w:bCs w:val="0"/>
          <w:color w:val="000000" w:themeColor="text1"/>
          <w:kern w:val="2"/>
          <w:sz w:val="32"/>
          <w:szCs w:val="32"/>
          <w:highlight w:val="none"/>
          <w:lang w:val="en-US" w:eastAsia="zh-CN" w:bidi="ar"/>
          <w14:textFill>
            <w14:solidFill>
              <w14:schemeClr w14:val="tx1"/>
            </w14:solidFill>
          </w14:textFill>
        </w:rPr>
        <w:t>延伸警务触角，提供“绿色通道”和上门服务2300余次，</w:t>
      </w:r>
      <w:r>
        <w:rPr>
          <w:rFonts w:hint="eastAsia" w:ascii="仿宋_GB2312" w:hAnsi="仿宋_GB2312" w:eastAsia="仿宋_GB2312" w:cs="仿宋_GB2312"/>
          <w:b w:val="0"/>
          <w:bCs w:val="0"/>
          <w:color w:val="000000" w:themeColor="text1"/>
          <w:kern w:val="0"/>
          <w:sz w:val="32"/>
          <w:szCs w:val="32"/>
          <w:shd w:val="clear" w:color="auto" w:fill="auto"/>
          <w:lang w:val="en-US" w:eastAsia="zh-CN"/>
          <w14:textFill>
            <w14:solidFill>
              <w14:schemeClr w14:val="tx1"/>
            </w14:solidFill>
          </w14:textFill>
        </w:rPr>
        <w:t>首违免罚</w:t>
      </w:r>
      <w:r>
        <w:rPr>
          <w:rFonts w:hint="eastAsia" w:ascii="仿宋_GB2312" w:hAnsi="仿宋_GB2312" w:eastAsia="仿宋_GB2312" w:cs="仿宋_GB2312"/>
          <w:b w:val="0"/>
          <w:bCs w:val="0"/>
          <w:color w:val="000000" w:themeColor="text1"/>
          <w:kern w:val="0"/>
          <w:sz w:val="32"/>
          <w:szCs w:val="32"/>
          <w:shd w:val="clear" w:color="auto" w:fill="auto"/>
          <w:lang w:val="zh-CN" w:eastAsia="zh-CN"/>
          <w14:textFill>
            <w14:solidFill>
              <w14:schemeClr w14:val="tx1"/>
            </w14:solidFill>
          </w14:textFill>
        </w:rPr>
        <w:t>交通违法</w:t>
      </w:r>
      <w:r>
        <w:rPr>
          <w:rFonts w:hint="eastAsia" w:ascii="仿宋_GB2312" w:hAnsi="仿宋_GB2312" w:eastAsia="仿宋_GB2312" w:cs="仿宋_GB2312"/>
          <w:b w:val="0"/>
          <w:bCs w:val="0"/>
          <w:color w:val="000000" w:themeColor="text1"/>
          <w:kern w:val="0"/>
          <w:sz w:val="32"/>
          <w:szCs w:val="32"/>
          <w:shd w:val="clear" w:color="auto" w:fill="auto"/>
          <w:lang w:val="en-US" w:eastAsia="zh-CN"/>
          <w14:textFill>
            <w14:solidFill>
              <w14:schemeClr w14:val="tx1"/>
            </w14:solidFill>
          </w14:textFill>
        </w:rPr>
        <w:t>2万</w:t>
      </w:r>
      <w:r>
        <w:rPr>
          <w:rFonts w:hint="eastAsia" w:ascii="仿宋_GB2312" w:hAnsi="仿宋_GB2312" w:eastAsia="仿宋_GB2312" w:cs="仿宋_GB2312"/>
          <w:b w:val="0"/>
          <w:bCs w:val="0"/>
          <w:color w:val="000000" w:themeColor="text1"/>
          <w:kern w:val="0"/>
          <w:sz w:val="32"/>
          <w:szCs w:val="32"/>
          <w:shd w:val="clear" w:color="auto" w:fill="auto"/>
          <w:lang w:val="zh-CN" w:eastAsia="zh-CN"/>
          <w14:textFill>
            <w14:solidFill>
              <w14:schemeClr w14:val="tx1"/>
            </w14:solidFill>
          </w14:textFill>
        </w:rPr>
        <w:t>余起。</w:t>
      </w:r>
    </w:p>
    <w:p w14:paraId="209F5E0C">
      <w:pPr>
        <w:keepNext w:val="0"/>
        <w:keepLines w:val="0"/>
        <w:pageBreakBefore w:val="0"/>
        <w:widowControl w:val="0"/>
        <w:kinsoku/>
        <w:wordWrap/>
        <w:overflowPunct/>
        <w:topLinePunct w:val="0"/>
        <w:autoSpaceDE/>
        <w:autoSpaceDN/>
        <w:bidi w:val="0"/>
        <w:adjustRightInd/>
        <w:snapToGrid/>
        <w:spacing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（3）生态效益。</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加强“河湖林长+生态警长+检法”协作联动，</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破获环资类案件9起，移送起诉22人，收回林地21.28公顷。</w:t>
      </w:r>
      <w:r>
        <w:rPr>
          <w:rFonts w:hint="eastAsia" w:ascii="仿宋_GB2312" w:hAnsi="仿宋_GB2312" w:eastAsia="仿宋_GB2312" w:cs="仿宋_GB2312"/>
          <w:color w:val="000000" w:themeColor="text1"/>
          <w:sz w:val="32"/>
          <w:szCs w:val="32"/>
          <w:lang w:eastAsia="zh-CN"/>
          <w14:textFill>
            <w14:solidFill>
              <w14:schemeClr w14:val="tx1"/>
            </w14:solidFill>
          </w14:textFill>
        </w:rPr>
        <w:t>纵深推进“陇剑”系列专项行动，破获经济犯罪案件</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24起</w:t>
      </w:r>
      <w:r>
        <w:rPr>
          <w:rFonts w:hint="eastAsia" w:ascii="仿宋_GB2312" w:hAnsi="仿宋_GB2312" w:eastAsia="仿宋_GB2312" w:cs="仿宋_GB2312"/>
          <w:color w:val="000000" w:themeColor="text1"/>
          <w:sz w:val="32"/>
          <w:szCs w:val="32"/>
          <w14:textFill>
            <w14:solidFill>
              <w14:schemeClr w14:val="tx1"/>
            </w14:solidFill>
          </w14:textFill>
        </w:rPr>
        <w:t>，移送起诉</w:t>
      </w:r>
      <w:r>
        <w:rPr>
          <w:rFonts w:hint="eastAsia" w:ascii="仿宋_GB2312" w:hAnsi="仿宋_GB2312" w:eastAsia="仿宋_GB2312" w:cs="仿宋_GB2312"/>
          <w:color w:val="000000" w:themeColor="text1"/>
          <w:sz w:val="32"/>
          <w:szCs w:val="32"/>
          <w:lang w:val="en-US" w:eastAsia="zh-CN"/>
          <w14:textFill>
            <w14:solidFill>
              <w14:schemeClr w14:val="tx1"/>
            </w14:solidFill>
          </w14:textFill>
        </w:rPr>
        <w:t>23</w:t>
      </w:r>
      <w:r>
        <w:rPr>
          <w:rFonts w:hint="eastAsia" w:ascii="仿宋_GB2312" w:hAnsi="仿宋_GB2312" w:eastAsia="仿宋_GB2312" w:cs="仿宋_GB2312"/>
          <w:color w:val="000000" w:themeColor="text1"/>
          <w:sz w:val="32"/>
          <w:szCs w:val="32"/>
          <w14:textFill>
            <w14:solidFill>
              <w14:schemeClr w14:val="tx1"/>
            </w14:solidFill>
          </w14:textFill>
        </w:rPr>
        <w:t>人</w:t>
      </w:r>
      <w:r>
        <w:rPr>
          <w:rFonts w:hint="eastAsia" w:ascii="仿宋_GB2312" w:hAnsi="仿宋_GB2312" w:eastAsia="仿宋_GB2312" w:cs="仿宋_GB2312"/>
          <w:color w:val="000000" w:themeColor="text1"/>
          <w:spacing w:val="0"/>
          <w:sz w:val="32"/>
          <w:szCs w:val="32"/>
          <w:highlight w:val="none"/>
          <w:lang w:val="en-US" w:eastAsia="zh-CN"/>
          <w14:textFill>
            <w14:solidFill>
              <w14:schemeClr w14:val="tx1"/>
            </w14:solidFill>
          </w14:textFill>
        </w:rPr>
        <w:t>。</w:t>
      </w:r>
      <w:r>
        <w:rPr>
          <w:rFonts w:hint="eastAsia" w:ascii="仿宋_GB2312" w:hAnsi="仿宋_GB2312" w:eastAsia="仿宋_GB2312" w:cs="仿宋_GB2312"/>
          <w:kern w:val="2"/>
          <w:sz w:val="32"/>
          <w:szCs w:val="32"/>
          <w:lang w:val="en-US" w:eastAsia="zh-CN" w:bidi="ar-SA"/>
        </w:rPr>
        <w:t>通过环境资源类案件的查处</w:t>
      </w:r>
      <w:r>
        <w:rPr>
          <w:rFonts w:hint="eastAsia" w:ascii="仿宋_GB2312" w:hAnsi="仿宋_GB2312" w:eastAsia="仿宋_GB2312" w:cs="仿宋_GB2312"/>
          <w:spacing w:val="-6"/>
          <w:kern w:val="2"/>
          <w:sz w:val="32"/>
          <w:szCs w:val="32"/>
          <w:lang w:val="en-US" w:eastAsia="zh-CN" w:bidi="ar-SA"/>
        </w:rPr>
        <w:t>，既教育了广大人民群众，又取得了保护生态资源的阶段性成果，使广大群众保护生态资源、爱护自己的家园的意识不断增强，生态环境不断改善。</w:t>
      </w:r>
    </w:p>
    <w:p w14:paraId="7EED51C2">
      <w:pPr>
        <w:pStyle w:val="9"/>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rightChars="0" w:firstLine="640" w:firstLineChars="200"/>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（4）可持续影响。</w:t>
      </w:r>
      <w:r>
        <w:rPr>
          <w:rFonts w:hint="eastAsia" w:ascii="仿宋_GB2312" w:hAnsi="仿宋_GB2312" w:eastAsia="仿宋_GB2312" w:cs="仿宋_GB2312"/>
          <w:kern w:val="2"/>
          <w:sz w:val="32"/>
          <w:szCs w:val="32"/>
          <w:lang w:val="en-US" w:eastAsia="zh-CN" w:bidi="ar-SA"/>
        </w:rPr>
        <w:t>提升公安执法规范化，</w:t>
      </w:r>
      <w:r>
        <w:rPr>
          <w:rFonts w:hint="eastAsia" w:ascii="仿宋_GB2312" w:hAnsi="仿宋_GB2312" w:eastAsia="仿宋_GB2312" w:cs="仿宋_GB2312"/>
          <w:kern w:val="0"/>
          <w:sz w:val="32"/>
          <w:szCs w:val="32"/>
          <w:lang w:val="zh-CN" w:eastAsia="zh-CN"/>
        </w:rPr>
        <w:t>坚决扛牢维护政治安全、社会安定、人民安宁政治责任，</w:t>
      </w:r>
      <w:r>
        <w:rPr>
          <w:rFonts w:hint="eastAsia" w:ascii="仿宋_GB2312" w:hAnsi="仿宋_GB2312" w:eastAsia="仿宋_GB2312" w:cs="仿宋_GB2312"/>
          <w:color w:val="000000"/>
          <w:sz w:val="32"/>
          <w:szCs w:val="32"/>
          <w:shd w:val="clear" w:color="auto" w:fill="auto"/>
        </w:rPr>
        <w:t>梯次部署、</w:t>
      </w:r>
      <w:r>
        <w:rPr>
          <w:rFonts w:hint="eastAsia" w:ascii="仿宋_GB2312" w:hAnsi="仿宋_GB2312" w:eastAsia="仿宋_GB2312" w:cs="仿宋_GB2312"/>
          <w:kern w:val="0"/>
          <w:sz w:val="32"/>
          <w:szCs w:val="32"/>
          <w:lang w:val="zh-CN"/>
        </w:rPr>
        <w:t>纵深推进系列专项行动，</w:t>
      </w:r>
      <w:r>
        <w:rPr>
          <w:rFonts w:hint="eastAsia" w:ascii="仿宋_GB2312" w:hAnsi="仿宋_GB2312" w:eastAsia="仿宋_GB2312" w:cs="仿宋_GB2312"/>
          <w:sz w:val="32"/>
          <w:szCs w:val="32"/>
          <w:lang w:eastAsia="zh-CN"/>
        </w:rPr>
        <w:t>为</w:t>
      </w:r>
      <w:r>
        <w:rPr>
          <w:rFonts w:hint="eastAsia" w:ascii="仿宋_GB2312" w:hAnsi="仿宋_GB2312" w:eastAsia="仿宋_GB2312" w:cs="仿宋_GB2312"/>
          <w:kern w:val="0"/>
          <w:sz w:val="32"/>
          <w:szCs w:val="32"/>
          <w:lang w:val="zh-CN" w:eastAsia="zh-CN"/>
        </w:rPr>
        <w:t>强县</w:t>
      </w:r>
      <w:r>
        <w:rPr>
          <w:rFonts w:hint="eastAsia" w:ascii="仿宋_GB2312" w:hAnsi="仿宋_GB2312" w:eastAsia="仿宋_GB2312" w:cs="仿宋_GB2312"/>
          <w:spacing w:val="-6"/>
          <w:kern w:val="2"/>
          <w:sz w:val="32"/>
          <w:szCs w:val="32"/>
          <w:lang w:val="zh-CN" w:eastAsia="zh-CN" w:bidi="ar-SA"/>
        </w:rPr>
        <w:t>域行动营造了安全的政治环境、稳定的社会环境和优质的服务环境。下达的中央政法转移支付资金全面保障了我局基层科所室办案业务费和业务装备费。</w:t>
      </w:r>
    </w:p>
    <w:p w14:paraId="1734540E">
      <w:pPr>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3" w:firstLineChars="200"/>
        <w:textAlignment w:val="baseline"/>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3.满意度指标完成情况分析。</w:t>
      </w:r>
      <w:r>
        <w:rPr>
          <w:rFonts w:hint="eastAsia" w:ascii="仿宋_GB2312" w:hAnsi="仿宋_GB2312" w:eastAsia="仿宋_GB2312" w:cs="仿宋_GB2312"/>
          <w:spacing w:val="-6"/>
          <w:kern w:val="2"/>
          <w:sz w:val="32"/>
          <w:szCs w:val="32"/>
          <w:lang w:val="en-US" w:eastAsia="zh-CN" w:bidi="ar-SA"/>
        </w:rPr>
        <w:t>服务对象对公众安全指数、公安执法工作、办案人员的满意度达90%。</w:t>
      </w:r>
    </w:p>
    <w:p w14:paraId="0AACAAB3">
      <w:pPr>
        <w:pStyle w:val="5"/>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三、偏离绩效目标的原因和下一步改进措施</w:t>
      </w:r>
    </w:p>
    <w:p w14:paraId="14988FB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pacing w:before="0" w:beforeAutospacing="0" w:after="0" w:afterAutospacing="0" w:line="600" w:lineRule="exact"/>
        <w:ind w:left="0" w:right="0" w:firstLine="64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2024年较好的完成了各项指标，工作取得了一定成效，但还是存在一定差距，下一步</w:t>
      </w:r>
      <w:r>
        <w:rPr>
          <w:rFonts w:hint="eastAsia" w:ascii="仿宋_GB2312" w:hAnsi="仿宋_GB2312" w:eastAsia="仿宋_GB2312" w:cs="仿宋_GB2312"/>
          <w:i w:val="0"/>
          <w:iCs w:val="0"/>
          <w:caps w:val="0"/>
          <w:color w:val="000000"/>
          <w:spacing w:val="0"/>
          <w:kern w:val="0"/>
          <w:sz w:val="32"/>
          <w:szCs w:val="32"/>
          <w:shd w:val="clear" w:fill="FFFFFF"/>
          <w:lang w:val="en-US" w:eastAsia="zh-CN" w:bidi="ar"/>
        </w:rPr>
        <w:t>不断加大前期预算执行力度，统筹协调安排资金使用进度，不断提高资金使用效率和效益，加强与财政部门的沟通。</w:t>
      </w:r>
      <w:r>
        <w:rPr>
          <w:rFonts w:hint="eastAsia" w:ascii="仿宋_GB2312" w:hAnsi="仿宋_GB2312" w:eastAsia="仿宋_GB2312" w:cs="仿宋_GB2312"/>
          <w:sz w:val="32"/>
          <w:szCs w:val="32"/>
          <w:lang w:val="en-US" w:eastAsia="zh-CN"/>
        </w:rPr>
        <w:t>我局将加强绩效评价管理制度和流程的建设，进一步深化、完善绩效管理体系，建立全过程的预算绩效管理机制，促进绩效管理工作向广度和深度延伸。在资金使用上科学规划，支出上合法报销，账务核算上精细到位，不断提高资金使用效率，切实保障一线实战需求，不断提高公安战斗力，认真履职尽责，切实维护社会治安稳定，保护好人民群众生命财产安全。</w:t>
      </w:r>
    </w:p>
    <w:p w14:paraId="08FCC4FE">
      <w:pPr>
        <w:pStyle w:val="5"/>
        <w:keepNext w:val="0"/>
        <w:keepLines w:val="0"/>
        <w:pageBreakBefore w:val="0"/>
        <w:widowControl/>
        <w:numPr>
          <w:ilvl w:val="0"/>
          <w:numId w:val="3"/>
        </w:numPr>
        <w:kinsoku/>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黑体" w:hAnsi="黑体" w:eastAsia="黑体" w:cs="黑体"/>
          <w:b w:val="0"/>
          <w:bCs w:val="0"/>
          <w:kern w:val="2"/>
          <w:sz w:val="32"/>
          <w:szCs w:val="32"/>
          <w:lang w:eastAsia="zh-CN"/>
        </w:rPr>
      </w:pPr>
      <w:r>
        <w:rPr>
          <w:rFonts w:hint="eastAsia" w:ascii="黑体" w:hAnsi="黑体" w:eastAsia="黑体" w:cs="黑体"/>
          <w:b w:val="0"/>
          <w:bCs w:val="0"/>
          <w:kern w:val="2"/>
          <w:sz w:val="32"/>
          <w:szCs w:val="32"/>
          <w:lang w:eastAsia="zh-CN"/>
        </w:rPr>
        <w:t>绩效自评结果拟应用和公开情况</w:t>
      </w:r>
    </w:p>
    <w:p w14:paraId="6183F263">
      <w:pPr>
        <w:keepNext w:val="0"/>
        <w:keepLines w:val="0"/>
        <w:pageBreakBefore w:val="0"/>
        <w:kinsoku/>
        <w:wordWrap/>
        <w:overflowPunct/>
        <w:topLinePunct w:val="0"/>
        <w:autoSpaceDE/>
        <w:autoSpaceDN/>
        <w:bidi w:val="0"/>
        <w:adjustRightInd/>
        <w:spacing w:beforeAutospacing="0" w:afterAutospacing="0" w:line="600" w:lineRule="exact"/>
        <w:ind w:left="0" w:firstLine="640" w:firstLineChars="200"/>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我局将对绩效自评中发现的问题认真分析，不断提高政法转移支付资金使用效益。并严格按照相关工作要求对绩效自评结果进行公开。</w:t>
      </w:r>
    </w:p>
    <w:p w14:paraId="6B40560D">
      <w:pPr>
        <w:pStyle w:val="5"/>
        <w:keepNext w:val="0"/>
        <w:keepLines w:val="0"/>
        <w:pageBreakBefore w:val="0"/>
        <w:widowControl/>
        <w:kinsoku/>
        <w:wordWrap/>
        <w:overflowPunct/>
        <w:topLinePunct w:val="0"/>
        <w:autoSpaceDE w:val="0"/>
        <w:autoSpaceDN w:val="0"/>
        <w:bidi w:val="0"/>
        <w:adjustRightInd w:val="0"/>
        <w:snapToGrid w:val="0"/>
        <w:spacing w:line="600" w:lineRule="exact"/>
        <w:ind w:left="0" w:right="0" w:firstLine="640" w:firstLineChars="200"/>
        <w:jc w:val="both"/>
        <w:textAlignment w:val="baseline"/>
        <w:rPr>
          <w:rFonts w:hint="eastAsia" w:ascii="黑体" w:hAnsi="黑体" w:eastAsia="黑体" w:cs="黑体"/>
          <w:kern w:val="2"/>
          <w:sz w:val="32"/>
          <w:szCs w:val="32"/>
          <w:lang w:eastAsia="zh-CN"/>
        </w:rPr>
      </w:pPr>
      <w:r>
        <w:rPr>
          <w:rFonts w:hint="eastAsia" w:ascii="黑体" w:hAnsi="黑体" w:eastAsia="黑体" w:cs="黑体"/>
          <w:kern w:val="2"/>
          <w:sz w:val="32"/>
          <w:szCs w:val="32"/>
          <w:lang w:eastAsia="zh-CN"/>
        </w:rPr>
        <w:t>五、其他需要说明的问题</w:t>
      </w:r>
    </w:p>
    <w:p w14:paraId="20B8136A">
      <w:pPr>
        <w:keepNext w:val="0"/>
        <w:keepLines w:val="0"/>
        <w:pageBreakBefore w:val="0"/>
        <w:kinsoku/>
        <w:wordWrap/>
        <w:overflowPunct/>
        <w:topLinePunct w:val="0"/>
        <w:autoSpaceDE/>
        <w:autoSpaceDN/>
        <w:bidi w:val="0"/>
        <w:adjustRightInd/>
        <w:spacing w:beforeAutospacing="0" w:afterAutospacing="0" w:line="600" w:lineRule="exact"/>
        <w:ind w:left="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无其他需要说明的问题。</w:t>
      </w:r>
    </w:p>
    <w:p w14:paraId="18686C9C">
      <w:pPr>
        <w:keepNext w:val="0"/>
        <w:keepLines w:val="0"/>
        <w:pageBreakBefore w:val="0"/>
        <w:widowControl/>
        <w:kinsoku/>
        <w:wordWrap/>
        <w:overflowPunct/>
        <w:topLinePunct w:val="0"/>
        <w:autoSpaceDE w:val="0"/>
        <w:autoSpaceDN w:val="0"/>
        <w:bidi w:val="0"/>
        <w:adjustRightInd w:val="0"/>
        <w:snapToGrid w:val="0"/>
        <w:spacing w:line="600" w:lineRule="exact"/>
        <w:ind w:left="0" w:right="0"/>
        <w:jc w:val="both"/>
        <w:textAlignment w:val="baseline"/>
        <w:rPr>
          <w:rFonts w:hint="eastAsia" w:ascii="仿宋_GB2312" w:hAnsi="仿宋_GB2312" w:eastAsia="仿宋_GB2312" w:cs="仿宋_GB2312"/>
          <w:b w:val="0"/>
          <w:bCs w:val="0"/>
          <w:sz w:val="32"/>
          <w:szCs w:val="32"/>
        </w:rPr>
      </w:pPr>
    </w:p>
    <w:p w14:paraId="779766B8">
      <w:pPr>
        <w:pStyle w:val="8"/>
        <w:rPr>
          <w:rFonts w:hint="eastAsia" w:ascii="仿宋_GB2312" w:hAnsi="仿宋_GB2312" w:eastAsia="仿宋_GB2312" w:cs="仿宋_GB2312"/>
          <w:b w:val="0"/>
          <w:bCs w:val="0"/>
          <w:sz w:val="32"/>
          <w:szCs w:val="32"/>
        </w:rPr>
      </w:pPr>
    </w:p>
    <w:p w14:paraId="308282C0">
      <w:pPr>
        <w:pStyle w:val="2"/>
        <w:keepNext w:val="0"/>
        <w:keepLines w:val="0"/>
        <w:pageBreakBefore w:val="0"/>
        <w:widowControl/>
        <w:kinsoku w:val="0"/>
        <w:wordWrap/>
        <w:overflowPunct/>
        <w:topLinePunct w:val="0"/>
        <w:autoSpaceDE w:val="0"/>
        <w:autoSpaceDN w:val="0"/>
        <w:bidi w:val="0"/>
        <w:adjustRightInd w:val="0"/>
        <w:snapToGrid w:val="0"/>
        <w:spacing w:line="600" w:lineRule="exact"/>
        <w:ind w:firstLine="5120" w:firstLineChars="1600"/>
        <w:textAlignment w:val="baseline"/>
        <w:rPr>
          <w:rFonts w:hint="eastAsia" w:ascii="仿宋_GB2312" w:hAnsi="仿宋_GB2312" w:eastAsia="仿宋_GB2312" w:cs="仿宋_GB2312"/>
          <w:kern w:val="0"/>
          <w:sz w:val="32"/>
          <w:szCs w:val="32"/>
          <w:lang w:val="en-US" w:eastAsia="zh-CN"/>
        </w:rPr>
      </w:pPr>
      <w:r>
        <w:rPr>
          <w:rFonts w:hint="eastAsia" w:ascii="仿宋_GB2312" w:hAnsi="仿宋_GB2312" w:eastAsia="仿宋_GB2312" w:cs="仿宋_GB2312"/>
          <w:kern w:val="0"/>
          <w:sz w:val="32"/>
          <w:szCs w:val="32"/>
          <w:lang w:val="en-US" w:eastAsia="zh-CN"/>
        </w:rPr>
        <w:t>临泽县公安局</w:t>
      </w:r>
    </w:p>
    <w:p w14:paraId="4E77C898">
      <w:pPr>
        <w:keepNext w:val="0"/>
        <w:keepLines w:val="0"/>
        <w:pageBreakBefore w:val="0"/>
        <w:widowControl/>
        <w:kinsoku w:val="0"/>
        <w:wordWrap/>
        <w:overflowPunct/>
        <w:topLinePunct w:val="0"/>
        <w:autoSpaceDE w:val="0"/>
        <w:autoSpaceDN w:val="0"/>
        <w:bidi w:val="0"/>
        <w:adjustRightInd w:val="0"/>
        <w:snapToGrid w:val="0"/>
        <w:spacing w:line="600" w:lineRule="exact"/>
        <w:ind w:firstLine="5120" w:firstLineChars="1600"/>
        <w:textAlignment w:val="baseline"/>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kern w:val="0"/>
          <w:sz w:val="32"/>
          <w:szCs w:val="32"/>
          <w:lang w:val="en-US" w:eastAsia="zh-CN"/>
        </w:rPr>
        <w:t>2025年3月5日</w:t>
      </w:r>
      <w:bookmarkStart w:id="0" w:name="_GoBack"/>
      <w:bookmarkEnd w:id="0"/>
    </w:p>
    <w:p w14:paraId="31ED34E9">
      <w:pPr>
        <w:pStyle w:val="8"/>
        <w:rPr>
          <w:rFonts w:hint="eastAsia" w:ascii="仿宋_GB2312" w:hAnsi="仿宋_GB2312" w:eastAsia="仿宋_GB2312" w:cs="仿宋_GB2312"/>
          <w:b w:val="0"/>
          <w:bCs w:val="0"/>
          <w:sz w:val="32"/>
          <w:szCs w:val="32"/>
        </w:rPr>
      </w:pPr>
    </w:p>
    <w:sectPr>
      <w:footerReference r:id="rId5" w:type="default"/>
      <w:pgSz w:w="11906" w:h="16838"/>
      <w:pgMar w:top="1701" w:right="1587" w:bottom="1701" w:left="1633" w:header="851" w:footer="992" w:gutter="0"/>
      <w:pgNumType w:fmt="numberInDash"/>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auto"/>
    <w:pitch w:val="default"/>
    <w:sig w:usb0="A00002FF" w:usb1="28CFFCFA" w:usb2="00000016" w:usb3="00000000" w:csb0="0010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方正仿宋_GB2312">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4C18770">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7E3F1E0">
                          <w:pPr>
                            <w:pStyle w:val="6"/>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fldChar w:fldCharType="begin"/>
                          </w:r>
                          <w:r>
                            <w:rPr>
                              <w:rFonts w:hint="eastAsia" w:asciiTheme="minorEastAsia" w:hAnsiTheme="minorEastAsia" w:eastAsiaTheme="minorEastAsia" w:cstheme="minorEastAsia"/>
                              <w:color w:val="auto"/>
                              <w:sz w:val="28"/>
                              <w:szCs w:val="28"/>
                            </w:rPr>
                            <w:instrText xml:space="preserve"> PAGE  \* MERGEFORMAT </w:instrText>
                          </w:r>
                          <w:r>
                            <w:rPr>
                              <w:rFonts w:hint="eastAsia" w:asciiTheme="minorEastAsia" w:hAnsiTheme="minorEastAsia" w:eastAsiaTheme="minorEastAsia" w:cstheme="minorEastAsia"/>
                              <w:color w:val="auto"/>
                              <w:sz w:val="28"/>
                              <w:szCs w:val="28"/>
                            </w:rPr>
                            <w:fldChar w:fldCharType="separate"/>
                          </w: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7E3F1E0">
                    <w:pPr>
                      <w:pStyle w:val="6"/>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fldChar w:fldCharType="begin"/>
                    </w:r>
                    <w:r>
                      <w:rPr>
                        <w:rFonts w:hint="eastAsia" w:asciiTheme="minorEastAsia" w:hAnsiTheme="minorEastAsia" w:eastAsiaTheme="minorEastAsia" w:cstheme="minorEastAsia"/>
                        <w:color w:val="auto"/>
                        <w:sz w:val="28"/>
                        <w:szCs w:val="28"/>
                      </w:rPr>
                      <w:instrText xml:space="preserve"> PAGE  \* MERGEFORMAT </w:instrText>
                    </w:r>
                    <w:r>
                      <w:rPr>
                        <w:rFonts w:hint="eastAsia" w:asciiTheme="minorEastAsia" w:hAnsiTheme="minorEastAsia" w:eastAsiaTheme="minorEastAsia" w:cstheme="minorEastAsia"/>
                        <w:color w:val="auto"/>
                        <w:sz w:val="28"/>
                        <w:szCs w:val="28"/>
                      </w:rPr>
                      <w:fldChar w:fldCharType="separate"/>
                    </w:r>
                    <w:r>
                      <w:rPr>
                        <w:rFonts w:hint="eastAsia" w:asciiTheme="minorEastAsia" w:hAnsiTheme="minorEastAsia" w:eastAsiaTheme="minorEastAsia" w:cstheme="minorEastAsia"/>
                        <w:color w:val="auto"/>
                        <w:sz w:val="28"/>
                        <w:szCs w:val="28"/>
                      </w:rPr>
                      <w:t>1</w:t>
                    </w:r>
                    <w:r>
                      <w:rPr>
                        <w:rFonts w:hint="eastAsia" w:asciiTheme="minorEastAsia" w:hAnsiTheme="minorEastAsia" w:eastAsiaTheme="minorEastAsia" w:cstheme="minorEastAsia"/>
                        <w:color w:val="auto"/>
                        <w:sz w:val="28"/>
                        <w:szCs w:val="28"/>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CFDB7BF"/>
    <w:multiLevelType w:val="singleLevel"/>
    <w:tmpl w:val="8CFDB7BF"/>
    <w:lvl w:ilvl="0" w:tentative="0">
      <w:start w:val="2"/>
      <w:numFmt w:val="decimal"/>
      <w:suff w:val="nothing"/>
      <w:lvlText w:val="%1、"/>
      <w:lvlJc w:val="left"/>
    </w:lvl>
  </w:abstractNum>
  <w:abstractNum w:abstractNumId="1">
    <w:nsid w:val="B3497E5D"/>
    <w:multiLevelType w:val="singleLevel"/>
    <w:tmpl w:val="B3497E5D"/>
    <w:lvl w:ilvl="0" w:tentative="0">
      <w:start w:val="2"/>
      <w:numFmt w:val="decimal"/>
      <w:suff w:val="nothing"/>
      <w:lvlText w:val="（%1）"/>
      <w:lvlJc w:val="left"/>
    </w:lvl>
  </w:abstractNum>
  <w:abstractNum w:abstractNumId="2">
    <w:nsid w:val="40A19DC5"/>
    <w:multiLevelType w:val="singleLevel"/>
    <w:tmpl w:val="40A19DC5"/>
    <w:lvl w:ilvl="0" w:tentative="0">
      <w:start w:val="4"/>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c0YzE4OTExODcyZTg1MzlhMTFlNTczZDI0N2NmYTIifQ=="/>
  </w:docVars>
  <w:rsids>
    <w:rsidRoot w:val="00000000"/>
    <w:rsid w:val="099556EF"/>
    <w:rsid w:val="09E97670"/>
    <w:rsid w:val="1A9A1B3A"/>
    <w:rsid w:val="1F2340D1"/>
    <w:rsid w:val="3226525D"/>
    <w:rsid w:val="33063B62"/>
    <w:rsid w:val="33687871"/>
    <w:rsid w:val="38E0340C"/>
    <w:rsid w:val="46E35F4E"/>
    <w:rsid w:val="539E6769"/>
    <w:rsid w:val="54447B32"/>
    <w:rsid w:val="55CE5F46"/>
    <w:rsid w:val="5A881F55"/>
    <w:rsid w:val="69890839"/>
    <w:rsid w:val="730425CF"/>
    <w:rsid w:val="779A6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qFormat="1"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paragraph" w:styleId="3">
    <w:name w:val="heading 1"/>
    <w:basedOn w:val="1"/>
    <w:next w:val="1"/>
    <w:qFormat/>
    <w:uiPriority w:val="99"/>
    <w:pPr>
      <w:autoSpaceDE w:val="0"/>
      <w:autoSpaceDN w:val="0"/>
      <w:spacing w:before="9"/>
      <w:ind w:left="1730"/>
      <w:jc w:val="left"/>
      <w:outlineLvl w:val="0"/>
    </w:pPr>
    <w:rPr>
      <w:rFonts w:ascii="PMingLiU" w:hAnsi="PMingLiU" w:eastAsia="PMingLiU" w:cs="PMingLiU"/>
      <w:kern w:val="0"/>
      <w:sz w:val="44"/>
      <w:szCs w:val="44"/>
      <w:lang w:eastAsia="en-US"/>
    </w:rPr>
  </w:style>
  <w:style w:type="character" w:default="1" w:styleId="11">
    <w:name w:val="Default Paragraph Font"/>
    <w:link w:val="12"/>
    <w:semiHidden/>
    <w:qFormat/>
    <w:uiPriority w:val="0"/>
    <w:rPr>
      <w:rFonts w:eastAsia="宋体"/>
      <w:sz w:val="24"/>
      <w:szCs w:val="24"/>
    </w:rPr>
  </w:style>
  <w:style w:type="table" w:default="1" w:styleId="10">
    <w:name w:val="Normal Table"/>
    <w:semiHidden/>
    <w:qFormat/>
    <w:uiPriority w:val="0"/>
    <w:tblPr>
      <w:tblCellMar>
        <w:top w:w="0" w:type="dxa"/>
        <w:left w:w="108" w:type="dxa"/>
        <w:bottom w:w="0" w:type="dxa"/>
        <w:right w:w="108" w:type="dxa"/>
      </w:tblCellMar>
    </w:tblPr>
  </w:style>
  <w:style w:type="paragraph" w:styleId="2">
    <w:name w:val="index 6"/>
    <w:basedOn w:val="1"/>
    <w:next w:val="1"/>
    <w:qFormat/>
    <w:uiPriority w:val="0"/>
    <w:rPr>
      <w:sz w:val="22"/>
      <w:szCs w:val="22"/>
    </w:rPr>
  </w:style>
  <w:style w:type="paragraph" w:styleId="4">
    <w:name w:val="Normal Indent"/>
    <w:basedOn w:val="1"/>
    <w:qFormat/>
    <w:uiPriority w:val="99"/>
    <w:pPr>
      <w:ind w:firstLine="420"/>
    </w:pPr>
    <w:rPr>
      <w:szCs w:val="20"/>
    </w:rPr>
  </w:style>
  <w:style w:type="paragraph" w:styleId="5">
    <w:name w:val="Body Text"/>
    <w:basedOn w:val="1"/>
    <w:next w:val="1"/>
    <w:semiHidden/>
    <w:qFormat/>
    <w:uiPriority w:val="0"/>
    <w:rPr>
      <w:rFonts w:ascii="Arial" w:hAnsi="Arial" w:eastAsia="Arial" w:cs="Arial"/>
      <w:sz w:val="21"/>
      <w:szCs w:val="21"/>
      <w:lang w:val="en-US" w:eastAsia="en-US" w:bidi="ar-SA"/>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Body Text Indent 3"/>
    <w:basedOn w:val="1"/>
    <w:qFormat/>
    <w:uiPriority w:val="0"/>
    <w:pPr>
      <w:spacing w:after="120"/>
      <w:ind w:left="420" w:leftChars="200"/>
    </w:pPr>
    <w:rPr>
      <w:rFonts w:ascii="Times New Roman" w:hAnsi="Times New Roman" w:eastAsia="宋体" w:cs="Times New Roman"/>
      <w:sz w:val="16"/>
      <w:szCs w:val="16"/>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12">
    <w:name w:val="Char Char Char Char Char Char Char Char Char Char Char Char Char Char Char Char"/>
    <w:basedOn w:val="1"/>
    <w:link w:val="11"/>
    <w:qFormat/>
    <w:uiPriority w:val="0"/>
    <w:pPr>
      <w:tabs>
        <w:tab w:val="left" w:pos="360"/>
      </w:tabs>
    </w:pPr>
    <w:rPr>
      <w:rFonts w:eastAsia="宋体"/>
      <w:sz w:val="24"/>
      <w:szCs w:val="24"/>
    </w:rPr>
  </w:style>
  <w:style w:type="character" w:styleId="13">
    <w:name w:val="Strong"/>
    <w:basedOn w:val="11"/>
    <w:qFormat/>
    <w:uiPriority w:val="0"/>
    <w:rPr>
      <w:b/>
      <w:color w:val="000000"/>
      <w:sz w:val="24"/>
      <w:szCs w:val="24"/>
      <w:u w:val="none"/>
    </w:rPr>
  </w:style>
  <w:style w:type="character" w:styleId="14">
    <w:name w:val="page number"/>
    <w:basedOn w:val="11"/>
    <w:semiHidden/>
    <w:qFormat/>
    <w:uiPriority w:val="0"/>
  </w:style>
  <w:style w:type="character" w:customStyle="1" w:styleId="15">
    <w:name w:val="明显参考1"/>
    <w:qFormat/>
    <w:uiPriority w:val="0"/>
    <w:rPr>
      <w:b/>
      <w:bCs/>
      <w:smallCaps/>
      <w:color w:val="5B9BD5"/>
      <w:spacing w:val="5"/>
    </w:rPr>
  </w:style>
  <w:style w:type="paragraph" w:customStyle="1" w:styleId="16">
    <w:name w:val="Char1"/>
    <w:basedOn w:val="1"/>
    <w:qFormat/>
    <w:uiPriority w:val="0"/>
    <w:pPr>
      <w:tabs>
        <w:tab w:val="left" w:pos="840"/>
      </w:tabs>
      <w:ind w:left="840" w:hanging="420"/>
    </w:pPr>
    <w:rPr>
      <w:rFonts w:ascii="Times New Roman" w:hAnsi="Times New Roman"/>
      <w:sz w:val="24"/>
      <w:szCs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3401</Words>
  <Characters>3626</Characters>
  <Lines>0</Lines>
  <Paragraphs>0</Paragraphs>
  <TotalTime>1</TotalTime>
  <ScaleCrop>false</ScaleCrop>
  <LinksUpToDate>false</LinksUpToDate>
  <CharactersWithSpaces>3639</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2024-03-13T03:43:00Z</dcterms:created>
  <dc:creator>Administrator</dc:creator>
  <cp:lastModifiedBy>At right.</cp:lastModifiedBy>
  <cp:lastPrinted>2025-03-04T07:07:40Z</cp:lastPrinted>
  <dcterms:modified xsi:type="dcterms:W3CDTF">2025-03-04T07:08:14Z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DFC9FE90FB454BB6AE179C47BE54629F_12</vt:lpwstr>
  </property>
  <property fmtid="{D5CDD505-2E9C-101B-9397-08002B2CF9AE}" pid="4" name="KSOTemplateDocerSaveRecord">
    <vt:lpwstr>eyJoZGlkIjoiMjIzNWZkOGZhNTFhM2VhMGRmYjkwNTY2YTViNTQ1N2IiLCJ1c2VySWQiOiI1OTM3Nzc4MDgifQ==</vt:lpwstr>
  </property>
</Properties>
</file>