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ind w:firstLine="0" w:firstLineChars="0"/>
        <w:jc w:val="center"/>
        <w:rPr>
          <w:rFonts w:eastAsia="黑体"/>
          <w:b/>
          <w:bCs/>
          <w:sz w:val="40"/>
          <w:szCs w:val="40"/>
        </w:rPr>
      </w:pPr>
    </w:p>
    <w:p>
      <w:pPr>
        <w:spacing w:before="120" w:after="120" w:line="480" w:lineRule="auto"/>
        <w:ind w:firstLine="0" w:firstLineChars="0"/>
        <w:jc w:val="center"/>
        <w:rPr>
          <w:rFonts w:eastAsia="黑体"/>
          <w:b/>
          <w:bCs/>
          <w:sz w:val="40"/>
          <w:szCs w:val="40"/>
        </w:rPr>
      </w:pPr>
    </w:p>
    <w:p>
      <w:pPr>
        <w:spacing w:before="120" w:after="120" w:line="480" w:lineRule="auto"/>
        <w:ind w:firstLine="0" w:firstLineChars="0"/>
        <w:jc w:val="center"/>
        <w:rPr>
          <w:rFonts w:eastAsia="黑体"/>
          <w:b/>
          <w:bCs/>
          <w:sz w:val="48"/>
          <w:szCs w:val="48"/>
        </w:rPr>
      </w:pPr>
    </w:p>
    <w:p>
      <w:pPr>
        <w:spacing w:before="120" w:after="120" w:line="480" w:lineRule="auto"/>
        <w:ind w:firstLine="0" w:firstLineChars="0"/>
        <w:jc w:val="center"/>
        <w:rPr>
          <w:rFonts w:eastAsia="黑体"/>
          <w:b/>
          <w:bCs/>
          <w:sz w:val="48"/>
          <w:szCs w:val="48"/>
        </w:rPr>
      </w:pPr>
    </w:p>
    <w:p>
      <w:pPr>
        <w:spacing w:before="120" w:after="120" w:line="480" w:lineRule="auto"/>
        <w:ind w:firstLine="0" w:firstLineChars="0"/>
        <w:jc w:val="center"/>
        <w:rPr>
          <w:rFonts w:eastAsia="黑体"/>
          <w:b/>
          <w:bCs/>
          <w:sz w:val="48"/>
          <w:szCs w:val="48"/>
        </w:rPr>
      </w:pPr>
    </w:p>
    <w:p>
      <w:pPr>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部门整体支出绩效评价报告</w:t>
      </w:r>
    </w:p>
    <w:p>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kern w:val="0"/>
          <w:sz w:val="44"/>
          <w:szCs w:val="44"/>
          <w:lang w:bidi="en-US"/>
        </w:rPr>
      </w:pPr>
    </w:p>
    <w:p>
      <w:pPr>
        <w:widowControl/>
        <w:spacing w:before="120" w:after="120" w:line="480" w:lineRule="auto"/>
        <w:ind w:firstLine="0" w:firstLineChars="0"/>
        <w:jc w:val="center"/>
        <w:rPr>
          <w:rFonts w:eastAsia="黑体"/>
          <w:b/>
          <w:kern w:val="0"/>
          <w:sz w:val="44"/>
          <w:szCs w:val="44"/>
          <w:lang w:bidi="en-US"/>
        </w:rPr>
      </w:pPr>
    </w:p>
    <w:p>
      <w:pPr>
        <w:widowControl/>
        <w:spacing w:before="120" w:after="120" w:line="480" w:lineRule="auto"/>
        <w:ind w:firstLine="0" w:firstLineChars="0"/>
        <w:jc w:val="center"/>
        <w:rPr>
          <w:rFonts w:eastAsia="黑体"/>
          <w:b/>
          <w:kern w:val="0"/>
          <w:sz w:val="44"/>
          <w:szCs w:val="44"/>
          <w:lang w:bidi="en-US"/>
        </w:rPr>
      </w:pPr>
    </w:p>
    <w:p>
      <w:pPr>
        <w:widowControl/>
        <w:spacing w:before="120" w:after="120" w:line="360" w:lineRule="auto"/>
        <w:ind w:firstLine="0" w:firstLineChars="0"/>
        <w:jc w:val="both"/>
        <w:rPr>
          <w:rFonts w:eastAsia="黑体"/>
          <w:b/>
          <w:kern w:val="0"/>
          <w:szCs w:val="28"/>
          <w:lang w:bidi="en-US"/>
        </w:rPr>
      </w:pPr>
    </w:p>
    <w:p>
      <w:pPr>
        <w:widowControl/>
        <w:spacing w:before="120" w:after="120" w:line="360" w:lineRule="auto"/>
        <w:ind w:firstLine="0" w:firstLineChars="0"/>
        <w:jc w:val="center"/>
        <w:rPr>
          <w:rFonts w:eastAsia="黑体"/>
          <w:b/>
          <w:kern w:val="0"/>
          <w:szCs w:val="28"/>
          <w:lang w:bidi="en-US"/>
        </w:rPr>
      </w:pPr>
    </w:p>
    <w:p>
      <w:pPr>
        <w:widowControl/>
        <w:spacing w:before="120" w:line="240" w:lineRule="auto"/>
        <w:ind w:firstLine="0" w:firstLineChars="0"/>
        <w:jc w:val="left"/>
        <w:rPr>
          <w:rFonts w:hint="eastAsia" w:asciiTheme="minorEastAsia" w:hAnsiTheme="minorEastAsia" w:eastAsiaTheme="minorEastAsia" w:cstheme="minorEastAsia"/>
          <w:b/>
          <w:bCs/>
          <w:kern w:val="0"/>
          <w:sz w:val="32"/>
          <w:szCs w:val="32"/>
          <w:lang w:eastAsia="zh-CN" w:bidi="en-US"/>
        </w:rPr>
      </w:pPr>
      <w:r>
        <w:rPr>
          <w:rFonts w:hint="eastAsia" w:asciiTheme="minorEastAsia" w:hAnsiTheme="minorEastAsia" w:eastAsiaTheme="minorEastAsia" w:cstheme="minorEastAsia"/>
          <w:b/>
          <w:bCs/>
          <w:kern w:val="0"/>
          <w:sz w:val="32"/>
          <w:szCs w:val="32"/>
          <w:lang w:eastAsia="zh-CN" w:bidi="en-US"/>
        </w:rPr>
        <w:t>部门（</w:t>
      </w:r>
      <w:r>
        <w:rPr>
          <w:rFonts w:hint="eastAsia" w:asciiTheme="minorEastAsia" w:hAnsiTheme="minorEastAsia" w:eastAsiaTheme="minorEastAsia" w:cstheme="minorEastAsia"/>
          <w:b/>
          <w:bCs/>
          <w:kern w:val="0"/>
          <w:sz w:val="32"/>
          <w:szCs w:val="32"/>
          <w:lang w:bidi="en-US"/>
        </w:rPr>
        <w:t>单位</w:t>
      </w:r>
      <w:r>
        <w:rPr>
          <w:rFonts w:hint="eastAsia" w:asciiTheme="minorEastAsia" w:hAnsiTheme="minorEastAsia" w:eastAsiaTheme="minorEastAsia" w:cstheme="minorEastAsia"/>
          <w:b/>
          <w:bCs/>
          <w:kern w:val="0"/>
          <w:sz w:val="32"/>
          <w:szCs w:val="32"/>
          <w:lang w:eastAsia="zh-CN" w:bidi="en-US"/>
        </w:rPr>
        <w:t>）</w:t>
      </w:r>
      <w:r>
        <w:rPr>
          <w:rFonts w:hint="eastAsia" w:asciiTheme="minorEastAsia" w:hAnsiTheme="minorEastAsia" w:eastAsiaTheme="minorEastAsia" w:cstheme="minorEastAsia"/>
          <w:b/>
          <w:bCs/>
          <w:kern w:val="0"/>
          <w:sz w:val="32"/>
          <w:szCs w:val="32"/>
          <w:lang w:bidi="en-US"/>
        </w:rPr>
        <w:t>：</w:t>
      </w:r>
      <w:r>
        <w:rPr>
          <w:rFonts w:hint="eastAsia" w:asciiTheme="minorEastAsia" w:hAnsiTheme="minorEastAsia" w:eastAsiaTheme="minorEastAsia" w:cstheme="minorEastAsia"/>
          <w:b/>
          <w:bCs/>
          <w:kern w:val="0"/>
          <w:sz w:val="32"/>
          <w:szCs w:val="32"/>
          <w:lang w:eastAsia="zh-CN" w:bidi="en-US"/>
        </w:rPr>
        <w:t>临泽县平川镇卫生院</w:t>
      </w:r>
    </w:p>
    <w:p>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w:t>
      </w:r>
      <w:r>
        <w:rPr>
          <w:rFonts w:hint="eastAsia" w:asciiTheme="minorEastAsia" w:hAnsiTheme="minorEastAsia" w:eastAsiaTheme="minorEastAsia" w:cstheme="minorEastAsia"/>
          <w:b/>
          <w:bCs/>
          <w:sz w:val="32"/>
          <w:szCs w:val="32"/>
          <w:lang w:val="en-US" w:eastAsia="zh-CN"/>
        </w:rPr>
        <w:t>24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t>月</w:t>
      </w:r>
    </w:p>
    <w:p>
      <w:pPr>
        <w:pStyle w:val="19"/>
        <w:adjustRightInd w:val="0"/>
        <w:snapToGrid w:val="0"/>
        <w:spacing w:before="0" w:after="0"/>
        <w:jc w:val="center"/>
        <w:outlineLvl w:val="9"/>
        <w:rPr>
          <w:rFonts w:hint="eastAsia" w:ascii="方正小标宋简体" w:hAnsi="仿宋" w:eastAsia="方正小标宋简体"/>
          <w:sz w:val="36"/>
          <w:szCs w:val="36"/>
          <w:lang w:eastAsia="zh-CN"/>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p>
    <w:p>
      <w:pPr>
        <w:pStyle w:val="19"/>
        <w:keepNext w:val="0"/>
        <w:keepLines w:val="0"/>
        <w:pageBreakBefore w:val="0"/>
        <w:kinsoku/>
        <w:wordWrap/>
        <w:overflowPunct/>
        <w:topLinePunct w:val="0"/>
        <w:autoSpaceDE/>
        <w:autoSpaceDN/>
        <w:bidi w:val="0"/>
        <w:adjustRightInd w:val="0"/>
        <w:snapToGrid w:val="0"/>
        <w:spacing w:before="0" w:after="0" w:line="600" w:lineRule="exact"/>
        <w:jc w:val="center"/>
        <w:textAlignment w:val="auto"/>
        <w:outlineLvl w:val="9"/>
        <w:rPr>
          <w:rFonts w:hint="eastAsia" w:ascii="方正小标宋简体" w:hAnsi="仿宋" w:eastAsia="方正小标宋简体"/>
          <w:sz w:val="36"/>
          <w:szCs w:val="36"/>
          <w:lang w:eastAsia="zh-CN"/>
        </w:rPr>
      </w:pPr>
      <w:r>
        <w:rPr>
          <w:rFonts w:hint="eastAsia" w:ascii="方正小标宋简体" w:hAnsi="仿宋" w:eastAsia="方正小标宋简体"/>
          <w:sz w:val="36"/>
          <w:szCs w:val="36"/>
          <w:lang w:eastAsia="zh-CN"/>
        </w:rPr>
        <w:t>临泽县</w:t>
      </w:r>
      <w:r>
        <w:rPr>
          <w:rFonts w:hint="eastAsia" w:ascii="方正小标宋简体" w:hAnsi="仿宋" w:eastAsia="方正小标宋简体"/>
          <w:sz w:val="36"/>
          <w:szCs w:val="36"/>
          <w:lang w:val="en-US" w:eastAsia="zh-CN"/>
        </w:rPr>
        <w:t>平川镇卫生院</w:t>
      </w:r>
      <w:r>
        <w:rPr>
          <w:rFonts w:hint="eastAsia" w:ascii="方正小标宋简体" w:hAnsi="仿宋" w:eastAsia="方正小标宋简体"/>
          <w:sz w:val="36"/>
          <w:szCs w:val="36"/>
        </w:rPr>
        <w:t>整体支出绩效评价报告</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szCs w:val="32"/>
        </w:rPr>
      </w:pPr>
      <w:r>
        <w:rPr>
          <w:rFonts w:hint="eastAsia" w:ascii="黑体" w:hAnsi="黑体" w:eastAsia="黑体" w:cs="黑体"/>
          <w:b/>
          <w:szCs w:val="32"/>
        </w:rPr>
        <w:t>一、部门概况</w:t>
      </w:r>
    </w:p>
    <w:p>
      <w:pPr>
        <w:pStyle w:val="7"/>
        <w:keepNext w:val="0"/>
        <w:keepLines w:val="0"/>
        <w:pageBreakBefore w:val="0"/>
        <w:kinsoku/>
        <w:wordWrap/>
        <w:overflowPunct/>
        <w:topLinePunct w:val="0"/>
        <w:autoSpaceDE/>
        <w:autoSpaceDN/>
        <w:bidi w:val="0"/>
        <w:spacing w:line="600" w:lineRule="exact"/>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（一）机构职能；</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val="zh-CN" w:eastAsia="zh-CN" w:bidi="ar-SA"/>
        </w:rPr>
        <w:t>宣传贯彻党和政府的医疗卫生工作方针政策，开展健康教育，协助并组织实施卫生保健计划和开展爱国卫生运动。</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开展疾病预防控制，做好精神卫生和慢性非传染性疾病控制工作。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zh-CN" w:eastAsia="zh-CN" w:bidi="ar-SA"/>
        </w:rPr>
        <w:t>落实免疫规划，适龄儿童能及时得到免费接种服务。</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zh-CN" w:eastAsia="zh-CN" w:bidi="ar-SA"/>
        </w:rPr>
        <w:t>开展妇幼保健工作，提高妇女儿童健康水平。</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val="zh-CN" w:eastAsia="zh-CN" w:bidi="ar-SA"/>
        </w:rPr>
        <w:t>协助开展突发公共卫生事件应急调查工作，承担区域内公共卫生相关信息收集与报告。</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val="zh-CN" w:eastAsia="zh-CN" w:bidi="ar-SA"/>
        </w:rPr>
        <w:t>提供基本医疗服务，开展农村常见病、多发病以及诊断明确的慢性非传染性疾病的诊疗护理，及时做好急诊抢救转诊工作。提供医疗咨询、康复和计划生育技术服务，推广使用农村适宜技术和中医药技术。</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（7）做好辖区内其他公共卫生服务工作</w:t>
      </w:r>
      <w:r>
        <w:rPr>
          <w:rFonts w:hint="eastAsia" w:ascii="仿宋_GB2312" w:hAnsi="仿宋_GB2312" w:eastAsia="仿宋_GB2312" w:cs="仿宋_GB2312"/>
          <w:kern w:val="0"/>
          <w:sz w:val="32"/>
          <w:szCs w:val="32"/>
          <w:lang w:val="zh-CN" w:eastAsia="zh-CN" w:bidi="ar-SA"/>
        </w:rPr>
        <w:t>。</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（8）</w:t>
      </w:r>
      <w:r>
        <w:rPr>
          <w:rFonts w:hint="eastAsia" w:ascii="仿宋_GB2312" w:hAnsi="仿宋_GB2312" w:eastAsia="仿宋_GB2312" w:cs="仿宋_GB2312"/>
          <w:kern w:val="0"/>
          <w:sz w:val="32"/>
          <w:szCs w:val="32"/>
          <w:lang w:val="zh-CN" w:eastAsia="zh-CN" w:bidi="ar-SA"/>
        </w:rPr>
        <w:t>协助做好</w:t>
      </w:r>
      <w:r>
        <w:rPr>
          <w:rFonts w:hint="eastAsia" w:ascii="仿宋_GB2312" w:hAnsi="仿宋_GB2312" w:eastAsia="仿宋_GB2312" w:cs="仿宋_GB2312"/>
          <w:kern w:val="0"/>
          <w:sz w:val="32"/>
          <w:szCs w:val="32"/>
          <w:lang w:val="en-US" w:eastAsia="zh-CN" w:bidi="ar-SA"/>
        </w:rPr>
        <w:t>医保报销</w:t>
      </w:r>
      <w:r>
        <w:rPr>
          <w:rFonts w:hint="eastAsia" w:ascii="仿宋_GB2312" w:hAnsi="仿宋_GB2312" w:eastAsia="仿宋_GB2312" w:cs="仿宋_GB2312"/>
          <w:kern w:val="0"/>
          <w:sz w:val="32"/>
          <w:szCs w:val="32"/>
          <w:lang w:val="zh-CN" w:eastAsia="zh-CN" w:bidi="ar-SA"/>
        </w:rPr>
        <w:t>工作。</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（9）</w:t>
      </w:r>
      <w:r>
        <w:rPr>
          <w:rFonts w:hint="eastAsia" w:ascii="仿宋_GB2312" w:hAnsi="仿宋_GB2312" w:eastAsia="仿宋_GB2312" w:cs="仿宋_GB2312"/>
          <w:kern w:val="0"/>
          <w:sz w:val="32"/>
          <w:szCs w:val="32"/>
          <w:lang w:val="zh-CN" w:eastAsia="zh-CN" w:bidi="ar-SA"/>
        </w:rPr>
        <w:t>负责对村级卫生机构和乡村医生的业务管理和技术指导。</w:t>
      </w:r>
    </w:p>
    <w:p>
      <w:pPr>
        <w:pStyle w:val="7"/>
        <w:keepNext w:val="0"/>
        <w:keepLines w:val="0"/>
        <w:pageBreakBefore w:val="0"/>
        <w:kinsoku/>
        <w:wordWrap/>
        <w:overflowPunct/>
        <w:topLinePunct w:val="0"/>
        <w:autoSpaceDE/>
        <w:autoSpaceDN/>
        <w:bidi w:val="0"/>
        <w:spacing w:line="600" w:lineRule="exact"/>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w:t>
      </w:r>
      <w:r>
        <w:rPr>
          <w:rFonts w:hint="eastAsia" w:ascii="楷体_GB2312" w:hAnsi="楷体_GB2312" w:eastAsia="楷体_GB2312" w:cs="楷体_GB2312"/>
          <w:b/>
          <w:bCs/>
          <w:szCs w:val="32"/>
          <w:lang w:val="en-US" w:eastAsia="zh-CN"/>
        </w:rPr>
        <w:t>组织机构设置及</w:t>
      </w:r>
      <w:r>
        <w:rPr>
          <w:rFonts w:hint="eastAsia" w:ascii="楷体_GB2312" w:hAnsi="楷体_GB2312" w:eastAsia="楷体_GB2312" w:cs="楷体_GB2312"/>
          <w:b/>
          <w:bCs/>
          <w:szCs w:val="32"/>
        </w:rPr>
        <w:t>人员</w:t>
      </w:r>
      <w:r>
        <w:rPr>
          <w:rFonts w:hint="eastAsia" w:ascii="楷体_GB2312" w:hAnsi="楷体_GB2312" w:eastAsia="楷体_GB2312" w:cs="楷体_GB2312"/>
          <w:b/>
          <w:bCs/>
          <w:szCs w:val="32"/>
          <w:lang w:val="en-US" w:eastAsia="zh-CN"/>
        </w:rPr>
        <w:t>构成情况</w:t>
      </w:r>
      <w:r>
        <w:rPr>
          <w:rFonts w:hint="eastAsia" w:ascii="楷体_GB2312" w:hAnsi="楷体_GB2312" w:eastAsia="楷体_GB2312" w:cs="楷体_GB2312"/>
          <w:b/>
          <w:bCs/>
          <w:szCs w:val="32"/>
        </w:rPr>
        <w:t>；</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临泽县平川镇卫生院归口管理机构有收费室、西医门诊、中医门诊、针灸室、西药房、中药房、换药室、功能科、化验室、公共卫生科、发热门诊、一体化办公室、护理部、办公室、财务室等15个科室。</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本单位纳入2023年度部门决算范围的人员共27人，在职27人，本年度新分配1人，人数较上年度一致。</w:t>
      </w:r>
    </w:p>
    <w:p>
      <w:pPr>
        <w:pStyle w:val="7"/>
        <w:keepNext w:val="0"/>
        <w:keepLines w:val="0"/>
        <w:pageBreakBefore w:val="0"/>
        <w:kinsoku/>
        <w:wordWrap/>
        <w:overflowPunct/>
        <w:topLinePunct w:val="0"/>
        <w:autoSpaceDE/>
        <w:autoSpaceDN/>
        <w:bidi w:val="0"/>
        <w:spacing w:line="600" w:lineRule="exact"/>
        <w:textAlignment w:val="auto"/>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Cs w:val="32"/>
        </w:rPr>
        <w:t>（三）</w:t>
      </w:r>
      <w:r>
        <w:rPr>
          <w:rFonts w:hint="eastAsia" w:ascii="楷体_GB2312" w:hAnsi="楷体_GB2312" w:eastAsia="楷体_GB2312" w:cs="楷体_GB2312"/>
          <w:b/>
          <w:bCs/>
          <w:szCs w:val="32"/>
          <w:lang w:val="en-US" w:eastAsia="zh-CN"/>
        </w:rPr>
        <w:t>部门整体预算批复及支出安排情况；</w:t>
      </w:r>
    </w:p>
    <w:p>
      <w:pPr>
        <w:pStyle w:val="7"/>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（1）县本级财政资金预算执行情况</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年部门收入预算</w:t>
      </w:r>
      <w:r>
        <w:rPr>
          <w:rFonts w:hint="eastAsia" w:ascii="仿宋_GB2312" w:hAnsi="宋体" w:eastAsia="仿宋_GB2312" w:cs="宋体"/>
          <w:kern w:val="0"/>
          <w:sz w:val="32"/>
          <w:szCs w:val="32"/>
          <w:lang w:val="en-US" w:eastAsia="zh-CN"/>
        </w:rPr>
        <w:t>330.81</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w:t>
      </w:r>
      <w:r>
        <w:rPr>
          <w:rFonts w:hint="eastAsia" w:ascii="仿宋_GB2312" w:hAnsi="宋体" w:eastAsia="仿宋_GB2312" w:cs="宋体"/>
          <w:kern w:val="0"/>
          <w:sz w:val="32"/>
          <w:szCs w:val="32"/>
          <w:lang w:eastAsia="zh-CN"/>
        </w:rPr>
        <w:t>收入</w:t>
      </w:r>
      <w:r>
        <w:rPr>
          <w:rFonts w:hint="eastAsia" w:ascii="仿宋_GB2312" w:hAnsi="宋体" w:eastAsia="仿宋_GB2312" w:cs="宋体"/>
          <w:kern w:val="0"/>
          <w:sz w:val="32"/>
          <w:szCs w:val="32"/>
          <w:lang w:val="en-US" w:eastAsia="zh-CN"/>
        </w:rPr>
        <w:t>330.81</w:t>
      </w:r>
      <w:r>
        <w:rPr>
          <w:rFonts w:hint="eastAsia" w:ascii="仿宋_GB2312" w:hAnsi="宋体" w:eastAsia="仿宋_GB2312" w:cs="宋体"/>
          <w:kern w:val="0"/>
          <w:sz w:val="32"/>
          <w:szCs w:val="32"/>
        </w:rPr>
        <w:t>万元。</w:t>
      </w:r>
      <w:r>
        <w:rPr>
          <w:rFonts w:hint="eastAsia" w:ascii="仿宋_GB2312" w:eastAsia="仿宋_GB2312"/>
          <w:sz w:val="32"/>
          <w:szCs w:val="32"/>
          <w:lang w:eastAsia="zh-CN"/>
        </w:rPr>
        <w:t>2023</w:t>
      </w:r>
      <w:r>
        <w:rPr>
          <w:rFonts w:hint="eastAsia" w:ascii="仿宋_GB2312" w:eastAsia="仿宋_GB2312"/>
          <w:sz w:val="32"/>
          <w:szCs w:val="32"/>
        </w:rPr>
        <w:t>年支出预算</w:t>
      </w:r>
      <w:r>
        <w:rPr>
          <w:rFonts w:hint="eastAsia" w:ascii="仿宋_GB2312" w:eastAsia="仿宋_GB2312"/>
          <w:sz w:val="32"/>
          <w:szCs w:val="32"/>
          <w:lang w:val="en-US" w:eastAsia="zh-CN"/>
        </w:rPr>
        <w:t>330.81</w:t>
      </w:r>
      <w:r>
        <w:rPr>
          <w:rFonts w:hint="eastAsia" w:ascii="仿宋_GB2312" w:eastAsia="仿宋_GB2312"/>
          <w:sz w:val="32"/>
          <w:szCs w:val="32"/>
        </w:rPr>
        <w:t>万元，比</w:t>
      </w:r>
      <w:r>
        <w:rPr>
          <w:rFonts w:hint="eastAsia" w:ascii="仿宋_GB2312" w:eastAsia="仿宋_GB2312"/>
          <w:sz w:val="32"/>
          <w:szCs w:val="32"/>
          <w:lang w:eastAsia="zh-CN"/>
        </w:rPr>
        <w:t>2022</w:t>
      </w:r>
      <w:r>
        <w:rPr>
          <w:rFonts w:hint="eastAsia" w:ascii="仿宋_GB2312" w:eastAsia="仿宋_GB2312"/>
          <w:sz w:val="32"/>
          <w:szCs w:val="32"/>
        </w:rPr>
        <w:t>年预算增加</w:t>
      </w:r>
      <w:r>
        <w:rPr>
          <w:rFonts w:hint="eastAsia" w:ascii="仿宋_GB2312" w:eastAsia="仿宋_GB2312"/>
          <w:sz w:val="32"/>
          <w:szCs w:val="32"/>
          <w:lang w:val="en-US" w:eastAsia="zh-CN"/>
        </w:rPr>
        <w:t>89.98</w:t>
      </w:r>
      <w:r>
        <w:rPr>
          <w:rFonts w:hint="eastAsia" w:ascii="仿宋_GB2312" w:eastAsia="仿宋_GB2312"/>
          <w:sz w:val="32"/>
          <w:szCs w:val="32"/>
        </w:rPr>
        <w:t xml:space="preserve"> 万元，增长</w:t>
      </w:r>
      <w:r>
        <w:rPr>
          <w:rFonts w:hint="eastAsia" w:ascii="仿宋_GB2312" w:eastAsia="仿宋_GB2312"/>
          <w:sz w:val="32"/>
          <w:szCs w:val="32"/>
          <w:lang w:val="en-US" w:eastAsia="zh-CN"/>
        </w:rPr>
        <w:t>37.3</w:t>
      </w:r>
      <w:r>
        <w:rPr>
          <w:rFonts w:ascii="仿宋_GB2312" w:eastAsia="仿宋_GB2312"/>
          <w:sz w:val="32"/>
          <w:szCs w:val="32"/>
        </w:rPr>
        <w:t xml:space="preserve"> </w:t>
      </w:r>
      <w:r>
        <w:rPr>
          <w:rFonts w:hint="eastAsia" w:ascii="仿宋_GB2312" w:eastAsia="仿宋_GB2312"/>
          <w:sz w:val="32"/>
          <w:szCs w:val="32"/>
        </w:rPr>
        <w:t>%，增长的主要原因是</w:t>
      </w:r>
      <w:r>
        <w:rPr>
          <w:rFonts w:hint="eastAsia" w:ascii="仿宋_GB2312" w:eastAsia="仿宋_GB2312"/>
          <w:sz w:val="32"/>
          <w:szCs w:val="32"/>
          <w:lang w:eastAsia="zh-CN"/>
        </w:rPr>
        <w:t>人员经费增加</w:t>
      </w:r>
      <w:r>
        <w:rPr>
          <w:rFonts w:hint="eastAsia" w:ascii="仿宋_GB2312" w:eastAsia="仿宋_GB2312"/>
          <w:sz w:val="32"/>
          <w:szCs w:val="32"/>
        </w:rPr>
        <w:t xml:space="preserve"> 。当年财政拨款主要是：</w:t>
      </w:r>
      <w:r>
        <w:rPr>
          <w:rFonts w:hint="eastAsia" w:ascii="仿宋_GB2312" w:eastAsia="仿宋_GB2312"/>
          <w:sz w:val="32"/>
          <w:szCs w:val="32"/>
          <w:lang w:eastAsia="zh-CN"/>
        </w:rPr>
        <w:t>人员经费、公用经费。</w:t>
      </w:r>
    </w:p>
    <w:p>
      <w:pPr>
        <w:pStyle w:val="7"/>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（2）上级下达部门资金预算执行情况</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cs="宋体"/>
          <w:kern w:val="0"/>
          <w:sz w:val="32"/>
          <w:szCs w:val="32"/>
          <w:lang w:val="en-US" w:eastAsia="zh-CN" w:bidi="ar-SA"/>
        </w:rPr>
      </w:pPr>
      <w:bookmarkStart w:id="6" w:name="_GoBack"/>
      <w:bookmarkEnd w:id="6"/>
      <w:r>
        <w:rPr>
          <w:rFonts w:hint="eastAsia" w:ascii="仿宋_GB2312" w:hAnsi="宋体" w:eastAsia="仿宋_GB2312" w:cs="宋体"/>
          <w:kern w:val="0"/>
          <w:sz w:val="32"/>
          <w:szCs w:val="32"/>
          <w:lang w:val="en-US" w:eastAsia="zh-CN" w:bidi="ar-SA"/>
        </w:rPr>
        <w:t>我单位专项经费由临泽县卫生健康局统一分配拨付。2023年实行部门预算绩效目标管理的项目4个，涉及财政安排一般公共预算财政拨款112.76万元。</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微软雅黑" w:hAnsi="微软雅黑" w:eastAsia="微软雅黑" w:cs="微软雅黑"/>
          <w:lang w:eastAsia="zh-CN"/>
        </w:rPr>
      </w:pPr>
      <w:r>
        <w:rPr>
          <w:rFonts w:hint="eastAsia" w:ascii="仿宋_GB2312" w:hAnsi="仿宋_GB2312" w:cs="仿宋_GB2312"/>
          <w:b/>
          <w:szCs w:val="32"/>
          <w:lang w:eastAsia="zh-CN"/>
        </w:rPr>
        <w:t>二、</w:t>
      </w:r>
      <w:r>
        <w:rPr>
          <w:rFonts w:hint="eastAsia" w:ascii="仿宋_GB2312" w:hAnsi="仿宋_GB2312" w:cs="仿宋_GB2312"/>
          <w:b/>
          <w:szCs w:val="32"/>
        </w:rPr>
        <w:t>评价工作开展</w:t>
      </w:r>
    </w:p>
    <w:p>
      <w:pPr>
        <w:pStyle w:val="7"/>
        <w:keepNext w:val="0"/>
        <w:keepLines w:val="0"/>
        <w:pageBreakBefore w:val="0"/>
        <w:kinsoku/>
        <w:wordWrap/>
        <w:overflowPunct/>
        <w:topLinePunct w:val="0"/>
        <w:autoSpaceDE/>
        <w:autoSpaceDN/>
        <w:bidi w:val="0"/>
        <w:spacing w:line="600" w:lineRule="exact"/>
        <w:textAlignment w:val="auto"/>
        <w:rPr>
          <w:rFonts w:hint="eastAsia" w:ascii="仿宋_GB2312" w:hAnsi="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（一）绩效评价实施过程</w:t>
      </w:r>
    </w:p>
    <w:p>
      <w:pPr>
        <w:pStyle w:val="21"/>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次绩效评价自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年1月启动，主要通过</w:t>
      </w:r>
      <w:r>
        <w:rPr>
          <w:rFonts w:hint="eastAsia" w:ascii="仿宋_GB2312" w:hAnsi="仿宋_GB2312" w:eastAsia="仿宋_GB2312" w:cs="仿宋_GB2312"/>
          <w:color w:val="auto"/>
          <w:sz w:val="32"/>
          <w:szCs w:val="32"/>
          <w:lang w:val="en-US" w:eastAsia="zh-CN"/>
        </w:rPr>
        <w:t>临泽县平川镇卫生院</w:t>
      </w:r>
      <w:r>
        <w:rPr>
          <w:rFonts w:hint="eastAsia" w:ascii="仿宋_GB2312" w:hAnsi="仿宋_GB2312" w:eastAsia="仿宋_GB2312" w:cs="仿宋_GB2312"/>
          <w:sz w:val="32"/>
          <w:szCs w:val="32"/>
        </w:rPr>
        <w:t>基本情况、预算制定与明细、部门战略目标及组织架构等基础信息采集等形式，开展相关基础工作。主要实施过程如下：</w:t>
      </w:r>
    </w:p>
    <w:p>
      <w:pPr>
        <w:pStyle w:val="21"/>
        <w:keepNext w:val="0"/>
        <w:keepLines w:val="0"/>
        <w:pageBreakBefore w:val="0"/>
        <w:kinsoku/>
        <w:wordWrap/>
        <w:overflowPunct/>
        <w:topLinePunct w:val="0"/>
        <w:autoSpaceDE/>
        <w:autoSpaceDN/>
        <w:bidi w:val="0"/>
        <w:spacing w:line="600" w:lineRule="exact"/>
        <w:ind w:left="560" w:firstLine="0" w:firstLineChars="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1、前期</w:t>
      </w:r>
      <w:r>
        <w:rPr>
          <w:rFonts w:hint="eastAsia" w:ascii="仿宋_GB2312" w:hAnsi="仿宋_GB2312" w:eastAsia="仿宋_GB2312" w:cs="仿宋_GB2312"/>
          <w:b w:val="0"/>
          <w:bCs/>
          <w:sz w:val="32"/>
          <w:szCs w:val="32"/>
          <w:lang w:eastAsia="zh-CN"/>
        </w:rPr>
        <w:t>准备</w:t>
      </w:r>
    </w:p>
    <w:p>
      <w:pPr>
        <w:keepNext w:val="0"/>
        <w:keepLines w:val="0"/>
        <w:pageBreakBefore w:val="0"/>
        <w:kinsoku/>
        <w:wordWrap/>
        <w:overflowPunct/>
        <w:topLinePunct w:val="0"/>
        <w:autoSpaceDE/>
        <w:autoSpaceDN/>
        <w:bidi w:val="0"/>
        <w:snapToGrid w:val="0"/>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开始，基本确定了20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临泽县</w:t>
      </w:r>
      <w:r>
        <w:rPr>
          <w:rFonts w:hint="eastAsia" w:ascii="仿宋_GB2312" w:hAnsi="仿宋_GB2312" w:eastAsia="仿宋_GB2312" w:cs="仿宋_GB2312"/>
          <w:color w:val="auto"/>
          <w:sz w:val="32"/>
          <w:szCs w:val="32"/>
          <w:lang w:val="en-US" w:eastAsia="zh-CN"/>
        </w:rPr>
        <w:t>平川镇卫生院</w:t>
      </w:r>
      <w:r>
        <w:rPr>
          <w:rFonts w:hint="eastAsia" w:ascii="仿宋_GB2312" w:hAnsi="仿宋_GB2312" w:eastAsia="仿宋_GB2312" w:cs="仿宋_GB2312"/>
          <w:sz w:val="32"/>
          <w:szCs w:val="32"/>
        </w:rPr>
        <w:t>部门整体评价的实施内容、工作范围、评价目标等，并通过相关资料和数据的基础信息，设计了部门整体评价指标体系与</w:t>
      </w:r>
      <w:r>
        <w:rPr>
          <w:rFonts w:hint="eastAsia" w:ascii="仿宋_GB2312" w:hAnsi="仿宋_GB2312" w:eastAsia="仿宋_GB2312" w:cs="仿宋_GB2312"/>
          <w:sz w:val="32"/>
          <w:szCs w:val="32"/>
          <w:lang w:eastAsia="zh-CN"/>
        </w:rPr>
        <w:t>临泽县</w:t>
      </w:r>
      <w:r>
        <w:rPr>
          <w:rFonts w:hint="eastAsia" w:ascii="仿宋_GB2312" w:hAnsi="仿宋_GB2312" w:eastAsia="仿宋_GB2312" w:cs="仿宋_GB2312"/>
          <w:color w:val="auto"/>
          <w:sz w:val="32"/>
          <w:szCs w:val="32"/>
          <w:lang w:val="en-US" w:eastAsia="zh-CN"/>
        </w:rPr>
        <w:t>平川镇卫生院</w:t>
      </w:r>
      <w:r>
        <w:rPr>
          <w:rFonts w:hint="eastAsia" w:ascii="仿宋_GB2312" w:hAnsi="仿宋_GB2312" w:eastAsia="仿宋_GB2312" w:cs="仿宋_GB2312"/>
          <w:sz w:val="32"/>
          <w:szCs w:val="32"/>
        </w:rPr>
        <w:t>相关基础信息采集表。</w:t>
      </w:r>
    </w:p>
    <w:p>
      <w:pPr>
        <w:pStyle w:val="21"/>
        <w:keepNext w:val="0"/>
        <w:keepLines w:val="0"/>
        <w:pageBreakBefore w:val="0"/>
        <w:kinsoku/>
        <w:wordWrap/>
        <w:overflowPunct/>
        <w:topLinePunct w:val="0"/>
        <w:autoSpaceDE/>
        <w:autoSpaceDN/>
        <w:bidi w:val="0"/>
        <w:spacing w:line="600" w:lineRule="exact"/>
        <w:ind w:left="560" w:firstLine="0" w:firstLineChars="0"/>
        <w:textAlignment w:val="auto"/>
        <w:rPr>
          <w:rFonts w:hint="eastAsia" w:ascii="仿宋_GB2312" w:hAnsi="仿宋_GB2312" w:eastAsia="仿宋_GB2312" w:cs="仿宋_GB2312"/>
          <w:b w:val="0"/>
          <w:bCs/>
          <w:sz w:val="32"/>
          <w:szCs w:val="32"/>
        </w:rPr>
      </w:pPr>
      <w:bookmarkStart w:id="0" w:name="_Toc343641673"/>
      <w:bookmarkStart w:id="1" w:name="_Toc356400138"/>
      <w:bookmarkStart w:id="2" w:name="_Toc361813819"/>
      <w:bookmarkStart w:id="3" w:name="_Toc366411941"/>
      <w:bookmarkStart w:id="4" w:name="_Toc366093883"/>
      <w:bookmarkStart w:id="5" w:name="_Toc360067907"/>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、数据分析及报告</w:t>
      </w:r>
      <w:bookmarkEnd w:id="0"/>
      <w:bookmarkEnd w:id="1"/>
      <w:r>
        <w:rPr>
          <w:rFonts w:hint="eastAsia" w:ascii="仿宋_GB2312" w:hAnsi="仿宋_GB2312" w:eastAsia="仿宋_GB2312" w:cs="仿宋_GB2312"/>
          <w:b w:val="0"/>
          <w:bCs/>
          <w:sz w:val="32"/>
          <w:szCs w:val="32"/>
        </w:rPr>
        <w:t>撰写</w:t>
      </w:r>
      <w:bookmarkEnd w:id="2"/>
      <w:bookmarkEnd w:id="3"/>
      <w:bookmarkEnd w:id="4"/>
      <w:bookmarkEnd w:id="5"/>
    </w:p>
    <w:p>
      <w:pPr>
        <w:keepNext w:val="0"/>
        <w:keepLines w:val="0"/>
        <w:pageBreakBefore w:val="0"/>
        <w:kinsoku/>
        <w:wordWrap/>
        <w:overflowPunct/>
        <w:topLinePunct w:val="0"/>
        <w:autoSpaceDE/>
        <w:autoSpaceDN/>
        <w:bidi w:val="0"/>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根据部门整体绩效评价的原理和规范，对采集的数据进行处理、分析和评分，提炼结论撰写报告，并不断修正完善。</w:t>
      </w:r>
    </w:p>
    <w:p>
      <w:pPr>
        <w:pStyle w:val="7"/>
        <w:keepNext w:val="0"/>
        <w:keepLines w:val="0"/>
        <w:pageBreakBefore w:val="0"/>
        <w:numPr>
          <w:ilvl w:val="0"/>
          <w:numId w:val="1"/>
        </w:numPr>
        <w:kinsoku/>
        <w:wordWrap/>
        <w:overflowPunct/>
        <w:topLinePunct w:val="0"/>
        <w:autoSpaceDE/>
        <w:autoSpaceDN/>
        <w:bidi w:val="0"/>
        <w:spacing w:line="60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szCs w:val="32"/>
        </w:rPr>
        <w:t>绩效评价整体结果概况</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依据部门整体绩效评价指标体系及评分标准，临泽县平川镇卫生院根据基础数据，对202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年度临泽县平川镇卫生院整体支出进行了独立评分，最终评分结果为</w:t>
      </w:r>
      <w:r>
        <w:rPr>
          <w:rFonts w:hint="eastAsia" w:ascii="仿宋_GB2312" w:hAnsi="仿宋_GB2312" w:cs="仿宋_GB2312"/>
          <w:kern w:val="2"/>
          <w:sz w:val="32"/>
          <w:szCs w:val="32"/>
          <w:lang w:val="en-US" w:eastAsia="zh-CN" w:bidi="ar-SA"/>
        </w:rPr>
        <w:t>89</w:t>
      </w:r>
      <w:r>
        <w:rPr>
          <w:rFonts w:hint="eastAsia" w:ascii="仿宋_GB2312" w:hAnsi="仿宋_GB2312" w:eastAsia="仿宋_GB2312" w:cs="仿宋_GB2312"/>
          <w:kern w:val="2"/>
          <w:sz w:val="32"/>
          <w:szCs w:val="32"/>
          <w:lang w:val="en-US" w:eastAsia="zh-CN" w:bidi="ar-SA"/>
        </w:rPr>
        <w:t>分，绩效评级为“</w:t>
      </w:r>
      <w:r>
        <w:rPr>
          <w:rFonts w:hint="eastAsia" w:ascii="仿宋_GB2312" w:hAnsi="仿宋_GB2312" w:cs="仿宋_GB2312"/>
          <w:kern w:val="2"/>
          <w:sz w:val="32"/>
          <w:szCs w:val="32"/>
          <w:lang w:val="en-US" w:eastAsia="zh-CN" w:bidi="ar-SA"/>
        </w:rPr>
        <w:t>良</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w:t>
      </w:r>
    </w:p>
    <w:p>
      <w:pPr>
        <w:pStyle w:val="7"/>
        <w:keepNext w:val="0"/>
        <w:keepLines w:val="0"/>
        <w:pageBreakBefore w:val="0"/>
        <w:kinsoku/>
        <w:wordWrap/>
        <w:overflowPunct/>
        <w:topLinePunct w:val="0"/>
        <w:autoSpaceDE/>
        <w:autoSpaceDN/>
        <w:bidi w:val="0"/>
        <w:spacing w:line="600" w:lineRule="exact"/>
        <w:ind w:firstLine="643"/>
        <w:textAlignment w:val="auto"/>
        <w:rPr>
          <w:rFonts w:hint="eastAsia" w:ascii="仿宋_GB2312" w:hAnsi="仿宋_GB2312" w:cs="仿宋_GB2312"/>
          <w:b/>
          <w:szCs w:val="32"/>
        </w:rPr>
      </w:pPr>
      <w:r>
        <w:rPr>
          <w:rFonts w:hint="eastAsia" w:ascii="仿宋_GB2312" w:hAnsi="仿宋_GB2312" w:cs="仿宋_GB2312"/>
          <w:b/>
          <w:szCs w:val="32"/>
        </w:rPr>
        <w:t>三、部门整体支出绩效评价分析</w:t>
      </w:r>
    </w:p>
    <w:p>
      <w:pPr>
        <w:pStyle w:val="7"/>
        <w:keepNext w:val="0"/>
        <w:keepLines w:val="0"/>
        <w:pageBreakBefore w:val="0"/>
        <w:kinsoku/>
        <w:wordWrap/>
        <w:overflowPunct/>
        <w:topLinePunct w:val="0"/>
        <w:autoSpaceDE/>
        <w:autoSpaceDN/>
        <w:bidi w:val="0"/>
        <w:spacing w:line="600" w:lineRule="exact"/>
        <w:ind w:firstLine="643"/>
        <w:textAlignment w:val="auto"/>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t xml:space="preserve">（一）投入情况分析 </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预算编制</w:t>
      </w:r>
      <w:r>
        <w:rPr>
          <w:rFonts w:hint="default" w:ascii="仿宋_GB2312" w:eastAsia="仿宋_GB2312"/>
          <w:sz w:val="32"/>
          <w:szCs w:val="32"/>
          <w:lang w:val="en-US" w:eastAsia="zh-CN"/>
        </w:rPr>
        <w:t>情况分析</w:t>
      </w:r>
      <w:r>
        <w:rPr>
          <w:rFonts w:hint="eastAsia" w:ascii="仿宋_GB2312" w:eastAsia="仿宋_GB2312"/>
          <w:sz w:val="32"/>
          <w:szCs w:val="32"/>
          <w:lang w:val="en-US" w:eastAsia="zh-CN"/>
        </w:rPr>
        <w:t>：</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年部门收入预算</w:t>
      </w:r>
      <w:r>
        <w:rPr>
          <w:rFonts w:hint="eastAsia" w:ascii="仿宋_GB2312" w:hAnsi="宋体" w:eastAsia="仿宋_GB2312" w:cs="宋体"/>
          <w:kern w:val="0"/>
          <w:sz w:val="32"/>
          <w:szCs w:val="32"/>
          <w:lang w:val="en-US" w:eastAsia="zh-CN"/>
        </w:rPr>
        <w:t>330.81</w:t>
      </w:r>
      <w:r>
        <w:rPr>
          <w:rFonts w:hint="eastAsia" w:ascii="仿宋_GB2312" w:hAnsi="宋体" w:eastAsia="仿宋_GB2312" w:cs="宋体"/>
          <w:kern w:val="0"/>
          <w:sz w:val="32"/>
          <w:szCs w:val="32"/>
        </w:rPr>
        <w:t>万元，其中</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w:t>
      </w:r>
      <w:r>
        <w:rPr>
          <w:rFonts w:hint="eastAsia" w:ascii="仿宋_GB2312" w:hAnsi="宋体" w:eastAsia="仿宋_GB2312" w:cs="宋体"/>
          <w:kern w:val="0"/>
          <w:sz w:val="32"/>
          <w:szCs w:val="32"/>
          <w:lang w:eastAsia="zh-CN"/>
        </w:rPr>
        <w:t>收入</w:t>
      </w:r>
      <w:r>
        <w:rPr>
          <w:rFonts w:hint="eastAsia" w:ascii="仿宋_GB2312" w:hAnsi="宋体" w:eastAsia="仿宋_GB2312" w:cs="宋体"/>
          <w:kern w:val="0"/>
          <w:sz w:val="32"/>
          <w:szCs w:val="32"/>
          <w:lang w:val="en-US" w:eastAsia="zh-CN"/>
        </w:rPr>
        <w:t>330.81</w:t>
      </w:r>
      <w:r>
        <w:rPr>
          <w:rFonts w:hint="eastAsia" w:ascii="仿宋_GB2312" w:hAnsi="宋体" w:eastAsia="仿宋_GB2312" w:cs="宋体"/>
          <w:kern w:val="0"/>
          <w:sz w:val="32"/>
          <w:szCs w:val="32"/>
        </w:rPr>
        <w:t>万元。</w:t>
      </w:r>
      <w:r>
        <w:rPr>
          <w:rFonts w:hint="eastAsia" w:ascii="仿宋_GB2312" w:eastAsia="仿宋_GB2312"/>
          <w:sz w:val="32"/>
          <w:szCs w:val="32"/>
          <w:lang w:eastAsia="zh-CN"/>
        </w:rPr>
        <w:t>2023</w:t>
      </w:r>
      <w:r>
        <w:rPr>
          <w:rFonts w:hint="eastAsia" w:ascii="仿宋_GB2312" w:eastAsia="仿宋_GB2312"/>
          <w:sz w:val="32"/>
          <w:szCs w:val="32"/>
        </w:rPr>
        <w:t>年支出预算</w:t>
      </w:r>
      <w:r>
        <w:rPr>
          <w:rFonts w:hint="eastAsia" w:ascii="仿宋_GB2312" w:eastAsia="仿宋_GB2312"/>
          <w:sz w:val="32"/>
          <w:szCs w:val="32"/>
          <w:lang w:val="en-US" w:eastAsia="zh-CN"/>
        </w:rPr>
        <w:t>330.81</w:t>
      </w:r>
      <w:r>
        <w:rPr>
          <w:rFonts w:hint="eastAsia" w:ascii="仿宋_GB2312" w:eastAsia="仿宋_GB2312"/>
          <w:sz w:val="32"/>
          <w:szCs w:val="32"/>
        </w:rPr>
        <w:t>万元，比</w:t>
      </w:r>
      <w:r>
        <w:rPr>
          <w:rFonts w:hint="eastAsia" w:ascii="仿宋_GB2312" w:eastAsia="仿宋_GB2312"/>
          <w:sz w:val="32"/>
          <w:szCs w:val="32"/>
          <w:lang w:eastAsia="zh-CN"/>
        </w:rPr>
        <w:t>2022</w:t>
      </w:r>
      <w:r>
        <w:rPr>
          <w:rFonts w:hint="eastAsia" w:ascii="仿宋_GB2312" w:eastAsia="仿宋_GB2312"/>
          <w:sz w:val="32"/>
          <w:szCs w:val="32"/>
        </w:rPr>
        <w:t>年预算增加</w:t>
      </w:r>
      <w:r>
        <w:rPr>
          <w:rFonts w:hint="eastAsia" w:ascii="仿宋_GB2312" w:eastAsia="仿宋_GB2312"/>
          <w:sz w:val="32"/>
          <w:szCs w:val="32"/>
          <w:lang w:val="en-US" w:eastAsia="zh-CN"/>
        </w:rPr>
        <w:t>89.98</w:t>
      </w:r>
      <w:r>
        <w:rPr>
          <w:rFonts w:hint="eastAsia" w:ascii="仿宋_GB2312" w:eastAsia="仿宋_GB2312"/>
          <w:sz w:val="32"/>
          <w:szCs w:val="32"/>
        </w:rPr>
        <w:t xml:space="preserve"> 万元，增长</w:t>
      </w:r>
      <w:r>
        <w:rPr>
          <w:rFonts w:hint="eastAsia" w:ascii="仿宋_GB2312" w:eastAsia="仿宋_GB2312"/>
          <w:sz w:val="32"/>
          <w:szCs w:val="32"/>
          <w:lang w:val="en-US" w:eastAsia="zh-CN"/>
        </w:rPr>
        <w:t>37.3</w:t>
      </w:r>
      <w:r>
        <w:rPr>
          <w:rFonts w:ascii="仿宋_GB2312" w:eastAsia="仿宋_GB2312"/>
          <w:sz w:val="32"/>
          <w:szCs w:val="32"/>
        </w:rPr>
        <w:t xml:space="preserve"> </w:t>
      </w:r>
      <w:r>
        <w:rPr>
          <w:rFonts w:hint="eastAsia" w:ascii="仿宋_GB2312" w:eastAsia="仿宋_GB2312"/>
          <w:sz w:val="32"/>
          <w:szCs w:val="32"/>
        </w:rPr>
        <w:t>%，增长的主要原因是</w:t>
      </w:r>
      <w:r>
        <w:rPr>
          <w:rFonts w:hint="eastAsia" w:ascii="仿宋_GB2312" w:eastAsia="仿宋_GB2312"/>
          <w:sz w:val="32"/>
          <w:szCs w:val="32"/>
          <w:lang w:eastAsia="zh-CN"/>
        </w:rPr>
        <w:t>人员经费增加</w:t>
      </w:r>
      <w:r>
        <w:rPr>
          <w:rFonts w:hint="eastAsia" w:ascii="仿宋_GB2312" w:eastAsia="仿宋_GB2312"/>
          <w:sz w:val="32"/>
          <w:szCs w:val="32"/>
        </w:rPr>
        <w:t xml:space="preserve"> 。当年财政拨款主要是：</w:t>
      </w:r>
      <w:r>
        <w:rPr>
          <w:rFonts w:hint="eastAsia" w:ascii="仿宋_GB2312" w:eastAsia="仿宋_GB2312"/>
          <w:sz w:val="32"/>
          <w:szCs w:val="32"/>
          <w:lang w:eastAsia="zh-CN"/>
        </w:rPr>
        <w:t>人员经费、公用经费。</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预算配置情况分析</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年一般公共预算支出</w:t>
      </w:r>
      <w:r>
        <w:rPr>
          <w:rFonts w:hint="eastAsia" w:ascii="仿宋_GB2312" w:hAnsi="宋体" w:eastAsia="仿宋_GB2312" w:cs="宋体"/>
          <w:kern w:val="0"/>
          <w:sz w:val="32"/>
          <w:szCs w:val="32"/>
          <w:lang w:val="en-US" w:eastAsia="zh-CN"/>
        </w:rPr>
        <w:t>330.81</w:t>
      </w:r>
      <w:r>
        <w:rPr>
          <w:rFonts w:hint="eastAsia" w:ascii="仿宋_GB2312" w:eastAsia="仿宋_GB2312"/>
          <w:sz w:val="32"/>
          <w:szCs w:val="32"/>
        </w:rPr>
        <w:t>万元，具体安排情况如下：</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年全年支出预算</w:t>
      </w:r>
      <w:r>
        <w:rPr>
          <w:rFonts w:hint="eastAsia" w:ascii="仿宋_GB2312" w:hAnsi="仿宋_GB2312" w:eastAsia="仿宋_GB2312" w:cs="仿宋_GB2312"/>
          <w:kern w:val="0"/>
          <w:sz w:val="32"/>
          <w:szCs w:val="32"/>
          <w:lang w:val="en-US" w:eastAsia="zh-CN"/>
        </w:rPr>
        <w:t>330.81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一般</w:t>
      </w:r>
      <w:r>
        <w:rPr>
          <w:rFonts w:hint="eastAsia" w:ascii="仿宋_GB2312" w:hAnsi="仿宋_GB2312" w:eastAsia="仿宋_GB2312" w:cs="仿宋_GB2312"/>
          <w:kern w:val="0"/>
          <w:sz w:val="32"/>
          <w:szCs w:val="32"/>
        </w:rPr>
        <w:t>公共预算支出</w:t>
      </w:r>
      <w:r>
        <w:rPr>
          <w:rFonts w:hint="eastAsia" w:ascii="仿宋_GB2312" w:hAnsi="仿宋_GB2312" w:eastAsia="仿宋_GB2312" w:cs="仿宋_GB2312"/>
          <w:kern w:val="0"/>
          <w:sz w:val="32"/>
          <w:szCs w:val="32"/>
          <w:lang w:val="en-US" w:eastAsia="zh-CN"/>
        </w:rPr>
        <w:t>330.81</w:t>
      </w:r>
      <w:r>
        <w:rPr>
          <w:rFonts w:hint="eastAsia" w:ascii="仿宋_GB2312" w:hAnsi="仿宋_GB2312" w:eastAsia="仿宋_GB2312" w:cs="仿宋_GB2312"/>
          <w:kern w:val="0"/>
          <w:sz w:val="32"/>
          <w:szCs w:val="32"/>
        </w:rPr>
        <w:t>万元。其中工资福利支出</w:t>
      </w:r>
      <w:r>
        <w:rPr>
          <w:rFonts w:hint="eastAsia" w:ascii="仿宋_GB2312" w:hAnsi="仿宋_GB2312" w:eastAsia="仿宋_GB2312" w:cs="仿宋_GB2312"/>
          <w:kern w:val="0"/>
          <w:sz w:val="32"/>
          <w:szCs w:val="32"/>
          <w:lang w:val="en-US" w:eastAsia="zh-CN"/>
        </w:rPr>
        <w:t>326.53</w:t>
      </w:r>
      <w:r>
        <w:rPr>
          <w:rFonts w:hint="eastAsia" w:ascii="仿宋_GB2312" w:hAnsi="仿宋_GB2312" w:eastAsia="仿宋_GB2312" w:cs="仿宋_GB2312"/>
          <w:kern w:val="0"/>
          <w:sz w:val="32"/>
          <w:szCs w:val="32"/>
        </w:rPr>
        <w:t>万元：基本工资</w:t>
      </w:r>
      <w:r>
        <w:rPr>
          <w:rFonts w:hint="eastAsia" w:ascii="仿宋_GB2312" w:hAnsi="仿宋_GB2312" w:eastAsia="仿宋_GB2312" w:cs="仿宋_GB2312"/>
          <w:kern w:val="0"/>
          <w:sz w:val="32"/>
          <w:szCs w:val="32"/>
          <w:lang w:val="en-US" w:eastAsia="zh-CN"/>
        </w:rPr>
        <w:t>90.64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val="en-US" w:eastAsia="zh-CN"/>
        </w:rPr>
        <w:t>21.49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val="en-US" w:eastAsia="zh-CN"/>
        </w:rPr>
        <w:t>62.16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、个人采暖补贴</w:t>
      </w:r>
      <w:r>
        <w:rPr>
          <w:rFonts w:hint="eastAsia" w:ascii="仿宋_GB2312" w:hAnsi="仿宋_GB2312" w:eastAsia="仿宋_GB2312" w:cs="仿宋_GB2312"/>
          <w:kern w:val="0"/>
          <w:sz w:val="32"/>
          <w:szCs w:val="32"/>
          <w:lang w:val="en-US" w:eastAsia="zh-CN"/>
        </w:rPr>
        <w:t>14.52万元、过渡期奖励性补贴68.14万元、</w:t>
      </w:r>
      <w:r>
        <w:rPr>
          <w:rFonts w:hint="eastAsia" w:ascii="仿宋_GB2312" w:hAnsi="仿宋_GB2312" w:eastAsia="仿宋_GB2312" w:cs="仿宋_GB2312"/>
          <w:kern w:val="0"/>
          <w:sz w:val="32"/>
          <w:szCs w:val="32"/>
          <w:lang w:eastAsia="zh-CN"/>
        </w:rPr>
        <w:t>机关事业单位基本养老保险缴费</w:t>
      </w:r>
      <w:r>
        <w:rPr>
          <w:rFonts w:hint="eastAsia" w:ascii="仿宋_GB2312" w:hAnsi="仿宋_GB2312" w:eastAsia="仿宋_GB2312" w:cs="仿宋_GB2312"/>
          <w:kern w:val="0"/>
          <w:sz w:val="32"/>
          <w:szCs w:val="32"/>
          <w:lang w:val="en-US" w:eastAsia="zh-CN"/>
        </w:rPr>
        <w:t>27.88万元、职工基本医疗保险缴费12.08万元、公务员医疗补助缴费5.23万元、失业保险缴费1.22万元、工伤保险缴费0.45万元、住房公积金20.91万元、其他工资福利支出1.8万元；</w:t>
      </w:r>
      <w:r>
        <w:rPr>
          <w:rFonts w:hint="eastAsia" w:ascii="仿宋_GB2312" w:hAnsi="仿宋_GB2312" w:eastAsia="仿宋_GB2312" w:cs="仿宋_GB2312"/>
          <w:kern w:val="0"/>
          <w:sz w:val="32"/>
          <w:szCs w:val="32"/>
          <w:lang w:eastAsia="zh-CN"/>
        </w:rPr>
        <w:t>商品和服务支出</w:t>
      </w:r>
      <w:r>
        <w:rPr>
          <w:rFonts w:hint="eastAsia" w:ascii="仿宋_GB2312" w:hAnsi="仿宋_GB2312" w:eastAsia="仿宋_GB2312" w:cs="仿宋_GB2312"/>
          <w:kern w:val="0"/>
          <w:sz w:val="32"/>
          <w:szCs w:val="32"/>
          <w:lang w:val="en-US" w:eastAsia="zh-CN"/>
        </w:rPr>
        <w:t>4.28万元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工会经费2.03万元、</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、其他商品和服务支出</w:t>
      </w:r>
      <w:r>
        <w:rPr>
          <w:rFonts w:hint="eastAsia" w:ascii="仿宋_GB2312" w:hAnsi="仿宋_GB2312" w:eastAsia="仿宋_GB2312" w:cs="仿宋_GB2312"/>
          <w:kern w:val="0"/>
          <w:sz w:val="32"/>
          <w:szCs w:val="32"/>
          <w:lang w:val="en-US" w:eastAsia="zh-CN"/>
        </w:rPr>
        <w:t>0.05万元。</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kern w:val="0"/>
          <w:sz w:val="32"/>
          <w:szCs w:val="32"/>
        </w:rPr>
        <w:t>根据部门行政事业发展目标，结合财力可能，20</w:t>
      </w:r>
      <w:r>
        <w:rPr>
          <w:rFonts w:hint="eastAsia" w:ascii="仿宋_GB2312" w:hAnsi="仿宋_GB2312" w:eastAsia="仿宋_GB2312" w:cs="仿宋_GB2312"/>
          <w:kern w:val="0"/>
          <w:sz w:val="32"/>
          <w:szCs w:val="32"/>
          <w:lang w:val="en-US" w:eastAsia="zh-CN"/>
        </w:rPr>
        <w:t>2</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年安排项目支出 0 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（二）</w:t>
      </w:r>
      <w:r>
        <w:rPr>
          <w:rFonts w:hint="eastAsia" w:ascii="仿宋_GB2312" w:eastAsia="仿宋_GB2312"/>
          <w:sz w:val="32"/>
          <w:szCs w:val="32"/>
          <w:lang w:val="en-US" w:eastAsia="zh-CN"/>
        </w:rPr>
        <w:t>过程情况分析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1．预算执行情况分析</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年部门预算纳入绩效目标管理的二级项目</w:t>
      </w:r>
      <w:r>
        <w:rPr>
          <w:rFonts w:hint="eastAsia" w:ascii="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eastAsia="zh-CN"/>
        </w:rPr>
        <w:t>202</w:t>
      </w:r>
      <w:r>
        <w:rPr>
          <w:rFonts w:hint="eastAsia" w:ascii="仿宋_GB2312"/>
          <w:sz w:val="32"/>
          <w:szCs w:val="32"/>
          <w:lang w:val="en-US" w:eastAsia="zh-CN"/>
        </w:rPr>
        <w:t>3</w:t>
      </w:r>
      <w:r>
        <w:rPr>
          <w:rFonts w:hint="eastAsia" w:ascii="仿宋_GB2312" w:eastAsia="仿宋_GB2312"/>
          <w:sz w:val="32"/>
          <w:szCs w:val="32"/>
        </w:rPr>
        <w:t>年本部门</w:t>
      </w:r>
      <w:r>
        <w:rPr>
          <w:rFonts w:hint="eastAsia" w:ascii="仿宋_GB2312" w:eastAsia="仿宋_GB2312"/>
          <w:sz w:val="32"/>
          <w:szCs w:val="32"/>
          <w:lang w:val="en-US" w:eastAsia="zh-CN"/>
        </w:rPr>
        <w:t>1</w:t>
      </w:r>
      <w:r>
        <w:rPr>
          <w:rFonts w:hint="eastAsia" w:ascii="仿宋_GB2312" w:eastAsia="仿宋_GB2312"/>
          <w:sz w:val="32"/>
          <w:szCs w:val="32"/>
        </w:rPr>
        <w:t>个预算单位纳入部门（单位）预算整体支出绩效目标管理。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2．预算管理情况分析</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202</w:t>
      </w:r>
      <w:r>
        <w:rPr>
          <w:rFonts w:hint="eastAsia" w:ascii="仿宋_GB2312"/>
          <w:color w:val="000000"/>
          <w:sz w:val="32"/>
          <w:szCs w:val="32"/>
          <w:lang w:val="en-US" w:eastAsia="zh-CN"/>
        </w:rPr>
        <w:t>3</w:t>
      </w:r>
      <w:r>
        <w:rPr>
          <w:rFonts w:hint="eastAsia" w:ascii="仿宋_GB2312" w:eastAsia="仿宋_GB2312"/>
          <w:color w:val="000000"/>
          <w:sz w:val="32"/>
          <w:szCs w:val="32"/>
        </w:rPr>
        <w:t>年实行部门预算绩效目标管理的项目</w:t>
      </w:r>
      <w:r>
        <w:rPr>
          <w:rFonts w:hint="eastAsia" w:ascii="仿宋_GB2312"/>
          <w:color w:val="000000"/>
          <w:sz w:val="32"/>
          <w:szCs w:val="32"/>
          <w:lang w:val="en-US" w:eastAsia="zh-CN"/>
        </w:rPr>
        <w:t>4</w:t>
      </w:r>
      <w:r>
        <w:rPr>
          <w:rFonts w:hint="eastAsia" w:ascii="仿宋_GB2312" w:eastAsia="仿宋_GB2312"/>
          <w:color w:val="000000"/>
          <w:sz w:val="32"/>
          <w:szCs w:val="32"/>
        </w:rPr>
        <w:t>个，涉及财政安排一般公共预算财政拨款</w:t>
      </w:r>
      <w:r>
        <w:rPr>
          <w:rFonts w:hint="eastAsia" w:ascii="仿宋_GB2312"/>
          <w:color w:val="000000"/>
          <w:sz w:val="32"/>
          <w:szCs w:val="32"/>
          <w:lang w:val="en-US" w:eastAsia="zh-CN"/>
        </w:rPr>
        <w:t>112.76</w:t>
      </w:r>
      <w:r>
        <w:rPr>
          <w:rFonts w:hint="eastAsia" w:ascii="仿宋_GB2312" w:eastAsia="仿宋_GB2312"/>
          <w:color w:val="000000"/>
          <w:sz w:val="32"/>
          <w:szCs w:val="32"/>
        </w:rPr>
        <w:t>万元。按照财政预算绩效管理要求，</w:t>
      </w:r>
      <w:r>
        <w:rPr>
          <w:rFonts w:hint="eastAsia" w:ascii="仿宋_GB2312"/>
          <w:color w:val="000000"/>
          <w:sz w:val="32"/>
          <w:szCs w:val="32"/>
          <w:lang w:val="en-US" w:eastAsia="zh-CN"/>
        </w:rPr>
        <w:t>4</w:t>
      </w:r>
      <w:r>
        <w:rPr>
          <w:rFonts w:hint="eastAsia" w:ascii="仿宋_GB2312" w:eastAsia="仿宋_GB2312"/>
          <w:color w:val="000000"/>
          <w:sz w:val="32"/>
          <w:szCs w:val="32"/>
        </w:rPr>
        <w:t>个项目采用单位自评评审方式进行了绩效评价。在开展自评过程中，通过检查账务、查阅资料、调查问卷等多种形式，客观合理开展评价工作，较好的反映出项目资金的用途及进展情况，保质保量完成年初预期目标。通过预算绩效评价工作，进一步发挥了项目在实施过程中的社会效益和经济效益，明确了项目执行的目标和效用，促进了预算管理、财务管理和项目管理有效结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sz w:val="32"/>
          <w:szCs w:val="32"/>
          <w:lang w:val="en-US" w:eastAsia="zh-CN"/>
        </w:rPr>
      </w:pPr>
      <w:r>
        <w:rPr>
          <w:rFonts w:hint="eastAsia" w:ascii="仿宋_GB2312"/>
          <w:sz w:val="32"/>
          <w:szCs w:val="32"/>
          <w:lang w:val="en-US" w:eastAsia="zh-CN"/>
        </w:rPr>
        <w:t>3</w:t>
      </w:r>
      <w:r>
        <w:rPr>
          <w:rFonts w:hint="default" w:ascii="仿宋_GB2312" w:eastAsia="仿宋_GB2312"/>
          <w:sz w:val="32"/>
          <w:szCs w:val="32"/>
          <w:lang w:val="en-US" w:eastAsia="zh-CN"/>
        </w:rPr>
        <w:t>．</w:t>
      </w:r>
      <w:r>
        <w:rPr>
          <w:rFonts w:hint="eastAsia" w:ascii="仿宋_GB2312"/>
          <w:sz w:val="32"/>
          <w:szCs w:val="32"/>
          <w:lang w:val="en-US" w:eastAsia="zh-CN"/>
        </w:rPr>
        <w:t>资产管理情况分析</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sz w:val="32"/>
          <w:szCs w:val="32"/>
          <w:lang w:val="en-US" w:eastAsia="zh-CN"/>
        </w:rPr>
      </w:pPr>
      <w:r>
        <w:rPr>
          <w:rFonts w:hint="eastAsia" w:ascii="仿宋_GB2312" w:eastAsia="仿宋_GB2312"/>
          <w:sz w:val="32"/>
          <w:szCs w:val="32"/>
        </w:rPr>
        <w:t>上年末固定资产</w:t>
      </w:r>
      <w:r>
        <w:rPr>
          <w:rFonts w:hint="eastAsia" w:ascii="仿宋_GB2312"/>
          <w:sz w:val="32"/>
          <w:szCs w:val="32"/>
          <w:lang w:eastAsia="zh-CN"/>
        </w:rPr>
        <w:t>总额</w:t>
      </w:r>
      <w:r>
        <w:rPr>
          <w:rFonts w:hint="eastAsia" w:ascii="仿宋_GB2312" w:eastAsia="仿宋_GB2312"/>
          <w:sz w:val="32"/>
          <w:szCs w:val="32"/>
        </w:rPr>
        <w:t>为</w:t>
      </w:r>
      <w:r>
        <w:rPr>
          <w:rFonts w:hint="eastAsia" w:ascii="仿宋_GB2312" w:eastAsia="仿宋_GB2312"/>
          <w:sz w:val="32"/>
          <w:szCs w:val="32"/>
          <w:lang w:val="en-US" w:eastAsia="zh-CN"/>
        </w:rPr>
        <w:t>12</w:t>
      </w:r>
      <w:r>
        <w:rPr>
          <w:rFonts w:hint="eastAsia" w:ascii="仿宋_GB2312"/>
          <w:sz w:val="32"/>
          <w:szCs w:val="32"/>
          <w:lang w:val="en-US" w:eastAsia="zh-CN"/>
        </w:rPr>
        <w:t>24</w:t>
      </w:r>
      <w:r>
        <w:rPr>
          <w:rFonts w:hint="eastAsia" w:ascii="仿宋_GB2312" w:eastAsia="仿宋_GB2312"/>
          <w:sz w:val="32"/>
          <w:szCs w:val="32"/>
          <w:lang w:val="en-US" w:eastAsia="zh-CN"/>
        </w:rPr>
        <w:t>.45</w:t>
      </w:r>
      <w:r>
        <w:rPr>
          <w:rFonts w:hint="eastAsia" w:ascii="仿宋_GB2312" w:eastAsia="仿宋_GB2312"/>
          <w:sz w:val="32"/>
          <w:szCs w:val="32"/>
        </w:rPr>
        <w:t>万元。其中：办公用房</w:t>
      </w:r>
      <w:r>
        <w:rPr>
          <w:rFonts w:hint="eastAsia" w:ascii="仿宋_GB2312" w:eastAsia="仿宋_GB2312"/>
          <w:sz w:val="32"/>
          <w:szCs w:val="32"/>
          <w:lang w:val="en-US" w:eastAsia="zh-CN"/>
        </w:rPr>
        <w:t>1980</w:t>
      </w:r>
      <w:r>
        <w:rPr>
          <w:rFonts w:hint="eastAsia" w:ascii="仿宋_GB2312" w:eastAsia="仿宋_GB2312"/>
          <w:sz w:val="32"/>
          <w:szCs w:val="32"/>
        </w:rPr>
        <w:t>平方米。部门及所属预算单位共有公务用车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为救护车，</w:t>
      </w:r>
      <w:r>
        <w:rPr>
          <w:rFonts w:hint="eastAsia" w:ascii="仿宋_GB2312" w:eastAsia="仿宋_GB2312"/>
          <w:sz w:val="32"/>
          <w:szCs w:val="32"/>
        </w:rPr>
        <w:t>价值</w:t>
      </w:r>
      <w:r>
        <w:rPr>
          <w:rFonts w:hint="eastAsia" w:ascii="仿宋_GB2312" w:eastAsia="仿宋_GB2312"/>
          <w:sz w:val="32"/>
          <w:szCs w:val="32"/>
          <w:lang w:val="en-US" w:eastAsia="zh-CN"/>
        </w:rPr>
        <w:t>12.33</w:t>
      </w:r>
      <w:r>
        <w:rPr>
          <w:rFonts w:hint="eastAsia" w:ascii="仿宋_GB2312" w:eastAsia="仿宋_GB2312"/>
          <w:sz w:val="32"/>
          <w:szCs w:val="32"/>
        </w:rPr>
        <w:t>万元。单价</w:t>
      </w:r>
      <w:r>
        <w:rPr>
          <w:rFonts w:hint="eastAsia" w:ascii="仿宋_GB2312" w:eastAsia="仿宋_GB2312"/>
          <w:sz w:val="32"/>
          <w:szCs w:val="32"/>
          <w:lang w:val="en-US" w:eastAsia="zh-CN"/>
        </w:rPr>
        <w:t>50</w:t>
      </w:r>
      <w:r>
        <w:rPr>
          <w:rFonts w:hint="eastAsia" w:ascii="仿宋_GB2312" w:eastAsia="仿宋_GB2312"/>
          <w:sz w:val="32"/>
          <w:szCs w:val="32"/>
        </w:rPr>
        <w:t>万元以上的设备</w:t>
      </w:r>
      <w:r>
        <w:rPr>
          <w:rFonts w:hint="eastAsia" w:ascii="仿宋_GB2312" w:eastAsia="仿宋_GB2312"/>
          <w:sz w:val="32"/>
          <w:szCs w:val="32"/>
          <w:lang w:val="en-US" w:eastAsia="zh-CN"/>
        </w:rPr>
        <w:t>1台，</w:t>
      </w:r>
      <w:r>
        <w:rPr>
          <w:rFonts w:hint="eastAsia" w:ascii="仿宋_GB2312" w:eastAsia="仿宋_GB2312"/>
          <w:sz w:val="32"/>
          <w:szCs w:val="32"/>
        </w:rPr>
        <w:t>价值</w:t>
      </w:r>
      <w:r>
        <w:rPr>
          <w:rFonts w:hint="eastAsia" w:ascii="仿宋_GB2312" w:eastAsia="仿宋_GB2312"/>
          <w:sz w:val="32"/>
          <w:szCs w:val="32"/>
          <w:lang w:val="en-US" w:eastAsia="zh-CN"/>
        </w:rPr>
        <w:t>65.6</w:t>
      </w:r>
      <w:r>
        <w:rPr>
          <w:rFonts w:hint="eastAsia" w:ascii="仿宋_GB2312" w:eastAsia="仿宋_GB2312"/>
          <w:sz w:val="32"/>
          <w:szCs w:val="32"/>
        </w:rPr>
        <w:t>万元</w:t>
      </w:r>
      <w:r>
        <w:rPr>
          <w:rFonts w:hint="eastAsia" w:ascii="仿宋_GB2312" w:eastAsia="仿宋_GB2312"/>
          <w:sz w:val="32"/>
          <w:szCs w:val="32"/>
          <w:lang w:eastAsia="zh-CN"/>
        </w:rPr>
        <w:t>，为医用</w:t>
      </w:r>
      <w:r>
        <w:rPr>
          <w:rFonts w:hint="eastAsia" w:ascii="仿宋_GB2312" w:eastAsia="仿宋_GB2312"/>
          <w:sz w:val="32"/>
          <w:szCs w:val="32"/>
          <w:lang w:val="en-US" w:eastAsia="zh-CN"/>
        </w:rPr>
        <w:t>X射线摄影系统</w:t>
      </w:r>
      <w:r>
        <w:rPr>
          <w:rFonts w:hint="eastAsia" w:ascii="仿宋_GB2312" w:eastAsia="仿宋_GB2312"/>
          <w:sz w:val="32"/>
          <w:szCs w:val="32"/>
        </w:rPr>
        <w:t>。</w:t>
      </w: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sz w:val="32"/>
          <w:szCs w:val="32"/>
          <w:lang w:eastAsia="zh-CN"/>
        </w:rPr>
        <w:t>末</w:t>
      </w:r>
      <w:r>
        <w:rPr>
          <w:rFonts w:hint="eastAsia" w:ascii="仿宋_GB2312" w:eastAsia="仿宋_GB2312"/>
          <w:sz w:val="32"/>
          <w:szCs w:val="32"/>
        </w:rPr>
        <w:t>固定资产</w:t>
      </w:r>
      <w:r>
        <w:rPr>
          <w:rFonts w:hint="eastAsia" w:ascii="仿宋_GB2312"/>
          <w:sz w:val="32"/>
          <w:szCs w:val="32"/>
          <w:lang w:eastAsia="zh-CN"/>
        </w:rPr>
        <w:t>总额为</w:t>
      </w:r>
      <w:r>
        <w:rPr>
          <w:rFonts w:hint="eastAsia" w:ascii="仿宋_GB2312"/>
          <w:sz w:val="32"/>
          <w:szCs w:val="32"/>
          <w:lang w:val="en-US" w:eastAsia="zh-CN"/>
        </w:rPr>
        <w:t>1273.26</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（三）</w:t>
      </w:r>
      <w:r>
        <w:rPr>
          <w:rFonts w:hint="eastAsia" w:ascii="仿宋_GB2312" w:eastAsia="仿宋_GB2312"/>
          <w:sz w:val="32"/>
          <w:szCs w:val="32"/>
          <w:lang w:val="en-US" w:eastAsia="zh-CN"/>
        </w:rPr>
        <w:t>产出</w:t>
      </w:r>
      <w:r>
        <w:rPr>
          <w:rFonts w:hint="default" w:ascii="仿宋_GB2312" w:eastAsia="仿宋_GB2312"/>
          <w:sz w:val="32"/>
          <w:szCs w:val="32"/>
          <w:lang w:val="en-US" w:eastAsia="zh-CN"/>
        </w:rPr>
        <w:t>情况分析</w:t>
      </w:r>
    </w:p>
    <w:p>
      <w:pPr>
        <w:pStyle w:val="5"/>
        <w:keepNext w:val="0"/>
        <w:keepLines w:val="0"/>
        <w:pageBreakBefore w:val="0"/>
        <w:kinsoku/>
        <w:wordWrap/>
        <w:overflowPunct/>
        <w:topLinePunct w:val="0"/>
        <w:autoSpaceDE/>
        <w:autoSpaceDN/>
        <w:bidi w:val="0"/>
        <w:spacing w:line="600" w:lineRule="exact"/>
        <w:textAlignment w:val="auto"/>
        <w:rPr>
          <w:rFonts w:hint="eastAsia" w:ascii="仿宋_GB2312"/>
          <w:sz w:val="32"/>
          <w:szCs w:val="32"/>
          <w:lang w:val="en-US" w:eastAsia="zh-CN"/>
        </w:rPr>
      </w:pPr>
      <w:r>
        <w:rPr>
          <w:rFonts w:hint="eastAsia" w:ascii="仿宋_GB2312"/>
          <w:sz w:val="32"/>
          <w:szCs w:val="32"/>
          <w:lang w:val="en-US" w:eastAsia="zh-CN"/>
        </w:rPr>
        <w:t>1.职责履行方面</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卫生院紧紧围绕县委、县政府中心工作和县卫生健康局部署要求，坚持以习近平新时代中国特色社会主义思想和党的二十大精神为指导，全面从严治党，加强党建、党风廉政建设；提高政治站位，认真履行意识形态工作责任；扎实履职尽责，深入实施“健康临泽”战略，全力推进健康帮扶与乡村振兴有序衔接，持续完善公共卫生服务体系，各项工作有力推进，成效显著</w:t>
      </w:r>
      <w:r>
        <w:rPr>
          <w:rFonts w:hint="eastAsia" w:ascii="仿宋_GB2312"/>
          <w:color w:val="auto"/>
          <w:sz w:val="32"/>
          <w:szCs w:val="32"/>
          <w:lang w:val="en-US" w:eastAsia="zh-CN"/>
        </w:rPr>
        <w:t>。</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（四）</w:t>
      </w:r>
      <w:r>
        <w:rPr>
          <w:rFonts w:hint="eastAsia" w:ascii="仿宋_GB2312" w:eastAsia="仿宋_GB2312"/>
          <w:sz w:val="32"/>
          <w:szCs w:val="32"/>
          <w:lang w:val="en-US" w:eastAsia="zh-CN"/>
        </w:rPr>
        <w:t>效益</w:t>
      </w:r>
      <w:r>
        <w:rPr>
          <w:rFonts w:hint="default" w:ascii="仿宋_GB2312" w:eastAsia="仿宋_GB2312"/>
          <w:sz w:val="32"/>
          <w:szCs w:val="32"/>
          <w:lang w:val="en-US" w:eastAsia="zh-CN"/>
        </w:rPr>
        <w:t>情况分析</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总体而言，临泽县平川镇卫生院部门管理制度较为健全，部门履职、部门效果、满意度及社会评价情况较好，但在绩效信息管理完善性等方面还有待提升、单位内部预算资金管理办法、内部财务管理制度等还需进一步完善。</w:t>
      </w: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cs="仿宋_GB2312"/>
          <w:b/>
          <w:szCs w:val="32"/>
        </w:rPr>
      </w:pPr>
      <w:r>
        <w:rPr>
          <w:rFonts w:hint="eastAsia" w:ascii="仿宋_GB2312" w:hAnsi="仿宋_GB2312" w:cs="仿宋_GB2312"/>
          <w:b/>
          <w:szCs w:val="32"/>
        </w:rPr>
        <w:t>履职完成情况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 xml:space="preserve"> （一）扎实做好应急管理、安全生产、防灾减灾工作。健全完善应对各类自然灾害的紧急医学救援预案16个，积极开展应急演练，成立卫生应急队伍，保障应急物资储备，落实24小时值班值守制度，严格遵守“首报要及时，续报要全面、核报要准确”报告原则，持续提升应急处置能力，确保卫生院各项工作安全有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扎实推进健康帮扶与乡村振兴有效衔接。续签服务协议，建立巩固健康帮扶成果的动态监测机制，每季度组织家庭医生签约服务团队着力做好老年人、孕产妇、儿童、重大疾病、慢性四病、地方病等重点人群健康管理，持续做好大病集中救治、慢性病签约管理服务、先诊疗后付费和一站式结算服务工作，确保基本医疗有保障政策持续落地落实，现服务445户，1273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（三）扎实开展国家基本公共卫生服务项目工作。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kern w:val="0"/>
          <w:sz w:val="32"/>
          <w:szCs w:val="32"/>
        </w:rPr>
        <w:t>加强</w:t>
      </w:r>
      <w:r>
        <w:rPr>
          <w:rFonts w:hint="eastAsia" w:ascii="仿宋_GB2312" w:hAnsi="仿宋_GB2312" w:eastAsia="仿宋_GB2312" w:cs="仿宋_GB2312"/>
          <w:b w:val="0"/>
          <w:bCs/>
          <w:color w:val="auto"/>
          <w:kern w:val="0"/>
          <w:sz w:val="32"/>
          <w:szCs w:val="32"/>
          <w:lang w:eastAsia="zh-CN"/>
        </w:rPr>
        <w:t>综合管理</w:t>
      </w:r>
      <w:r>
        <w:rPr>
          <w:rFonts w:hint="eastAsia" w:ascii="仿宋_GB2312" w:hAnsi="仿宋_GB2312" w:eastAsia="仿宋_GB2312" w:cs="仿宋_GB2312"/>
          <w:b w:val="0"/>
          <w:bCs/>
          <w:color w:val="auto"/>
          <w:kern w:val="0"/>
          <w:sz w:val="32"/>
          <w:szCs w:val="32"/>
        </w:rPr>
        <w:t>，提升服务能力</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highlight w:val="none"/>
          <w:lang w:eastAsia="zh-CN"/>
        </w:rPr>
        <w:t>配齐配全项目人员，明确职责分工，形成分管领导全盘抓，科室负责人具体抓，包村人员分村抓的模式</w:t>
      </w:r>
      <w:r>
        <w:rPr>
          <w:rFonts w:hint="eastAsia" w:ascii="仿宋_GB2312" w:hAnsi="仿宋_GB2312" w:eastAsia="仿宋_GB2312" w:cs="仿宋_GB2312"/>
          <w:b w:val="0"/>
          <w:bCs/>
          <w:color w:val="auto"/>
          <w:kern w:val="0"/>
          <w:sz w:val="32"/>
          <w:szCs w:val="32"/>
          <w:highlight w:val="none"/>
          <w:lang w:val="en-US" w:eastAsia="zh-CN"/>
        </w:rPr>
        <w:t>，有效减轻工作量，切实</w:t>
      </w:r>
      <w:r>
        <w:rPr>
          <w:rFonts w:hint="eastAsia" w:ascii="仿宋_GB2312" w:hAnsi="仿宋_GB2312" w:eastAsia="仿宋_GB2312" w:cs="仿宋_GB2312"/>
          <w:b w:val="0"/>
          <w:bCs/>
          <w:color w:val="auto"/>
          <w:kern w:val="0"/>
          <w:sz w:val="32"/>
          <w:szCs w:val="32"/>
          <w:highlight w:val="none"/>
        </w:rPr>
        <w:t>提高工作效率</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sz w:val="32"/>
          <w:szCs w:val="22"/>
          <w:lang w:val="zh-CN"/>
        </w:rPr>
        <w:t>细化村卫生室绩效考核制度，完善村卫生室绩效考核办法，进一步提升村医服务质量和档案的真实性；</w:t>
      </w:r>
      <w:r>
        <w:rPr>
          <w:rFonts w:hint="eastAsia" w:ascii="仿宋_GB2312" w:hAnsi="仿宋_GB2312" w:eastAsia="仿宋_GB2312" w:cs="仿宋_GB2312"/>
          <w:b w:val="0"/>
          <w:bCs/>
          <w:color w:val="auto"/>
          <w:kern w:val="0"/>
          <w:sz w:val="32"/>
          <w:szCs w:val="32"/>
          <w:highlight w:val="none"/>
          <w:lang w:eastAsia="zh-CN"/>
        </w:rPr>
        <w:t>严格按照资金管理要求，将60%的公共卫生经费全部纳入村医绩效考核。</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严格</w:t>
      </w:r>
      <w:r>
        <w:rPr>
          <w:rFonts w:hint="eastAsia" w:ascii="仿宋_GB2312" w:hAnsi="仿宋_GB2312" w:eastAsia="仿宋_GB2312" w:cs="仿宋_GB2312"/>
          <w:b w:val="0"/>
          <w:bCs/>
          <w:sz w:val="32"/>
          <w:szCs w:val="32"/>
          <w:highlight w:val="none"/>
          <w:lang w:eastAsia="zh-CN"/>
        </w:rPr>
        <w:t>项目执行，提升服务质量</w:t>
      </w:r>
      <w:r>
        <w:rPr>
          <w:rFonts w:hint="eastAsia" w:ascii="仿宋_GB2312" w:hAnsi="仿宋_GB2312" w:eastAsia="仿宋_GB2312" w:cs="仿宋_GB2312"/>
          <w:b w:val="0"/>
          <w:bCs/>
          <w:color w:val="auto"/>
          <w:kern w:val="0"/>
          <w:sz w:val="32"/>
          <w:szCs w:val="32"/>
          <w:highlight w:val="none"/>
          <w:lang w:eastAsia="zh-CN"/>
        </w:rPr>
        <w:t>。截止</w:t>
      </w:r>
      <w:r>
        <w:rPr>
          <w:rFonts w:hint="eastAsia" w:ascii="仿宋_GB2312" w:hAnsi="仿宋_GB2312" w:eastAsia="仿宋_GB2312" w:cs="仿宋_GB2312"/>
          <w:b w:val="0"/>
          <w:bCs/>
          <w:color w:val="auto"/>
          <w:kern w:val="0"/>
          <w:sz w:val="32"/>
          <w:szCs w:val="32"/>
          <w:highlight w:val="none"/>
          <w:lang w:val="en-US" w:eastAsia="zh-CN"/>
        </w:rPr>
        <w:t>11月，</w:t>
      </w:r>
      <w:r>
        <w:rPr>
          <w:rFonts w:hint="eastAsia" w:ascii="仿宋_GB2312" w:hAnsi="仿宋_GB2312" w:eastAsia="仿宋_GB2312" w:cs="仿宋_GB2312"/>
          <w:b w:val="0"/>
          <w:bCs/>
          <w:color w:val="auto"/>
          <w:kern w:val="0"/>
          <w:sz w:val="32"/>
          <w:szCs w:val="32"/>
          <w:highlight w:val="none"/>
        </w:rPr>
        <w:t>累积电子</w:t>
      </w:r>
      <w:r>
        <w:rPr>
          <w:rFonts w:hint="eastAsia" w:ascii="仿宋_GB2312" w:hAnsi="仿宋_GB2312" w:eastAsia="仿宋_GB2312" w:cs="仿宋_GB2312"/>
          <w:b w:val="0"/>
          <w:bCs/>
          <w:color w:val="auto"/>
          <w:kern w:val="0"/>
          <w:sz w:val="32"/>
          <w:szCs w:val="32"/>
          <w:highlight w:val="none"/>
          <w:lang w:eastAsia="zh-CN"/>
        </w:rPr>
        <w:t>纸质</w:t>
      </w:r>
      <w:r>
        <w:rPr>
          <w:rFonts w:hint="eastAsia" w:ascii="仿宋_GB2312" w:hAnsi="仿宋_GB2312" w:eastAsia="仿宋_GB2312" w:cs="仿宋_GB2312"/>
          <w:b w:val="0"/>
          <w:bCs/>
          <w:color w:val="auto"/>
          <w:kern w:val="0"/>
          <w:sz w:val="32"/>
          <w:szCs w:val="32"/>
          <w:highlight w:val="none"/>
        </w:rPr>
        <w:t>建档</w:t>
      </w:r>
      <w:r>
        <w:rPr>
          <w:rFonts w:hint="eastAsia" w:ascii="仿宋_GB2312" w:hAnsi="仿宋_GB2312" w:eastAsia="仿宋_GB2312" w:cs="仿宋_GB2312"/>
          <w:b w:val="0"/>
          <w:bCs/>
          <w:color w:val="auto"/>
          <w:kern w:val="0"/>
          <w:sz w:val="32"/>
          <w:szCs w:val="32"/>
          <w:highlight w:val="none"/>
          <w:lang w:val="en-US" w:eastAsia="zh-CN"/>
        </w:rPr>
        <w:t>16093</w:t>
      </w:r>
      <w:r>
        <w:rPr>
          <w:rFonts w:hint="eastAsia" w:ascii="仿宋_GB2312" w:hAnsi="仿宋_GB2312" w:eastAsia="仿宋_GB2312" w:cs="仿宋_GB2312"/>
          <w:b w:val="0"/>
          <w:bCs/>
          <w:color w:val="auto"/>
          <w:kern w:val="0"/>
          <w:sz w:val="32"/>
          <w:szCs w:val="32"/>
          <w:highlight w:val="none"/>
        </w:rPr>
        <w:t>人，建档率</w:t>
      </w:r>
      <w:r>
        <w:rPr>
          <w:rFonts w:hint="eastAsia" w:ascii="仿宋_GB2312" w:hAnsi="仿宋_GB2312" w:eastAsia="仿宋_GB2312" w:cs="仿宋_GB2312"/>
          <w:b w:val="0"/>
          <w:bCs/>
          <w:color w:val="auto"/>
          <w:kern w:val="0"/>
          <w:sz w:val="32"/>
          <w:szCs w:val="32"/>
          <w:highlight w:val="none"/>
          <w:lang w:val="en-US" w:eastAsia="zh-CN"/>
        </w:rPr>
        <w:t>100</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，更新率</w:t>
      </w:r>
      <w:r>
        <w:rPr>
          <w:rFonts w:hint="eastAsia" w:ascii="仿宋_GB2312" w:hAnsi="仿宋_GB2312" w:eastAsia="仿宋_GB2312" w:cs="仿宋_GB2312"/>
          <w:b w:val="0"/>
          <w:bCs/>
          <w:color w:val="auto"/>
          <w:kern w:val="0"/>
          <w:sz w:val="32"/>
          <w:szCs w:val="32"/>
          <w:highlight w:val="none"/>
          <w:lang w:val="en-US" w:eastAsia="zh-CN"/>
        </w:rPr>
        <w:t>100%。</w:t>
      </w:r>
      <w:r>
        <w:rPr>
          <w:rFonts w:hint="eastAsia" w:ascii="仿宋_GB2312" w:hAnsi="仿宋_GB2312" w:eastAsia="仿宋_GB2312" w:cs="仿宋_GB2312"/>
          <w:b w:val="0"/>
          <w:bCs/>
          <w:i w:val="0"/>
          <w:iCs w:val="0"/>
          <w:caps w:val="0"/>
          <w:color w:val="000000"/>
          <w:spacing w:val="0"/>
          <w:sz w:val="32"/>
          <w:szCs w:val="32"/>
          <w:shd w:val="clear" w:color="auto" w:fill="FFFFFF"/>
        </w:rPr>
        <w:t>开展健康教育知识讲座77场次，受教人员2826人次，健康咨询9场次，接受咨询768人次</w:t>
      </w:r>
      <w:r>
        <w:rPr>
          <w:rFonts w:hint="eastAsia" w:ascii="仿宋_GB2312" w:hAnsi="仿宋_GB2312" w:eastAsia="仿宋_GB2312" w:cs="仿宋_GB2312"/>
          <w:b w:val="0"/>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color w:val="000000"/>
          <w:sz w:val="32"/>
          <w:szCs w:val="32"/>
          <w:lang w:eastAsia="zh-CN"/>
        </w:rPr>
        <w:t>开展1类疫苗接种523人，共883剂次，2类疫苗接种330人，共333剂次，报告疫苗副反应4例，进行冷链运转11次。</w:t>
      </w:r>
      <w:r>
        <w:rPr>
          <w:rFonts w:hint="eastAsia" w:ascii="仿宋_GB2312" w:hAnsi="仿宋_GB2312" w:eastAsia="仿宋_GB2312" w:cs="仿宋_GB2312"/>
          <w:b w:val="0"/>
          <w:bCs/>
          <w:color w:val="auto"/>
          <w:kern w:val="0"/>
          <w:sz w:val="32"/>
          <w:szCs w:val="32"/>
          <w:highlight w:val="none"/>
          <w:lang w:eastAsia="zh-CN"/>
        </w:rPr>
        <w:t>体检老年人</w:t>
      </w:r>
      <w:r>
        <w:rPr>
          <w:rFonts w:hint="eastAsia" w:ascii="仿宋_GB2312" w:hAnsi="仿宋_GB2312" w:eastAsia="仿宋_GB2312" w:cs="仿宋_GB2312"/>
          <w:b w:val="0"/>
          <w:bCs/>
          <w:color w:val="auto"/>
          <w:kern w:val="0"/>
          <w:sz w:val="32"/>
          <w:szCs w:val="32"/>
          <w:highlight w:val="none"/>
          <w:lang w:val="en-US" w:eastAsia="zh-CN"/>
        </w:rPr>
        <w:t>2318人，</w:t>
      </w:r>
      <w:r>
        <w:rPr>
          <w:rFonts w:hint="eastAsia" w:ascii="仿宋_GB2312" w:hAnsi="仿宋_GB2312" w:eastAsia="仿宋_GB2312" w:cs="仿宋_GB2312"/>
          <w:b w:val="0"/>
          <w:bCs/>
          <w:sz w:val="32"/>
          <w:szCs w:val="32"/>
          <w:lang w:val="en-US" w:eastAsia="zh-CN"/>
        </w:rPr>
        <w:t>体检率98.8%；建档管理高血压2633人，健康管理率81.2%；建档管理糖尿病828人，健康管理率66.3%，</w:t>
      </w:r>
      <w:r>
        <w:rPr>
          <w:rFonts w:hint="eastAsia" w:ascii="仿宋_GB2312" w:hAnsi="楷体_GB2312" w:eastAsia="仿宋_GB2312" w:cs="楷体_GB2312"/>
          <w:b w:val="0"/>
          <w:bCs/>
          <w:color w:val="auto"/>
          <w:kern w:val="0"/>
          <w:sz w:val="32"/>
          <w:szCs w:val="32"/>
          <w:highlight w:val="none"/>
        </w:rPr>
        <w:t>建档管理</w:t>
      </w:r>
      <w:r>
        <w:rPr>
          <w:rFonts w:hint="eastAsia" w:ascii="仿宋_GB2312" w:hAnsi="楷体_GB2312" w:eastAsia="仿宋_GB2312" w:cs="楷体_GB2312"/>
          <w:b w:val="0"/>
          <w:bCs/>
          <w:color w:val="auto"/>
          <w:kern w:val="0"/>
          <w:sz w:val="32"/>
          <w:szCs w:val="32"/>
          <w:highlight w:val="none"/>
          <w:lang w:eastAsia="zh-CN"/>
        </w:rPr>
        <w:t>严重精神障碍患者</w:t>
      </w:r>
      <w:r>
        <w:rPr>
          <w:rFonts w:hint="eastAsia" w:ascii="仿宋_GB2312" w:hAnsi="楷体_GB2312" w:eastAsia="仿宋_GB2312" w:cs="楷体_GB2312"/>
          <w:b w:val="0"/>
          <w:bCs/>
          <w:color w:val="auto"/>
          <w:kern w:val="0"/>
          <w:sz w:val="32"/>
          <w:szCs w:val="32"/>
          <w:highlight w:val="none"/>
          <w:lang w:val="en-US" w:eastAsia="zh-CN"/>
        </w:rPr>
        <w:t>118</w:t>
      </w:r>
      <w:r>
        <w:rPr>
          <w:rFonts w:hint="eastAsia" w:ascii="仿宋_GB2312" w:hAnsi="楷体_GB2312" w:eastAsia="仿宋_GB2312" w:cs="楷体_GB2312"/>
          <w:b w:val="0"/>
          <w:bCs/>
          <w:color w:val="auto"/>
          <w:kern w:val="0"/>
          <w:sz w:val="32"/>
          <w:szCs w:val="32"/>
          <w:highlight w:val="none"/>
        </w:rPr>
        <w:t>人,检出率</w:t>
      </w:r>
      <w:r>
        <w:rPr>
          <w:rFonts w:hint="eastAsia" w:ascii="仿宋_GB2312" w:hAnsi="楷体_GB2312" w:eastAsia="仿宋_GB2312" w:cs="楷体_GB2312"/>
          <w:b w:val="0"/>
          <w:bCs/>
          <w:color w:val="auto"/>
          <w:kern w:val="0"/>
          <w:sz w:val="32"/>
          <w:szCs w:val="32"/>
          <w:highlight w:val="none"/>
          <w:lang w:val="en-US" w:eastAsia="zh-CN"/>
        </w:rPr>
        <w:t>7.3</w:t>
      </w:r>
      <w:r>
        <w:rPr>
          <w:rFonts w:hint="eastAsia" w:ascii="仿宋_GB2312" w:hAnsi="楷体_GB2312" w:eastAsia="仿宋_GB2312" w:cs="楷体_GB2312"/>
          <w:b w:val="0"/>
          <w:bCs/>
          <w:color w:val="auto"/>
          <w:kern w:val="0"/>
          <w:sz w:val="32"/>
          <w:szCs w:val="32"/>
          <w:highlight w:val="none"/>
        </w:rPr>
        <w:t>‰</w:t>
      </w:r>
      <w:r>
        <w:rPr>
          <w:rFonts w:hint="eastAsia" w:ascii="仿宋_GB2312" w:hAnsi="楷体_GB2312" w:eastAsia="仿宋_GB2312" w:cs="楷体_GB2312"/>
          <w:b w:val="0"/>
          <w:bCs/>
          <w:color w:val="auto"/>
          <w:kern w:val="0"/>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认真做好家庭医生签约服务工作</w:t>
      </w:r>
      <w:r>
        <w:rPr>
          <w:rFonts w:hint="eastAsia" w:ascii="仿宋_GB2312" w:hAnsi="仿宋_GB2312" w:eastAsia="仿宋_GB2312" w:cs="仿宋_GB2312"/>
          <w:b w:val="0"/>
          <w:bCs/>
          <w:color w:val="auto"/>
          <w:sz w:val="32"/>
          <w:szCs w:val="32"/>
          <w:highlight w:val="none"/>
          <w:lang w:val="en-US" w:eastAsia="zh-CN"/>
        </w:rPr>
        <w:t>，现</w:t>
      </w:r>
      <w:r>
        <w:rPr>
          <w:rFonts w:hint="eastAsia" w:ascii="仿宋_GB2312" w:hAnsi="仿宋_GB2312" w:eastAsia="仿宋_GB2312" w:cs="仿宋_GB2312"/>
          <w:b w:val="0"/>
          <w:bCs/>
          <w:color w:val="auto"/>
          <w:kern w:val="0"/>
          <w:sz w:val="32"/>
          <w:szCs w:val="32"/>
          <w:highlight w:val="none"/>
          <w:lang w:val="en-US" w:eastAsia="zh-CN"/>
        </w:rPr>
        <w:t>签约普通人群9883人，签约率61%，重点人群4295人，签约率100%，</w:t>
      </w:r>
      <w:r>
        <w:rPr>
          <w:rFonts w:hint="eastAsia" w:ascii="仿宋_GB2312" w:hAnsi="仿宋_GB2312" w:eastAsia="仿宋_GB2312" w:cs="仿宋_GB2312"/>
          <w:b w:val="0"/>
          <w:bCs/>
          <w:color w:val="auto"/>
          <w:sz w:val="32"/>
          <w:szCs w:val="32"/>
          <w:highlight w:val="none"/>
          <w:lang w:eastAsia="zh-CN"/>
        </w:rPr>
        <w:t>儿童和孕产妇保健、</w:t>
      </w:r>
      <w:r>
        <w:rPr>
          <w:rFonts w:hint="eastAsia" w:ascii="仿宋_GB2312" w:hAnsi="仿宋_GB2312" w:eastAsia="仿宋_GB2312" w:cs="仿宋_GB2312"/>
          <w:b w:val="0"/>
          <w:bCs/>
          <w:color w:val="auto"/>
          <w:kern w:val="0"/>
          <w:sz w:val="32"/>
          <w:szCs w:val="32"/>
          <w:highlight w:val="none"/>
          <w:lang w:eastAsia="zh-CN"/>
        </w:rPr>
        <w:t>健康素养促进行动等其他项目工作均按规范完成了目标任务。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（四）扎实做好医疗质量管理工作。</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rPr>
        <w:t>认真落实</w:t>
      </w:r>
      <w:r>
        <w:rPr>
          <w:rFonts w:hint="eastAsia" w:ascii="仿宋_GB2312" w:hAnsi="仿宋_GB2312" w:eastAsia="仿宋_GB2312" w:cs="仿宋_GB2312"/>
          <w:b w:val="0"/>
          <w:bCs/>
          <w:sz w:val="32"/>
          <w:szCs w:val="32"/>
          <w:lang w:val="en-US" w:eastAsia="zh-CN"/>
        </w:rPr>
        <w:t>各项制度，规范行医行为</w:t>
      </w: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落实</w:t>
      </w:r>
      <w:r>
        <w:rPr>
          <w:rFonts w:hint="eastAsia" w:ascii="仿宋_GB2312" w:hAnsi="仿宋_GB2312" w:eastAsia="仿宋_GB2312" w:cs="仿宋_GB2312"/>
          <w:b w:val="0"/>
          <w:bCs/>
          <w:sz w:val="32"/>
          <w:szCs w:val="32"/>
          <w:lang w:val="zh-CN"/>
        </w:rPr>
        <w:t>处方书写点评制度、医疗事故月分析制度、“八八排队”分析等</w:t>
      </w:r>
      <w:r>
        <w:rPr>
          <w:rFonts w:hint="eastAsia" w:ascii="仿宋_GB2312" w:hAnsi="仿宋_GB2312" w:eastAsia="仿宋_GB2312" w:cs="仿宋_GB2312"/>
          <w:b w:val="0"/>
          <w:bCs/>
          <w:sz w:val="32"/>
          <w:szCs w:val="32"/>
          <w:lang w:val="en-US" w:eastAsia="zh-CN"/>
        </w:rPr>
        <w:t>18项核心</w:t>
      </w:r>
      <w:r>
        <w:rPr>
          <w:rFonts w:hint="eastAsia" w:ascii="仿宋_GB2312" w:hAnsi="仿宋_GB2312" w:eastAsia="仿宋_GB2312" w:cs="仿宋_GB2312"/>
          <w:b w:val="0"/>
          <w:bCs/>
          <w:sz w:val="32"/>
          <w:szCs w:val="32"/>
          <w:lang w:val="zh-CN"/>
        </w:rPr>
        <w:t>制度，严查大处方、重复计费行为，整治过度医疗问题，现进行病历点评</w:t>
      </w:r>
      <w:r>
        <w:rPr>
          <w:rFonts w:hint="eastAsia" w:ascii="仿宋_GB2312" w:hAnsi="仿宋_GB2312" w:eastAsia="仿宋_GB2312" w:cs="仿宋_GB2312"/>
          <w:b w:val="0"/>
          <w:bCs/>
          <w:sz w:val="32"/>
          <w:szCs w:val="32"/>
          <w:lang w:val="en-US" w:eastAsia="zh-CN"/>
        </w:rPr>
        <w:t>11次，抽查住院病历110份；进行处方点评11次，抽查门诊处方550张；进行</w:t>
      </w:r>
      <w:r>
        <w:rPr>
          <w:rFonts w:hint="eastAsia" w:ascii="仿宋_GB2312" w:hAnsi="仿宋_GB2312" w:eastAsia="仿宋_GB2312" w:cs="仿宋_GB2312"/>
          <w:b w:val="0"/>
          <w:bCs/>
          <w:color w:val="000000"/>
          <w:sz w:val="32"/>
          <w:szCs w:val="32"/>
          <w:lang w:val="en-US" w:eastAsia="zh-CN"/>
        </w:rPr>
        <w:t>院长行政查房11次；开展危重病例讨论11次</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sz w:val="32"/>
          <w:szCs w:val="32"/>
          <w:lang w:val="en-US" w:eastAsia="zh-CN"/>
        </w:rPr>
        <w:t>建立健全分级诊疗制度，</w:t>
      </w:r>
      <w:r>
        <w:rPr>
          <w:rFonts w:hint="eastAsia" w:ascii="仿宋_GB2312" w:hAnsi="仿宋_GB2312" w:eastAsia="仿宋_GB2312" w:cs="仿宋_GB2312"/>
          <w:b w:val="0"/>
          <w:bCs/>
          <w:kern w:val="0"/>
          <w:sz w:val="32"/>
          <w:szCs w:val="32"/>
        </w:rPr>
        <w:t>落实即时结报制度，公开用药目录和收费标准，做好患者报销公示工作，接受群众的监督，杜绝乱收费和套取</w:t>
      </w:r>
      <w:r>
        <w:rPr>
          <w:rFonts w:hint="eastAsia" w:ascii="仿宋_GB2312" w:hAnsi="仿宋_GB2312" w:eastAsia="仿宋_GB2312" w:cs="仿宋_GB2312"/>
          <w:b w:val="0"/>
          <w:bCs/>
          <w:kern w:val="0"/>
          <w:sz w:val="32"/>
          <w:szCs w:val="32"/>
          <w:lang w:eastAsia="zh-CN"/>
        </w:rPr>
        <w:t>医保</w:t>
      </w:r>
      <w:r>
        <w:rPr>
          <w:rFonts w:hint="eastAsia" w:ascii="仿宋_GB2312" w:hAnsi="仿宋_GB2312" w:eastAsia="仿宋_GB2312" w:cs="仿宋_GB2312"/>
          <w:b w:val="0"/>
          <w:bCs/>
          <w:kern w:val="0"/>
          <w:sz w:val="32"/>
          <w:szCs w:val="32"/>
        </w:rPr>
        <w:t>资金行为的发生。认真</w:t>
      </w:r>
      <w:r>
        <w:rPr>
          <w:rFonts w:hint="eastAsia" w:ascii="仿宋_GB2312" w:hAnsi="仿宋_GB2312" w:eastAsia="仿宋_GB2312" w:cs="仿宋_GB2312"/>
          <w:b w:val="0"/>
          <w:bCs/>
          <w:kern w:val="0"/>
          <w:sz w:val="32"/>
          <w:szCs w:val="32"/>
          <w:lang w:eastAsia="zh-CN"/>
        </w:rPr>
        <w:t>落实</w:t>
      </w:r>
      <w:r>
        <w:rPr>
          <w:rFonts w:hint="eastAsia" w:ascii="仿宋_GB2312" w:hAnsi="仿宋_GB2312" w:eastAsia="仿宋_GB2312" w:cs="仿宋_GB2312"/>
          <w:b w:val="0"/>
          <w:bCs/>
          <w:kern w:val="0"/>
          <w:sz w:val="32"/>
          <w:szCs w:val="32"/>
        </w:rPr>
        <w:t>基本药物制度</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highlight w:val="none"/>
          <w:lang w:val="en-US" w:eastAsia="zh-CN"/>
        </w:rPr>
        <w:t>截止11月，报告药品不良反应</w:t>
      </w:r>
      <w:r>
        <w:rPr>
          <w:rFonts w:hint="eastAsia" w:ascii="仿宋_GB2312" w:hAnsi="仿宋_GB2312" w:eastAsia="仿宋_GB2312" w:cs="仿宋_GB2312"/>
          <w:b w:val="0"/>
          <w:bCs/>
          <w:color w:val="auto"/>
          <w:kern w:val="0"/>
          <w:sz w:val="32"/>
          <w:szCs w:val="32"/>
          <w:highlight w:val="none"/>
          <w:lang w:val="en-US" w:eastAsia="zh-CN"/>
        </w:rPr>
        <w:t>10</w:t>
      </w:r>
      <w:r>
        <w:rPr>
          <w:rFonts w:hint="eastAsia" w:ascii="仿宋_GB2312" w:hAnsi="仿宋_GB2312" w:eastAsia="仿宋_GB2312" w:cs="仿宋_GB2312"/>
          <w:b w:val="0"/>
          <w:bCs/>
          <w:kern w:val="0"/>
          <w:sz w:val="32"/>
          <w:szCs w:val="32"/>
          <w:highlight w:val="none"/>
          <w:lang w:val="en-US" w:eastAsia="zh-CN"/>
        </w:rPr>
        <w:t>例、药械不良反应2例。认真落实</w:t>
      </w:r>
      <w:r>
        <w:rPr>
          <w:rFonts w:hint="eastAsia" w:ascii="仿宋_GB2312" w:hAnsi="仿宋_GB2312" w:eastAsia="仿宋_GB2312" w:cs="仿宋_GB2312"/>
          <w:b w:val="0"/>
          <w:bCs/>
          <w:kern w:val="0"/>
          <w:sz w:val="32"/>
          <w:szCs w:val="32"/>
          <w:lang w:val="en-US" w:eastAsia="zh-CN"/>
        </w:rPr>
        <w:t>药品网上采购和零差率销售制度，至11月，</w:t>
      </w:r>
      <w:r>
        <w:rPr>
          <w:rFonts w:hint="eastAsia" w:ascii="仿宋_GB2312" w:hAnsi="仿宋_GB2312" w:eastAsia="仿宋_GB2312" w:cs="仿宋_GB2312"/>
          <w:b w:val="0"/>
          <w:bCs/>
          <w:kern w:val="0"/>
          <w:sz w:val="32"/>
          <w:szCs w:val="32"/>
          <w:highlight w:val="none"/>
          <w:lang w:val="en-US" w:eastAsia="zh-CN"/>
        </w:rPr>
        <w:t>采购药品225.6万元，药品集中网上采购率达100%。</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b w:val="0"/>
          <w:bCs/>
          <w:sz w:val="32"/>
          <w:szCs w:val="32"/>
          <w:highlight w:val="none"/>
          <w:shd w:val="clear" w:color="auto" w:fill="FFFFFF"/>
          <w:lang w:val="en-US" w:eastAsia="zh-CN"/>
        </w:rPr>
      </w:pPr>
      <w:r>
        <w:rPr>
          <w:rFonts w:hint="eastAsia" w:ascii="仿宋_GB2312" w:hAnsi="仿宋_GB2312" w:eastAsia="仿宋_GB2312" w:cs="仿宋_GB2312"/>
          <w:b w:val="0"/>
          <w:bCs/>
          <w:sz w:val="32"/>
          <w:szCs w:val="32"/>
          <w:lang w:val="en-US" w:eastAsia="zh-CN"/>
        </w:rPr>
        <w:t>2.强化院感培训，规范抗生素和激素使用。</w:t>
      </w:r>
      <w:r>
        <w:rPr>
          <w:rFonts w:hint="eastAsia" w:ascii="仿宋_GB2312" w:hAnsi="仿宋_GB2312" w:eastAsia="仿宋_GB2312" w:cs="仿宋_GB2312"/>
          <w:b w:val="0"/>
          <w:bCs/>
          <w:kern w:val="0"/>
          <w:sz w:val="32"/>
          <w:szCs w:val="32"/>
          <w:lang w:val="en-US" w:eastAsia="zh-CN"/>
        </w:rPr>
        <w:t>结合“优质服务基层行”及院感管控工作，</w:t>
      </w:r>
      <w:r>
        <w:rPr>
          <w:rFonts w:hint="eastAsia" w:ascii="仿宋_GB2312" w:hAnsi="仿宋_GB2312" w:eastAsia="仿宋_GB2312" w:cs="仿宋_GB2312"/>
          <w:b w:val="0"/>
          <w:bCs/>
          <w:sz w:val="32"/>
          <w:szCs w:val="32"/>
        </w:rPr>
        <w:t>进一步</w:t>
      </w:r>
      <w:r>
        <w:rPr>
          <w:rFonts w:hint="eastAsia" w:ascii="仿宋_GB2312" w:hAnsi="仿宋_GB2312" w:eastAsia="仿宋_GB2312" w:cs="仿宋_GB2312"/>
          <w:b w:val="0"/>
          <w:bCs/>
          <w:sz w:val="32"/>
          <w:szCs w:val="32"/>
          <w:shd w:val="clear" w:color="auto" w:fill="FFFFFF"/>
        </w:rPr>
        <w:t>规范医务人员的诊疗行为及各项技术操作规程，杜绝医务人员违规操作，</w:t>
      </w:r>
      <w:r>
        <w:rPr>
          <w:rFonts w:hint="eastAsia" w:ascii="仿宋_GB2312" w:hAnsi="仿宋_GB2312" w:eastAsia="仿宋_GB2312" w:cs="仿宋_GB2312"/>
          <w:b w:val="0"/>
          <w:bCs/>
          <w:sz w:val="32"/>
          <w:szCs w:val="32"/>
          <w:highlight w:val="none"/>
          <w:shd w:val="clear" w:color="auto" w:fill="FFFFFF"/>
          <w:lang w:eastAsia="zh-CN"/>
        </w:rPr>
        <w:t>现开展院感培训</w:t>
      </w:r>
      <w:r>
        <w:rPr>
          <w:rFonts w:hint="eastAsia" w:ascii="仿宋_GB2312" w:hAnsi="仿宋_GB2312" w:eastAsia="仿宋_GB2312" w:cs="仿宋_GB2312"/>
          <w:b w:val="0"/>
          <w:bCs/>
          <w:sz w:val="32"/>
          <w:szCs w:val="32"/>
          <w:highlight w:val="none"/>
          <w:shd w:val="clear" w:color="auto" w:fill="FFFFFF"/>
          <w:lang w:val="en-US" w:eastAsia="zh-CN"/>
        </w:rPr>
        <w:t>4场次。建立完善“激素使用排队”、“二联抗生素使用排队”制度，规范输液行为，1-11月卫生院激素使用率6.99%、二联抗生素使用率2.60%，输液6305人次，输液率41.21%，各项指标得到了很好的控制。</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b w:val="0"/>
          <w:bCs/>
          <w:color w:val="000000"/>
          <w:kern w:val="0"/>
          <w:sz w:val="32"/>
          <w:szCs w:val="32"/>
          <w:highlight w:val="green"/>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认真推进医联体建设。</w:t>
      </w:r>
      <w:r>
        <w:rPr>
          <w:rFonts w:hint="eastAsia" w:ascii="仿宋_GB2312" w:hAnsi="仿宋_GB2312" w:eastAsia="仿宋_GB2312" w:cs="仿宋_GB2312"/>
          <w:b w:val="0"/>
          <w:bCs/>
          <w:color w:val="000000"/>
          <w:kern w:val="0"/>
          <w:sz w:val="32"/>
          <w:szCs w:val="32"/>
          <w:lang w:eastAsia="zh-CN"/>
        </w:rPr>
        <w:t>我院与临泽县人民医院在影像、医学检验、肿瘤随访登记项目、心电诊断、创伤协调救治网络建设等方面建立联体合作，现分级诊疗、双向转诊、远程会诊已正常运行。</w:t>
      </w:r>
      <w:r>
        <w:rPr>
          <w:rFonts w:hint="eastAsia" w:ascii="仿宋_GB2312" w:hAnsi="仿宋_GB2312" w:eastAsia="仿宋_GB2312" w:cs="仿宋_GB2312"/>
          <w:b w:val="0"/>
          <w:bCs/>
          <w:color w:val="auto"/>
          <w:kern w:val="0"/>
          <w:sz w:val="32"/>
          <w:szCs w:val="32"/>
          <w:highlight w:val="none"/>
          <w:lang w:eastAsia="zh-CN"/>
        </w:rPr>
        <w:t>截止</w:t>
      </w:r>
      <w:r>
        <w:rPr>
          <w:rFonts w:hint="eastAsia" w:ascii="仿宋_GB2312" w:hAnsi="仿宋_GB2312" w:eastAsia="仿宋_GB2312" w:cs="仿宋_GB2312"/>
          <w:b w:val="0"/>
          <w:bCs/>
          <w:color w:val="auto"/>
          <w:kern w:val="0"/>
          <w:sz w:val="32"/>
          <w:szCs w:val="32"/>
          <w:highlight w:val="none"/>
          <w:lang w:val="en-US" w:eastAsia="zh-CN"/>
        </w:rPr>
        <w:t>目前</w:t>
      </w:r>
      <w:r>
        <w:rPr>
          <w:rFonts w:hint="eastAsia" w:ascii="仿宋_GB2312" w:hAnsi="仿宋_GB2312" w:eastAsia="仿宋_GB2312" w:cs="仿宋_GB2312"/>
          <w:b w:val="0"/>
          <w:bCs/>
          <w:color w:val="auto"/>
          <w:kern w:val="0"/>
          <w:sz w:val="32"/>
          <w:szCs w:val="32"/>
          <w:highlight w:val="none"/>
          <w:lang w:eastAsia="zh-CN"/>
        </w:rPr>
        <w:t>，进行远程心电图会诊</w:t>
      </w:r>
      <w:r>
        <w:rPr>
          <w:rFonts w:hint="eastAsia" w:ascii="仿宋_GB2312" w:hAnsi="仿宋_GB2312" w:eastAsia="仿宋_GB2312" w:cs="仿宋_GB2312"/>
          <w:b w:val="0"/>
          <w:bCs/>
          <w:color w:val="auto"/>
          <w:kern w:val="0"/>
          <w:sz w:val="32"/>
          <w:szCs w:val="32"/>
          <w:highlight w:val="none"/>
          <w:lang w:val="en-US" w:eastAsia="zh-CN"/>
        </w:rPr>
        <w:t>1145</w:t>
      </w:r>
      <w:r>
        <w:rPr>
          <w:rFonts w:hint="eastAsia" w:ascii="仿宋_GB2312" w:hAnsi="仿宋_GB2312" w:eastAsia="仿宋_GB2312" w:cs="仿宋_GB2312"/>
          <w:b w:val="0"/>
          <w:bCs/>
          <w:color w:val="000000"/>
          <w:kern w:val="0"/>
          <w:sz w:val="32"/>
          <w:szCs w:val="32"/>
          <w:highlight w:val="none"/>
          <w:lang w:eastAsia="zh-CN"/>
        </w:rPr>
        <w:t>人次,远程疑难病例会诊</w:t>
      </w:r>
      <w:r>
        <w:rPr>
          <w:rFonts w:hint="eastAsia" w:ascii="仿宋_GB2312" w:hAnsi="仿宋_GB2312" w:eastAsia="仿宋_GB2312" w:cs="仿宋_GB2312"/>
          <w:b w:val="0"/>
          <w:bCs/>
          <w:color w:val="000000"/>
          <w:kern w:val="0"/>
          <w:sz w:val="32"/>
          <w:szCs w:val="32"/>
          <w:highlight w:val="none"/>
          <w:lang w:val="en-US" w:eastAsia="zh-CN"/>
        </w:rPr>
        <w:t>9</w:t>
      </w:r>
      <w:r>
        <w:rPr>
          <w:rFonts w:hint="eastAsia" w:ascii="仿宋_GB2312" w:hAnsi="仿宋_GB2312" w:eastAsia="仿宋_GB2312" w:cs="仿宋_GB2312"/>
          <w:b w:val="0"/>
          <w:bCs/>
          <w:color w:val="000000"/>
          <w:kern w:val="0"/>
          <w:sz w:val="32"/>
          <w:szCs w:val="32"/>
          <w:highlight w:val="none"/>
          <w:lang w:eastAsia="zh-CN"/>
        </w:rPr>
        <w:t>人次，远程影像会诊</w:t>
      </w:r>
      <w:r>
        <w:rPr>
          <w:rFonts w:hint="eastAsia" w:ascii="仿宋_GB2312" w:hAnsi="仿宋_GB2312" w:eastAsia="仿宋_GB2312" w:cs="仿宋_GB2312"/>
          <w:b w:val="0"/>
          <w:bCs/>
          <w:color w:val="000000"/>
          <w:kern w:val="0"/>
          <w:sz w:val="32"/>
          <w:szCs w:val="32"/>
          <w:highlight w:val="none"/>
          <w:lang w:val="en-US" w:eastAsia="zh-CN"/>
        </w:rPr>
        <w:t>32</w:t>
      </w:r>
      <w:r>
        <w:rPr>
          <w:rFonts w:hint="eastAsia" w:ascii="仿宋_GB2312" w:hAnsi="仿宋_GB2312" w:eastAsia="仿宋_GB2312" w:cs="仿宋_GB2312"/>
          <w:b w:val="0"/>
          <w:bCs/>
          <w:color w:val="000000"/>
          <w:kern w:val="0"/>
          <w:sz w:val="32"/>
          <w:szCs w:val="32"/>
          <w:highlight w:val="none"/>
          <w:lang w:eastAsia="zh-CN"/>
        </w:rPr>
        <w:t>人次。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（五）扎实做好基层卫生工作。</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en-US" w:eastAsia="zh-CN"/>
        </w:rPr>
        <w:t>1.持续推进“优质服务基层行”活动。卫生院以“优质服务基层行”活动为载体，不断提升服务能力，促进医疗服务质量不断提升，</w:t>
      </w:r>
      <w:r>
        <w:rPr>
          <w:rFonts w:hint="eastAsia" w:ascii="仿宋_GB2312" w:hAnsi="仿宋_GB2312" w:eastAsia="仿宋_GB2312" w:cs="仿宋_GB2312"/>
          <w:b w:val="0"/>
          <w:bCs/>
          <w:color w:val="auto"/>
          <w:kern w:val="2"/>
          <w:sz w:val="32"/>
          <w:szCs w:val="32"/>
          <w:lang w:val="en-US" w:eastAsia="zh-CN"/>
        </w:rPr>
        <w:t>群众满意率不断上升，就诊人次和业务收入不断增长，</w:t>
      </w:r>
      <w:r>
        <w:rPr>
          <w:rFonts w:hint="eastAsia" w:ascii="仿宋_GB2312" w:hAnsi="仿宋_GB2312" w:eastAsia="仿宋_GB2312" w:cs="仿宋_GB2312"/>
          <w:b w:val="0"/>
          <w:bCs/>
          <w:sz w:val="32"/>
          <w:szCs w:val="32"/>
          <w:lang w:val="en-US" w:eastAsia="zh-CN"/>
        </w:rPr>
        <w:t>2023年6月，率先通过“推荐标准”评审，成为全县唯一一家收到表扬的医疗机构。1-11月卫生院总收入294.63万元，门诊总收入111.88万元（其中药品收入69.43万元，医疗收入42.45万元），住院总收入182.75万元（其中药品收入51.06万元，医疗收入131.69万元），总收入较2022年同期增长136.13万元，增长86%，服务门诊患者1.5万人次，收治住院患者1089人，我院各项工作稳步推向新的一个台阶。</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auto"/>
          <w:lang w:eastAsia="zh-CN"/>
        </w:rPr>
      </w:pPr>
      <w:r>
        <w:rPr>
          <w:rFonts w:hint="eastAsia" w:ascii="仿宋_GB2312" w:hAnsi="仿宋_GB2312" w:eastAsia="仿宋_GB2312" w:cs="仿宋_GB2312"/>
          <w:b w:val="0"/>
          <w:bCs/>
          <w:sz w:val="32"/>
          <w:szCs w:val="32"/>
          <w:lang w:val="en-US" w:eastAsia="zh-CN"/>
        </w:rPr>
        <w:t>2.加强村卫生室管理，提高服务水平。</w:t>
      </w:r>
      <w:r>
        <w:rPr>
          <w:rFonts w:hint="eastAsia" w:ascii="仿宋_GB2312" w:hAnsi="仿宋_GB2312" w:eastAsia="仿宋_GB2312" w:cs="仿宋_GB2312"/>
          <w:b w:val="0"/>
          <w:bCs/>
          <w:sz w:val="32"/>
          <w:szCs w:val="32"/>
          <w:lang w:val="zh-CN"/>
        </w:rPr>
        <w:t>认真落实乡村医生每周到卫生院培训1天的制度</w:t>
      </w:r>
      <w:r>
        <w:rPr>
          <w:rFonts w:hint="eastAsia" w:ascii="仿宋_GB2312" w:hAnsi="仿宋_GB2312" w:eastAsia="仿宋_GB2312" w:cs="仿宋_GB2312"/>
          <w:b w:val="0"/>
          <w:bCs/>
          <w:sz w:val="32"/>
          <w:szCs w:val="32"/>
        </w:rPr>
        <w:t>，定于每月计划免疫冷链日和每周星期五到卫生院集中开例会，做好村医医疗技术、公共卫生、中医药知识培训及日常工作安排。</w:t>
      </w:r>
      <w:r>
        <w:rPr>
          <w:rFonts w:hint="eastAsia" w:ascii="仿宋_GB2312" w:hAnsi="仿宋_GB2312" w:eastAsia="仿宋_GB2312" w:cs="仿宋_GB2312"/>
          <w:b w:val="0"/>
          <w:bCs/>
          <w:color w:val="auto"/>
          <w:sz w:val="32"/>
          <w:szCs w:val="32"/>
          <w:shd w:val="clear" w:color="auto" w:fill="auto"/>
          <w:lang w:val="en-US" w:eastAsia="zh-CN"/>
        </w:rPr>
        <w:t>通过每月按时发</w:t>
      </w:r>
      <w:r>
        <w:rPr>
          <w:rFonts w:hint="eastAsia" w:ascii="仿宋_GB2312" w:hAnsi="仿宋_GB2312" w:eastAsia="仿宋_GB2312" w:cs="仿宋_GB2312"/>
          <w:b w:val="0"/>
          <w:bCs/>
          <w:color w:val="auto"/>
          <w:sz w:val="32"/>
          <w:szCs w:val="32"/>
          <w:highlight w:val="none"/>
          <w:shd w:val="clear" w:color="auto" w:fill="auto"/>
          <w:lang w:val="en-US" w:eastAsia="zh-CN"/>
        </w:rPr>
        <w:t>放村医养老保险、基本药物零差率补助和公共卫生经费补助等，保障村医待遇。</w:t>
      </w:r>
      <w:r>
        <w:rPr>
          <w:rFonts w:hint="eastAsia" w:ascii="仿宋_GB2312" w:hAnsi="仿宋_GB2312" w:eastAsia="仿宋_GB2312" w:cs="仿宋_GB2312"/>
          <w:b w:val="0"/>
          <w:bCs/>
          <w:color w:val="auto"/>
          <w:sz w:val="32"/>
          <w:szCs w:val="32"/>
          <w:highlight w:val="none"/>
          <w:shd w:val="clear" w:color="auto" w:fill="auto"/>
        </w:rPr>
        <w:t>截止</w:t>
      </w:r>
      <w:r>
        <w:rPr>
          <w:rFonts w:hint="eastAsia" w:ascii="仿宋_GB2312" w:hAnsi="仿宋_GB2312" w:eastAsia="仿宋_GB2312" w:cs="仿宋_GB2312"/>
          <w:b w:val="0"/>
          <w:bCs/>
          <w:color w:val="auto"/>
          <w:sz w:val="32"/>
          <w:szCs w:val="32"/>
          <w:highlight w:val="none"/>
          <w:shd w:val="clear" w:color="auto" w:fill="auto"/>
          <w:lang w:val="en-US" w:eastAsia="zh-CN"/>
        </w:rPr>
        <w:t>11</w:t>
      </w:r>
      <w:r>
        <w:rPr>
          <w:rFonts w:hint="eastAsia" w:ascii="仿宋_GB2312" w:hAnsi="仿宋_GB2312" w:eastAsia="仿宋_GB2312" w:cs="仿宋_GB2312"/>
          <w:b w:val="0"/>
          <w:bCs/>
          <w:color w:val="auto"/>
          <w:sz w:val="32"/>
          <w:szCs w:val="32"/>
          <w:highlight w:val="none"/>
          <w:shd w:val="clear" w:color="auto" w:fill="auto"/>
        </w:rPr>
        <w:t>月，11所村卫生</w:t>
      </w:r>
      <w:r>
        <w:rPr>
          <w:rFonts w:hint="eastAsia" w:ascii="仿宋_GB2312" w:hAnsi="仿宋_GB2312" w:eastAsia="仿宋_GB2312" w:cs="仿宋_GB2312"/>
          <w:b w:val="0"/>
          <w:bCs/>
          <w:color w:val="auto"/>
          <w:sz w:val="32"/>
          <w:szCs w:val="32"/>
          <w:highlight w:val="none"/>
          <w:shd w:val="clear" w:color="auto" w:fill="auto"/>
          <w:lang w:eastAsia="zh-CN"/>
        </w:rPr>
        <w:t>室</w:t>
      </w:r>
      <w:r>
        <w:rPr>
          <w:rFonts w:hint="eastAsia" w:ascii="仿宋_GB2312" w:hAnsi="仿宋_GB2312" w:eastAsia="仿宋_GB2312" w:cs="仿宋_GB2312"/>
          <w:b w:val="0"/>
          <w:bCs/>
          <w:color w:val="auto"/>
          <w:sz w:val="32"/>
          <w:szCs w:val="32"/>
          <w:highlight w:val="none"/>
          <w:shd w:val="clear" w:color="auto" w:fill="auto"/>
        </w:rPr>
        <w:t>业务总收入</w:t>
      </w:r>
      <w:r>
        <w:rPr>
          <w:rFonts w:hint="eastAsia" w:ascii="仿宋_GB2312" w:hAnsi="仿宋_GB2312" w:eastAsia="仿宋_GB2312" w:cs="仿宋_GB2312"/>
          <w:b w:val="0"/>
          <w:bCs/>
          <w:color w:val="auto"/>
          <w:sz w:val="32"/>
          <w:szCs w:val="32"/>
          <w:highlight w:val="none"/>
          <w:shd w:val="clear" w:color="auto" w:fill="auto"/>
          <w:lang w:val="en-US" w:eastAsia="zh-CN"/>
        </w:rPr>
        <w:t>120.92</w:t>
      </w:r>
      <w:r>
        <w:rPr>
          <w:rFonts w:hint="eastAsia" w:ascii="仿宋_GB2312" w:hAnsi="仿宋_GB2312" w:eastAsia="仿宋_GB2312" w:cs="仿宋_GB2312"/>
          <w:b w:val="0"/>
          <w:bCs/>
          <w:color w:val="auto"/>
          <w:sz w:val="32"/>
          <w:szCs w:val="32"/>
          <w:highlight w:val="none"/>
          <w:shd w:val="clear" w:color="auto" w:fill="auto"/>
        </w:rPr>
        <w:t>万元（其中</w:t>
      </w:r>
      <w:r>
        <w:rPr>
          <w:rFonts w:hint="eastAsia" w:ascii="仿宋_GB2312" w:hAnsi="仿宋_GB2312" w:eastAsia="仿宋_GB2312" w:cs="仿宋_GB2312"/>
          <w:b w:val="0"/>
          <w:bCs/>
          <w:color w:val="auto"/>
          <w:sz w:val="32"/>
          <w:szCs w:val="32"/>
          <w:highlight w:val="none"/>
          <w:shd w:val="clear" w:color="auto" w:fill="auto"/>
          <w:lang w:eastAsia="zh-CN"/>
        </w:rPr>
        <w:t>，</w:t>
      </w:r>
      <w:r>
        <w:rPr>
          <w:rFonts w:hint="eastAsia" w:ascii="仿宋_GB2312" w:hAnsi="仿宋_GB2312" w:eastAsia="仿宋_GB2312" w:cs="仿宋_GB2312"/>
          <w:b w:val="0"/>
          <w:bCs/>
          <w:color w:val="auto"/>
          <w:sz w:val="32"/>
          <w:szCs w:val="32"/>
          <w:highlight w:val="none"/>
          <w:shd w:val="clear" w:color="auto" w:fill="auto"/>
        </w:rPr>
        <w:t>医疗收入</w:t>
      </w:r>
      <w:r>
        <w:rPr>
          <w:rFonts w:hint="eastAsia" w:ascii="仿宋_GB2312" w:hAnsi="仿宋_GB2312" w:eastAsia="仿宋_GB2312" w:cs="仿宋_GB2312"/>
          <w:b w:val="0"/>
          <w:bCs/>
          <w:color w:val="auto"/>
          <w:sz w:val="32"/>
          <w:szCs w:val="32"/>
          <w:highlight w:val="none"/>
          <w:shd w:val="clear" w:color="auto" w:fill="auto"/>
          <w:lang w:val="en-US" w:eastAsia="zh-CN"/>
        </w:rPr>
        <w:t>43.31</w:t>
      </w:r>
      <w:r>
        <w:rPr>
          <w:rFonts w:hint="eastAsia" w:ascii="仿宋_GB2312" w:hAnsi="仿宋_GB2312" w:eastAsia="仿宋_GB2312" w:cs="仿宋_GB2312"/>
          <w:b w:val="0"/>
          <w:bCs/>
          <w:color w:val="auto"/>
          <w:sz w:val="32"/>
          <w:szCs w:val="32"/>
          <w:highlight w:val="none"/>
          <w:shd w:val="clear" w:color="auto" w:fill="auto"/>
        </w:rPr>
        <w:t>万元</w:t>
      </w:r>
      <w:r>
        <w:rPr>
          <w:rFonts w:hint="eastAsia" w:ascii="仿宋_GB2312" w:hAnsi="仿宋_GB2312" w:eastAsia="仿宋_GB2312" w:cs="仿宋_GB2312"/>
          <w:b w:val="0"/>
          <w:bCs/>
          <w:color w:val="auto"/>
          <w:sz w:val="32"/>
          <w:szCs w:val="32"/>
          <w:highlight w:val="none"/>
          <w:shd w:val="clear" w:color="auto" w:fill="auto"/>
          <w:lang w:eastAsia="zh-CN"/>
        </w:rPr>
        <w:t>，药品收入</w:t>
      </w:r>
      <w:r>
        <w:rPr>
          <w:rFonts w:hint="eastAsia" w:ascii="仿宋_GB2312" w:hAnsi="仿宋_GB2312" w:eastAsia="仿宋_GB2312" w:cs="仿宋_GB2312"/>
          <w:b w:val="0"/>
          <w:bCs/>
          <w:color w:val="auto"/>
          <w:sz w:val="32"/>
          <w:szCs w:val="32"/>
          <w:highlight w:val="none"/>
          <w:shd w:val="clear" w:color="auto" w:fill="auto"/>
          <w:lang w:val="en-US" w:eastAsia="zh-CN"/>
        </w:rPr>
        <w:t>77.61万元</w:t>
      </w:r>
      <w:r>
        <w:rPr>
          <w:rFonts w:hint="eastAsia" w:ascii="仿宋_GB2312" w:hAnsi="仿宋_GB2312" w:eastAsia="仿宋_GB2312" w:cs="仿宋_GB2312"/>
          <w:b w:val="0"/>
          <w:bCs/>
          <w:color w:val="auto"/>
          <w:sz w:val="32"/>
          <w:szCs w:val="32"/>
          <w:highlight w:val="none"/>
          <w:shd w:val="clear" w:color="auto" w:fill="auto"/>
          <w:lang w:eastAsia="zh-CN"/>
        </w:rPr>
        <w:t>），</w:t>
      </w:r>
      <w:r>
        <w:rPr>
          <w:rFonts w:hint="eastAsia" w:ascii="仿宋_GB2312" w:hAnsi="仿宋_GB2312" w:eastAsia="仿宋_GB2312" w:cs="仿宋_GB2312"/>
          <w:b w:val="0"/>
          <w:bCs/>
          <w:color w:val="auto"/>
          <w:sz w:val="32"/>
          <w:szCs w:val="32"/>
          <w:highlight w:val="none"/>
          <w:shd w:val="clear" w:color="auto" w:fill="auto"/>
        </w:rPr>
        <w:t>诊疗人次</w:t>
      </w:r>
      <w:r>
        <w:rPr>
          <w:rFonts w:hint="eastAsia" w:ascii="仿宋_GB2312" w:hAnsi="仿宋_GB2312" w:eastAsia="仿宋_GB2312" w:cs="仿宋_GB2312"/>
          <w:b w:val="0"/>
          <w:bCs/>
          <w:color w:val="auto"/>
          <w:sz w:val="32"/>
          <w:szCs w:val="32"/>
          <w:highlight w:val="none"/>
          <w:shd w:val="clear" w:color="auto" w:fill="auto"/>
          <w:lang w:val="en-US" w:eastAsia="zh-CN"/>
        </w:rPr>
        <w:t>1.69万</w:t>
      </w:r>
      <w:r>
        <w:rPr>
          <w:rFonts w:hint="eastAsia" w:ascii="仿宋_GB2312" w:hAnsi="仿宋_GB2312" w:eastAsia="仿宋_GB2312" w:cs="仿宋_GB2312"/>
          <w:b w:val="0"/>
          <w:bCs/>
          <w:color w:val="auto"/>
          <w:sz w:val="32"/>
          <w:szCs w:val="32"/>
          <w:highlight w:val="none"/>
          <w:shd w:val="clear" w:color="auto" w:fill="auto"/>
        </w:rPr>
        <w:t>人次</w:t>
      </w:r>
      <w:r>
        <w:rPr>
          <w:rFonts w:hint="eastAsia" w:ascii="仿宋_GB2312" w:hAnsi="仿宋_GB2312" w:eastAsia="仿宋_GB2312" w:cs="仿宋_GB2312"/>
          <w:b w:val="0"/>
          <w:bCs/>
          <w:color w:val="auto"/>
          <w:sz w:val="32"/>
          <w:szCs w:val="32"/>
          <w:highlight w:val="none"/>
          <w:shd w:val="clear" w:color="auto" w:fill="auto"/>
          <w:lang w:eastAsia="zh-CN"/>
        </w:rPr>
        <w:t>；1-11月共发放国家基本公共卫生服务补助59.36万元、村医省级定额补助8.15万元、药品零差率补助18.24万元，缴纳养老金10.8万元，为卫生室服务能力提升提供了保障。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楷体_GB2312" w:hAnsi="楷体_GB2312" w:eastAsia="楷体_GB2312" w:cs="楷体_GB2312"/>
          <w:b w:val="0"/>
          <w:bCs/>
          <w:kern w:val="2"/>
          <w:sz w:val="32"/>
          <w:szCs w:val="32"/>
          <w:lang w:val="en-US" w:eastAsia="zh-CN" w:bidi="ar-SA"/>
        </w:rPr>
        <w:t>（六）扎实开展中医药工作。</w:t>
      </w:r>
      <w:r>
        <w:rPr>
          <w:rFonts w:hint="eastAsia" w:ascii="仿宋_GB2312" w:hAnsi="仿宋_GB2312" w:eastAsia="仿宋_GB2312" w:cs="仿宋_GB2312"/>
          <w:b w:val="0"/>
          <w:bCs/>
          <w:sz w:val="32"/>
          <w:szCs w:val="32"/>
          <w:highlight w:val="none"/>
          <w:lang w:val="zh-CN" w:eastAsia="zh-CN"/>
        </w:rPr>
        <w:t>认真</w:t>
      </w:r>
      <w:r>
        <w:rPr>
          <w:rFonts w:hint="eastAsia" w:ascii="仿宋_GB2312" w:hAnsi="仿宋_GB2312" w:eastAsia="仿宋_GB2312" w:cs="仿宋_GB2312"/>
          <w:b w:val="0"/>
          <w:bCs/>
          <w:sz w:val="32"/>
          <w:szCs w:val="32"/>
          <w:lang w:val="zh-CN"/>
        </w:rPr>
        <w:t>落实中医药服务“三三制”目标，</w:t>
      </w:r>
      <w:r>
        <w:rPr>
          <w:rFonts w:hint="eastAsia" w:ascii="仿宋_GB2312" w:hAnsi="仿宋_GB2312" w:eastAsia="仿宋_GB2312" w:cs="仿宋_GB2312"/>
          <w:b w:val="0"/>
          <w:bCs/>
          <w:sz w:val="32"/>
          <w:szCs w:val="32"/>
          <w:highlight w:val="none"/>
          <w:lang w:val="zh-CN"/>
        </w:rPr>
        <w:t>卫生院1-</w:t>
      </w:r>
      <w:r>
        <w:rPr>
          <w:rFonts w:hint="eastAsia" w:ascii="仿宋_GB2312" w:hAnsi="仿宋_GB2312" w:eastAsia="仿宋_GB2312" w:cs="仿宋_GB2312"/>
          <w:b w:val="0"/>
          <w:bCs/>
          <w:sz w:val="32"/>
          <w:szCs w:val="32"/>
          <w:highlight w:val="none"/>
          <w:lang w:val="en-US" w:eastAsia="zh-CN"/>
        </w:rPr>
        <w:t>11</w:t>
      </w:r>
      <w:r>
        <w:rPr>
          <w:rFonts w:hint="eastAsia" w:ascii="仿宋_GB2312" w:hAnsi="仿宋_GB2312" w:eastAsia="仿宋_GB2312" w:cs="仿宋_GB2312"/>
          <w:b w:val="0"/>
          <w:bCs/>
          <w:sz w:val="32"/>
          <w:szCs w:val="32"/>
          <w:highlight w:val="none"/>
          <w:lang w:val="zh-CN"/>
        </w:rPr>
        <w:t>月中医门诊人次</w:t>
      </w:r>
      <w:r>
        <w:rPr>
          <w:rFonts w:hint="eastAsia" w:ascii="仿宋_GB2312" w:hAnsi="仿宋_GB2312" w:eastAsia="仿宋_GB2312" w:cs="仿宋_GB2312"/>
          <w:b w:val="0"/>
          <w:bCs/>
          <w:sz w:val="32"/>
          <w:szCs w:val="32"/>
          <w:highlight w:val="none"/>
          <w:lang w:val="en-US" w:eastAsia="zh-CN"/>
        </w:rPr>
        <w:t>39.56</w:t>
      </w:r>
      <w:r>
        <w:rPr>
          <w:rFonts w:hint="eastAsia" w:ascii="仿宋_GB2312" w:hAnsi="仿宋_GB2312" w:eastAsia="仿宋_GB2312" w:cs="仿宋_GB2312"/>
          <w:b w:val="0"/>
          <w:bCs/>
          <w:sz w:val="32"/>
          <w:szCs w:val="32"/>
          <w:highlight w:val="none"/>
          <w:lang w:val="zh-CN"/>
        </w:rPr>
        <w:t>％，中医药药品收入</w:t>
      </w:r>
      <w:r>
        <w:rPr>
          <w:rFonts w:hint="eastAsia" w:ascii="仿宋_GB2312" w:hAnsi="仿宋_GB2312" w:eastAsia="仿宋_GB2312" w:cs="仿宋_GB2312"/>
          <w:b w:val="0"/>
          <w:bCs/>
          <w:sz w:val="32"/>
          <w:szCs w:val="32"/>
          <w:highlight w:val="none"/>
          <w:lang w:val="en-US" w:eastAsia="zh-CN"/>
        </w:rPr>
        <w:t>41.01</w:t>
      </w:r>
      <w:r>
        <w:rPr>
          <w:rFonts w:hint="eastAsia" w:ascii="仿宋_GB2312" w:hAnsi="仿宋_GB2312" w:eastAsia="仿宋_GB2312" w:cs="仿宋_GB2312"/>
          <w:b w:val="0"/>
          <w:bCs/>
          <w:sz w:val="32"/>
          <w:szCs w:val="32"/>
          <w:highlight w:val="none"/>
          <w:lang w:val="zh-CN"/>
        </w:rPr>
        <w:t>％，中医药总收入</w:t>
      </w:r>
      <w:r>
        <w:rPr>
          <w:rFonts w:hint="eastAsia" w:ascii="仿宋_GB2312" w:hAnsi="仿宋_GB2312" w:eastAsia="仿宋_GB2312" w:cs="仿宋_GB2312"/>
          <w:b w:val="0"/>
          <w:bCs/>
          <w:sz w:val="32"/>
          <w:szCs w:val="32"/>
          <w:highlight w:val="none"/>
          <w:lang w:val="en-US" w:eastAsia="zh-CN"/>
        </w:rPr>
        <w:t>33.82</w:t>
      </w:r>
      <w:r>
        <w:rPr>
          <w:rFonts w:hint="eastAsia" w:ascii="仿宋_GB2312" w:hAnsi="仿宋_GB2312" w:eastAsia="仿宋_GB2312" w:cs="仿宋_GB2312"/>
          <w:b w:val="0"/>
          <w:bCs/>
          <w:sz w:val="32"/>
          <w:szCs w:val="32"/>
          <w:highlight w:val="none"/>
          <w:lang w:val="zh-CN"/>
        </w:rPr>
        <w:t>％。</w:t>
      </w:r>
      <w:r>
        <w:rPr>
          <w:rFonts w:hint="eastAsia" w:ascii="仿宋_GB2312" w:hAnsi="仿宋_GB2312" w:eastAsia="仿宋_GB2312" w:cs="仿宋_GB2312"/>
          <w:b w:val="0"/>
          <w:bCs/>
          <w:sz w:val="32"/>
          <w:szCs w:val="32"/>
          <w:lang w:eastAsia="zh-CN"/>
        </w:rPr>
        <w:t>积极开展中医培训，现开展培训</w:t>
      </w:r>
      <w:r>
        <w:rPr>
          <w:rFonts w:hint="eastAsia" w:ascii="仿宋_GB2312" w:hAnsi="仿宋_GB2312" w:eastAsia="仿宋_GB2312" w:cs="仿宋_GB2312"/>
          <w:b w:val="0"/>
          <w:bCs/>
          <w:sz w:val="32"/>
          <w:szCs w:val="32"/>
          <w:lang w:val="en-US" w:eastAsia="zh-CN"/>
        </w:rPr>
        <w:t>3场次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auto"/>
          <w:kern w:val="0"/>
          <w:sz w:val="32"/>
          <w:szCs w:val="32"/>
          <w:highlight w:val="none"/>
          <w:lang w:val="en-US" w:eastAsia="zh-CN"/>
        </w:rPr>
        <w:t>加大对中医药健康工作的宣传力度，现举办中医药宣传活动4次</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扎实开展中医药管理，</w:t>
      </w:r>
      <w:r>
        <w:rPr>
          <w:rFonts w:hint="eastAsia" w:ascii="仿宋_GB2312" w:hAnsi="仿宋_GB2312" w:eastAsia="仿宋_GB2312" w:cs="仿宋_GB2312"/>
          <w:b w:val="0"/>
          <w:bCs/>
          <w:color w:val="auto"/>
          <w:kern w:val="0"/>
          <w:sz w:val="32"/>
          <w:szCs w:val="32"/>
          <w:highlight w:val="none"/>
        </w:rPr>
        <w:t>对体检建档的65岁以上老年人、0-6岁儿童以及孕产妇开展中医保健指导，</w:t>
      </w:r>
      <w:r>
        <w:rPr>
          <w:rFonts w:hint="eastAsia" w:ascii="仿宋_GB2312" w:hAnsi="仿宋_GB2312" w:eastAsia="仿宋_GB2312" w:cs="仿宋_GB2312"/>
          <w:b w:val="0"/>
          <w:bCs/>
          <w:kern w:val="0"/>
          <w:sz w:val="32"/>
          <w:szCs w:val="32"/>
          <w:highlight w:val="none"/>
          <w:lang w:eastAsia="zh-CN"/>
        </w:rPr>
        <w:t>其中老年人中医药健康管理率</w:t>
      </w:r>
      <w:r>
        <w:rPr>
          <w:rFonts w:hint="eastAsia" w:ascii="仿宋_GB2312" w:hAnsi="仿宋_GB2312" w:eastAsia="仿宋_GB2312" w:cs="仿宋_GB2312"/>
          <w:b w:val="0"/>
          <w:bCs/>
          <w:kern w:val="0"/>
          <w:sz w:val="32"/>
          <w:szCs w:val="32"/>
          <w:highlight w:val="none"/>
          <w:lang w:val="en-US" w:eastAsia="zh-CN"/>
        </w:rPr>
        <w:t>98.8%，0-6岁儿童中医药健健康管理率100%，</w:t>
      </w:r>
      <w:r>
        <w:rPr>
          <w:rFonts w:hint="eastAsia" w:ascii="仿宋_GB2312" w:hAnsi="仿宋_GB2312" w:eastAsia="仿宋_GB2312" w:cs="仿宋_GB2312"/>
          <w:b w:val="0"/>
          <w:bCs/>
          <w:kern w:val="0"/>
          <w:sz w:val="32"/>
          <w:szCs w:val="32"/>
          <w:highlight w:val="none"/>
        </w:rPr>
        <w:t>并对高血压、糖尿病</w:t>
      </w:r>
      <w:r>
        <w:rPr>
          <w:rFonts w:hint="eastAsia" w:ascii="仿宋_GB2312" w:hAnsi="仿宋_GB2312" w:eastAsia="仿宋_GB2312" w:cs="仿宋_GB2312"/>
          <w:b w:val="0"/>
          <w:bCs/>
          <w:kern w:val="0"/>
          <w:sz w:val="32"/>
          <w:szCs w:val="32"/>
          <w:highlight w:val="none"/>
          <w:lang w:eastAsia="zh-CN"/>
        </w:rPr>
        <w:t>患者</w:t>
      </w:r>
      <w:r>
        <w:rPr>
          <w:rFonts w:hint="eastAsia" w:ascii="仿宋_GB2312" w:hAnsi="仿宋_GB2312" w:eastAsia="仿宋_GB2312" w:cs="仿宋_GB2312"/>
          <w:b w:val="0"/>
          <w:bCs/>
          <w:kern w:val="0"/>
          <w:sz w:val="32"/>
          <w:szCs w:val="32"/>
          <w:highlight w:val="none"/>
        </w:rPr>
        <w:t>进行辨证分型及中医指导</w:t>
      </w:r>
      <w:r>
        <w:rPr>
          <w:rFonts w:hint="eastAsia" w:ascii="仿宋_GB2312" w:hAnsi="仿宋_GB2312" w:eastAsia="仿宋_GB2312" w:cs="仿宋_GB2312"/>
          <w:b w:val="0"/>
          <w:bCs/>
          <w:kern w:val="0"/>
          <w:sz w:val="32"/>
          <w:szCs w:val="32"/>
          <w:highlight w:val="none"/>
          <w:lang w:eastAsia="zh-CN"/>
        </w:rPr>
        <w:t>，其中高血压</w:t>
      </w:r>
      <w:r>
        <w:rPr>
          <w:rFonts w:hint="eastAsia" w:ascii="仿宋_GB2312" w:hAnsi="仿宋_GB2312" w:eastAsia="仿宋_GB2312" w:cs="仿宋_GB2312"/>
          <w:b w:val="0"/>
          <w:bCs/>
          <w:kern w:val="0"/>
          <w:sz w:val="32"/>
          <w:szCs w:val="32"/>
          <w:highlight w:val="none"/>
          <w:lang w:val="en-US" w:eastAsia="zh-CN"/>
        </w:rPr>
        <w:t>2633人，糖尿病828人</w:t>
      </w:r>
      <w:r>
        <w:rPr>
          <w:rFonts w:hint="eastAsia" w:ascii="仿宋_GB2312" w:hAnsi="仿宋_GB2312" w:eastAsia="仿宋_GB2312" w:cs="仿宋_GB2312"/>
          <w:b w:val="0"/>
          <w:bCs/>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cs="仿宋_GB2312"/>
          <w:b/>
          <w:szCs w:val="32"/>
        </w:rPr>
      </w:pPr>
      <w:r>
        <w:rPr>
          <w:rFonts w:hint="eastAsia" w:ascii="仿宋_GB2312" w:hAnsi="仿宋_GB2312" w:cs="仿宋_GB2312"/>
          <w:b/>
          <w:szCs w:val="32"/>
        </w:rPr>
        <w:t>五、存在的问题</w:t>
      </w:r>
    </w:p>
    <w:p>
      <w:pPr>
        <w:pStyle w:val="21"/>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一是对于绩效评价的认识不够深入，把预算绩效等同于工作目标、工作考核和业务管理；</w:t>
      </w:r>
    </w:p>
    <w:p>
      <w:pPr>
        <w:pStyle w:val="21"/>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二是绩效考评指标体系有待完善。</w:t>
      </w: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cs="仿宋_GB2312"/>
          <w:b/>
          <w:szCs w:val="32"/>
          <w:lang w:val="en-US" w:eastAsia="zh-CN"/>
        </w:rPr>
      </w:pPr>
      <w:r>
        <w:rPr>
          <w:rFonts w:hint="eastAsia" w:ascii="仿宋_GB2312" w:hAnsi="仿宋_GB2312" w:cs="仿宋_GB2312"/>
          <w:b/>
          <w:szCs w:val="32"/>
        </w:rPr>
        <w:t>整改措施或建议</w:t>
      </w:r>
    </w:p>
    <w:p>
      <w:pPr>
        <w:keepNext w:val="0"/>
        <w:keepLines w:val="0"/>
        <w:pageBreakBefore w:val="0"/>
        <w:kinsoku/>
        <w:wordWrap/>
        <w:overflowPunct/>
        <w:topLinePunct w:val="0"/>
        <w:autoSpaceDE/>
        <w:autoSpaceDN/>
        <w:bidi w:val="0"/>
        <w:spacing w:line="600" w:lineRule="exact"/>
        <w:ind w:firstLine="56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强绩效评价管理制度和流程的建设，进一步深化、完善绩效管理体系，促进绩效管理工作向广度和深度延伸；规范绩效评价管理资料的收集整理，确保相关信息完整、可靠，客观公正的反映项目资金使用和产生的绩效状况。</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强化预算执行管理力度，在科学编制年度部门预算的基础上，在推进落实工作计划的同时，严格执行相关支出预算，及时保障本年度支出预算的执行率。同时，用好以前年度结转资金。要加快以前年度结转资金执行进度。结转资金确需继续保留的，及时使用和支付；将不再使用的结转资金及时归还；下一年度预算编制充分考虑结转资金的影响。</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cs="仿宋_GB2312"/>
          <w:b/>
          <w:szCs w:val="32"/>
        </w:rPr>
      </w:pPr>
      <w:r>
        <w:rPr>
          <w:rFonts w:hint="eastAsia" w:ascii="仿宋_GB2312" w:hAnsi="仿宋_GB2312" w:cs="仿宋_GB2312"/>
          <w:sz w:val="32"/>
          <w:szCs w:val="32"/>
          <w:lang w:val="en-US" w:eastAsia="zh-CN"/>
        </w:rPr>
        <w:t xml:space="preserve">   </w:t>
      </w:r>
      <w:r>
        <w:rPr>
          <w:rFonts w:hint="eastAsia" w:ascii="仿宋_GB2312" w:hAnsi="仿宋_GB2312" w:cs="仿宋_GB2312"/>
          <w:b/>
          <w:szCs w:val="32"/>
        </w:rPr>
        <w:t>其他需要说明的问题</w:t>
      </w:r>
    </w:p>
    <w:p>
      <w:pPr>
        <w:pStyle w:val="8"/>
        <w:keepNext w:val="0"/>
        <w:keepLines w:val="0"/>
        <w:pageBreakBefore w:val="0"/>
        <w:kinsoku/>
        <w:wordWrap/>
        <w:overflowPunct/>
        <w:topLinePunct w:val="0"/>
        <w:autoSpaceDE/>
        <w:autoSpaceDN/>
        <w:bidi w:val="0"/>
        <w:spacing w:line="600" w:lineRule="exact"/>
        <w:textAlignment w:val="auto"/>
        <w:rPr>
          <w:rFonts w:hint="default" w:eastAsia="仿宋_GB2312"/>
          <w:lang w:val="en-US" w:eastAsia="zh-CN"/>
        </w:rPr>
      </w:pPr>
      <w:r>
        <w:rPr>
          <w:rFonts w:hint="eastAsia"/>
          <w:lang w:val="en-US" w:eastAsia="zh-CN"/>
        </w:rPr>
        <w:t xml:space="preserve">  无</w:t>
      </w:r>
    </w:p>
    <w:p>
      <w:pPr>
        <w:pStyle w:val="8"/>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eastAsia="仿宋_GB2312"/>
          <w:lang w:eastAsia="zh-CN"/>
        </w:rPr>
      </w:pPr>
    </w:p>
    <w:sectPr>
      <w:pgSz w:w="11906" w:h="16838"/>
      <w:pgMar w:top="1701" w:right="1587" w:bottom="1701"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D078"/>
    <w:multiLevelType w:val="singleLevel"/>
    <w:tmpl w:val="A0E5D078"/>
    <w:lvl w:ilvl="0" w:tentative="0">
      <w:start w:val="2"/>
      <w:numFmt w:val="chineseCounting"/>
      <w:suff w:val="nothing"/>
      <w:lvlText w:val="（%1）"/>
      <w:lvlJc w:val="left"/>
      <w:rPr>
        <w:rFonts w:hint="eastAsia"/>
      </w:rPr>
    </w:lvl>
  </w:abstractNum>
  <w:abstractNum w:abstractNumId="1">
    <w:nsid w:val="A312AD6B"/>
    <w:multiLevelType w:val="singleLevel"/>
    <w:tmpl w:val="A312AD6B"/>
    <w:lvl w:ilvl="0" w:tentative="0">
      <w:start w:val="6"/>
      <w:numFmt w:val="chineseCounting"/>
      <w:suff w:val="nothing"/>
      <w:lvlText w:val="%1、"/>
      <w:lvlJc w:val="left"/>
      <w:rPr>
        <w:rFonts w:hint="eastAsia"/>
      </w:rPr>
    </w:lvl>
  </w:abstractNum>
  <w:abstractNum w:abstractNumId="2">
    <w:nsid w:val="55BA4364"/>
    <w:multiLevelType w:val="singleLevel"/>
    <w:tmpl w:val="55BA4364"/>
    <w:lvl w:ilvl="0" w:tentative="0">
      <w:start w:val="2"/>
      <w:numFmt w:val="decimal"/>
      <w:suff w:val="nothing"/>
      <w:lvlText w:val="%1．"/>
      <w:lvlJc w:val="left"/>
    </w:lvl>
  </w:abstractNum>
  <w:abstractNum w:abstractNumId="3">
    <w:nsid w:val="5EED8607"/>
    <w:multiLevelType w:val="singleLevel"/>
    <w:tmpl w:val="5EED8607"/>
    <w:lvl w:ilvl="0" w:tentative="0">
      <w:start w:val="4"/>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MDMyNTFjYmZlOGQ0ZGY1MDU5ZTIyY2JhMjFiMTk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B754B3"/>
    <w:rsid w:val="050C6887"/>
    <w:rsid w:val="05164C02"/>
    <w:rsid w:val="052C10AC"/>
    <w:rsid w:val="059F1735"/>
    <w:rsid w:val="05A8373F"/>
    <w:rsid w:val="07084F30"/>
    <w:rsid w:val="07EF58A1"/>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5E769F0"/>
    <w:rsid w:val="181747C7"/>
    <w:rsid w:val="192172B5"/>
    <w:rsid w:val="19AC0DF5"/>
    <w:rsid w:val="1A2502DE"/>
    <w:rsid w:val="1AFE4936"/>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93F7FCE"/>
    <w:rsid w:val="2A8C7222"/>
    <w:rsid w:val="2A965067"/>
    <w:rsid w:val="2B2A0714"/>
    <w:rsid w:val="2C065DA4"/>
    <w:rsid w:val="2C096F1D"/>
    <w:rsid w:val="2C362D24"/>
    <w:rsid w:val="2C7D3482"/>
    <w:rsid w:val="2CAB0B37"/>
    <w:rsid w:val="2CC21EA8"/>
    <w:rsid w:val="2D1A3F92"/>
    <w:rsid w:val="2D725DD0"/>
    <w:rsid w:val="2D8C5BE1"/>
    <w:rsid w:val="2DE4456A"/>
    <w:rsid w:val="2DE514DA"/>
    <w:rsid w:val="2E35300E"/>
    <w:rsid w:val="2F124B01"/>
    <w:rsid w:val="307B29B7"/>
    <w:rsid w:val="30A9101A"/>
    <w:rsid w:val="313F6F61"/>
    <w:rsid w:val="324C6402"/>
    <w:rsid w:val="32BE6308"/>
    <w:rsid w:val="32D218A0"/>
    <w:rsid w:val="330E71A0"/>
    <w:rsid w:val="33806D65"/>
    <w:rsid w:val="341A0F4F"/>
    <w:rsid w:val="34D86FD8"/>
    <w:rsid w:val="366900D9"/>
    <w:rsid w:val="36B756E5"/>
    <w:rsid w:val="36CC66A9"/>
    <w:rsid w:val="385F541F"/>
    <w:rsid w:val="39090ACC"/>
    <w:rsid w:val="3A4A475A"/>
    <w:rsid w:val="3A775788"/>
    <w:rsid w:val="3A930597"/>
    <w:rsid w:val="3BDF62D0"/>
    <w:rsid w:val="3D6F5574"/>
    <w:rsid w:val="3DB71999"/>
    <w:rsid w:val="3DFE7E20"/>
    <w:rsid w:val="3EDE6683"/>
    <w:rsid w:val="3F557FAE"/>
    <w:rsid w:val="3FB15639"/>
    <w:rsid w:val="3FF95CCA"/>
    <w:rsid w:val="40E70444"/>
    <w:rsid w:val="42325117"/>
    <w:rsid w:val="425F6DF0"/>
    <w:rsid w:val="431C4020"/>
    <w:rsid w:val="45316902"/>
    <w:rsid w:val="46560FFD"/>
    <w:rsid w:val="46A630A7"/>
    <w:rsid w:val="470537CD"/>
    <w:rsid w:val="47385682"/>
    <w:rsid w:val="47CF2E17"/>
    <w:rsid w:val="47DA54D2"/>
    <w:rsid w:val="483161C9"/>
    <w:rsid w:val="48BF5B4C"/>
    <w:rsid w:val="49877B8F"/>
    <w:rsid w:val="4D1A250B"/>
    <w:rsid w:val="4D2B15F6"/>
    <w:rsid w:val="4D441002"/>
    <w:rsid w:val="4D60672E"/>
    <w:rsid w:val="4E2220BF"/>
    <w:rsid w:val="4E424783"/>
    <w:rsid w:val="4EAE71F4"/>
    <w:rsid w:val="4F6A4788"/>
    <w:rsid w:val="50B64F9D"/>
    <w:rsid w:val="50CF30C7"/>
    <w:rsid w:val="51970D16"/>
    <w:rsid w:val="51C831D6"/>
    <w:rsid w:val="51FB53CA"/>
    <w:rsid w:val="527E3C5D"/>
    <w:rsid w:val="52A219E3"/>
    <w:rsid w:val="534C5C9D"/>
    <w:rsid w:val="53E939B1"/>
    <w:rsid w:val="545D7232"/>
    <w:rsid w:val="55120C02"/>
    <w:rsid w:val="55B92675"/>
    <w:rsid w:val="55CA7946"/>
    <w:rsid w:val="573319C2"/>
    <w:rsid w:val="573F66F7"/>
    <w:rsid w:val="57767448"/>
    <w:rsid w:val="58614B5E"/>
    <w:rsid w:val="586B0DAE"/>
    <w:rsid w:val="58DB507A"/>
    <w:rsid w:val="59744CA8"/>
    <w:rsid w:val="5C434333"/>
    <w:rsid w:val="5C617EA2"/>
    <w:rsid w:val="5CBE3182"/>
    <w:rsid w:val="5D655292"/>
    <w:rsid w:val="5E1060ED"/>
    <w:rsid w:val="5E2B7A29"/>
    <w:rsid w:val="5E5273CC"/>
    <w:rsid w:val="60711C34"/>
    <w:rsid w:val="607F783A"/>
    <w:rsid w:val="60846CF1"/>
    <w:rsid w:val="613C039B"/>
    <w:rsid w:val="617E7338"/>
    <w:rsid w:val="630302A6"/>
    <w:rsid w:val="637E428B"/>
    <w:rsid w:val="64E677CE"/>
    <w:rsid w:val="64FF1454"/>
    <w:rsid w:val="66F46C93"/>
    <w:rsid w:val="670021E9"/>
    <w:rsid w:val="677F5B67"/>
    <w:rsid w:val="67A142C9"/>
    <w:rsid w:val="68B33A79"/>
    <w:rsid w:val="69E96192"/>
    <w:rsid w:val="6AAA26C2"/>
    <w:rsid w:val="6BAE1707"/>
    <w:rsid w:val="6BDF63C2"/>
    <w:rsid w:val="6CD33AEF"/>
    <w:rsid w:val="6E112F9E"/>
    <w:rsid w:val="6E1B78B0"/>
    <w:rsid w:val="6E57590B"/>
    <w:rsid w:val="6E6B353C"/>
    <w:rsid w:val="6E984B28"/>
    <w:rsid w:val="6EE771D7"/>
    <w:rsid w:val="6F49468F"/>
    <w:rsid w:val="70051CAA"/>
    <w:rsid w:val="700B69D4"/>
    <w:rsid w:val="705C6487"/>
    <w:rsid w:val="72A71511"/>
    <w:rsid w:val="72FC6E43"/>
    <w:rsid w:val="73A56B29"/>
    <w:rsid w:val="74B9514E"/>
    <w:rsid w:val="74F22E08"/>
    <w:rsid w:val="75797088"/>
    <w:rsid w:val="75A120D9"/>
    <w:rsid w:val="76466FF6"/>
    <w:rsid w:val="76CA1658"/>
    <w:rsid w:val="7747487C"/>
    <w:rsid w:val="77A92AB2"/>
    <w:rsid w:val="77E23029"/>
    <w:rsid w:val="780853DB"/>
    <w:rsid w:val="78647052"/>
    <w:rsid w:val="79BB7C6D"/>
    <w:rsid w:val="7A485754"/>
    <w:rsid w:val="7A646DD9"/>
    <w:rsid w:val="7BD062B5"/>
    <w:rsid w:val="7C1A1A27"/>
    <w:rsid w:val="7D6D005F"/>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paragraph" w:styleId="3">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tLeast"/>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spacing w:line="520" w:lineRule="exact"/>
      <w:jc w:val="left"/>
    </w:pPr>
  </w:style>
  <w:style w:type="paragraph" w:styleId="5">
    <w:name w:val="Normal Indent"/>
    <w:basedOn w:val="1"/>
    <w:autoRedefine/>
    <w:unhideWhenUsed/>
    <w:qFormat/>
    <w:uiPriority w:val="99"/>
    <w:pPr>
      <w:ind w:firstLine="556"/>
    </w:pPr>
    <w:rPr>
      <w:rFonts w:cs="仿宋_GB2312"/>
      <w:kern w:val="0"/>
    </w:rPr>
  </w:style>
  <w:style w:type="paragraph" w:styleId="6">
    <w:name w:val="Body Text"/>
    <w:basedOn w:val="1"/>
    <w:autoRedefine/>
    <w:qFormat/>
    <w:uiPriority w:val="99"/>
    <w:pPr>
      <w:spacing w:after="120"/>
    </w:pPr>
    <w:rPr>
      <w:rFonts w:eastAsia="仿宋_GB2312"/>
      <w:sz w:val="32"/>
    </w:rPr>
  </w:style>
  <w:style w:type="paragraph" w:styleId="7">
    <w:name w:val="Body Text Indent"/>
    <w:basedOn w:val="1"/>
    <w:autoRedefine/>
    <w:qFormat/>
    <w:uiPriority w:val="0"/>
    <w:pPr>
      <w:adjustRightInd w:val="0"/>
      <w:snapToGrid w:val="0"/>
      <w:spacing w:line="560" w:lineRule="atLeast"/>
      <w:ind w:firstLine="640" w:firstLineChars="200"/>
    </w:pPr>
    <w:rPr>
      <w:kern w:val="0"/>
      <w:szCs w:val="28"/>
    </w:rPr>
  </w:style>
  <w:style w:type="paragraph" w:styleId="8">
    <w:name w:val="Body Text Indent 2"/>
    <w:basedOn w:val="1"/>
    <w:next w:val="6"/>
    <w:autoRedefine/>
    <w:unhideWhenUsed/>
    <w:qFormat/>
    <w:uiPriority w:val="99"/>
    <w:pPr>
      <w:spacing w:after="120" w:afterLines="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11">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eastAsia="宋体"/>
      <w:b/>
      <w:bCs/>
      <w:kern w:val="0"/>
      <w:szCs w:val="32"/>
    </w:rPr>
  </w:style>
  <w:style w:type="character" w:styleId="15">
    <w:name w:val="FollowedHyperlink"/>
    <w:basedOn w:val="14"/>
    <w:autoRedefine/>
    <w:qFormat/>
    <w:uiPriority w:val="0"/>
    <w:rPr>
      <w:color w:val="444444"/>
      <w:u w:val="none"/>
    </w:rPr>
  </w:style>
  <w:style w:type="character" w:styleId="16">
    <w:name w:val="Emphasis"/>
    <w:basedOn w:val="14"/>
    <w:autoRedefine/>
    <w:qFormat/>
    <w:uiPriority w:val="0"/>
  </w:style>
  <w:style w:type="character" w:styleId="17">
    <w:name w:val="Hyperlink"/>
    <w:basedOn w:val="14"/>
    <w:autoRedefine/>
    <w:qFormat/>
    <w:uiPriority w:val="0"/>
    <w:rPr>
      <w:color w:val="444444"/>
      <w:u w:val="none"/>
    </w:rPr>
  </w:style>
  <w:style w:type="character" w:styleId="18">
    <w:name w:val="HTML Cite"/>
    <w:basedOn w:val="14"/>
    <w:qFormat/>
    <w:uiPriority w:val="0"/>
    <w:rPr>
      <w:i/>
    </w:rPr>
  </w:style>
  <w:style w:type="paragraph" w:customStyle="1" w:styleId="19">
    <w:name w:val="办公自动化专用标题"/>
    <w:basedOn w:val="12"/>
    <w:autoRedefine/>
    <w:qFormat/>
    <w:uiPriority w:val="0"/>
    <w:pPr>
      <w:spacing w:line="560" w:lineRule="atLeast"/>
    </w:pPr>
    <w:rPr>
      <w:rFonts w:ascii="宋体" w:hAnsi="Arial" w:cs="Times New Roman"/>
      <w:bCs w:val="0"/>
      <w:sz w:val="44"/>
      <w:szCs w:val="20"/>
    </w:rPr>
  </w:style>
  <w:style w:type="character" w:customStyle="1" w:styleId="20">
    <w:name w:val="hover11"/>
    <w:basedOn w:val="14"/>
    <w:qFormat/>
    <w:uiPriority w:val="0"/>
  </w:style>
  <w:style w:type="paragraph" w:customStyle="1" w:styleId="21">
    <w:name w:val="闻政正文"/>
    <w:basedOn w:val="1"/>
    <w:autoRedefine/>
    <w:qFormat/>
    <w:uiPriority w:val="0"/>
    <w:pPr>
      <w:ind w:firstLine="560"/>
    </w:pPr>
    <w:rPr>
      <w:kern w:val="0"/>
      <w:szCs w:val="28"/>
      <w:lang w:val="zh-CN"/>
    </w:rPr>
  </w:style>
  <w:style w:type="paragraph" w:customStyle="1" w:styleId="22">
    <w:name w:val="闻政标题3"/>
    <w:basedOn w:val="4"/>
    <w:autoRedefine/>
    <w:qFormat/>
    <w:uiPriority w:val="0"/>
    <w:pPr>
      <w:spacing w:before="120" w:after="60" w:line="500" w:lineRule="exact"/>
      <w:ind w:firstLine="0" w:firstLineChars="0"/>
      <w:jc w:val="left"/>
      <w:outlineLvl w:val="0"/>
    </w:pPr>
    <w:rPr>
      <w:rFonts w:ascii="黑体" w:hAnsi="黑体" w:eastAsia="黑体"/>
      <w:b w:val="0"/>
      <w:kern w:val="0"/>
      <w:lang w:val="zh-CN"/>
    </w:rPr>
  </w:style>
  <w:style w:type="paragraph" w:customStyle="1" w:styleId="23">
    <w:name w:val="闻政标题4"/>
    <w:basedOn w:val="3"/>
    <w:autoRedefine/>
    <w:qFormat/>
    <w:uiPriority w:val="0"/>
    <w:pPr>
      <w:spacing w:before="120" w:after="60" w:line="500" w:lineRule="exact"/>
      <w:jc w:val="left"/>
    </w:pPr>
    <w:rPr>
      <w:rFonts w:ascii="Times New Roman" w:hAnsi="Times New Roman" w:eastAsia="仿宋_GB2312" w:cs="Times New Roman"/>
      <w:kern w:val="0"/>
      <w:sz w:val="28"/>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290</Words>
  <Characters>299</Characters>
  <Lines>2</Lines>
  <Paragraphs>1</Paragraphs>
  <TotalTime>0</TotalTime>
  <ScaleCrop>false</ScaleCrop>
  <LinksUpToDate>false</LinksUpToDate>
  <CharactersWithSpaces>303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Administrator</cp:lastModifiedBy>
  <cp:lastPrinted>2024-01-19T02:52:11Z</cp:lastPrinted>
  <dcterms:modified xsi:type="dcterms:W3CDTF">2024-01-19T03:27:40Z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0FE70FFF028444629F784AC24A64B8A5_13</vt:lpwstr>
  </property>
</Properties>
</file>