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</w:p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自然资源局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整体支出绩效评价报告</w:t>
      </w:r>
    </w:p>
    <w:p>
      <w:pPr>
        <w:adjustRightInd w:val="0"/>
        <w:snapToGrid w:val="0"/>
        <w:spacing w:line="540" w:lineRule="atLeast"/>
        <w:ind w:firstLine="642" w:firstLineChars="200"/>
        <w:rPr>
          <w:rFonts w:hint="eastAsia" w:ascii="黑体" w:hAnsi="黑体" w:eastAsia="黑体" w:cs="黑体"/>
          <w:b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（一）机构职能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根据中共临泽县委办公室、临泽县人民政府办公印发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《临泽县自然资源局职能配置、内设机构和人员编制规定》的通知，临泽县自然局是县政府工作部门，为正科级，挂临泽县林业和草原局、临泽县不动产登记管理局、临泽县绿化委员会办公室牌子。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主要职责是：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履行全民所有土地、矿产、森林、草原、湿地、水等自然资源资产所有者职责和全县国土空间用途管制职责。组织实施国家自然资源和国土空间规划及测绘等法律、法规，拟订相关管理办法并贯彻实施。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调查监测评价。贯彻执行自然资源调查监测评价的指标体系和统计标准，建立统一规范的自然资源调查监测评价制度。实施自然资源基础调查、专项调查和监测。负责自然资源调查监测评价成果的监督管理和信息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统一确权登记工作。贯彻执行国家各类自然资源和不动产统一确权登记、权籍调查、不动产测绘、争议调处及成果应用的制度、标准、规范。推进自然资源和不动产登记信息化建设。负责自然资源和不动产登记资料收集、整理、共享、汇交管理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资产有偿使用工作。贯彻执行国家全民所有自然资源资产统计制度，负责全民所有自然资源资产核算。编制全民所有自然资源资产负债表，拟订考核标准。执行全民所有自然资源资产划拨、出让、租赁、作价出资和土地储备政策，合理配置全民所有自然资源资产。负责自然资源资产价值评估管理，依法收缴相关资产收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的合理开发利用，贯彻执行自然资源发展规划和战略，建立政府公示自然资源价格体系，组织开展自然资源分等定级价格评估，开展自然资源利用评价考核，指导节约集约利用。负责自然资源市场监管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立全县空间规划体系并监督实施。贯彻落实国家主体功能区战略和制度，组织编制、修订并监督实施全县国土空间规划和相关专项规划，城乡控制性详细规划、分区规划，统筹衔接其他种类专项规划。开展国土空间开发适宜性评价，建立国土空间规划实施监测、评估和预警体系。组织划定生态保护红线、永久基本农田、城镇开发边界等控制线，构建节约资源和保护环境的生产、生活、生态空间布局。贯彻落实国土空间用途管制制度，研究拟订城乡规划政策并监督实施。组织拟订并实施土地等自然资源年度利用计划。负责土地等国土空间用途转用工作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筹全县国土空间、林业和草原生态保护修复和造林绿化工作。牵头组织编制全县国土空间、林业和草原生态修复规划并实施有关生态修复重大工程。负责国土空间综合整治、土地整理复垦、矿山地质环境恢复治理、林业和草原重点生态保护修复等工作。指导监督全民义务植树、城乡绿化、公益林和商品林的培育、林业和草原有害生物防治、检疫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最严格的耕地保护制度。贯彻执行国家耕地保护政策，负责耕地数量、质量、生态保护。组织实施耕地保护责任目标考核和永久基本农田特殊保护。落实耕地占补平衡制度，监督占用耕地补偿制度执行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全县地质勘查相关工作。组织实施全县地质调查和矿产资源勘查，管理县级地质勘查项目，负责地质灾害预防和治理，监督管理地下水过量开采及引发的地面沉降等地质问题。负责古生物化石的监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全县综合防灾减灾规划相关要求，组织编制地质灾害、森林和草原火灾防治规划并指导实施。负责地质灾害、森林和草原火灾的预防和治理，组织指导协调和监督地质灾害、森林和草原火灾调查评价及隐患的普查、详查、排查。指导开展群测群防、专业监测和预报预警等工作，指质灾害、森林和草原火灾治理工作。承担地质灾害、森林和草原火灾应急救援的技术支撑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自然资源管理工作。负责矿产资源储量及压覆矿产资源管理。负责矿业权管理。监督指导矿产资源合理利用和保护。监督执行全县森林采伐限额。负责林地管理，拟订林地保护利用规划并组织实施，负责公益林划定和管理工作，管理重点国有林区的国有森林资源。负责草原禁牧、草畜平衡和草原生态修复治理工作，监督管理草原的开发利用；负责陆生野生动植物资源监督管理。负责监督管理各类自然保护地和荒漠化防治工作，组织沙尘暴灾害预警预报和应急处置。组织指导林产品质量监督，生态扶贫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负责全县测绘地理信息管理工作。负责基础测绘、测绘行业、测绘资质资格与信用、地理信息公共服务和地图管理，监督管理地理信息安全和市场秩序，组织实施地方测量标志的设立和保护。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拟订集体林权制度、重点国有林区、国有林场、草原等重大改革意见并监督实施。拟订农村林业发展、维护林业经营者合法权益的政策措施，指导农村林地承包经营工作。开展退耕（牧）还林还草。指导国有林场基本建设和发展，组织林木种子、草种种质资源普查，负责良种选育推广，监督管理林木种苗、草种质量、林业和草原生物种质资源、植物新品种保护和草种生产经营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指导全县森林公安工作，监督管理森林公安队伍，指导全县林业重大违法案件的查处，负责相关行政执法监管工作，指导林区社会治安治理工作。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并实施县自然资源领域科技创新发展和人才培养规划计划。贯彻执行国家技术标准和规程规范。组织实施科技工程及创新能力建设，推进自然资源信息化建设，指导自然资源人才队伍建设，组织开展全县自然资源领域对外合作交流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（二）组织机构设置及人员构成情况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（一）机关内设机构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en-US" w:eastAsia="zh-CN"/>
        </w:rPr>
        <w:t xml:space="preserve">        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根据中共临泽县委办公室、临泽县人民政府办公室《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en-US" w:eastAsia="zh-CN"/>
        </w:rPr>
        <w:t>临泽县自然资源局职能配置、内设机构和人员编制规定》（县委办发[2019]16号）精神，临泽县自然资源局挂临泽县林业和草原局牌子。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临泽县自然资源局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内</w:t>
      </w: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设办公室、国土空间规划和资源管控股、国土用途管控和生态保护修复股、自然资源综合监管股4个股室。县自然资源局机关行政编制7名，机关后勤编制1名。</w:t>
      </w:r>
    </w:p>
    <w:p>
      <w:pPr>
        <w:spacing w:before="100" w:beforeLines="0" w:after="100" w:afterLines="0"/>
        <w:ind w:firstLine="48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（二）参照公务员法管理单位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　　临泽县自然资源局下属国土执法监察大队、林政稽查大队2个参公单位。</w:t>
      </w:r>
    </w:p>
    <w:p>
      <w:pPr>
        <w:spacing w:before="100" w:beforeLines="0" w:after="100" w:afterLines="0"/>
        <w:ind w:firstLine="480" w:firstLineChars="20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/>
        </w:rPr>
        <w:t>（三）直属事业单位</w:t>
      </w:r>
    </w:p>
    <w:p>
      <w:pPr>
        <w:spacing w:before="100" w:beforeLines="0" w:after="100" w:afterLines="0"/>
        <w:jc w:val="left"/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lang w:val="zh-CN" w:eastAsia="zh-CN"/>
        </w:rPr>
        <w:t>　　自然资源局下属沙河、蓼泉、鸭暖、工业园区4个自然资源所，城乡规划事务中心、土地储备和测绘服务中心、不动产登记事务中心、林果业技术推广中心、城市园林绿化中心、林业综合管理服务中心、草原监理站、五泉林场、沙河林场、临泽县治沙试验站、小泉子治沙站11个下属事业单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部门整体预算批复及支出安排情况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（1）县本级财政资金预算执行情况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县级财政资金总计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7943.65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万元，其中财政年初预算资金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万元，调整增加债券项目资金2400万元。预算内资金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万元，其中基本支出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2223.94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万元，项目支出3319.71万元。调整增加债券资金2400万元全部为造林绿化项目资金。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万元。其中预算批复项目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个，资金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3319.71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。一是城区绿化管护费用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元，二是有害生物防治30万元，三是全域国土绿化项目县级配套资金989.65万元，四是自然资源规划管理费用824.06万元，五是地质勘查与矿产资源管理费用60万元，六是地质灾害生态搬迁贴息16万元，七是14万亩公益林水费1100万元。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调整增加项目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生态修复债券资金项目2400万元。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（2）上级下达部门资金预算执行完成情况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9437.38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，其中全部完成的项目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5450.08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。未完成的项目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5个，项目资金3987.3万元。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5450.08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林业贴息贷款项目213.71万元，二是新一轮退耕还林补助项目295.44万元，三是上一轮退耕还林纳入森林抚育项目45.3万元，四是森林生态效益补偿项目81.64万，五是封禁保护补助项目224万元，六是林业有害生物防治15万元。七是森林小镇、森林乡村补助项目资金48万元，八是新增土地切块和统一确权登记项目资金151万元，九是草原虫害防治项目30万元，十是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生态及地质灾害避险搬迁项目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2932万元（含贴息62万元），十一是退耕还林补助项目资金127.97万元，十二是草原生态修复治理项目资金405.2万元，十三是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新一轮退耕还草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补助项目资金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80.82万元。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（3）上级下达部门资金预算执行未完成情况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下达未实施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3987.3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，一是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zh-CN"/>
        </w:rPr>
        <w:t>临泽县2023年全国防沙治沙综合示范区建设项目资金</w:t>
      </w:r>
      <w:r>
        <w:rPr>
          <w:rFonts w:hint="eastAsia" w:ascii="仿宋_GB2312" w:hAnsi="仿宋_GB2312" w:eastAsia="仿宋_GB2312" w:cs="仿宋_GB2312"/>
          <w:bCs/>
          <w:smallCaps/>
          <w:kern w:val="0"/>
          <w:sz w:val="32"/>
          <w:szCs w:val="32"/>
          <w:lang w:val="en-US" w:eastAsia="zh-CN"/>
        </w:rPr>
        <w:t>500万元，二是森林植被恢复费项目资金76.3万元，三是省级财政林下经济项目资金15万元。四是草原生态修复治理项目资金556万元。五是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</w:rPr>
        <w:t>临泽县蓼泉镇南沙窝补充耕地项目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2840万元。上述五个项目正在进行招投标手续，于2024年建设完成。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评价工作开展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（一）绩效评价实施过程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临泽县财政局关于开展202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年绩效评价工作的通知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》精神，我局高度重视，召开会议进行了安排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署，结合本单位工作实际，对202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年实施的所有财政资金项目进行了梳理，组织相关单位对实施的项目进行了检查验收，并根据预算和绩效管理相关规定，对实施的项目进行了绩效评价和总结。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</w:rPr>
        <w:t>一是成立项目评价工作小组，制定项目工作计划；二是参与项目评价工作协调会议，提请相关职能部门及被评价方的帮助和配合，确定相关部门的工作人员； 三是收集初步资料，绩效评价人员赴项目单位现场调研，包括分管单位负责人、项目实施单位负责人等；四是项目评价小组联合相关部门参与人员，根据项目评价指标体系及评价方案对项目做出评价，并形成评价报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（二）绩效评价整体结果概况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县级财政资金总计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7943.65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万元，其中财政年初预算资金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5543.65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万元，支付完成资金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4664.11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(其中基本支出2223.94万元，项目支出2440.17万元)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，未支付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879.54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万元，未支付原因是乡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镇国土空间规划及“多规合一”实用性村庄规划编制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由乡镇承担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和国土绿化项目管护期未到未支付的资金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调整增加债券项目资金2400万元。全部为造林绿化项目资金。支付完成资金343.2万元，未支付2056.8万元。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4584.2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未完成的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，项目资金3987.3万元，资金未支付。</w:t>
      </w:r>
      <w:r>
        <w:rPr>
          <w:rFonts w:hint="eastAsia" w:ascii="仿宋_GB2312" w:hAnsi="仿宋_GB2312" w:eastAsia="仿宋_GB2312" w:cs="仿宋_GB2312"/>
          <w:bCs/>
          <w:caps w:val="0"/>
          <w:smallCaps/>
          <w:sz w:val="32"/>
          <w:szCs w:val="32"/>
          <w:lang w:val="en-US" w:eastAsia="zh-CN"/>
        </w:rPr>
        <w:t>上述五个项目正在进行招投标手续，于2024年建设完成。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投入指标情况，预算编制符合国民经济总体规划，资料信息完整，年度任务明确，指标设置科学合理，经财政部门审核，符合预算相关规定。得分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过程指标完成情况，2023年预算执行全部完成，财务信息完整准确，管理制度健全，严格执行政府采购制度，资金支付全部执行国库集中支付。得分26分。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产出指标完成情况，项目按设计要求进行实施，完工后进行结算评审，除跨年度实施的项目外，项目都按设计要求完成，跨年度项目扣1分，得分28分。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效果指标完成情况，经济效益明显，劳动者收入增，服务对象满意，实施的项目绿色环保节能，资料报送及时，得分20分。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年度主要任务完成资金支付得分6.9分，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总体评价得分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三、部门整体支出绩效评价分析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（一）投入情况分析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预算编制情况分析：预算编制符合我县国民经济总体规划，数据详实，资料信息完整，年度任务明确，指标设置科学合理，经财政部门审核，符合预算相关规定。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预算配置情况分析：单位人员控制在编制以内，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经费严格按照相关规定执行，2023年接待标准提高，比2022年有所增加。重点项目的支出，优先安排，做到应支尽支。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（二）过程情况分析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预算执行情况分析：2023年预算执行全部完成，增加的预算调整符合相关规定，资金支付及时，严格执行政府采购制度，所有项目都进行了采购。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预算管理情况分析：单位管理制度健全，资金支付全部执行国库集中支付，决算信息及时公开，财务信息完整准确，严格执行政府购买服务。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资产管理情况分析：单位按相关规定制定了资产管理制度，资产保存完整，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实相符，处置资产都按相关规定进行了评估和审批，无违规处置资产的现象发生。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（三）产出情况分析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职责履行方面：2023年工作任务都按年初签定的目标责任书完成，根据上级部门的考核，任务完成优于其它县区。各项任务都制定了明确、具体、可量化的绩效指标，项目完成后，及时进行验收、决算、评审。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（四）效益情况分析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通过项目的实施，促进了行业生产能力增长，也带动了行业经济效益增长，有效提高劳动效率，节约成本费用，行业形象得到提升，增强了部门影响力。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劳动者收入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，周围环境得到了整治，面貌得到了改善。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四、履职完成情况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（一）严守红线“筑屏障”。一是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zh-CN" w:eastAsia="zh-CN" w:bidi="ar-SA"/>
        </w:rPr>
        <w:t>开展大规模国土绿化行动。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扎实实施“六带”造林绿化工程，完成营造林2.48万亩，义务植树50.8万株，新申报创建森林小镇1个（板桥镇），验收命名省级森林小镇1个（平川镇），建成命名省级乡村绿化示范村11个；实施草原植被恢复费项目，人工种草3190亩，治理退化草原3万亩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eastAsia="zh-CN"/>
        </w:rPr>
        <w:t>二是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加强耕地和永久基本农田保护。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持续加强永久基本农田和耕地保护日常监管，严守61.07万亩耕地保护目标和54.38万亩永久基本农田保护红线，严格落实耕地占补平衡政策，实现建设项目占用补充耕地总量动态平衡。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三是持续推进林果业发展和林权制度改革。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新发展特色林果和木本油料2000亩，建成千亩特色林果示范基地1个。建成种质资源保存圃180亩，收集地方品种种质237份。引进推广林果优良品种12个，示范推广新技术6项。开展集体林权制度配套改革，完成2022年林业贷款贴息项目5个，抚育及森林质量提升工程4000亩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认真开展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林草有害生物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组织对天牛疫区开展疫情排查，排查疑似木、虫害木22052株。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化防队在扎尔墩工业集中区、红沟村林带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杨树天牛树干钻孔注药2.4万株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累计防治4100亩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。加强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辖区内草原主要有害生物动态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监测，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鼠虫害防治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3.5万亩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（二）紧盯项目“勤服务”。一是加快构建“多规合一”规划体系。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因地制宜完成66个村村庄规划编制。立足“省级城市化地区和历史文化资源富集区”、县域“农业优先、文旅赋能”主体功能定位，编制完成全县国土空间规划。围绕全县重点建设项目，依法核发“一书三证”行政许可87项。组织召开县城乡规划委员会5次，审议议题17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二是强化自然资源要素保障。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聚焦省市县重点建设项目，上报审批各类建设用地24宗2921.1亩；持续规范设施农业用地管理，审批备案设施农业用地30宗1498.05亩；规范管理临时用地，审批临时用地9宗468.15亩，审批未利用地开发项目7宗5537.85亩；严格建设用地规划和计划管控，全年审批供应国有建设用地4326.15亩，实现土地出让收益8445.35万元。加强草原征占用审核审批，办理永久占用草原项目19个，临时占用草原项目9个。加强林地用途管控，办理建设项目使用林地事项9项，发放林木采伐许可证32份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三是加快处置闲置土地。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</w:rPr>
        <w:t>认真落实建设用地“增存挂钩”机制，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加强批而未供、供而未用闲置土地处置工作，处置批而未供土地1910.7亩。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四是高标准推进项目建设。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积极争取，组织实施补充耕地、造林绿化及草原生态修复项目11个，到位资金7224万元，完成投资4082万元，目前，已完工项目8个，其他3个项目（南沙窝补充耕地项目、沙化土地封禁保护区补助项目、草原生态修复治理项目）正在有序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（三）严抓严管“护底线”。一是深入开展“百日攻坚”行动。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紧紧围绕“百日攻坚”八项重点任务，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工作专班，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县政府主要领导、分管领导多次专题调研推动，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专题安排部署，跟进督导，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明确整改措施、完成时限和工作职责。建立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“周报告、旬调度、月通报”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重大问题督办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责任追究等制度，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推动各部门协调联动，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28个自然资源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督察、审计反馈、生态环境问题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全面完成整改。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二是强化自然资源执法监管。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严厉打击破坏自然资源违法行为，核查森林督察反馈疑似图斑735个，土地矿产卫片执法图斑2407个，查处涉林违法案件11件，土地矿产违法案件13件。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highlight w:val="none"/>
          <w:lang w:val="en-US" w:eastAsia="zh-CN" w:bidi="ar-SA"/>
        </w:rPr>
        <w:t>加强矿产资源管理。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公开出让采矿权7宗，延续2宗，注销2宗，收缴采矿权出让收益2395.25万元。红柳园煤矿探转采获得省厅批复，地热采矿权出让实现全市突破。组织完成非油气矿产资源开发利用统计、矿业权人勘查开采信息公示、矿山储量动态监测工作。实施完成地质勘查项目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>（四）保障民生“增福祉”。一是扎实推进生态及地质灾害避险搬迁。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坚持“统筹规划、应搬尽搬，全面推进、因地制宜”原则，严格落实“四个一”工作机制，2023年确定的342户搬迁任务，已全部搬迁入住，拆除旧宅115户，复垦复绿107户。</w:t>
      </w:r>
      <w:r>
        <w:rPr>
          <w:rStyle w:val="1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二是加强自然灾害防治。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严格落实领导带班和24小时值班值守、灾情速报等制度，转发气象预警信息12期。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定期开展汛前地质灾害隐患点排查检查，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派出检查组4组19人次，检查地质灾害隐患点20处，发放防灾工作明白卡、避险明白卡743份。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全力做好森林草原火灾隐患排查整治，开展森林草原防火检查24场次。全年未发生危险性地质灾害和森林草原火灾。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sz w:val="32"/>
          <w:szCs w:val="32"/>
          <w:lang w:val="en-US" w:eastAsia="zh-CN" w:bidi="ar-SA"/>
        </w:rPr>
        <w:t>三是做实统一确权登记工作。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-SA"/>
        </w:rPr>
        <w:t>持续推进城镇住房“登记难”化解工作，累计化解“登记难”问题1759户。全面推进农村房地一体及集体建设用地发证工作，登记发放“房地一体”不动产权证书28159本，完成集体建设用地使用权登记568宗。扎实推进新建商品房“交房即交证”改革工作，落实改革任务11栋758套。深入推进“放管服”改革，全年共办理不动产权登记3843件、预告及抵押登记1617件，协助企业融资16.2亿元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u w:val="none"/>
          <w:lang w:eastAsia="zh-CN"/>
        </w:rPr>
        <w:t>四是接续开展帮扶工作。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扎实推进“结对帮扶·爱心临泽”工程建设，科级干部结对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“三类对象”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33户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，帮助解决实际困难问题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个。持续开展巩固拓展脱贫攻坚成果同乡村振兴有效衔接，落实“六必访、六必查”要求，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52名干部下沉3个村88户帮扶户开展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走访慰问、联系帮扶，助力乡村振兴。动员系统干部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为积石山县地震灾害捐款1.2万元，彰显了“一方有难，八方支援”的大爱精神。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项目实施过程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，为有效的保证项目建设成效，在项目施工合同中与施工单位约定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质量保证金，致使部分资金支付未按时完成。二是个别上级财政项目资金计划下达较迟，设计、方案批复后，当年无法实施完成。三是跨年度项目实施周期长，验收、结算、评审无法在当年完成，造成资金支付进度缓慢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整改措施或建议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强项目管理，及早设计规划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保障项目按设计方案顺利实施。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实施的项目根据验收和评审结果，资金应及时支付给中标单位，但由于其它原因，项目主管单位做了支付，实际支付平台长时间付不了款，造成项目主管单位资金支付缓慢，受到上级主管部门的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临泽县自然资源局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5" w:type="default"/>
      <w:footerReference r:id="rId6" w:type="default"/>
      <w:pgSz w:w="11906" w:h="16838"/>
      <w:pgMar w:top="1440" w:right="1474" w:bottom="1440" w:left="1587" w:header="851" w:footer="1417" w:gutter="0"/>
      <w:pgNumType w:fmt="numberInDash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4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DW/fnQAAAA&#10;AwEAAA8AAAAAAAAAAQAgAAAAIgAAAGRycy9kb3ducmV2LnhtbFBLAQIUABQAAAAIAIdO4kDFWpZu&#10;swEAAEUDAAAOAAAAAAAAAAEAIAAAAB8BAABkcnMvZTJvRG9jLnhtbFBLBQYAAAAABgAGAFkBAABE&#10;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5NzhhMTVlOTYzODExMjUzYzRlZjRiYTdhZDFhZmEifQ=="/>
  </w:docVars>
  <w:rsids>
    <w:rsidRoot w:val="0E891585"/>
    <w:rsid w:val="00127541"/>
    <w:rsid w:val="00190816"/>
    <w:rsid w:val="00210448"/>
    <w:rsid w:val="002B4B28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50C6887"/>
    <w:rsid w:val="05164C02"/>
    <w:rsid w:val="052C10AC"/>
    <w:rsid w:val="059F1735"/>
    <w:rsid w:val="05A8373F"/>
    <w:rsid w:val="05D902BD"/>
    <w:rsid w:val="06E201E0"/>
    <w:rsid w:val="07084F30"/>
    <w:rsid w:val="074514C3"/>
    <w:rsid w:val="07EF58A1"/>
    <w:rsid w:val="0819527B"/>
    <w:rsid w:val="08E82583"/>
    <w:rsid w:val="09745809"/>
    <w:rsid w:val="099D2A89"/>
    <w:rsid w:val="0A6D4F24"/>
    <w:rsid w:val="0C441E40"/>
    <w:rsid w:val="0C620E77"/>
    <w:rsid w:val="0C8F394B"/>
    <w:rsid w:val="0CA23CF8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26D7E48"/>
    <w:rsid w:val="13FA103E"/>
    <w:rsid w:val="1421368B"/>
    <w:rsid w:val="14F84E33"/>
    <w:rsid w:val="15344181"/>
    <w:rsid w:val="181747C7"/>
    <w:rsid w:val="181E7240"/>
    <w:rsid w:val="183A0E2A"/>
    <w:rsid w:val="192172B5"/>
    <w:rsid w:val="19AC0DF5"/>
    <w:rsid w:val="1AC82DB5"/>
    <w:rsid w:val="1AFE4936"/>
    <w:rsid w:val="1CC5EA95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D64DCD"/>
    <w:rsid w:val="20FF1CE3"/>
    <w:rsid w:val="215B0A1A"/>
    <w:rsid w:val="21966D7F"/>
    <w:rsid w:val="219D643B"/>
    <w:rsid w:val="223203B0"/>
    <w:rsid w:val="22874567"/>
    <w:rsid w:val="24F31ED8"/>
    <w:rsid w:val="25AA29B2"/>
    <w:rsid w:val="26483F30"/>
    <w:rsid w:val="265C1EEB"/>
    <w:rsid w:val="26660934"/>
    <w:rsid w:val="2673108C"/>
    <w:rsid w:val="26984044"/>
    <w:rsid w:val="27722488"/>
    <w:rsid w:val="27F34365"/>
    <w:rsid w:val="29EC456C"/>
    <w:rsid w:val="2A2B58F0"/>
    <w:rsid w:val="2A8C7222"/>
    <w:rsid w:val="2A965067"/>
    <w:rsid w:val="2AEE5EDB"/>
    <w:rsid w:val="2B2A0714"/>
    <w:rsid w:val="2BDB44F0"/>
    <w:rsid w:val="2C065DA4"/>
    <w:rsid w:val="2C096F1D"/>
    <w:rsid w:val="2C362D24"/>
    <w:rsid w:val="2C7D3482"/>
    <w:rsid w:val="2CC21EA8"/>
    <w:rsid w:val="2D1A3F92"/>
    <w:rsid w:val="2D725DD0"/>
    <w:rsid w:val="2D8C5BE1"/>
    <w:rsid w:val="2DE4456A"/>
    <w:rsid w:val="2DE514DA"/>
    <w:rsid w:val="2E1F4C6D"/>
    <w:rsid w:val="2E35300E"/>
    <w:rsid w:val="2E5F1904"/>
    <w:rsid w:val="2F124B01"/>
    <w:rsid w:val="307B29B7"/>
    <w:rsid w:val="313F6F61"/>
    <w:rsid w:val="32D218A0"/>
    <w:rsid w:val="330E71A0"/>
    <w:rsid w:val="3366689B"/>
    <w:rsid w:val="33806D65"/>
    <w:rsid w:val="341A0F4F"/>
    <w:rsid w:val="34D86FD8"/>
    <w:rsid w:val="366900D9"/>
    <w:rsid w:val="36B756E5"/>
    <w:rsid w:val="36CC66A9"/>
    <w:rsid w:val="385F541F"/>
    <w:rsid w:val="389742AF"/>
    <w:rsid w:val="39090ACC"/>
    <w:rsid w:val="3A4A475A"/>
    <w:rsid w:val="3A775788"/>
    <w:rsid w:val="3B9A6B59"/>
    <w:rsid w:val="3BDF62D0"/>
    <w:rsid w:val="3CF257A2"/>
    <w:rsid w:val="3D6F5574"/>
    <w:rsid w:val="3DB71999"/>
    <w:rsid w:val="3DFE7E20"/>
    <w:rsid w:val="3EDE6683"/>
    <w:rsid w:val="3FB15639"/>
    <w:rsid w:val="3FF95CCA"/>
    <w:rsid w:val="40E70444"/>
    <w:rsid w:val="41AF1233"/>
    <w:rsid w:val="41FD3407"/>
    <w:rsid w:val="42325117"/>
    <w:rsid w:val="425F6DF0"/>
    <w:rsid w:val="431C4020"/>
    <w:rsid w:val="45316902"/>
    <w:rsid w:val="46560FFD"/>
    <w:rsid w:val="467C7066"/>
    <w:rsid w:val="46A630A7"/>
    <w:rsid w:val="470537CD"/>
    <w:rsid w:val="47385682"/>
    <w:rsid w:val="47CF2E17"/>
    <w:rsid w:val="47DA54D2"/>
    <w:rsid w:val="483161C9"/>
    <w:rsid w:val="48BF5B4C"/>
    <w:rsid w:val="495D1418"/>
    <w:rsid w:val="49877B8F"/>
    <w:rsid w:val="4B46038A"/>
    <w:rsid w:val="4C4B0ACB"/>
    <w:rsid w:val="4CD07276"/>
    <w:rsid w:val="4D1A250B"/>
    <w:rsid w:val="4D2B15F6"/>
    <w:rsid w:val="4D441002"/>
    <w:rsid w:val="4D60672E"/>
    <w:rsid w:val="4E424783"/>
    <w:rsid w:val="4EAE71F4"/>
    <w:rsid w:val="4F6A4788"/>
    <w:rsid w:val="50B64F9D"/>
    <w:rsid w:val="50CF30C7"/>
    <w:rsid w:val="51970D16"/>
    <w:rsid w:val="51C831D6"/>
    <w:rsid w:val="51FB53CA"/>
    <w:rsid w:val="52926A53"/>
    <w:rsid w:val="52A219E3"/>
    <w:rsid w:val="534C5C9D"/>
    <w:rsid w:val="53E939B1"/>
    <w:rsid w:val="5423698A"/>
    <w:rsid w:val="545D7232"/>
    <w:rsid w:val="55120C02"/>
    <w:rsid w:val="55B92675"/>
    <w:rsid w:val="55CA7946"/>
    <w:rsid w:val="56133F87"/>
    <w:rsid w:val="573319C2"/>
    <w:rsid w:val="573F66F7"/>
    <w:rsid w:val="57767448"/>
    <w:rsid w:val="58614B5E"/>
    <w:rsid w:val="586B0DAE"/>
    <w:rsid w:val="58DB507A"/>
    <w:rsid w:val="59744CA8"/>
    <w:rsid w:val="5BBB4535"/>
    <w:rsid w:val="5C434333"/>
    <w:rsid w:val="5C617EA2"/>
    <w:rsid w:val="5CBE3182"/>
    <w:rsid w:val="5D655292"/>
    <w:rsid w:val="5E1060ED"/>
    <w:rsid w:val="5E2B7A29"/>
    <w:rsid w:val="5E5273CC"/>
    <w:rsid w:val="5EBD503C"/>
    <w:rsid w:val="60711C34"/>
    <w:rsid w:val="607F783A"/>
    <w:rsid w:val="60846CF1"/>
    <w:rsid w:val="613C039B"/>
    <w:rsid w:val="630302A6"/>
    <w:rsid w:val="637E428B"/>
    <w:rsid w:val="64E677CE"/>
    <w:rsid w:val="64FF1454"/>
    <w:rsid w:val="65826BA0"/>
    <w:rsid w:val="66F46C93"/>
    <w:rsid w:val="670021E9"/>
    <w:rsid w:val="677F5B67"/>
    <w:rsid w:val="67950BBB"/>
    <w:rsid w:val="67A142C9"/>
    <w:rsid w:val="68396F4F"/>
    <w:rsid w:val="68B33A79"/>
    <w:rsid w:val="69A04E34"/>
    <w:rsid w:val="69E96192"/>
    <w:rsid w:val="6AAA26C2"/>
    <w:rsid w:val="6BAE1707"/>
    <w:rsid w:val="6BDF63C2"/>
    <w:rsid w:val="6CD33AEF"/>
    <w:rsid w:val="6E112F9E"/>
    <w:rsid w:val="6E1B78B0"/>
    <w:rsid w:val="6E57590B"/>
    <w:rsid w:val="6E6B353C"/>
    <w:rsid w:val="6E984B28"/>
    <w:rsid w:val="6EE771D7"/>
    <w:rsid w:val="6F49468F"/>
    <w:rsid w:val="6F77220A"/>
    <w:rsid w:val="70051CAA"/>
    <w:rsid w:val="700B69D4"/>
    <w:rsid w:val="705C6487"/>
    <w:rsid w:val="70EF875C"/>
    <w:rsid w:val="72565AAF"/>
    <w:rsid w:val="725C7D2F"/>
    <w:rsid w:val="72A71511"/>
    <w:rsid w:val="72FC6E43"/>
    <w:rsid w:val="73A56B29"/>
    <w:rsid w:val="74206E10"/>
    <w:rsid w:val="74B9514E"/>
    <w:rsid w:val="74F22E08"/>
    <w:rsid w:val="75797088"/>
    <w:rsid w:val="76466FF6"/>
    <w:rsid w:val="76CA1658"/>
    <w:rsid w:val="76E6EF74"/>
    <w:rsid w:val="7747487C"/>
    <w:rsid w:val="77E23029"/>
    <w:rsid w:val="780853DB"/>
    <w:rsid w:val="78647052"/>
    <w:rsid w:val="78826FCA"/>
    <w:rsid w:val="797F1EE5"/>
    <w:rsid w:val="79BB7C6D"/>
    <w:rsid w:val="7A485754"/>
    <w:rsid w:val="7A646DD9"/>
    <w:rsid w:val="7A6A3A9C"/>
    <w:rsid w:val="7BD062B5"/>
    <w:rsid w:val="7C1A1A27"/>
    <w:rsid w:val="7D6D005F"/>
    <w:rsid w:val="7D7D87C2"/>
    <w:rsid w:val="7D8F4F80"/>
    <w:rsid w:val="7DA9056C"/>
    <w:rsid w:val="7FE44FD9"/>
    <w:rsid w:val="7FF49266"/>
    <w:rsid w:val="B1BC45B0"/>
    <w:rsid w:val="B3E771EF"/>
    <w:rsid w:val="DC9F5585"/>
    <w:rsid w:val="DFFE21FE"/>
    <w:rsid w:val="F9BAAC15"/>
    <w:rsid w:val="FDAB8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556"/>
    </w:pPr>
    <w:rPr>
      <w:rFonts w:cs="仿宋_GB2312"/>
      <w:kern w:val="0"/>
    </w:rPr>
  </w:style>
  <w:style w:type="paragraph" w:styleId="3">
    <w:name w:val="caption"/>
    <w:basedOn w:val="1"/>
    <w:next w:val="1"/>
    <w:qFormat/>
    <w:uiPriority w:val="0"/>
    <w:pPr>
      <w:spacing w:line="240" w:lineRule="auto"/>
      <w:ind w:firstLine="0" w:firstLineChars="0"/>
    </w:pPr>
    <w:rPr>
      <w:rFonts w:ascii="Arial" w:hAnsi="Arial" w:eastAsia="黑体" w:cs="Arial"/>
      <w:sz w:val="20"/>
      <w:szCs w:val="20"/>
    </w:rPr>
  </w:style>
  <w:style w:type="paragraph" w:styleId="4">
    <w:name w:val="index 6"/>
    <w:basedOn w:val="1"/>
    <w:next w:val="1"/>
    <w:semiHidden/>
    <w:qFormat/>
    <w:uiPriority w:val="0"/>
    <w:pPr>
      <w:ind w:left="1000" w:leftChars="1000"/>
    </w:pPr>
  </w:style>
  <w:style w:type="paragraph" w:styleId="5">
    <w:name w:val="Body Text"/>
    <w:basedOn w:val="1"/>
    <w:qFormat/>
    <w:uiPriority w:val="99"/>
    <w:pPr>
      <w:spacing w:after="120"/>
    </w:pPr>
    <w:rPr>
      <w:rFonts w:eastAsia="仿宋_GB2312"/>
      <w:sz w:val="32"/>
    </w:r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7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styleId="18">
    <w:name w:val="HTML Cite"/>
    <w:basedOn w:val="13"/>
    <w:qFormat/>
    <w:uiPriority w:val="0"/>
    <w:rPr>
      <w:i/>
    </w:rPr>
  </w:style>
  <w:style w:type="paragraph" w:customStyle="1" w:styleId="19">
    <w:name w:val="办公自动化专用标题"/>
    <w:basedOn w:val="11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20">
    <w:name w:val="hover11"/>
    <w:basedOn w:val="13"/>
    <w:qFormat/>
    <w:uiPriority w:val="0"/>
  </w:style>
  <w:style w:type="paragraph" w:customStyle="1" w:styleId="21">
    <w:name w:val="UserStyle_0"/>
    <w:basedOn w:val="1"/>
    <w:qFormat/>
    <w:uiPriority w:val="0"/>
    <w:pPr>
      <w:adjustRightInd/>
      <w:snapToGrid/>
      <w:spacing w:after="0" w:line="276" w:lineRule="auto"/>
      <w:ind w:left="210" w:right="210" w:firstLine="600"/>
      <w:jc w:val="both"/>
      <w:textAlignment w:val="baseline"/>
    </w:pPr>
    <w:rPr>
      <w:rFonts w:ascii="微软雅黑" w:hAnsi="Times New Roman" w:eastAsia="宋体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6943</Words>
  <Characters>7404</Characters>
  <Lines>2</Lines>
  <Paragraphs>1</Paragraphs>
  <TotalTime>2</TotalTime>
  <ScaleCrop>false</ScaleCrop>
  <LinksUpToDate>false</LinksUpToDate>
  <CharactersWithSpaces>7518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2018-03-06T23:59:00Z</dcterms:created>
  <dc:creator>liulu</dc:creator>
  <cp:lastModifiedBy>user</cp:lastModifiedBy>
  <cp:lastPrinted>2024-01-10T17:55:00Z</cp:lastPrinted>
  <dcterms:modified xsi:type="dcterms:W3CDTF">2025-04-21T10:01:43Z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030CB27FA5274DA6A48E111C25315725</vt:lpwstr>
  </property>
</Properties>
</file>