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80" w:lineRule="auto"/>
        <w:jc w:val="center"/>
        <w:rPr>
          <w:rFonts w:hint="eastAsia" w:ascii="黑体" w:hAnsi="黑体" w:eastAsia="黑体"/>
          <w:b/>
          <w:sz w:val="32"/>
          <w:szCs w:val="32"/>
        </w:rPr>
      </w:pPr>
    </w:p>
    <w:p>
      <w:pPr>
        <w:spacing w:before="120" w:after="12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财政项目支出绩效自评价报告</w:t>
      </w: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/>
          <w:kern w:val="0"/>
          <w:sz w:val="32"/>
          <w:szCs w:val="32"/>
          <w:lang w:bidi="en-US"/>
        </w:rPr>
      </w:pPr>
    </w:p>
    <w:p>
      <w:pPr>
        <w:adjustRightInd w:val="0"/>
        <w:snapToGrid w:val="0"/>
        <w:spacing w:before="120" w:line="480" w:lineRule="auto"/>
        <w:ind w:firstLine="1600" w:firstLineChars="500"/>
        <w:jc w:val="left"/>
        <w:rPr>
          <w:rFonts w:ascii="黑体" w:hAnsi="黑体" w:eastAsia="黑体"/>
          <w:kern w:val="0"/>
          <w:sz w:val="32"/>
          <w:szCs w:val="32"/>
          <w:lang w:bidi="en-US"/>
        </w:rPr>
      </w:pPr>
      <w:r>
        <w:rPr>
          <w:rFonts w:hint="eastAsia" w:ascii="黑体" w:hAnsi="黑体" w:eastAsia="黑体"/>
          <w:kern w:val="0"/>
          <w:sz w:val="32"/>
          <w:szCs w:val="32"/>
          <w:lang w:bidi="en-US"/>
        </w:rPr>
        <w:t>项目名称：</w:t>
      </w:r>
      <w:r>
        <w:rPr>
          <w:rFonts w:ascii="黑体" w:hAnsi="黑体" w:eastAsia="黑体" w:cs="黑体"/>
          <w:sz w:val="32"/>
          <w:szCs w:val="32"/>
        </w:rPr>
        <w:t>城区及城市外围绿化养护工程</w:t>
      </w:r>
      <w:r>
        <w:rPr>
          <w:rFonts w:ascii="黑体" w:hAnsi="黑体" w:eastAsia="黑体"/>
          <w:kern w:val="0"/>
          <w:sz w:val="32"/>
          <w:szCs w:val="32"/>
          <w:lang w:bidi="en-US"/>
        </w:rPr>
        <w:fldChar w:fldCharType="begin"/>
      </w:r>
      <w:r>
        <w:rPr>
          <w:rFonts w:hint="eastAsia" w:ascii="黑体" w:hAnsi="黑体" w:eastAsia="黑体"/>
          <w:kern w:val="0"/>
          <w:sz w:val="32"/>
          <w:szCs w:val="32"/>
          <w:lang w:bidi="en-US"/>
        </w:rPr>
        <w:instrText xml:space="preserve">MERGEFIELD  projectName  \* MERGEFORMAT</w:instrText>
      </w:r>
      <w:r>
        <w:rPr>
          <w:rFonts w:ascii="黑体" w:hAnsi="黑体" w:eastAsia="黑体"/>
          <w:kern w:val="0"/>
          <w:sz w:val="32"/>
          <w:szCs w:val="32"/>
          <w:lang w:bidi="en-US"/>
        </w:rPr>
        <w:fldChar w:fldCharType="end"/>
      </w:r>
    </w:p>
    <w:p>
      <w:pPr>
        <w:adjustRightInd w:val="0"/>
        <w:snapToGrid w:val="0"/>
        <w:spacing w:before="120" w:line="480" w:lineRule="auto"/>
        <w:ind w:firstLine="1600" w:firstLineChars="500"/>
        <w:jc w:val="left"/>
        <w:rPr>
          <w:rFonts w:ascii="黑体" w:hAnsi="黑体" w:eastAsia="黑体"/>
          <w:kern w:val="0"/>
          <w:sz w:val="32"/>
          <w:szCs w:val="32"/>
          <w:lang w:bidi="en-US"/>
        </w:rPr>
      </w:pPr>
      <w:r>
        <w:rPr>
          <w:rFonts w:hint="eastAsia" w:ascii="黑体" w:hAnsi="黑体" w:eastAsia="黑体"/>
          <w:kern w:val="0"/>
          <w:sz w:val="32"/>
          <w:szCs w:val="32"/>
          <w:lang w:bidi="en-US"/>
        </w:rPr>
        <w:t>项目单位：</w:t>
      </w:r>
      <w:r>
        <w:rPr>
          <w:rFonts w:ascii="黑体" w:hAnsi="黑体" w:eastAsia="黑体" w:cs="黑体"/>
          <w:sz w:val="32"/>
          <w:szCs w:val="32"/>
        </w:rPr>
        <w:t>临泽县自然资源局</w:t>
      </w:r>
    </w:p>
    <w:p>
      <w:pPr>
        <w:adjustRightInd w:val="0"/>
        <w:snapToGrid w:val="0"/>
        <w:spacing w:before="120" w:line="480" w:lineRule="auto"/>
        <w:ind w:firstLine="1600" w:firstLineChars="500"/>
        <w:jc w:val="left"/>
        <w:rPr>
          <w:rFonts w:ascii="黑体" w:hAnsi="黑体" w:eastAsia="黑体"/>
          <w:kern w:val="0"/>
          <w:sz w:val="32"/>
          <w:szCs w:val="32"/>
          <w:lang w:bidi="en-US"/>
        </w:rPr>
      </w:pPr>
      <w:r>
        <w:rPr>
          <w:rFonts w:hint="eastAsia" w:ascii="黑体" w:hAnsi="黑体" w:eastAsia="黑体"/>
          <w:kern w:val="0"/>
          <w:sz w:val="32"/>
          <w:szCs w:val="32"/>
          <w:lang w:bidi="en-US"/>
        </w:rPr>
        <w:t>主管部门：</w:t>
      </w:r>
      <w:r>
        <w:rPr>
          <w:rFonts w:ascii="黑体" w:hAnsi="黑体" w:eastAsia="黑体" w:cs="黑体"/>
          <w:sz w:val="32"/>
          <w:szCs w:val="32"/>
        </w:rPr>
        <w:t>临泽县自然资源局</w:t>
      </w: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adjustRightInd w:val="0"/>
        <w:snapToGrid w:val="0"/>
        <w:spacing w:before="120"/>
        <w:jc w:val="center"/>
        <w:rPr>
          <w:rFonts w:ascii="黑体" w:hAnsi="黑体" w:eastAsia="黑体"/>
          <w:kern w:val="0"/>
          <w:sz w:val="32"/>
          <w:szCs w:val="32"/>
          <w:lang w:bidi="en-US"/>
        </w:rPr>
      </w:pPr>
      <w:r>
        <w:rPr>
          <w:rFonts w:hint="eastAsia" w:ascii="黑体" w:hAnsi="黑体" w:eastAsia="黑体"/>
          <w:kern w:val="0"/>
          <w:sz w:val="32"/>
          <w:szCs w:val="32"/>
          <w:lang w:bidi="en-US"/>
        </w:rPr>
        <w:t>2024年</w:t>
      </w:r>
      <w:r>
        <w:rPr>
          <w:rFonts w:ascii="黑体" w:hAnsi="黑体" w:eastAsia="黑体"/>
          <w:kern w:val="0"/>
          <w:sz w:val="32"/>
          <w:szCs w:val="32"/>
          <w:lang w:bidi="en-US"/>
        </w:rPr>
        <w:t>1</w:t>
      </w:r>
      <w:r>
        <w:rPr>
          <w:rFonts w:ascii="黑体" w:hAnsi="黑体" w:eastAsia="黑体" w:cs="黑体"/>
          <w:sz w:val="32"/>
          <w:szCs w:val="32"/>
        </w:rPr>
        <w:t>月</w:t>
      </w:r>
    </w:p>
    <w:p>
      <w:pPr>
        <w:pStyle w:val="14"/>
        <w:rPr>
          <w:rFonts w:ascii="仿宋_GB2312"/>
          <w:kern w:val="0"/>
          <w:sz w:val="32"/>
          <w:szCs w:val="32"/>
          <w:lang w:bidi="en-US"/>
        </w:rPr>
      </w:pPr>
    </w:p>
    <w:p>
      <w:pPr>
        <w:ind w:firstLine="560"/>
        <w:rPr>
          <w:sz w:val="32"/>
          <w:szCs w:val="32"/>
        </w:rPr>
      </w:pP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spacing w:before="480" w:after="360"/>
        <w:jc w:val="center"/>
        <w:rPr>
          <w:rStyle w:val="40"/>
          <w:rFonts w:ascii="黑体" w:hAnsi="黑体" w:eastAsia="黑体"/>
          <w:color w:val="000000"/>
          <w:sz w:val="32"/>
          <w:szCs w:val="32"/>
        </w:rPr>
      </w:pPr>
      <w:r>
        <w:rPr>
          <w:rStyle w:val="40"/>
          <w:rFonts w:hint="eastAsia" w:ascii="黑体" w:hAnsi="黑体" w:eastAsia="黑体"/>
          <w:color w:val="000000"/>
          <w:sz w:val="32"/>
          <w:szCs w:val="32"/>
        </w:rPr>
        <w:t>摘要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60" w:firstLineChars="200"/>
        <w:jc w:val="left"/>
        <w:textAlignment w:val="auto"/>
        <w:rPr>
          <w:rStyle w:val="40"/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Style w:val="40"/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近年来，我县林业生态建设根据党中央、国务院对推动绿色发展、促进人与自然和谐共生的战略决策，紧紧围绕全市“一屏四城五区”建设目标，聚焦全县“一核四廊多点”空间布局和“一城五县”建设目标，扎实开展“六带四园多点”大规模国土绿化行动，持续巩固提升“两山”实践创新基地和国家园林县城创建成果，基本建成了层次多样、结构合理、功能完备、点线面相结合的国土绿化体系，全县森林覆盖率稳中有增，绿化品质明显提升，生态环境持续改善。为确保我县林地资源的生态价值，不断巩固造林成果，显著提升绿化美化效果，需加强绿地精细化养护管理，持续改善人居环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项目基本情况</w:t>
      </w:r>
    </w:p>
    <w:p>
      <w:pPr>
        <w:pStyle w:val="6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（一）基本信息</w:t>
      </w:r>
    </w:p>
    <w:p>
      <w:pPr>
        <w:pStyle w:val="6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项目基本内容：计划完成城区及城市外围1.6万亩绿化带灌水、除草、修剪、病虫害防治、花卉栽植、树木补植补栽、卫生保洁等养护管理工作，提高苗木成活率和保存率，提升绿化景观效果。</w:t>
      </w:r>
    </w:p>
    <w:p>
      <w:pPr>
        <w:pStyle w:val="6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项目负责人：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张甲毅</w:t>
      </w:r>
    </w:p>
    <w:p>
      <w:pPr>
        <w:pStyle w:val="63"/>
        <w:pageBreakBefore w:val="0"/>
        <w:kinsoku/>
        <w:wordWrap/>
        <w:autoSpaceDE/>
        <w:autoSpaceDN/>
        <w:bidi w:val="0"/>
        <w:adjustRightInd/>
        <w:snapToGrid/>
        <w:spacing w:line="500" w:lineRule="exact"/>
        <w:ind w:firstLine="56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宋月桦</w:t>
      </w:r>
    </w:p>
    <w:p>
      <w:pPr>
        <w:pStyle w:val="63"/>
        <w:pageBreakBefore w:val="0"/>
        <w:kinsoku/>
        <w:wordWrap/>
        <w:autoSpaceDE/>
        <w:autoSpaceDN/>
        <w:bidi w:val="0"/>
        <w:adjustRightInd/>
        <w:snapToGrid/>
        <w:spacing w:line="500" w:lineRule="exact"/>
        <w:ind w:firstLine="56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15193418530</w:t>
      </w:r>
    </w:p>
    <w:p>
      <w:pPr>
        <w:pStyle w:val="63"/>
        <w:pageBreakBefore w:val="0"/>
        <w:kinsoku/>
        <w:wordWrap/>
        <w:autoSpaceDE/>
        <w:autoSpaceDN/>
        <w:bidi w:val="0"/>
        <w:adjustRightInd/>
        <w:snapToGrid/>
        <w:spacing w:line="500" w:lineRule="exact"/>
        <w:ind w:firstLine="562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预算资金情况</w:t>
      </w:r>
    </w:p>
    <w:p>
      <w:pPr>
        <w:pStyle w:val="69"/>
        <w:pageBreakBefore w:val="0"/>
        <w:kinsoku/>
        <w:wordWrap/>
        <w:autoSpaceDE/>
        <w:autoSpaceDN/>
        <w:bidi w:val="0"/>
        <w:adjustRightInd/>
        <w:snapToGrid/>
        <w:spacing w:line="500" w:lineRule="exact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项目总预算金额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300万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；</w:t>
      </w:r>
    </w:p>
    <w:p>
      <w:pPr>
        <w:pStyle w:val="69"/>
        <w:pageBreakBefore w:val="0"/>
        <w:kinsoku/>
        <w:wordWrap/>
        <w:autoSpaceDE/>
        <w:autoSpaceDN/>
        <w:bidi w:val="0"/>
        <w:adjustRightInd/>
        <w:snapToGrid/>
        <w:spacing w:line="500" w:lineRule="exact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项目当年预算金额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300万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；</w:t>
      </w:r>
    </w:p>
    <w:p>
      <w:pPr>
        <w:pStyle w:val="45"/>
        <w:pageBreakBefore w:val="0"/>
        <w:kinsoku/>
        <w:wordWrap/>
        <w:autoSpaceDE/>
        <w:autoSpaceDN/>
        <w:bidi w:val="0"/>
        <w:adjustRightInd/>
        <w:snapToGrid/>
        <w:spacing w:line="500" w:lineRule="exact"/>
        <w:rPr>
          <w:rFonts w:hint="eastAsia" w:ascii="黑体" w:hAnsi="黑体" w:eastAsia="黑体" w:cs="黑体"/>
          <w:sz w:val="32"/>
          <w:szCs w:val="32"/>
          <w:lang w:val="en-US"/>
        </w:rPr>
      </w:pPr>
      <w:bookmarkStart w:id="0" w:name="_Toc488925441"/>
      <w:bookmarkStart w:id="1" w:name="_Toc490218263"/>
      <w:bookmarkStart w:id="2" w:name="_Toc517260672"/>
      <w:r>
        <w:rPr>
          <w:rFonts w:hint="eastAsia" w:ascii="黑体" w:hAnsi="黑体" w:eastAsia="黑体" w:cs="黑体"/>
          <w:sz w:val="32"/>
          <w:szCs w:val="32"/>
        </w:rPr>
        <w:t>二、</w:t>
      </w:r>
      <w:bookmarkEnd w:id="0"/>
      <w:bookmarkEnd w:id="1"/>
      <w:r>
        <w:rPr>
          <w:rFonts w:hint="eastAsia" w:ascii="黑体" w:hAnsi="黑体" w:eastAsia="黑体" w:cs="黑体"/>
          <w:sz w:val="32"/>
          <w:szCs w:val="32"/>
        </w:rPr>
        <w:t>评价结论和绩效分析</w:t>
      </w:r>
      <w:bookmarkEnd w:id="2"/>
    </w:p>
    <w:p>
      <w:pPr>
        <w:pStyle w:val="63"/>
        <w:pageBreakBefore w:val="0"/>
        <w:kinsoku/>
        <w:wordWrap/>
        <w:autoSpaceDE/>
        <w:autoSpaceDN/>
        <w:bidi w:val="0"/>
        <w:adjustRightInd/>
        <w:snapToGrid/>
        <w:spacing w:line="500" w:lineRule="exact"/>
        <w:ind w:firstLine="562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bookmarkStart w:id="3" w:name="_Toc517260673"/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评价结果</w:t>
      </w:r>
      <w:bookmarkEnd w:id="3"/>
    </w:p>
    <w:p>
      <w:pPr>
        <w:pageBreakBefore w:val="0"/>
        <w:kinsoku/>
        <w:wordWrap/>
        <w:autoSpaceDE/>
        <w:autoSpaceDN/>
        <w:bidi w:val="0"/>
        <w:adjustRightInd/>
        <w:snapToGrid/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生态效益等做出自我评价，认真听取项目区群众建议意见，深入分析项目建设的特点，总结项目实施经验和存在的问题，做好自评工作。</w:t>
      </w:r>
    </w:p>
    <w:p>
      <w:pPr>
        <w:pStyle w:val="69"/>
        <w:pageBreakBefore w:val="0"/>
        <w:kinsoku/>
        <w:wordWrap/>
        <w:autoSpaceDE/>
        <w:autoSpaceDN/>
        <w:bidi w:val="0"/>
        <w:adjustRightInd/>
        <w:snapToGrid/>
        <w:spacing w:line="5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评价得分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100分</w:t>
      </w:r>
    </w:p>
    <w:p>
      <w:pPr>
        <w:pStyle w:val="69"/>
        <w:pageBreakBefore w:val="0"/>
        <w:kinsoku/>
        <w:wordWrap/>
        <w:autoSpaceDE/>
        <w:autoSpaceDN/>
        <w:bidi w:val="0"/>
        <w:adjustRightInd/>
        <w:snapToGrid/>
        <w:spacing w:line="5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绩效等级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A级</w:t>
      </w:r>
    </w:p>
    <w:p>
      <w:pPr>
        <w:pStyle w:val="63"/>
        <w:pageBreakBefore w:val="0"/>
        <w:numPr>
          <w:ilvl w:val="0"/>
          <w:numId w:val="0"/>
        </w:numPr>
        <w:kinsoku/>
        <w:wordWrap/>
        <w:autoSpaceDE/>
        <w:autoSpaceDN/>
        <w:bidi w:val="0"/>
        <w:adjustRightInd/>
        <w:snapToGrid/>
        <w:spacing w:line="5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4" w:name="_Toc517260674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zh-CN" w:eastAsia="zh-CN" w:bidi="ar-SA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主要绩效及分析</w:t>
      </w:r>
      <w:bookmarkEnd w:id="4"/>
    </w:p>
    <w:p>
      <w:pPr>
        <w:pageBreakBefore w:val="0"/>
        <w:kinsoku/>
        <w:wordWrap/>
        <w:autoSpaceDE/>
        <w:autoSpaceDN/>
        <w:bidi w:val="0"/>
        <w:adjustRightInd/>
        <w:snapToGrid/>
        <w:spacing w:line="5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5" w:name="_Toc490218269"/>
      <w:bookmarkStart w:id="6" w:name="_Toc488925447"/>
      <w:bookmarkStart w:id="7" w:name="_Toc398675340"/>
      <w:bookmarkStart w:id="8" w:name="_Toc517260675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面完成了城区流沙河两岸、枣乡路绕城水系、文化体育广场、丹霞广场、生态植物园等3385亩绿地及城市外围现代丝路寒旱产业园区、G30高速公路两侧、G312线绕城段、14万亩公益林生态供水绿化等13828亩绿化带灌水、除草、修剪、病虫害防治、花卉栽植、树木补植补栽、卫生保洁等养护管理工作。上述项目由临泽县英利工程管理有限公司招标代理，分别由临泽县英吉工程劳务服务有限公司、临泽县临泽县瑞鑫建筑工程安装有限公司、临泽县德润工程劳务有限公司、临泽县迅磊园林绿化有限责任公司、临泽县新活力劳务有限公司、张掖宝宁劳务有限公司等34家劳务公司承担管护。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作为重点生态建设项目，项目所用种苗严格执行《主要造林树种苗木质量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分级》(GB6000-1999)和《主要造林树种苗木》(DB62/T548--1998，甘肃省地方标准)的规定。</w:t>
      </w:r>
    </w:p>
    <w:p>
      <w:pPr>
        <w:pageBreakBefore w:val="0"/>
        <w:kinsoku/>
        <w:wordWrap/>
        <w:autoSpaceDE/>
        <w:autoSpaceDN/>
        <w:bidi w:val="0"/>
        <w:adjustRightInd/>
        <w:snapToGrid/>
        <w:spacing w:line="5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项目估算总投资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政府重点生态区转移支付资金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，资金支付率达到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</w:t>
      </w:r>
    </w:p>
    <w:p>
      <w:pPr>
        <w:pageBreakBefore w:val="0"/>
        <w:kinsoku/>
        <w:wordWrap/>
        <w:autoSpaceDE/>
        <w:autoSpaceDN/>
        <w:bidi w:val="0"/>
        <w:adjustRightInd/>
        <w:snapToGrid/>
        <w:spacing w:line="5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项目实施完毕后，通过对项目实施单位和项目区民众走访调查，公众对项目实施的满意度达到98%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以上。项目完工后由县自然资源局组织验收，项目完成质量合格。</w:t>
      </w:r>
    </w:p>
    <w:bookmarkEnd w:id="5"/>
    <w:bookmarkEnd w:id="6"/>
    <w:bookmarkEnd w:id="7"/>
    <w:p>
      <w:pPr>
        <w:pStyle w:val="45"/>
        <w:pageBreakBefore w:val="0"/>
        <w:numPr>
          <w:ilvl w:val="0"/>
          <w:numId w:val="0"/>
        </w:numPr>
        <w:kinsoku/>
        <w:wordWrap/>
        <w:autoSpaceDE/>
        <w:autoSpaceDN/>
        <w:bidi w:val="0"/>
        <w:adjustRightInd/>
        <w:snapToGrid/>
        <w:spacing w:line="5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zh-CN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存在问题和改进措施建议</w:t>
      </w:r>
      <w:bookmarkEnd w:id="8"/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00" w:lineRule="exact"/>
        <w:ind w:firstLine="643" w:firstLineChars="200"/>
        <w:textAlignment w:val="top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kern w:val="0"/>
          <w:sz w:val="32"/>
          <w:szCs w:val="32"/>
          <w:shd w:val="clear" w:color="auto" w:fill="FFFFFF"/>
          <w:lang w:val="en-US" w:eastAsia="zh-CN" w:bidi="ar"/>
        </w:rPr>
        <w:t>（一）存在的问题：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00" w:lineRule="exact"/>
        <w:ind w:firstLine="643" w:firstLineChars="200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kern w:val="0"/>
          <w:sz w:val="32"/>
          <w:szCs w:val="32"/>
          <w:shd w:val="clear" w:color="auto" w:fill="FFFFFF"/>
          <w:lang w:val="en-US" w:eastAsia="zh-CN" w:bidi="ar"/>
        </w:rPr>
        <w:t>一是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kern w:val="0"/>
          <w:sz w:val="32"/>
          <w:szCs w:val="32"/>
          <w:shd w:val="clear" w:color="auto" w:fill="FFFFFF"/>
          <w:lang w:val="en-US" w:eastAsia="zh-CN" w:bidi="ar"/>
        </w:rPr>
        <w:t>养护资金短缺。随着绿化面积的逐年加大，每年养护经费不断增加，城区及城市外围年需养护经费915万元（招标），自来水费90万元，电费60万元，农药化肥及维修费至少需要50万元，而县级财政每年纳入预算拨付的养护经费300万元，严重不足，养护资金落实难，每年拖欠的养护费逐年增多，后续的养护管理难度增加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kern w:val="0"/>
          <w:sz w:val="32"/>
          <w:szCs w:val="32"/>
          <w:shd w:val="clear" w:color="auto" w:fill="FFFFFF"/>
          <w:lang w:val="en-US" w:eastAsia="zh-CN" w:bidi="ar"/>
        </w:rPr>
        <w:t>二是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kern w:val="0"/>
          <w:sz w:val="32"/>
          <w:szCs w:val="32"/>
          <w:shd w:val="clear" w:color="auto" w:fill="FFFFFF"/>
          <w:lang w:val="en-US" w:eastAsia="zh-CN" w:bidi="ar"/>
        </w:rPr>
        <w:t>设施老化，维修及更换成本逐年增高。绿化工程中的供水管网、电路、花箱（2018年购置）、机械（车辆、水泵、园林器械、变压器等）随着时间的推移，老化现象严重，维修及更换成本逐年增高，安全隐患也逐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年增高。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三是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绿化养护模式仍需进一步探索完善。虽然政府购买社会服务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shd w:val="clear" w:color="auto" w:fill="FFFFFF"/>
        </w:rPr>
        <w:t>模式取得了一定效果，但从运行情况来看，还存在恶意竞争，低价中标，中途停工等现象。而且随着工价上涨，个别中标人为降低成本，仍存在不严格按照养护要求进行管护的问题，养护质量得不到有效保障。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管护措施落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实不到位。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今年干旱缺水天气影响，</w:t>
      </w:r>
      <w:r>
        <w:rPr>
          <w:rFonts w:hint="eastAsia" w:ascii="仿宋_GB2312" w:hAnsi="仿宋_GB2312" w:eastAsia="仿宋_GB2312" w:cs="仿宋_GB2312"/>
          <w:sz w:val="32"/>
          <w:szCs w:val="32"/>
        </w:rPr>
        <w:t>个别绿化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地段</w:t>
      </w:r>
      <w:r>
        <w:rPr>
          <w:rFonts w:hint="eastAsia" w:ascii="仿宋_GB2312" w:hAnsi="仿宋_GB2312" w:eastAsia="仿宋_GB2312" w:cs="仿宋_GB2312"/>
          <w:sz w:val="32"/>
          <w:szCs w:val="32"/>
        </w:rPr>
        <w:t>因灌水不及时，造成苗木干枯死亡，影响了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树木</w:t>
      </w:r>
      <w:r>
        <w:rPr>
          <w:rFonts w:hint="eastAsia" w:ascii="仿宋_GB2312" w:hAnsi="仿宋_GB2312" w:eastAsia="仿宋_GB2312" w:cs="仿宋_GB2312"/>
          <w:sz w:val="32"/>
          <w:szCs w:val="32"/>
        </w:rPr>
        <w:t>成活率及保存率。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00" w:lineRule="exact"/>
        <w:ind w:firstLine="643" w:firstLineChars="200"/>
        <w:textAlignment w:val="top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kern w:val="0"/>
          <w:sz w:val="32"/>
          <w:szCs w:val="32"/>
          <w:shd w:val="clear" w:color="auto" w:fill="FFFFFF"/>
          <w:lang w:val="en-US" w:eastAsia="zh-CN" w:bidi="ar"/>
        </w:rPr>
        <w:t>（二）改进措施建议</w:t>
      </w:r>
    </w:p>
    <w:p>
      <w:pPr>
        <w:keepNext w:val="0"/>
        <w:keepLines w:val="0"/>
        <w:pageBreakBefore w:val="0"/>
        <w:kinsoku/>
        <w:wordWrap/>
        <w:autoSpaceDE/>
        <w:autoSpaceDN/>
        <w:bidi w:val="0"/>
        <w:adjustRightInd/>
        <w:snapToGrid/>
        <w:spacing w:line="5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抓好已建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绿地精细化养护管理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。按</w:t>
      </w:r>
      <w:r>
        <w:rPr>
          <w:rFonts w:hint="eastAsia" w:ascii="仿宋_GB2312" w:hAnsi="仿宋_GB2312" w:eastAsia="仿宋_GB2312" w:cs="仿宋_GB2312"/>
          <w:sz w:val="32"/>
          <w:szCs w:val="32"/>
        </w:rPr>
        <w:t>照园林绿化“三分建、七分管”</w:t>
      </w:r>
      <w:bookmarkStart w:id="9" w:name="_GoBack"/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>的要求，结合全县城市精细化管理专项整治行动要求，细致抓好绿化养护各环节工作，重点做好各绿化地段草坪、花卉及树木的施肥、灌水、除草、修剪、卫生保洁等各项养护管理工作，提升绿化美化效果。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加大项目争取，提供资金保障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结合我县实际，</w:t>
      </w:r>
      <w:r>
        <w:rPr>
          <w:rFonts w:hint="eastAsia" w:ascii="仿宋_GB2312" w:hAnsi="仿宋_GB2312" w:eastAsia="仿宋_GB2312" w:cs="仿宋_GB2312"/>
          <w:sz w:val="32"/>
          <w:szCs w:val="32"/>
        </w:rPr>
        <w:t>精心谋划包装一批提质增绿、惠及民生的好项目、大项目，积极争取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储备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中央、省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林草项目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资金，千方百计解决“钱从哪里来”的问题，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为造林及管护提供资金保障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 w:val="0"/>
        <w:topLinePunct/>
        <w:autoSpaceDE/>
        <w:autoSpaceDN/>
        <w:bidi w:val="0"/>
        <w:adjustRightInd/>
        <w:snapToGrid/>
        <w:spacing w:line="500" w:lineRule="exact"/>
        <w:textAlignment w:val="top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45"/>
        <w:pageBreakBefore w:val="0"/>
        <w:numPr>
          <w:numId w:val="0"/>
        </w:numPr>
        <w:kinsoku/>
        <w:wordWrap/>
        <w:autoSpaceDE/>
        <w:autoSpaceDN/>
        <w:bidi w:val="0"/>
        <w:adjustRightInd/>
        <w:snapToGrid/>
        <w:spacing w:line="500" w:lineRule="exact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1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YTBlMjBmMWVmYjY4MGFiYmVlZWYwNjcyYmJmZDUifQ=="/>
  </w:docVars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BF1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B6147"/>
    <w:rsid w:val="003C0D82"/>
    <w:rsid w:val="003C1AC1"/>
    <w:rsid w:val="003C409B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E06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12703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211C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3748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761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40E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44815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A7809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4B6E08"/>
    <w:rsid w:val="02721114"/>
    <w:rsid w:val="028E3199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7E1A2E"/>
    <w:rsid w:val="07A2440E"/>
    <w:rsid w:val="07E66F23"/>
    <w:rsid w:val="07EA4335"/>
    <w:rsid w:val="07F12BBC"/>
    <w:rsid w:val="084305A2"/>
    <w:rsid w:val="089450F6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21981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152B20"/>
    <w:rsid w:val="15460D75"/>
    <w:rsid w:val="15612420"/>
    <w:rsid w:val="158131F0"/>
    <w:rsid w:val="1584079B"/>
    <w:rsid w:val="15C42CA2"/>
    <w:rsid w:val="15DD03D8"/>
    <w:rsid w:val="15E213DA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5253AE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551754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A85404"/>
    <w:rsid w:val="2AB015D2"/>
    <w:rsid w:val="2AC11F8B"/>
    <w:rsid w:val="2AC1449D"/>
    <w:rsid w:val="2AF86C64"/>
    <w:rsid w:val="2BB36041"/>
    <w:rsid w:val="2BE710A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506A4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34D9D"/>
    <w:rsid w:val="36FD0C3F"/>
    <w:rsid w:val="3736112E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EC7E0C"/>
    <w:rsid w:val="44FD0122"/>
    <w:rsid w:val="453C51E2"/>
    <w:rsid w:val="4543514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7CA38F8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0B6FE7"/>
    <w:rsid w:val="52480FB3"/>
    <w:rsid w:val="52A31437"/>
    <w:rsid w:val="52AA57BA"/>
    <w:rsid w:val="52B17595"/>
    <w:rsid w:val="52BE79D0"/>
    <w:rsid w:val="52DD4D2C"/>
    <w:rsid w:val="52E449C0"/>
    <w:rsid w:val="52E94EC4"/>
    <w:rsid w:val="53114F8E"/>
    <w:rsid w:val="53123615"/>
    <w:rsid w:val="53323698"/>
    <w:rsid w:val="533D5DD5"/>
    <w:rsid w:val="539C5D36"/>
    <w:rsid w:val="53A51243"/>
    <w:rsid w:val="53C6489E"/>
    <w:rsid w:val="54033ED1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BA5480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555777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AE1EC8"/>
    <w:rsid w:val="63E96CB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CE2A78"/>
    <w:rsid w:val="68FB1971"/>
    <w:rsid w:val="69166546"/>
    <w:rsid w:val="695A7AAC"/>
    <w:rsid w:val="69785A28"/>
    <w:rsid w:val="699E0935"/>
    <w:rsid w:val="69A30E71"/>
    <w:rsid w:val="69C1436A"/>
    <w:rsid w:val="6A0237EB"/>
    <w:rsid w:val="6A1D1DA5"/>
    <w:rsid w:val="6A2477AD"/>
    <w:rsid w:val="6AB51D8E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710B6"/>
    <w:rsid w:val="6CCB2DC7"/>
    <w:rsid w:val="6CCC0F72"/>
    <w:rsid w:val="6D0A1B48"/>
    <w:rsid w:val="6D35685E"/>
    <w:rsid w:val="6D46303A"/>
    <w:rsid w:val="6D6D4BB9"/>
    <w:rsid w:val="6DD2240E"/>
    <w:rsid w:val="6DF44974"/>
    <w:rsid w:val="6E0B3C57"/>
    <w:rsid w:val="6E4B45FB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0E00D9F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8BD69DE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BED243C"/>
    <w:rsid w:val="7C040510"/>
    <w:rsid w:val="7C553E30"/>
    <w:rsid w:val="7C5D5CC8"/>
    <w:rsid w:val="7C8B2E27"/>
    <w:rsid w:val="7CA64F5B"/>
    <w:rsid w:val="7CEC50AB"/>
    <w:rsid w:val="7D07647A"/>
    <w:rsid w:val="7D0D676C"/>
    <w:rsid w:val="7D1E4BB0"/>
    <w:rsid w:val="7D2D6781"/>
    <w:rsid w:val="7D3666DC"/>
    <w:rsid w:val="7DCD1822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autoRedefine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autoRedefine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autoRedefine/>
    <w:semiHidden/>
    <w:unhideWhenUsed/>
    <w:qFormat/>
    <w:uiPriority w:val="1"/>
  </w:style>
  <w:style w:type="table" w:default="1" w:styleId="2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autoRedefine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autoRedefine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autoRedefine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autoRedefine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autoRedefine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autoRedefine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autoRedefine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autoRedefine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autoRedefine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autoRedefine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autoRedefine/>
    <w:unhideWhenUsed/>
    <w:qFormat/>
    <w:uiPriority w:val="99"/>
    <w:rPr>
      <w:b/>
      <w:bCs/>
    </w:rPr>
  </w:style>
  <w:style w:type="table" w:styleId="21">
    <w:name w:val="Table Grid"/>
    <w:basedOn w:val="20"/>
    <w:autoRedefine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endnote reference"/>
    <w:autoRedefine/>
    <w:unhideWhenUsed/>
    <w:qFormat/>
    <w:uiPriority w:val="99"/>
    <w:rPr>
      <w:vertAlign w:val="superscript"/>
    </w:rPr>
  </w:style>
  <w:style w:type="character" w:styleId="24">
    <w:name w:val="FollowedHyperlink"/>
    <w:autoRedefine/>
    <w:unhideWhenUsed/>
    <w:qFormat/>
    <w:uiPriority w:val="99"/>
    <w:rPr>
      <w:color w:val="800080"/>
      <w:u w:val="single"/>
    </w:rPr>
  </w:style>
  <w:style w:type="character" w:styleId="25">
    <w:name w:val="Emphasis"/>
    <w:autoRedefine/>
    <w:qFormat/>
    <w:uiPriority w:val="20"/>
    <w:rPr>
      <w:i/>
      <w:iCs/>
    </w:rPr>
  </w:style>
  <w:style w:type="character" w:styleId="26">
    <w:name w:val="Hyperlink"/>
    <w:autoRedefine/>
    <w:unhideWhenUsed/>
    <w:qFormat/>
    <w:uiPriority w:val="99"/>
    <w:rPr>
      <w:color w:val="0000FF"/>
      <w:u w:val="single"/>
    </w:rPr>
  </w:style>
  <w:style w:type="character" w:styleId="27">
    <w:name w:val="annotation reference"/>
    <w:autoRedefine/>
    <w:unhideWhenUsed/>
    <w:qFormat/>
    <w:uiPriority w:val="99"/>
    <w:rPr>
      <w:sz w:val="21"/>
      <w:szCs w:val="21"/>
    </w:rPr>
  </w:style>
  <w:style w:type="character" w:styleId="28">
    <w:name w:val="footnote reference"/>
    <w:autoRedefine/>
    <w:unhideWhenUsed/>
    <w:qFormat/>
    <w:uiPriority w:val="99"/>
    <w:rPr>
      <w:vertAlign w:val="superscript"/>
    </w:rPr>
  </w:style>
  <w:style w:type="character" w:customStyle="1" w:styleId="29">
    <w:name w:val="页脚 Char1"/>
    <w:autoRedefine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Char1"/>
    <w:link w:val="7"/>
    <w:autoRedefine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autoRedefine/>
    <w:unhideWhenUsed/>
    <w:qFormat/>
    <w:uiPriority w:val="99"/>
    <w:rPr>
      <w:color w:val="800080"/>
      <w:u w:val="single"/>
    </w:rPr>
  </w:style>
  <w:style w:type="character" w:customStyle="1" w:styleId="32">
    <w:name w:val="font41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autoRedefine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autoRedefine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autoRedefine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Char"/>
    <w:link w:val="12"/>
    <w:autoRedefine/>
    <w:qFormat/>
    <w:uiPriority w:val="99"/>
    <w:rPr>
      <w:sz w:val="18"/>
      <w:szCs w:val="18"/>
    </w:rPr>
  </w:style>
  <w:style w:type="character" w:customStyle="1" w:styleId="38">
    <w:name w:val="闻政标题2 Char"/>
    <w:link w:val="39"/>
    <w:autoRedefine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autoRedefine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autoRedefine/>
    <w:qFormat/>
    <w:uiPriority w:val="0"/>
    <w:rPr>
      <w:b/>
      <w:bCs/>
      <w:smallCaps/>
      <w:color w:val="5B9BD5"/>
      <w:spacing w:val="5"/>
    </w:rPr>
  </w:style>
  <w:style w:type="character" w:customStyle="1" w:styleId="41">
    <w:name w:val="页眉 Char"/>
    <w:link w:val="13"/>
    <w:autoRedefine/>
    <w:qFormat/>
    <w:uiPriority w:val="99"/>
    <w:rPr>
      <w:sz w:val="18"/>
      <w:szCs w:val="18"/>
    </w:rPr>
  </w:style>
  <w:style w:type="character" w:customStyle="1" w:styleId="42">
    <w:name w:val="批注主题 Char"/>
    <w:link w:val="19"/>
    <w:autoRedefine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autoRedefine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autoRedefine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autoRedefine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autoRedefine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Char"/>
    <w:link w:val="8"/>
    <w:autoRedefine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autoRedefine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autoRedefine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autoRedefine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autoRedefine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autoRedefine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autoRedefine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autoRedefine/>
    <w:semiHidden/>
    <w:qFormat/>
    <w:uiPriority w:val="99"/>
    <w:rPr>
      <w:kern w:val="2"/>
      <w:sz w:val="18"/>
      <w:szCs w:val="18"/>
    </w:rPr>
  </w:style>
  <w:style w:type="character" w:customStyle="1" w:styleId="56">
    <w:name w:val="标题 3 Char"/>
    <w:link w:val="4"/>
    <w:autoRedefine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autoRedefine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autoRedefine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Char"/>
    <w:link w:val="15"/>
    <w:autoRedefine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autoRedefine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autoRedefine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autoRedefine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Char"/>
    <w:link w:val="11"/>
    <w:autoRedefine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autoRedefine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出段落 Char"/>
    <w:link w:val="67"/>
    <w:autoRedefine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autoRedefine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Char"/>
    <w:link w:val="10"/>
    <w:autoRedefine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autoRedefine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autoRedefine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autoRedefine/>
    <w:semiHidden/>
    <w:qFormat/>
    <w:uiPriority w:val="99"/>
    <w:rPr>
      <w:kern w:val="2"/>
      <w:sz w:val="18"/>
      <w:szCs w:val="18"/>
    </w:rPr>
  </w:style>
  <w:style w:type="character" w:customStyle="1" w:styleId="74">
    <w:name w:val="标题 2 Char"/>
    <w:link w:val="3"/>
    <w:autoRedefine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autoRedefine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autoRedefine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autoRedefine/>
    <w:qFormat/>
    <w:uiPriority w:val="99"/>
    <w:rPr>
      <w:kern w:val="2"/>
      <w:sz w:val="21"/>
      <w:szCs w:val="22"/>
    </w:rPr>
  </w:style>
  <w:style w:type="character" w:customStyle="1" w:styleId="82">
    <w:name w:val="文档结构图 Char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Char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autoRedefine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autoRedefine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autoRedefine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autoRedefine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autoRedefine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autoRedefine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autoRedefine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autoRedefine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标题 4 Char"/>
    <w:link w:val="5"/>
    <w:autoRedefine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autoRedefine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autoRedefine/>
    <w:qFormat/>
    <w:uiPriority w:val="34"/>
    <w:rPr>
      <w:rFonts w:eastAsia="仿宋_GB2312"/>
      <w:lang w:val="zh-CN" w:eastAsia="zh-CN"/>
    </w:rPr>
  </w:style>
  <w:style w:type="character" w:customStyle="1" w:styleId="117">
    <w:name w:val="标题 Char"/>
    <w:link w:val="18"/>
    <w:autoRedefine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autoRedefine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autoRedefine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autoRedefine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autoRedefine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autoRedefine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autoRedefine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autoRedefine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autoRedefine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autoRedefine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autoRedefine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autoRedefine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autoRedefine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02F41-AE99-4D48-873C-CA25D9BEF5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</Template>
  <Company>Sky123.Org</Company>
  <Pages>4</Pages>
  <Words>70</Words>
  <Characters>400</Characters>
  <Lines>3</Lines>
  <Paragraphs>1</Paragraphs>
  <TotalTime>7</TotalTime>
  <ScaleCrop>false</ScaleCrop>
  <LinksUpToDate>false</LinksUpToDate>
  <CharactersWithSpaces>469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2024-01-03T09:04:00Z</dcterms:created>
  <dc:creator>Sky123.Org</dc:creator>
  <cp:lastModifiedBy>木宛聆</cp:lastModifiedBy>
  <cp:lastPrinted>2017-07-28T05:17:00Z</cp:lastPrinted>
  <dcterms:modified xsi:type="dcterms:W3CDTF">2024-01-05T09:50:05Z</dcterms:modified>
  <dc:title>上海市促进文化创意产业发展财政扶持资金浦东新区配套资金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7E395DFBA79A437097BA397C17A8BFB8_12</vt:lpwstr>
  </property>
</Properties>
</file>