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3524">
      <w:pPr>
        <w:spacing w:before="120" w:after="120" w:line="480" w:lineRule="auto"/>
        <w:ind w:firstLine="0" w:firstLineChars="0"/>
        <w:jc w:val="center"/>
        <w:rPr>
          <w:rFonts w:eastAsia="黑体"/>
          <w:b/>
          <w:bCs/>
          <w:sz w:val="40"/>
          <w:szCs w:val="40"/>
        </w:rPr>
      </w:pPr>
    </w:p>
    <w:p w14:paraId="43CAE5BF">
      <w:pPr>
        <w:spacing w:before="120" w:after="120" w:line="480" w:lineRule="auto"/>
        <w:ind w:firstLine="0" w:firstLineChars="0"/>
        <w:jc w:val="center"/>
        <w:rPr>
          <w:rFonts w:eastAsia="黑体"/>
          <w:b/>
          <w:bCs/>
          <w:sz w:val="40"/>
          <w:szCs w:val="40"/>
        </w:rPr>
      </w:pPr>
    </w:p>
    <w:p w14:paraId="1FA9748B">
      <w:pPr>
        <w:spacing w:before="120" w:after="120" w:line="480" w:lineRule="auto"/>
        <w:ind w:firstLine="0" w:firstLineChars="0"/>
        <w:jc w:val="center"/>
        <w:rPr>
          <w:rFonts w:eastAsia="黑体"/>
          <w:b/>
          <w:bCs/>
          <w:sz w:val="48"/>
          <w:szCs w:val="48"/>
        </w:rPr>
      </w:pPr>
    </w:p>
    <w:p w14:paraId="05A6FB0A">
      <w:pPr>
        <w:spacing w:before="120" w:after="120" w:line="480" w:lineRule="auto"/>
        <w:ind w:firstLine="0" w:firstLineChars="0"/>
        <w:jc w:val="center"/>
        <w:rPr>
          <w:rFonts w:eastAsia="黑体"/>
          <w:b/>
          <w:bCs/>
          <w:sz w:val="48"/>
          <w:szCs w:val="48"/>
        </w:rPr>
      </w:pPr>
    </w:p>
    <w:p w14:paraId="21A79573">
      <w:pPr>
        <w:spacing w:before="120" w:after="120" w:line="480" w:lineRule="auto"/>
        <w:ind w:firstLine="0" w:firstLineChars="0"/>
        <w:jc w:val="center"/>
        <w:rPr>
          <w:rFonts w:eastAsia="黑体"/>
          <w:b/>
          <w:bCs/>
          <w:sz w:val="48"/>
          <w:szCs w:val="48"/>
        </w:rPr>
      </w:pPr>
    </w:p>
    <w:p w14:paraId="32DC6B7B">
      <w:pPr>
        <w:spacing w:before="120" w:after="120" w:line="48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部门整体支出绩效评价报告</w:t>
      </w:r>
    </w:p>
    <w:p w14:paraId="596E7CBF">
      <w:pPr>
        <w:widowControl/>
        <w:spacing w:before="120" w:after="120" w:line="48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en-US"/>
        </w:rPr>
      </w:pPr>
    </w:p>
    <w:p w14:paraId="09BFC32F">
      <w:pPr>
        <w:widowControl/>
        <w:spacing w:before="120" w:after="120" w:line="480" w:lineRule="auto"/>
        <w:ind w:firstLine="0" w:firstLineChars="0"/>
        <w:jc w:val="center"/>
        <w:rPr>
          <w:rFonts w:eastAsia="黑体"/>
          <w:b/>
          <w:kern w:val="0"/>
          <w:sz w:val="44"/>
          <w:szCs w:val="44"/>
          <w:lang w:bidi="en-US"/>
        </w:rPr>
      </w:pPr>
    </w:p>
    <w:p w14:paraId="00764FDB">
      <w:pPr>
        <w:widowControl/>
        <w:spacing w:before="120" w:after="120" w:line="480" w:lineRule="auto"/>
        <w:ind w:firstLine="0" w:firstLineChars="0"/>
        <w:jc w:val="center"/>
        <w:rPr>
          <w:rFonts w:eastAsia="黑体"/>
          <w:b/>
          <w:kern w:val="0"/>
          <w:sz w:val="44"/>
          <w:szCs w:val="44"/>
          <w:lang w:bidi="en-US"/>
        </w:rPr>
      </w:pPr>
    </w:p>
    <w:p w14:paraId="6AD2C5EE">
      <w:pPr>
        <w:widowControl/>
        <w:spacing w:before="120" w:after="120" w:line="360" w:lineRule="auto"/>
        <w:ind w:firstLine="0" w:firstLineChars="0"/>
        <w:jc w:val="center"/>
        <w:rPr>
          <w:rFonts w:eastAsia="黑体"/>
          <w:b/>
          <w:kern w:val="0"/>
          <w:szCs w:val="28"/>
          <w:lang w:bidi="en-US"/>
        </w:rPr>
      </w:pPr>
    </w:p>
    <w:p w14:paraId="159E66AE">
      <w:pPr>
        <w:widowControl/>
        <w:spacing w:before="120" w:after="120" w:line="360" w:lineRule="auto"/>
        <w:ind w:firstLine="0" w:firstLineChars="0"/>
        <w:jc w:val="center"/>
        <w:rPr>
          <w:rFonts w:eastAsia="黑体"/>
          <w:b/>
          <w:kern w:val="0"/>
          <w:szCs w:val="28"/>
          <w:lang w:bidi="en-US"/>
        </w:rPr>
      </w:pPr>
    </w:p>
    <w:p w14:paraId="41E6FE3E">
      <w:pPr>
        <w:widowControl/>
        <w:spacing w:before="120" w:after="120" w:line="360" w:lineRule="auto"/>
        <w:ind w:firstLine="0" w:firstLineChars="0"/>
        <w:jc w:val="center"/>
        <w:rPr>
          <w:rFonts w:eastAsia="黑体"/>
          <w:b/>
          <w:kern w:val="0"/>
          <w:szCs w:val="28"/>
          <w:lang w:bidi="en-US"/>
        </w:rPr>
      </w:pPr>
    </w:p>
    <w:p w14:paraId="7BCFE125">
      <w:pPr>
        <w:widowControl/>
        <w:spacing w:before="120" w:after="120" w:line="360" w:lineRule="auto"/>
        <w:ind w:firstLine="0" w:firstLineChars="0"/>
        <w:jc w:val="center"/>
        <w:rPr>
          <w:rFonts w:eastAsia="黑体"/>
          <w:b/>
          <w:kern w:val="0"/>
          <w:szCs w:val="28"/>
          <w:lang w:bidi="en-US"/>
        </w:rPr>
      </w:pPr>
    </w:p>
    <w:p w14:paraId="17CD046B">
      <w:pPr>
        <w:widowControl/>
        <w:spacing w:before="120" w:line="240" w:lineRule="auto"/>
        <w:ind w:firstLine="0" w:firstLineChars="0"/>
        <w:jc w:val="left"/>
        <w:rPr>
          <w:rFonts w:eastAsia="黑体"/>
          <w:kern w:val="0"/>
          <w:szCs w:val="28"/>
          <w:lang w:bidi="en-US"/>
        </w:rPr>
      </w:pPr>
    </w:p>
    <w:p w14:paraId="5BCF39CF">
      <w:pPr>
        <w:widowControl/>
        <w:spacing w:before="120" w:line="24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  <w:t>项目名称：20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en-US"/>
        </w:rPr>
        <w:t>22年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  <w:t>度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  <w:t>工业园区管理委员会办公室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  <w:t>部门整体支出</w:t>
      </w:r>
    </w:p>
    <w:p w14:paraId="7404FC95">
      <w:pPr>
        <w:widowControl/>
        <w:spacing w:before="120" w:line="240" w:lineRule="auto"/>
        <w:ind w:firstLine="1606" w:firstLineChars="5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  <w:t>绩效评价报告</w:t>
      </w:r>
    </w:p>
    <w:p w14:paraId="0C1F6822">
      <w:pPr>
        <w:widowControl/>
        <w:spacing w:before="120" w:line="24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  <w:t>项目单位：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  <w:t>甘肃临泽工业园区管理委员会办公室</w:t>
      </w:r>
    </w:p>
    <w:p w14:paraId="5D870985">
      <w:pPr>
        <w:widowControl/>
        <w:spacing w:before="120" w:line="240" w:lineRule="auto"/>
        <w:ind w:firstLine="3855" w:firstLineChars="120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</w:t>
      </w:r>
    </w:p>
    <w:p w14:paraId="69E673FB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Toc43216053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《中华人民共和国预算法》《中华人民共和国预算法实施条例》“将绩效管理覆盖所有财政资金，贯穿预算编制、执行全过程，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全面深化预算绩效管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理，落实</w:t>
      </w:r>
      <w:r>
        <w:rPr>
          <w:rFonts w:hint="eastAsia" w:ascii="仿宋" w:hAnsi="仿宋" w:eastAsia="仿宋" w:cs="仿宋"/>
          <w:sz w:val="32"/>
          <w:szCs w:val="32"/>
        </w:rPr>
        <w:t>花钱必问效、无效必问责”的相关规定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预算绩效管理理念已经得到各级财政和公共部门的广泛认同，部门预算监督也得到加强。本次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绩效自评</w:t>
      </w:r>
      <w:r>
        <w:rPr>
          <w:rFonts w:hint="eastAsia" w:ascii="仿宋" w:hAnsi="仿宋" w:eastAsia="仿宋" w:cs="仿宋"/>
          <w:sz w:val="32"/>
          <w:szCs w:val="32"/>
        </w:rPr>
        <w:t>工作围绕财政支出的经济性、效率性和有效性，从部门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投入情况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过程情况、产出情况、履职完成情况及</w:t>
      </w:r>
      <w:r>
        <w:rPr>
          <w:rFonts w:hint="eastAsia" w:ascii="仿宋" w:hAnsi="仿宋" w:eastAsia="仿宋" w:cs="仿宋"/>
          <w:sz w:val="32"/>
          <w:szCs w:val="32"/>
        </w:rPr>
        <w:t>部门管理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等方面</w:t>
      </w:r>
      <w:r>
        <w:rPr>
          <w:rFonts w:hint="eastAsia" w:ascii="仿宋" w:hAnsi="仿宋" w:eastAsia="仿宋" w:cs="仿宋"/>
          <w:sz w:val="32"/>
          <w:szCs w:val="32"/>
        </w:rPr>
        <w:t xml:space="preserve">进行部门整体绩效评价。 </w:t>
      </w:r>
    </w:p>
    <w:p w14:paraId="70DFE9CB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" w:name="_Toc438108975"/>
      <w:r>
        <w:rPr>
          <w:rFonts w:hint="eastAsia" w:ascii="仿宋" w:hAnsi="仿宋" w:eastAsia="仿宋" w:cs="仿宋"/>
          <w:sz w:val="32"/>
          <w:szCs w:val="32"/>
        </w:rPr>
        <w:t>一、部门概况</w:t>
      </w:r>
      <w:bookmarkEnd w:id="0"/>
      <w:bookmarkEnd w:id="1"/>
    </w:p>
    <w:p w14:paraId="7A957043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sz w:val="32"/>
          <w:szCs w:val="32"/>
        </w:rPr>
      </w:pPr>
      <w:bookmarkStart w:id="2" w:name="_Toc438108976"/>
      <w:bookmarkStart w:id="3" w:name="_Toc432160537"/>
      <w:r>
        <w:rPr>
          <w:rFonts w:hint="eastAsia" w:ascii="仿宋" w:hAnsi="仿宋" w:eastAsia="仿宋" w:cs="仿宋"/>
          <w:sz w:val="32"/>
          <w:szCs w:val="32"/>
        </w:rPr>
        <w:t>（一）部门设立概况</w:t>
      </w:r>
      <w:bookmarkEnd w:id="2"/>
      <w:bookmarkEnd w:id="3"/>
    </w:p>
    <w:p w14:paraId="097AF7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工业园区管理委员会办公室成立于1989年12月,属于参公管理单位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委、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政府领导下，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承接政府决定的各类重大建设项目及工业园区规划、园区入驻企业管理等各项工作。</w:t>
      </w:r>
    </w:p>
    <w:p w14:paraId="3C9C8C78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sz w:val="32"/>
          <w:szCs w:val="32"/>
        </w:rPr>
      </w:pPr>
      <w:bookmarkStart w:id="4" w:name="_Toc438108977"/>
      <w:bookmarkStart w:id="5" w:name="_Toc432160538"/>
      <w:r>
        <w:rPr>
          <w:rFonts w:hint="eastAsia" w:ascii="仿宋" w:hAnsi="仿宋" w:eastAsia="仿宋" w:cs="仿宋"/>
          <w:sz w:val="32"/>
          <w:szCs w:val="32"/>
        </w:rPr>
        <w:t>（二）部门职能</w:t>
      </w:r>
      <w:bookmarkEnd w:id="4"/>
      <w:bookmarkEnd w:id="5"/>
    </w:p>
    <w:p w14:paraId="310C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总体规划、详细规划和经济、社会发展规划，经县政府批准后组织实施；</w:t>
      </w:r>
    </w:p>
    <w:p w14:paraId="2200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的各项行政管理规定，并组织实施；</w:t>
      </w:r>
    </w:p>
    <w:p w14:paraId="5AE2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（3）统一规划、管理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的各项基础设施、公共设施，兴办和管理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工业园区</w:t>
      </w:r>
      <w:r>
        <w:rPr>
          <w:rFonts w:hint="eastAsia" w:ascii="仿宋" w:hAnsi="仿宋" w:eastAsia="仿宋" w:cs="仿宋"/>
          <w:sz w:val="32"/>
          <w:szCs w:val="32"/>
        </w:rPr>
        <w:t>的公益事业；</w:t>
      </w:r>
    </w:p>
    <w:p w14:paraId="0941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内安全、建设、环境保护、统计等工作；</w:t>
      </w:r>
    </w:p>
    <w:p w14:paraId="0A78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（5）按规定权限和程序审批审批或审核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内的投资项目；</w:t>
      </w:r>
    </w:p>
    <w:p w14:paraId="58164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（6）综合分析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工业园区</w:t>
      </w:r>
      <w:r>
        <w:rPr>
          <w:rFonts w:hint="eastAsia" w:ascii="仿宋" w:hAnsi="仿宋" w:eastAsia="仿宋" w:cs="仿宋"/>
          <w:sz w:val="32"/>
          <w:szCs w:val="32"/>
        </w:rPr>
        <w:t>建设和发展情况，指导所有进区单位的建设与管理，协调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建设中的重大问题；</w:t>
      </w:r>
    </w:p>
    <w:p w14:paraId="6DF4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（7）监督落实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生产建设过程中的各类优惠政策；</w:t>
      </w:r>
    </w:p>
    <w:p w14:paraId="7876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（8）管理和监督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临泽县工业园区</w:t>
      </w:r>
      <w:r>
        <w:rPr>
          <w:rFonts w:hint="eastAsia" w:ascii="仿宋" w:hAnsi="仿宋" w:eastAsia="仿宋" w:cs="仿宋"/>
          <w:sz w:val="32"/>
          <w:szCs w:val="32"/>
        </w:rPr>
        <w:t>内的企事业单位和其他社会组织，保障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园区</w:t>
      </w:r>
      <w:r>
        <w:rPr>
          <w:rFonts w:hint="eastAsia" w:ascii="仿宋" w:hAnsi="仿宋" w:eastAsia="仿宋" w:cs="仿宋"/>
          <w:sz w:val="32"/>
          <w:szCs w:val="32"/>
        </w:rPr>
        <w:t>内的企业依法自主经营；</w:t>
      </w:r>
    </w:p>
    <w:p w14:paraId="7A5A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（9）完成县委、县政府交办的其他工作。</w:t>
      </w:r>
    </w:p>
    <w:p w14:paraId="37D5A509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(三)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部门组织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机构设置及人员构成情况</w:t>
      </w:r>
    </w:p>
    <w:p w14:paraId="7633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甘肃临泽工业园区管理委员会办公室成立于1989年12月，202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年5月进行了改制，改制后单位隶属关系是：工业园区管理委员会下设1个办公室（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纪检监察室</w:t>
      </w:r>
      <w:r>
        <w:rPr>
          <w:rFonts w:hint="eastAsia" w:ascii="仿宋" w:hAnsi="仿宋" w:eastAsia="仿宋" w:cs="仿宋"/>
          <w:sz w:val="32"/>
          <w:szCs w:val="32"/>
        </w:rPr>
        <w:t>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规划建设局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招商合作局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经济发展局、生态环境和应急管理局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通航产业中心、凹凸棒石产业发展中心、绿色农产品加工产业发展中心等</w:t>
      </w:r>
      <w:r>
        <w:rPr>
          <w:rFonts w:hint="eastAsia" w:ascii="仿宋" w:hAnsi="仿宋" w:eastAsia="仿宋" w:cs="仿宋"/>
          <w:sz w:val="32"/>
          <w:szCs w:val="32"/>
        </w:rPr>
        <w:t>财政全额拨款事业单位。单位有参公管理编制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人。现有在职职工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人，其中行政人员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人，事业人员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人，工勤人员1名（王居才），退休人员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人，管委会位于临泽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县凹凸研发中心</w:t>
      </w:r>
      <w:r>
        <w:rPr>
          <w:rFonts w:hint="eastAsia" w:ascii="仿宋" w:hAnsi="仿宋" w:eastAsia="仿宋" w:cs="仿宋"/>
          <w:sz w:val="32"/>
          <w:szCs w:val="32"/>
        </w:rPr>
        <w:t>办公楼。</w:t>
      </w:r>
    </w:p>
    <w:p w14:paraId="78EA6A2E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6" w:name="_Toc438108978"/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）部门资金预算及支出情况</w:t>
      </w:r>
      <w:bookmarkEnd w:id="6"/>
    </w:p>
    <w:p w14:paraId="219337EC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1、部门预算情况</w:t>
      </w:r>
    </w:p>
    <w:p w14:paraId="64D43CEF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甘肃临泽</w:t>
      </w:r>
      <w:r>
        <w:rPr>
          <w:rFonts w:hint="eastAsia" w:ascii="仿宋" w:hAnsi="仿宋" w:eastAsia="仿宋" w:cs="仿宋"/>
          <w:sz w:val="32"/>
          <w:szCs w:val="32"/>
        </w:rPr>
        <w:t>工业园区管理委员会办公室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部门整体预算包括人员经费、公用经费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、项目经费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。部门预算按照“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下”流程进行编制、审批和下达预算。20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甘肃临泽</w:t>
      </w:r>
      <w:r>
        <w:rPr>
          <w:rFonts w:hint="eastAsia" w:ascii="仿宋" w:hAnsi="仿宋" w:eastAsia="仿宋" w:cs="仿宋"/>
          <w:sz w:val="32"/>
          <w:szCs w:val="32"/>
        </w:rPr>
        <w:t>工业园区管理委员会办公室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部门年初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财政下达的预算批复为一般公共预算财政拨款收入为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374.28万元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，其中基本支出为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297.13万元，项目支出为77.15万元，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预算资金全部由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临泽县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财政直接拨款。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后期财政陆续拨入项目资金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868.56  万元。其中：张掖通航产业园实训基地建设项目（专项债券）146.56万元；临泽县凹凸棒石产业集中区供暖工程建设项目（一般债券）300万元；2022年提前下达民航发展基金用于民航机场建设和机场航线补助资金（专项资金）132万元；2021年省级制造业高质量发展专项（凹凸棒特色产业集中区）250万元；财政拨入凹凸棒石开放课题产业发展课题经费40万元。</w:t>
      </w:r>
    </w:p>
    <w:p w14:paraId="2B705DFA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2、资金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支付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情况</w:t>
      </w:r>
    </w:p>
    <w:p w14:paraId="5781FD89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园区办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年实际支出总数为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2016.80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万元，预算执行率为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%，其中基本支出总数为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297.13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万元，预算执行率为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836.56万元，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预算执行率为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剩余资金由于调整资金分配方案批复未到暂未支付。</w:t>
      </w:r>
      <w:bookmarkStart w:id="7" w:name="_Toc438108979"/>
    </w:p>
    <w:p w14:paraId="5248C485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二、评价工作开展</w:t>
      </w:r>
    </w:p>
    <w:p w14:paraId="1604FE58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我单位充分认识项目绩效自评工作的重要性，确定专人具体负责此项工作，确保绩效自评工作顺利开展，成立专门项目管理小组，深入项目实施地实地调查，收集相关数据，落实项目实施，督促项目运行及资金使用情况。并对所有项目数据进行汇总，分析、行成报告。</w:t>
      </w:r>
    </w:p>
    <w:p w14:paraId="17277D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我单位根据财政局下达的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临泽县财政局关于开展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2022年绩效评价工作的通知》（临财预发（2022）240号）文件要求，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按照附件6规定的部门整体支出绩效自评表的各项评价指标进行了自评，在预算执行中严格执行单位内部管理制度及上级有关规定。通过对整体支出各项指标自评，认为我单位在支出中严格履行支付规定，无违规、超标准支付现象发生，绩效评价为良好，得分88分。</w:t>
      </w:r>
    </w:p>
    <w:p w14:paraId="53A8C63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三、部门整体支出绩效评价分析</w:t>
      </w:r>
    </w:p>
    <w:p w14:paraId="4A7CFCCB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00" w:firstLineChars="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（一）投入情况分析 </w:t>
      </w:r>
    </w:p>
    <w:p w14:paraId="014174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预算编制情况分析：预算基础数据信息真实、完整、准确，为单位预算编制数据提供支撑，年度预算总体绩效目标和具体绩效目标制定依据充分，符合客观实际。项目预算和决算不存在较大差异，绩效指标均与本年度的部门预算资金相匹配。</w:t>
      </w:r>
    </w:p>
    <w:p w14:paraId="7BB922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预算配置情况分析：本年度三公经费严格按照年初预算执行，较上年度未超支，差旅费和公务接待费严格控制标准，坚决杜绝超支。对政府安排的重点项目，优先资源配置，保证项目按时完成。在职人员严格按照编办、人社部门下达的批复文件运行，未有超编制运行现象发生。</w:t>
      </w:r>
    </w:p>
    <w:p w14:paraId="7E6ECE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（二）过程情况分析</w:t>
      </w:r>
    </w:p>
    <w:p w14:paraId="529EDC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预算执行情况分析：每次资金支付均通过财政支付大平台进行资金支付计划申报、审核申报，经财政业务主管部门审核后再进行支付申报，严格履行支付流程和规定，严格按年初各项资金预算的项目、功能、类别及用途支付，没有超预算规定支付资金。</w:t>
      </w:r>
    </w:p>
    <w:p w14:paraId="48B3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2．预算管理情况分析: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管理制度健全、制度执行有效、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资金的使用严格把关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不存在违规违法的问题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，预决算信息全部按照财政要求在相应网站公开，财务信息制度完善。</w:t>
      </w:r>
    </w:p>
    <w:p w14:paraId="4EB1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3．资产管理情况分析:资产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管理制度健全，安排专人对各类资产造册登记，并按照“谁使用，谁管理，谁负责”的原则执行财产管理，将使用的财产分门别类归口到部门办公室及相应的个人名下，以保证财产的安全完整。</w:t>
      </w:r>
    </w:p>
    <w:p w14:paraId="255591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（三）效益情况分析</w:t>
      </w:r>
    </w:p>
    <w:p w14:paraId="3061E2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1、项目产出：项目完成率100%，质量达标率100%，成本节约率100%，</w:t>
      </w:r>
    </w:p>
    <w:p w14:paraId="36C3EA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2、项目效益：项目实施对经济效益、社会效益良好，可持续影响对当地经济发挥更好效益，为区域经济创造更好条件。</w:t>
      </w:r>
    </w:p>
    <w:p w14:paraId="4B0BA946"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四、履职完成情况</w:t>
      </w:r>
    </w:p>
    <w:p w14:paraId="39708A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321" w:firstLineChars="1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（1）部门绩效总目标</w:t>
      </w:r>
    </w:p>
    <w:p w14:paraId="424D1B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甘肃临泽工业园区2021-2035年发展规划，园区总目标为：紧紧围绕县委、县政府的决策部署，全力推进凹凸棒石产业功能区建设、加大通航产业延链补链力度，做大做强绿色食品孵化深加工产业，优化提升园区管理服务功能，积极招商引资，加快落实储备项目，为县域经济的发展做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应有的贡献。</w:t>
      </w:r>
    </w:p>
    <w:p w14:paraId="275A75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2022年工作重点及具体措施</w:t>
      </w:r>
    </w:p>
    <w:p w14:paraId="3B321C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2022年按照县委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、县</w:t>
      </w:r>
      <w:bookmarkStart w:id="8" w:name="_GoBack"/>
      <w:bookmarkEnd w:id="8"/>
      <w:r>
        <w:rPr>
          <w:rFonts w:hint="eastAsia" w:ascii="仿宋" w:hAnsi="仿宋" w:eastAsia="仿宋" w:cs="仿宋"/>
          <w:b w:val="0"/>
          <w:bCs/>
          <w:sz w:val="32"/>
          <w:szCs w:val="32"/>
        </w:rPr>
        <w:t>政府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总体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安排部署，结合园区机构改革任务落实，积极推进凹凸棒石和通航产业功能区建设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“五专”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机制建立，切实加大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招商引资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力度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，常态化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抓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好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项目建设、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安全生产、环境保护和疫情防控，为新兴生态工业大县建设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做出积极贡献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1A8DC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A、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  <w:t>全力推进凹凸棒石产业功能区建设。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</w:rPr>
        <w:t>落实“五专”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方案为抓手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</w:rPr>
        <w:t>，加快推进凹凸棒石功能区建设步伐，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提升企业产能3家，新落地投产企业3家，对接招引企业10家，新发布研究课题5项，凹凸棒石产业产值达到3亿元。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强化服务，全力抓好新落地企业投产。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挖掘潜力，不断提升企业产能。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突出重点，精准对接招引企业。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科技引领，持续开展课题研究。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夯实基础，不断完善园区基础设施。</w:t>
      </w:r>
    </w:p>
    <w:p w14:paraId="1DBF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B、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加大通航产业延链补链力度。</w:t>
      </w:r>
    </w:p>
    <w:p w14:paraId="7F70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围绕通航产业园“一核两区五基地”总体规划，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重点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抓好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项目建设和招商引资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，持续壮大飞行培训、低空旅游等产业，新招引企业1家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以上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，产值达到1亿元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努力向“用起来、热起来、强起来”的目标迈进。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加快施工进度，全力推进在建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积极招商引资，加快落实储备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扩大产业规模，持续提升产业品牌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。做大飞行培训，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做强低空旅游，提升应急能力。</w:t>
      </w:r>
    </w:p>
    <w:p w14:paraId="14DF97E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3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积极争引项目支持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资金。</w:t>
      </w:r>
      <w:r>
        <w:rPr>
          <w:rFonts w:hint="eastAsia" w:ascii="仿宋" w:hAnsi="仿宋" w:eastAsia="仿宋" w:cs="仿宋"/>
          <w:bCs/>
          <w:sz w:val="32"/>
          <w:szCs w:val="32"/>
        </w:rPr>
        <w:t>2022年计划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争</w:t>
      </w:r>
      <w:r>
        <w:rPr>
          <w:rFonts w:hint="eastAsia" w:ascii="仿宋" w:hAnsi="仿宋" w:eastAsia="仿宋" w:cs="仿宋"/>
          <w:bCs/>
          <w:sz w:val="32"/>
          <w:szCs w:val="32"/>
        </w:rPr>
        <w:t>引资金项目5项7.75亿元，</w:t>
      </w:r>
    </w:p>
    <w:p w14:paraId="328451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D、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提升园区管理服务功能。</w:t>
      </w:r>
      <w:r>
        <w:rPr>
          <w:rFonts w:hint="eastAsia" w:ascii="仿宋" w:hAnsi="仿宋" w:eastAsia="仿宋" w:cs="仿宋"/>
          <w:bCs/>
          <w:sz w:val="32"/>
          <w:szCs w:val="32"/>
        </w:rPr>
        <w:t>根据市委机构编制委员会《甘肃临泽工业园区管理委员会职能、配置、内设机构和人员编制规定》和省市关于建立“工业园区管委会+开发运营公司”管理运行模式要求，加快园区管理体制机制改革，加强与相关职能部门协作配合，凝聚推动工业经济发展合力。加强园区经济运行统计调度，深入推进园区生态环境、安全生产和防灾减灾工作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优化提升</w:t>
      </w:r>
      <w:r>
        <w:rPr>
          <w:rFonts w:hint="eastAsia" w:ascii="仿宋" w:hAnsi="仿宋" w:eastAsia="仿宋" w:cs="仿宋"/>
          <w:bCs/>
          <w:sz w:val="32"/>
          <w:szCs w:val="32"/>
        </w:rPr>
        <w:t>园区管理服务水平。</w:t>
      </w:r>
    </w:p>
    <w:p w14:paraId="46FFA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E、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全力支持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平台公司发展。</w:t>
      </w:r>
      <w:r>
        <w:rPr>
          <w:rFonts w:hint="eastAsia" w:ascii="仿宋" w:hAnsi="仿宋" w:eastAsia="仿宋" w:cs="仿宋"/>
          <w:bCs/>
          <w:sz w:val="32"/>
          <w:szCs w:val="32"/>
        </w:rPr>
        <w:t>加快推进“管委会+公司”运营模式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发挥惠临公司在融资、基础设施建设、科技成果转化和招商引资等方面的优势，拓宽发展领域，提升在产业发展上示范引领作用。</w:t>
      </w:r>
    </w:p>
    <w:p w14:paraId="008C5D61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、存在的问题</w:t>
      </w:r>
    </w:p>
    <w:p w14:paraId="33D46F8A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拨入企业的项目资金需进一步加强监督管理，</w:t>
      </w:r>
      <w:r>
        <w:rPr>
          <w:rFonts w:hint="eastAsia" w:ascii="仿宋" w:hAnsi="仿宋" w:eastAsia="仿宋" w:cs="仿宋"/>
          <w:sz w:val="32"/>
          <w:szCs w:val="32"/>
        </w:rPr>
        <w:t>绩效信息管理完善性等方面还有待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提升。</w:t>
      </w:r>
    </w:p>
    <w:p w14:paraId="162BC0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sz w:val="32"/>
          <w:szCs w:val="32"/>
        </w:rPr>
        <w:t>整改措施或建议</w:t>
      </w:r>
    </w:p>
    <w:p w14:paraId="1CDB1A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一是加强部门明细预算的编制。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基本支出的人员、公用支出的预算进一步细化，执行在相关论证充分的基础上进行科学的明细预算。</w:t>
      </w:r>
    </w:p>
    <w:p w14:paraId="4A435E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2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二是研究执行相关预算定额标准。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基本支出预算实行定员定额管理，人员支出预算按照工资福利标准和编制定员逐人核定；公用支出预算按照部门性质、职责、工作量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进行核定。</w:t>
      </w:r>
    </w:p>
    <w:p w14:paraId="4030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三是强化预算执行管理力度。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在科学编制年度部门预算的基础上，在推进落实工作计划的同时，严格执行相关支出预算，及时保障本年度支出预算的执行率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同时用好以前年度结转资金。</w:t>
      </w:r>
    </w:p>
    <w:p w14:paraId="148FE4D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417" w:bottom="1134" w:left="1701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进一步健全完善内部控制制度，创新管理手段，用新思路、新方法，改进管理制度。</w:t>
      </w:r>
    </w:p>
    <w:p w14:paraId="70F7EB3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</w:p>
    <w:p w14:paraId="2D24BC3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C37FC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4CD92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974E6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A3C8E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74B9A7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bookmarkEnd w:id="7"/>
    <w:p w14:paraId="6A338F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46DE">
    <w:pPr>
      <w:pStyle w:val="7"/>
      <w:jc w:val="both"/>
    </w:pPr>
  </w:p>
  <w:p w14:paraId="683B6520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62B3F">
    <w:pPr>
      <w:pStyle w:val="7"/>
      <w:jc w:val="both"/>
    </w:pPr>
  </w:p>
  <w:p w14:paraId="703265A3">
    <w:pPr>
      <w:pStyle w:val="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9DDD1">
    <w:pPr>
      <w:pStyle w:val="8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28D20">
    <w:pPr>
      <w:pStyle w:val="8"/>
      <w:pBdr>
        <w:bottom w:val="none" w:color="auto" w:sz="0" w:space="1"/>
      </w:pBdr>
      <w:ind w:left="0" w:leftChars="0"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3A83"/>
    <w:rsid w:val="11D477D4"/>
    <w:rsid w:val="175B627D"/>
    <w:rsid w:val="1B1500D5"/>
    <w:rsid w:val="1B5550EF"/>
    <w:rsid w:val="20155CB1"/>
    <w:rsid w:val="25954F58"/>
    <w:rsid w:val="304C3A83"/>
    <w:rsid w:val="46A57571"/>
    <w:rsid w:val="46AB7BF1"/>
    <w:rsid w:val="5BD8572A"/>
    <w:rsid w:val="676513AB"/>
    <w:rsid w:val="772F5E7C"/>
    <w:rsid w:val="79A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3">
    <w:name w:val="Body Text"/>
    <w:basedOn w:val="1"/>
    <w:qFormat/>
    <w:uiPriority w:val="99"/>
    <w:pPr>
      <w:spacing w:after="120"/>
    </w:pPr>
    <w:rPr>
      <w:rFonts w:eastAsia="仿宋_GB2312"/>
      <w:sz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闻政标题3"/>
    <w:basedOn w:val="5"/>
    <w:qFormat/>
    <w:uiPriority w:val="0"/>
    <w:pPr>
      <w:spacing w:before="120" w:after="60" w:line="500" w:lineRule="exact"/>
      <w:ind w:firstLine="0" w:firstLineChars="0"/>
      <w:jc w:val="left"/>
      <w:outlineLvl w:val="0"/>
    </w:pPr>
    <w:rPr>
      <w:rFonts w:ascii="黑体" w:hAnsi="黑体" w:eastAsia="黑体"/>
      <w:b w:val="0"/>
      <w:kern w:val="0"/>
      <w:lang w:val="zh-CN"/>
    </w:rPr>
  </w:style>
  <w:style w:type="paragraph" w:customStyle="1" w:styleId="14">
    <w:name w:val="闻政正文"/>
    <w:basedOn w:val="1"/>
    <w:qFormat/>
    <w:uiPriority w:val="0"/>
    <w:pPr>
      <w:ind w:firstLine="560"/>
    </w:pPr>
    <w:rPr>
      <w:kern w:val="0"/>
      <w:szCs w:val="28"/>
      <w:lang w:val="zh-CN"/>
    </w:rPr>
  </w:style>
  <w:style w:type="paragraph" w:customStyle="1" w:styleId="15">
    <w:name w:val="闻政标题4"/>
    <w:basedOn w:val="4"/>
    <w:qFormat/>
    <w:uiPriority w:val="0"/>
    <w:pPr>
      <w:spacing w:before="120" w:after="60" w:line="500" w:lineRule="exact"/>
      <w:jc w:val="left"/>
    </w:pPr>
    <w:rPr>
      <w:rFonts w:ascii="Times New Roman" w:hAnsi="Times New Roman" w:eastAsia="仿宋_GB2312" w:cs="Times New Roman"/>
      <w:kern w:val="0"/>
      <w:sz w:val="28"/>
      <w:lang w:val="zh-CN"/>
    </w:rPr>
  </w:style>
  <w:style w:type="paragraph" w:customStyle="1" w:styleId="16">
    <w:name w:val="闻政标题5"/>
    <w:basedOn w:val="1"/>
    <w:qFormat/>
    <w:uiPriority w:val="0"/>
    <w:pPr>
      <w:spacing w:before="120" w:after="60"/>
    </w:pPr>
    <w:rPr>
      <w:b/>
      <w:kern w:val="0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3555</Words>
  <Characters>3686</Characters>
  <Lines>0</Lines>
  <Paragraphs>0</Paragraphs>
  <TotalTime>51</TotalTime>
  <ScaleCrop>false</ScaleCrop>
  <LinksUpToDate>false</LinksUpToDate>
  <CharactersWithSpaces>3690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2022-02-14T09:50:00Z</dcterms:created>
  <dc:creator>Administrator</dc:creator>
  <cp:lastModifiedBy>林海雪原</cp:lastModifiedBy>
  <cp:lastPrinted>2022-12-27T01:44:00Z</cp:lastPrinted>
  <dcterms:modified xsi:type="dcterms:W3CDTF">2025-04-21T08:52:43Z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187BF8F41C4542D09952DB4EDFCC7954</vt:lpwstr>
  </property>
  <property fmtid="{D5CDD505-2E9C-101B-9397-08002B2CF9AE}" pid="4" name="KSOTemplateDocerSaveRecord">
    <vt:lpwstr>eyJoZGlkIjoiMTgyMTE0ZjYxMzkzZjIzM2IxNGE1ZWM4M2VmZTEzYjQiLCJ1c2VySWQiOiI0MDk4NzEyODUifQ==</vt:lpwstr>
  </property>
</Properties>
</file>