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临泽县发展和改革局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关于储备粮油轮换价差补贴</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32"/>
          <w:szCs w:val="32"/>
          <w:lang w:eastAsia="zh-CN"/>
        </w:rPr>
      </w:pPr>
      <w:r>
        <w:rPr>
          <w:rFonts w:hint="eastAsia" w:ascii="方正小标宋简体" w:hAnsi="方正小标宋简体" w:eastAsia="方正小标宋简体" w:cs="方正小标宋简体"/>
          <w:sz w:val="44"/>
          <w:szCs w:val="44"/>
          <w:lang w:val="en-US" w:eastAsia="zh-CN"/>
        </w:rPr>
        <w:t>支出</w:t>
      </w:r>
      <w:r>
        <w:rPr>
          <w:rFonts w:hint="eastAsia" w:ascii="方正小标宋简体" w:hAnsi="方正小标宋简体" w:eastAsia="方正小标宋简体" w:cs="方正小标宋简体"/>
          <w:sz w:val="44"/>
          <w:szCs w:val="44"/>
          <w:lang w:eastAsia="zh-CN"/>
        </w:rPr>
        <w:t>绩效评价的报告</w:t>
      </w:r>
    </w:p>
    <w:p>
      <w:pPr>
        <w:jc w:val="both"/>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县财政局：</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根据甘肃省财政厅《关于贯彻落实〈中共甘肃省委甘肃省人民政府关于全面实施预算绩效管理的实施意见〉的通知》精神和你局的有关通知要求，我局高度重视，认真开展了项目绩效评价工作，</w:t>
      </w:r>
      <w:r>
        <w:rPr>
          <w:rFonts w:hint="eastAsia" w:ascii="仿宋_GB2312" w:hAnsi="仿宋_GB2312" w:eastAsia="仿宋_GB2312" w:cs="仿宋_GB2312"/>
          <w:color w:val="000000"/>
          <w:kern w:val="0"/>
          <w:sz w:val="32"/>
          <w:szCs w:val="32"/>
        </w:rPr>
        <w:t>现将</w:t>
      </w:r>
      <w:r>
        <w:rPr>
          <w:rFonts w:hint="eastAsia" w:ascii="仿宋_GB2312" w:hAnsi="仿宋_GB2312" w:eastAsia="仿宋_GB2312" w:cs="仿宋_GB2312"/>
          <w:color w:val="000000"/>
          <w:kern w:val="0"/>
          <w:sz w:val="32"/>
          <w:szCs w:val="32"/>
          <w:lang w:eastAsia="zh-CN"/>
        </w:rPr>
        <w:t>我局“</w:t>
      </w:r>
      <w:r>
        <w:rPr>
          <w:rFonts w:hint="eastAsia" w:ascii="仿宋_GB2312" w:hAnsi="仿宋_GB2312" w:eastAsia="仿宋_GB2312" w:cs="仿宋_GB2312"/>
          <w:sz w:val="32"/>
          <w:szCs w:val="32"/>
          <w:lang w:val="en-US" w:eastAsia="zh-CN"/>
        </w:rPr>
        <w:t>县级储备粮油轮换价差补贴</w:t>
      </w:r>
      <w:r>
        <w:rPr>
          <w:rFonts w:hint="eastAsia" w:ascii="仿宋_GB2312" w:hAnsi="仿宋_GB2312" w:eastAsia="仿宋_GB2312" w:cs="仿宋_GB2312"/>
          <w:color w:val="000000"/>
          <w:kern w:val="0"/>
          <w:sz w:val="32"/>
          <w:szCs w:val="32"/>
          <w:lang w:eastAsia="zh-CN"/>
        </w:rPr>
        <w:t>”支出</w:t>
      </w:r>
      <w:r>
        <w:rPr>
          <w:rFonts w:hint="eastAsia" w:ascii="仿宋_GB2312" w:hAnsi="仿宋_GB2312" w:eastAsia="仿宋_GB2312" w:cs="仿宋_GB2312"/>
          <w:color w:val="000000"/>
          <w:kern w:val="0"/>
          <w:sz w:val="32"/>
          <w:szCs w:val="32"/>
        </w:rPr>
        <w:t>绩效评价有关情况报告如下：</w:t>
      </w:r>
    </w:p>
    <w:p>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一、项目概况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临泽县现存县级储备粮油7803吨，其中：小麦6300吨，玉米1000吨，面粉400吨，大米23吨，食用植物油80吨。根据2009年12月29日国家发展和改革委员会令第5号颁布的《粮油仓储管理办法》第二十条规定：“在常规储存条件下，粮油正常储存年限一般为小麦5年，稻谷和玉米3年，食用油脂和豆类2年”。国家粮食局、财政部、中国农业发展银行关于印发《中央储备粮油轮换管理办法（试行）》的通知（国粮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2001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lang w:val="en-US" w:eastAsia="zh-CN"/>
        </w:rPr>
        <w:t>209号）精神，以及《临泽县县级储备粮轮换管理办法》（临政办发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2021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25号），</w:t>
      </w:r>
      <w:r>
        <w:rPr>
          <w:rFonts w:hint="eastAsia" w:ascii="仿宋_GB2312" w:hAnsi="仿宋_GB2312" w:eastAsia="仿宋_GB2312" w:cs="仿宋_GB2312"/>
          <w:sz w:val="32"/>
          <w:szCs w:val="32"/>
          <w:lang w:val="en-US" w:eastAsia="zh-CN"/>
        </w:rPr>
        <w:t>储备粮油达到正常储存年限后需要进行轮换。</w:t>
      </w:r>
    </w:p>
    <w:p>
      <w:pPr>
        <w:numPr>
          <w:ilvl w:val="0"/>
          <w:numId w:val="0"/>
        </w:numPr>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二、项目实施和投资完成情况</w:t>
      </w:r>
    </w:p>
    <w:p>
      <w:pPr>
        <w:keepNext w:val="0"/>
        <w:keepLines w:val="0"/>
        <w:pageBreakBefore w:val="0"/>
        <w:widowControl w:val="0"/>
        <w:numPr>
          <w:ilvl w:val="0"/>
          <w:numId w:val="0"/>
        </w:numPr>
        <w:kinsoku/>
        <w:wordWrap/>
        <w:overflowPunct/>
        <w:topLinePunct w:val="0"/>
        <w:autoSpaceDE/>
        <w:autoSpaceDN/>
        <w:bidi w:val="0"/>
        <w:adjustRightInd/>
        <w:snapToGrid/>
        <w:ind w:left="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项目实施情况。县级储备粮油由我局下属的国有企业临泽县裕丰粮油购销有限公司承储。2021年度承储企业已完成500吨储备小麦和150吨储备面粉（面粉轮换两次）轮换任务；2020年底采取先销后购方式轮换的80吨食用植物油，于2021年3月完成轮换入库。</w:t>
      </w:r>
    </w:p>
    <w:p>
      <w:pPr>
        <w:keepNext w:val="0"/>
        <w:keepLines w:val="0"/>
        <w:pageBreakBefore w:val="0"/>
        <w:widowControl w:val="0"/>
        <w:numPr>
          <w:ilvl w:val="0"/>
          <w:numId w:val="0"/>
        </w:numPr>
        <w:kinsoku/>
        <w:wordWrap/>
        <w:overflowPunct/>
        <w:topLinePunct w:val="0"/>
        <w:autoSpaceDE/>
        <w:autoSpaceDN/>
        <w:bidi w:val="0"/>
        <w:adjustRightInd/>
        <w:snapToGrid/>
        <w:ind w:left="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根据</w:t>
      </w:r>
      <w:r>
        <w:rPr>
          <w:rFonts w:hint="eastAsia" w:ascii="仿宋_GB2312" w:hAnsi="宋体" w:eastAsia="仿宋_GB2312" w:cs="宋体"/>
          <w:kern w:val="0"/>
          <w:sz w:val="32"/>
          <w:szCs w:val="32"/>
          <w:lang w:eastAsia="zh-CN"/>
        </w:rPr>
        <w:t>《张掖市市级储备粮油财政补贴专项资金管理办法》（张市粮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2019</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90号</w:t>
      </w:r>
      <w:r>
        <w:rPr>
          <w:rFonts w:hint="eastAsia" w:ascii="仿宋_GB2312" w:hAnsi="宋体" w:eastAsia="仿宋_GB2312" w:cs="宋体"/>
          <w:kern w:val="0"/>
          <w:sz w:val="32"/>
          <w:szCs w:val="32"/>
          <w:lang w:eastAsia="zh-CN"/>
        </w:rPr>
        <w:t>）第九条规定，</w:t>
      </w:r>
      <w:r>
        <w:rPr>
          <w:rFonts w:hint="eastAsia" w:ascii="仿宋_GB2312" w:hAnsi="仿宋_GB2312" w:eastAsia="仿宋_GB2312" w:cs="仿宋_GB2312"/>
          <w:sz w:val="32"/>
          <w:szCs w:val="32"/>
          <w:lang w:val="en-US" w:eastAsia="zh-CN"/>
        </w:rPr>
        <w:t>县级储备粮油轮换价差补贴（包括轮出入粮油市场价差、轮入出运杂费、装卸费、按2%计算的正常保管损耗、粮油品质检测费）实行定额包干，轮换价差费用补贴后，轮换盈亏由承储企业承担。我局严格执行财政预算管理制度，按照储备粮油储存数量和规定的补贴标准编制项目预算，预算指标下达后做到专款专用，及时将补贴资金拨付给县级储备粮油承储企业，用于储备粮油轮换相关费用开支价差弥补。</w:t>
      </w:r>
    </w:p>
    <w:p>
      <w:pPr>
        <w:keepNext w:val="0"/>
        <w:keepLines w:val="0"/>
        <w:pageBreakBefore w:val="0"/>
        <w:widowControl w:val="0"/>
        <w:numPr>
          <w:ilvl w:val="0"/>
          <w:numId w:val="0"/>
        </w:numPr>
        <w:kinsoku/>
        <w:wordWrap/>
        <w:overflowPunct/>
        <w:topLinePunct w:val="0"/>
        <w:autoSpaceDE/>
        <w:autoSpaceDN/>
        <w:bidi w:val="0"/>
        <w:adjustRightInd/>
        <w:snapToGrid/>
        <w:ind w:left="0"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（二）投资完成情况，2021年财政预算安排县级储备粮轮换价差补贴资金47.37万元，实际到位资金47.37万元，资金到位率100%；实际拨付企业资金47.37万元，支出实现率100%。资金支出合规合法，无截留挪用。</w:t>
      </w:r>
    </w:p>
    <w:p>
      <w:pPr>
        <w:numPr>
          <w:ilvl w:val="0"/>
          <w:numId w:val="0"/>
        </w:numPr>
        <w:ind w:left="640" w:leftChars="0"/>
        <w:jc w:val="both"/>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三、取得的成效</w:t>
      </w:r>
      <w:r>
        <w:rPr>
          <w:rFonts w:hint="eastAsia" w:ascii="仿宋_GB2312" w:hAnsi="仿宋_GB2312" w:eastAsia="仿宋_GB2312" w:cs="仿宋_GB2312"/>
          <w:sz w:val="32"/>
          <w:szCs w:val="32"/>
          <w:lang w:val="en-US" w:eastAsia="zh-CN"/>
        </w:rPr>
        <w:t xml:space="preserve">     </w:t>
      </w:r>
    </w:p>
    <w:p>
      <w:pPr>
        <w:ind w:firstLine="642"/>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为储备粮油及时轮换提供了经费保障，保证了储备粮油轮换所需的各种费用资金，确保了储备粮油安全储存；二是及时弥补了承储企业轮换储备粮油形成的市场购销价差损失，确保了企业的经济经济效益不受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四、绩效自评情况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根据《2021年临泽县本级财政项目支出绩效评价表》的评价指标和各指标目标分值，经我们认真对照分析评价，</w:t>
      </w:r>
      <w:r>
        <w:rPr>
          <w:rFonts w:hint="eastAsia" w:ascii="仿宋_GB2312" w:hAnsi="仿宋_GB2312" w:eastAsia="仿宋_GB2312" w:cs="仿宋_GB2312"/>
          <w:sz w:val="32"/>
          <w:szCs w:val="32"/>
          <w:lang w:val="en-US" w:eastAsia="zh-CN"/>
        </w:rPr>
        <w:t>县级储备粮油轮换价差补贴</w:t>
      </w:r>
      <w:r>
        <w:rPr>
          <w:rFonts w:hint="eastAsia" w:ascii="仿宋_GB2312" w:hAnsi="仿宋_GB2312" w:eastAsia="仿宋_GB2312" w:cs="仿宋_GB2312"/>
          <w:kern w:val="2"/>
          <w:sz w:val="32"/>
          <w:szCs w:val="32"/>
          <w:lang w:val="en-US" w:eastAsia="zh-CN" w:bidi="ar-SA"/>
        </w:rPr>
        <w:t>项目总评得分97.5分，总体评价为优良。其中：投入和管理目标得分31.5分，产出目标得分28分，效果目标得分29.5分，影响力目标得分8.5分。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附：2021年临泽县本级财政项目支出绩效评价表</w:t>
      </w:r>
      <w:bookmarkStart w:id="0" w:name="_GoBack"/>
      <w:bookmarkEnd w:id="0"/>
    </w:p>
    <w:p>
      <w:pPr>
        <w:ind w:firstLine="642"/>
        <w:jc w:val="lef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临泽县发展和改革局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2021年2月28日</w:t>
      </w:r>
    </w:p>
    <w:p>
      <w:pPr>
        <w:ind w:firstLine="642"/>
        <w:jc w:val="left"/>
        <w:rPr>
          <w:rFonts w:hint="eastAsia" w:ascii="仿宋_GB2312" w:hAnsi="仿宋_GB2312" w:eastAsia="仿宋_GB2312" w:cs="仿宋_GB2312"/>
          <w:sz w:val="32"/>
          <w:szCs w:val="32"/>
          <w:lang w:val="en-US" w:eastAsia="zh-CN"/>
        </w:rPr>
      </w:pPr>
    </w:p>
    <w:p>
      <w:pPr>
        <w:ind w:firstLine="642"/>
        <w:jc w:val="left"/>
        <w:rPr>
          <w:rFonts w:hint="eastAsia" w:ascii="仿宋_GB2312" w:hAnsi="仿宋_GB2312" w:eastAsia="仿宋_GB2312" w:cs="仿宋_GB2312"/>
          <w:sz w:val="32"/>
          <w:szCs w:val="32"/>
          <w:lang w:val="en-US" w:eastAsia="zh-CN"/>
        </w:rPr>
      </w:pPr>
    </w:p>
    <w:p>
      <w:pPr>
        <w:ind w:firstLine="642"/>
        <w:jc w:val="left"/>
        <w:rPr>
          <w:rFonts w:hint="eastAsia" w:ascii="仿宋_GB2312" w:hAnsi="仿宋_GB2312" w:eastAsia="仿宋_GB2312" w:cs="仿宋_GB2312"/>
          <w:sz w:val="32"/>
          <w:szCs w:val="32"/>
          <w:lang w:val="en-US" w:eastAsia="zh-CN"/>
        </w:rPr>
      </w:pPr>
    </w:p>
    <w:p>
      <w:pPr>
        <w:ind w:firstLine="642"/>
        <w:jc w:val="left"/>
        <w:rPr>
          <w:rFonts w:hint="eastAsia" w:ascii="仿宋_GB2312" w:hAnsi="仿宋_GB2312" w:eastAsia="仿宋_GB2312" w:cs="仿宋_GB2312"/>
          <w:sz w:val="32"/>
          <w:szCs w:val="32"/>
          <w:lang w:val="en-US" w:eastAsia="zh-CN"/>
        </w:rPr>
      </w:pPr>
    </w:p>
    <w:p>
      <w:pPr>
        <w:ind w:firstLine="642"/>
        <w:jc w:val="left"/>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A332F"/>
    <w:rsid w:val="012007C0"/>
    <w:rsid w:val="03934C4A"/>
    <w:rsid w:val="04A419FC"/>
    <w:rsid w:val="0B3173B8"/>
    <w:rsid w:val="0BF95995"/>
    <w:rsid w:val="0C0F0C3C"/>
    <w:rsid w:val="0FB17624"/>
    <w:rsid w:val="0FD4509E"/>
    <w:rsid w:val="10AF5B11"/>
    <w:rsid w:val="12895149"/>
    <w:rsid w:val="143A73D8"/>
    <w:rsid w:val="14BE1DF6"/>
    <w:rsid w:val="1A984795"/>
    <w:rsid w:val="1E6E0A05"/>
    <w:rsid w:val="23C95DD2"/>
    <w:rsid w:val="246E7ECB"/>
    <w:rsid w:val="270A300C"/>
    <w:rsid w:val="27211029"/>
    <w:rsid w:val="272F7AF2"/>
    <w:rsid w:val="295130CE"/>
    <w:rsid w:val="2A9D42F4"/>
    <w:rsid w:val="2D4134D9"/>
    <w:rsid w:val="31F169BC"/>
    <w:rsid w:val="36955FA7"/>
    <w:rsid w:val="386A28DE"/>
    <w:rsid w:val="3A691A42"/>
    <w:rsid w:val="3AA277CF"/>
    <w:rsid w:val="3BAA1894"/>
    <w:rsid w:val="3C30690D"/>
    <w:rsid w:val="3D1F1BF6"/>
    <w:rsid w:val="449F16F5"/>
    <w:rsid w:val="511110BA"/>
    <w:rsid w:val="54700070"/>
    <w:rsid w:val="54DB2092"/>
    <w:rsid w:val="5574563D"/>
    <w:rsid w:val="55BE099A"/>
    <w:rsid w:val="57FB463A"/>
    <w:rsid w:val="5C934E17"/>
    <w:rsid w:val="5D2B410E"/>
    <w:rsid w:val="5F6C5408"/>
    <w:rsid w:val="5FB6587A"/>
    <w:rsid w:val="61293E81"/>
    <w:rsid w:val="646C12A6"/>
    <w:rsid w:val="668C5772"/>
    <w:rsid w:val="6AAD0FA5"/>
    <w:rsid w:val="6B6A332F"/>
    <w:rsid w:val="6B8461A5"/>
    <w:rsid w:val="6F68192E"/>
    <w:rsid w:val="6F8A5ACA"/>
    <w:rsid w:val="75C13F9D"/>
    <w:rsid w:val="792D501B"/>
    <w:rsid w:val="79C758D6"/>
    <w:rsid w:val="7A7C0A94"/>
    <w:rsid w:val="7D247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 w:type="character" w:styleId="7">
    <w:name w:val="FollowedHyperlink"/>
    <w:basedOn w:val="5"/>
    <w:qFormat/>
    <w:uiPriority w:val="0"/>
    <w:rPr>
      <w:color w:val="333333"/>
      <w:u w:val="none"/>
    </w:rPr>
  </w:style>
  <w:style w:type="character" w:styleId="8">
    <w:name w:val="Emphasis"/>
    <w:basedOn w:val="5"/>
    <w:qFormat/>
    <w:uiPriority w:val="0"/>
  </w:style>
  <w:style w:type="character" w:styleId="9">
    <w:name w:val="Hyperlink"/>
    <w:basedOn w:val="5"/>
    <w:qFormat/>
    <w:uiPriority w:val="0"/>
    <w:rPr>
      <w:color w:val="333333"/>
      <w:u w:val="none"/>
    </w:rPr>
  </w:style>
  <w:style w:type="character" w:customStyle="1" w:styleId="10">
    <w:name w:val="font01"/>
    <w:basedOn w:val="5"/>
    <w:qFormat/>
    <w:uiPriority w:val="0"/>
    <w:rPr>
      <w:rFonts w:hint="eastAsia" w:ascii="宋体" w:hAnsi="宋体" w:eastAsia="宋体" w:cs="宋体"/>
      <w:color w:val="000000"/>
      <w:sz w:val="20"/>
      <w:szCs w:val="20"/>
      <w:u w:val="none"/>
    </w:rPr>
  </w:style>
  <w:style w:type="character" w:customStyle="1" w:styleId="11">
    <w:name w:val="now"/>
    <w:basedOn w:val="5"/>
    <w:qFormat/>
    <w:uiPriority w:val="0"/>
  </w:style>
  <w:style w:type="character" w:customStyle="1" w:styleId="12">
    <w:name w:val="hover10"/>
    <w:basedOn w:val="5"/>
    <w:qFormat/>
    <w:uiPriority w:val="0"/>
    <w:rPr>
      <w:color w:val="FF0000"/>
    </w:rPr>
  </w:style>
  <w:style w:type="character" w:customStyle="1" w:styleId="13">
    <w:name w:val="note"/>
    <w:basedOn w:val="5"/>
    <w:qFormat/>
    <w:uiPriority w:val="0"/>
    <w:rPr>
      <w:color w:val="FF0000"/>
      <w:sz w:val="14"/>
      <w:szCs w:val="14"/>
    </w:rPr>
  </w:style>
  <w:style w:type="character" w:customStyle="1" w:styleId="14">
    <w:name w:val="paren"/>
    <w:basedOn w:val="5"/>
    <w:qFormat/>
    <w:uiPriority w:val="0"/>
    <w:rPr>
      <w:shd w:val="clear" w:fill="E6F3E1"/>
    </w:rPr>
  </w:style>
  <w:style w:type="character" w:customStyle="1" w:styleId="15">
    <w:name w:val="sn"/>
    <w:basedOn w:val="5"/>
    <w:qFormat/>
    <w:uiPriority w:val="0"/>
  </w:style>
  <w:style w:type="character" w:customStyle="1" w:styleId="16">
    <w:name w:val="fill-in"/>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2020-10-30T03:58:00Z</dcterms:created>
  <dc:creator>驿站</dc:creator>
  <cp:lastModifiedBy>驿站</cp:lastModifiedBy>
  <dcterms:modified xsi:type="dcterms:W3CDTF">2022-03-04T03:51:09Z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4EF308DB2D1945EEAAA4123887441667</vt:lpwstr>
  </property>
</Properties>
</file>