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年政府性基金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收支决算平衡情况的说明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政府性基金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预算收支决算情况。县本级政府性基金预算收入完成7639万元（占县十八届人大五次会议批准的10000万元的7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6.4％），加上年结余82万元，上级补助收入1121万元，新增专项债券50000万元，再融资债券800万元，政府性基金总收入59642万元。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政府性基金预算支出完成54474万元，加债务还本支出1089万元，结转下年支出4079万元，当年政府性基金预算总支出59642万元。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平衡情况：当年决算收入59642万元，决算支出59642万元，收支相抵年末无结余，实现收支平衡。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4CB7FEB"/>
    <w:rsid w:val="29186FFA"/>
    <w:rsid w:val="6C4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9FA2B0D75CA84AC9980732B9C2401A36_13</vt:lpwstr>
  </property>
</Properties>
</file>