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仿宋_GB2312" w:hAnsi="仿宋_GB2312" w:eastAsia="仿宋_GB2312" w:cs="仿宋_GB2312"/>
          <w:spacing w:val="-20"/>
          <w:sz w:val="30"/>
          <w:szCs w:val="30"/>
        </w:rPr>
      </w:pPr>
    </w:p>
    <w:p>
      <w:pPr>
        <w:tabs>
          <w:tab w:val="left" w:pos="9000"/>
          <w:tab w:val="left" w:pos="9180"/>
        </w:tabs>
        <w:adjustRightInd w:val="0"/>
        <w:snapToGrid w:val="0"/>
        <w:spacing w:line="1000" w:lineRule="exact"/>
        <w:rPr>
          <w:rFonts w:ascii="仿宋_GB2312" w:eastAsia="仿宋_GB2312"/>
          <w:sz w:val="32"/>
          <w:szCs w:val="32"/>
        </w:rPr>
      </w:pPr>
      <w:r>
        <w:rPr>
          <w:rFonts w:hint="eastAsia"/>
        </w:rPr>
        <w:t xml:space="preserve">                            </w:t>
      </w:r>
      <w:r>
        <w:rPr>
          <w:rFonts w:hint="eastAsia" w:ascii="仿宋_GB2312" w:eastAsia="仿宋_GB2312"/>
          <w:sz w:val="32"/>
          <w:szCs w:val="32"/>
        </w:rPr>
        <w:t xml:space="preserve">             </w:t>
      </w:r>
    </w:p>
    <w:p>
      <w:pPr>
        <w:tabs>
          <w:tab w:val="left" w:pos="9000"/>
          <w:tab w:val="left" w:pos="9180"/>
        </w:tabs>
        <w:adjustRightInd w:val="0"/>
        <w:snapToGrid w:val="0"/>
        <w:spacing w:line="580" w:lineRule="exact"/>
        <w:ind w:right="-199" w:rightChars="-95" w:firstLine="5440" w:firstLineChars="1700"/>
        <w:rPr>
          <w:rFonts w:ascii="仿宋_GB2312" w:eastAsia="仿宋_GB2312"/>
          <w:sz w:val="32"/>
          <w:szCs w:val="32"/>
        </w:rPr>
      </w:pPr>
      <w:r>
        <w:rPr>
          <w:rFonts w:hint="eastAsia" w:ascii="仿宋_GB2312" w:eastAsia="仿宋_GB2312"/>
          <w:sz w:val="32"/>
          <w:szCs w:val="32"/>
        </w:rPr>
        <w:t xml:space="preserve"> </w:t>
      </w:r>
      <w:r>
        <w:rPr>
          <w:rFonts w:hint="eastAsia" w:ascii="仿宋_GB2312" w:hAnsi="宋体" w:eastAsia="仿宋_GB2312" w:cs="微软雅黑"/>
          <w:sz w:val="32"/>
          <w:szCs w:val="32"/>
        </w:rPr>
        <w:t>临政办函〔2022〕65号</w:t>
      </w:r>
    </w:p>
    <w:p>
      <w:pPr>
        <w:tabs>
          <w:tab w:val="left" w:pos="8647"/>
        </w:tabs>
        <w:spacing w:line="760" w:lineRule="exact"/>
        <w:jc w:val="center"/>
        <w:rPr>
          <w:rFonts w:ascii="仿宋_GB2312" w:eastAsia="仿宋_GB2312" w:cs="宋体"/>
          <w:color w:val="000000"/>
          <w:kern w:val="0"/>
          <w:sz w:val="32"/>
          <w:szCs w:val="32"/>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临泽县人民政府办公室</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关于印发临泽县“十四五”新型城镇化</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发展规划的通知</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各镇人民政府，县政府各部门，县直及省市驻临各单位：</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《临泽县“十四五”新型城镇化发展规划》已经县政府同意，现印发你们，请结合实际，认真组织实施。</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tabs>
          <w:tab w:val="left" w:pos="7513"/>
        </w:tabs>
        <w:spacing w:line="580" w:lineRule="exact"/>
        <w:ind w:firstLine="4320" w:firstLineChars="135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临泽县人民政府办公室</w:t>
      </w:r>
    </w:p>
    <w:p>
      <w:pPr>
        <w:spacing w:line="580" w:lineRule="exact"/>
        <w:ind w:firstLine="4675" w:firstLineChars="1461"/>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2022年9月20日</w:t>
      </w:r>
    </w:p>
    <w:p>
      <w:pPr>
        <w:pStyle w:val="2"/>
        <w:ind w:left="2100"/>
      </w:pPr>
    </w:p>
    <w:p/>
    <w:p>
      <w:pPr>
        <w:pStyle w:val="2"/>
        <w:ind w:left="2100"/>
      </w:pPr>
    </w:p>
    <w:p/>
    <w:p>
      <w:pPr>
        <w:pStyle w:val="2"/>
        <w:ind w:left="2100"/>
      </w:pPr>
    </w:p>
    <w:p/>
    <w:p>
      <w:pPr>
        <w:pStyle w:val="2"/>
        <w:ind w:left="2100"/>
      </w:pPr>
    </w:p>
    <w:p/>
    <w:p>
      <w:pPr>
        <w:pStyle w:val="2"/>
        <w:ind w:left="2100"/>
      </w:pPr>
    </w:p>
    <w:p/>
    <w:p>
      <w:pPr>
        <w:pStyle w:val="2"/>
        <w:ind w:left="2100"/>
      </w:pPr>
    </w:p>
    <w:p>
      <w:pPr>
        <w:rPr>
          <w:rFonts w:hint="eastAsia" w:ascii="仿宋_GB2312" w:eastAsia="仿宋_GB2312"/>
          <w:sz w:val="28"/>
          <w:szCs w:val="28"/>
        </w:rPr>
      </w:pPr>
    </w:p>
    <w:sdt>
      <w:sdtPr>
        <w:rPr>
          <w:rFonts w:ascii="宋体" w:hAnsi="宋体"/>
        </w:rPr>
        <w:id w:val="147479267"/>
        <w:docPartObj>
          <w:docPartGallery w:val="Table of Contents"/>
          <w:docPartUnique/>
        </w:docPartObj>
      </w:sdtPr>
      <w:sdtEndPr>
        <w:rPr>
          <w:rFonts w:hint="eastAsia" w:ascii="方正小标宋简体" w:hAnsi="方正小标宋简体" w:eastAsia="方正小标宋简体" w:cs="方正小标宋简体"/>
          <w:b/>
          <w:szCs w:val="44"/>
        </w:rPr>
      </w:sdtEndPr>
      <w:sdtContent>
        <w:p>
          <w:pPr>
            <w:adjustRightInd w:val="0"/>
            <w:snapToGrid w:val="0"/>
            <w:spacing w:line="470" w:lineRule="exact"/>
            <w:jc w:val="center"/>
            <w:rPr>
              <w:rFonts w:ascii="宋体" w:hAnsi="宋体"/>
            </w:rPr>
          </w:pPr>
        </w:p>
        <w:p>
          <w:pPr>
            <w:adjustRightInd w:val="0"/>
            <w:snapToGrid w:val="0"/>
            <w:spacing w:line="4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pStyle w:val="2"/>
            <w:adjustRightInd w:val="0"/>
            <w:snapToGrid w:val="0"/>
            <w:ind w:left="2100"/>
          </w:pPr>
        </w:p>
        <w:p>
          <w:pPr>
            <w:pStyle w:val="10"/>
            <w:tabs>
              <w:tab w:val="right" w:leader="dot" w:pos="8647"/>
            </w:tabs>
            <w:adjustRightInd w:val="0"/>
            <w:snapToGrid w:val="0"/>
            <w:spacing w:line="450" w:lineRule="exact"/>
            <w:rPr>
              <w:sz w:val="28"/>
              <w:szCs w:val="28"/>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TOC \o "1-2" \h \u </w:instrText>
          </w:r>
          <w:r>
            <w:rPr>
              <w:rFonts w:hint="eastAsia" w:ascii="方正小标宋简体" w:hAnsi="方正小标宋简体" w:eastAsia="方正小标宋简体" w:cs="方正小标宋简体"/>
              <w:sz w:val="44"/>
              <w:szCs w:val="44"/>
            </w:rPr>
            <w:fldChar w:fldCharType="separate"/>
          </w:r>
          <w:r>
            <w:fldChar w:fldCharType="begin"/>
          </w:r>
          <w:r>
            <w:instrText xml:space="preserve"> HYPERLINK \l "_Toc23672" </w:instrText>
          </w:r>
          <w:r>
            <w:fldChar w:fldCharType="separate"/>
          </w:r>
          <w:r>
            <w:rPr>
              <w:rFonts w:hint="eastAsia" w:ascii="黑体" w:hAnsi="黑体" w:eastAsia="黑体" w:cs="黑体"/>
              <w:sz w:val="28"/>
              <w:szCs w:val="28"/>
            </w:rPr>
            <w:t>第一章  发展现状与环境</w:t>
          </w:r>
          <w:r>
            <w:rPr>
              <w:sz w:val="28"/>
              <w:szCs w:val="28"/>
            </w:rPr>
            <w:tab/>
          </w:r>
          <w:r>
            <w:rPr>
              <w:sz w:val="28"/>
              <w:szCs w:val="28"/>
            </w:rPr>
            <w:fldChar w:fldCharType="begin"/>
          </w:r>
          <w:r>
            <w:rPr>
              <w:sz w:val="28"/>
              <w:szCs w:val="28"/>
            </w:rPr>
            <w:instrText xml:space="preserve"> PAGEREF _Toc23672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"_Toc6941" </w:instrText>
          </w:r>
          <w:r>
            <w:fldChar w:fldCharType="separate"/>
          </w:r>
          <w:r>
            <w:rPr>
              <w:rFonts w:hint="eastAsia" w:ascii="楷体_GB2312" w:hAnsi="楷体_GB2312" w:eastAsia="楷体_GB2312" w:cs="楷体_GB2312"/>
              <w:bCs/>
              <w:sz w:val="28"/>
              <w:szCs w:val="28"/>
            </w:rPr>
            <w:t>第一节 “十三五”发展基础</w:t>
          </w:r>
          <w:r>
            <w:rPr>
              <w:sz w:val="28"/>
              <w:szCs w:val="28"/>
            </w:rPr>
            <w:tab/>
          </w:r>
          <w:r>
            <w:rPr>
              <w:sz w:val="28"/>
              <w:szCs w:val="28"/>
            </w:rPr>
            <w:fldChar w:fldCharType="begin"/>
          </w:r>
          <w:r>
            <w:rPr>
              <w:sz w:val="28"/>
              <w:szCs w:val="28"/>
            </w:rPr>
            <w:instrText xml:space="preserve"> PAGEREF _Toc6941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"_Toc12049" </w:instrText>
          </w:r>
          <w:r>
            <w:fldChar w:fldCharType="separate"/>
          </w:r>
          <w:r>
            <w:rPr>
              <w:rFonts w:hint="eastAsia" w:ascii="楷体_GB2312" w:hAnsi="楷体_GB2312" w:eastAsia="楷体_GB2312" w:cs="楷体_GB2312"/>
              <w:bCs/>
              <w:sz w:val="28"/>
              <w:szCs w:val="28"/>
            </w:rPr>
            <w:t>第二节  发展中的主要问题</w:t>
          </w:r>
          <w:r>
            <w:rPr>
              <w:sz w:val="28"/>
              <w:szCs w:val="28"/>
            </w:rPr>
            <w:tab/>
          </w:r>
          <w:r>
            <w:rPr>
              <w:sz w:val="28"/>
              <w:szCs w:val="28"/>
            </w:rPr>
            <w:fldChar w:fldCharType="begin"/>
          </w:r>
          <w:r>
            <w:rPr>
              <w:sz w:val="28"/>
              <w:szCs w:val="28"/>
            </w:rPr>
            <w:instrText xml:space="preserve"> PAGEREF _Toc12049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"_Toc25079" </w:instrText>
          </w:r>
          <w:r>
            <w:fldChar w:fldCharType="separate"/>
          </w:r>
          <w:r>
            <w:rPr>
              <w:rFonts w:hint="eastAsia" w:ascii="楷体_GB2312" w:hAnsi="楷体_GB2312" w:eastAsia="楷体_GB2312" w:cs="楷体_GB2312"/>
              <w:bCs/>
              <w:sz w:val="28"/>
              <w:szCs w:val="28"/>
            </w:rPr>
            <w:t>第三节  发展机遇</w:t>
          </w:r>
          <w:r>
            <w:rPr>
              <w:sz w:val="28"/>
              <w:szCs w:val="28"/>
            </w:rPr>
            <w:tab/>
          </w:r>
          <w:r>
            <w:rPr>
              <w:sz w:val="28"/>
              <w:szCs w:val="28"/>
            </w:rPr>
            <w:fldChar w:fldCharType="begin"/>
          </w:r>
          <w:r>
            <w:rPr>
              <w:sz w:val="28"/>
              <w:szCs w:val="28"/>
            </w:rPr>
            <w:instrText xml:space="preserve"> PAGEREF _Toc25079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sz w:val="28"/>
              <w:szCs w:val="28"/>
            </w:rPr>
          </w:pPr>
          <w:r>
            <w:fldChar w:fldCharType="begin"/>
          </w:r>
          <w:r>
            <w:instrText xml:space="preserve"> HYPERLINK \l "_Toc8627" </w:instrText>
          </w:r>
          <w:r>
            <w:fldChar w:fldCharType="separate"/>
          </w:r>
          <w:r>
            <w:rPr>
              <w:rFonts w:hint="eastAsia" w:ascii="黑体" w:hAnsi="黑体" w:eastAsia="黑体" w:cs="黑体"/>
              <w:sz w:val="28"/>
              <w:szCs w:val="28"/>
            </w:rPr>
            <w:t>第二章  发展思路</w:t>
          </w:r>
          <w:r>
            <w:rPr>
              <w:sz w:val="28"/>
              <w:szCs w:val="28"/>
            </w:rPr>
            <w:tab/>
          </w:r>
          <w:r>
            <w:rPr>
              <w:sz w:val="28"/>
              <w:szCs w:val="28"/>
            </w:rPr>
            <w:fldChar w:fldCharType="begin"/>
          </w:r>
          <w:r>
            <w:rPr>
              <w:sz w:val="28"/>
              <w:szCs w:val="28"/>
            </w:rPr>
            <w:instrText xml:space="preserve"> PAGEREF _Toc8627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rFonts w:ascii="楷体_GB2312" w:hAnsi="楷体_GB2312" w:eastAsia="楷体_GB2312" w:cs="楷体_GB2312"/>
              <w:bCs/>
              <w:sz w:val="28"/>
              <w:szCs w:val="28"/>
            </w:rPr>
          </w:pPr>
          <w:r>
            <w:rPr>
              <w:rFonts w:hint="eastAsia" w:ascii="楷体_GB2312" w:hAnsi="楷体_GB2312" w:eastAsia="楷体_GB2312" w:cs="楷体_GB2312"/>
              <w:bCs/>
              <w:sz w:val="28"/>
              <w:szCs w:val="28"/>
            </w:rPr>
            <w:t>第一节  指导思想</w:t>
          </w:r>
          <w:r>
            <w:rPr>
              <w:sz w:val="28"/>
              <w:szCs w:val="28"/>
            </w:rPr>
            <w:tab/>
          </w:r>
          <w:r>
            <w:rPr>
              <w:sz w:val="28"/>
              <w:szCs w:val="28"/>
            </w:rPr>
            <w:fldChar w:fldCharType="begin"/>
          </w:r>
          <w:r>
            <w:rPr>
              <w:sz w:val="28"/>
              <w:szCs w:val="28"/>
            </w:rPr>
            <w:instrText xml:space="preserve"> PAGEREF _Toc11052 \h </w:instrText>
          </w:r>
          <w:r>
            <w:rPr>
              <w:sz w:val="28"/>
              <w:szCs w:val="28"/>
            </w:rPr>
            <w:fldChar w:fldCharType="separate"/>
          </w:r>
          <w:r>
            <w:rPr>
              <w:sz w:val="28"/>
              <w:szCs w:val="28"/>
            </w:rPr>
            <w:t>9</w:t>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"_Toc11052" </w:instrText>
          </w:r>
          <w:r>
            <w:fldChar w:fldCharType="separate"/>
          </w:r>
          <w:r>
            <w:rPr>
              <w:rFonts w:hint="eastAsia" w:ascii="楷体_GB2312" w:hAnsi="楷体_GB2312" w:eastAsia="楷体_GB2312" w:cs="楷体_GB2312"/>
              <w:bCs/>
              <w:sz w:val="28"/>
              <w:szCs w:val="28"/>
            </w:rPr>
            <w:t>第二节  基本原则</w:t>
          </w:r>
          <w:r>
            <w:rPr>
              <w:sz w:val="28"/>
              <w:szCs w:val="28"/>
            </w:rPr>
            <w:tab/>
          </w:r>
          <w:r>
            <w:rPr>
              <w:sz w:val="28"/>
              <w:szCs w:val="28"/>
            </w:rPr>
            <w:fldChar w:fldCharType="begin"/>
          </w:r>
          <w:r>
            <w:rPr>
              <w:sz w:val="28"/>
              <w:szCs w:val="28"/>
            </w:rPr>
            <w:instrText xml:space="preserve"> PAGEREF _Toc11052 \h </w:instrText>
          </w:r>
          <w:r>
            <w:rPr>
              <w:sz w:val="28"/>
              <w:szCs w:val="28"/>
            </w:rPr>
            <w:fldChar w:fldCharType="separate"/>
          </w:r>
          <w:r>
            <w:rPr>
              <w:sz w:val="28"/>
              <w:szCs w:val="28"/>
            </w:rPr>
            <w:t>9</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"_Toc32489" </w:instrText>
          </w:r>
          <w:r>
            <w:fldChar w:fldCharType="separate"/>
          </w:r>
          <w:r>
            <w:rPr>
              <w:rFonts w:hint="eastAsia" w:ascii="楷体_GB2312" w:hAnsi="楷体_GB2312" w:eastAsia="楷体_GB2312" w:cs="楷体_GB2312"/>
              <w:bCs/>
              <w:sz w:val="28"/>
              <w:szCs w:val="28"/>
            </w:rPr>
            <w:t>第三节  发展目标</w:t>
          </w:r>
          <w:r>
            <w:rPr>
              <w:sz w:val="28"/>
              <w:szCs w:val="28"/>
            </w:rPr>
            <w:tab/>
          </w:r>
          <w:r>
            <w:rPr>
              <w:sz w:val="28"/>
              <w:szCs w:val="28"/>
            </w:rPr>
            <w:fldChar w:fldCharType="begin"/>
          </w:r>
          <w:r>
            <w:rPr>
              <w:sz w:val="28"/>
              <w:szCs w:val="28"/>
            </w:rPr>
            <w:instrText xml:space="preserve"> PAGEREF _Toc32489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sz w:val="28"/>
              <w:szCs w:val="28"/>
            </w:rPr>
          </w:pPr>
          <w:r>
            <w:fldChar w:fldCharType="begin"/>
          </w:r>
          <w:r>
            <w:instrText xml:space="preserve"> HYPERLINK \l "_Toc5284" </w:instrText>
          </w:r>
          <w:r>
            <w:fldChar w:fldCharType="separate"/>
          </w:r>
          <w:r>
            <w:rPr>
              <w:rFonts w:hint="eastAsia" w:ascii="黑体" w:hAnsi="黑体" w:eastAsia="黑体" w:cs="黑体"/>
              <w:sz w:val="28"/>
              <w:szCs w:val="28"/>
            </w:rPr>
            <w:t>第三章  有序推进农业转移人口市民化</w:t>
          </w:r>
          <w:r>
            <w:rPr>
              <w:sz w:val="28"/>
              <w:szCs w:val="28"/>
            </w:rPr>
            <w:tab/>
          </w:r>
          <w:r>
            <w:rPr>
              <w:sz w:val="28"/>
              <w:szCs w:val="28"/>
            </w:rPr>
            <w:fldChar w:fldCharType="begin"/>
          </w:r>
          <w:r>
            <w:rPr>
              <w:sz w:val="28"/>
              <w:szCs w:val="28"/>
            </w:rPr>
            <w:instrText xml:space="preserve"> PAGEREF _Toc5284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"_Toc15434" </w:instrText>
          </w:r>
          <w:r>
            <w:fldChar w:fldCharType="separate"/>
          </w:r>
          <w:r>
            <w:rPr>
              <w:rFonts w:hint="eastAsia" w:ascii="楷体_GB2312" w:hAnsi="楷体_GB2312" w:eastAsia="楷体_GB2312" w:cs="楷体_GB2312"/>
              <w:bCs/>
              <w:sz w:val="28"/>
              <w:szCs w:val="28"/>
            </w:rPr>
            <w:t>第一节  加快农业转移人口落户城镇</w:t>
          </w:r>
          <w:r>
            <w:rPr>
              <w:sz w:val="28"/>
              <w:szCs w:val="28"/>
            </w:rPr>
            <w:tab/>
          </w:r>
          <w:r>
            <w:rPr>
              <w:sz w:val="28"/>
              <w:szCs w:val="28"/>
            </w:rPr>
            <w:fldChar w:fldCharType="begin"/>
          </w:r>
          <w:r>
            <w:rPr>
              <w:sz w:val="28"/>
              <w:szCs w:val="28"/>
            </w:rPr>
            <w:instrText xml:space="preserve"> PAGEREF _Toc15434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"_Toc30661" </w:instrText>
          </w:r>
          <w:r>
            <w:fldChar w:fldCharType="separate"/>
          </w:r>
          <w:r>
            <w:rPr>
              <w:rFonts w:hint="eastAsia" w:ascii="楷体_GB2312" w:hAnsi="楷体_GB2312" w:eastAsia="楷体_GB2312" w:cs="楷体_GB2312"/>
              <w:bCs/>
              <w:sz w:val="28"/>
              <w:szCs w:val="28"/>
            </w:rPr>
            <w:t>第二节  强化农业转移人口就业扶持</w:t>
          </w:r>
          <w:r>
            <w:rPr>
              <w:sz w:val="28"/>
              <w:szCs w:val="28"/>
            </w:rPr>
            <w:tab/>
          </w:r>
          <w:r>
            <w:rPr>
              <w:sz w:val="28"/>
              <w:szCs w:val="28"/>
            </w:rPr>
            <w:fldChar w:fldCharType="begin"/>
          </w:r>
          <w:r>
            <w:rPr>
              <w:sz w:val="28"/>
              <w:szCs w:val="28"/>
            </w:rPr>
            <w:instrText xml:space="preserve"> PAGEREF _Toc30661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"_Toc10046" </w:instrText>
          </w:r>
          <w:r>
            <w:fldChar w:fldCharType="separate"/>
          </w:r>
          <w:r>
            <w:rPr>
              <w:rFonts w:hint="eastAsia" w:ascii="楷体_GB2312" w:hAnsi="楷体_GB2312" w:eastAsia="楷体_GB2312" w:cs="楷体_GB2312"/>
              <w:bCs/>
              <w:sz w:val="28"/>
              <w:szCs w:val="28"/>
            </w:rPr>
            <w:t>第三节  确保全民共同享有教育公平</w:t>
          </w:r>
          <w:r>
            <w:rPr>
              <w:sz w:val="28"/>
              <w:szCs w:val="28"/>
            </w:rPr>
            <w:tab/>
          </w:r>
          <w:r>
            <w:rPr>
              <w:sz w:val="28"/>
              <w:szCs w:val="28"/>
            </w:rPr>
            <w:fldChar w:fldCharType="begin"/>
          </w:r>
          <w:r>
            <w:rPr>
              <w:sz w:val="28"/>
              <w:szCs w:val="28"/>
            </w:rPr>
            <w:instrText xml:space="preserve"> PAGEREF _Toc10046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"_Toc18310" </w:instrText>
          </w:r>
          <w:r>
            <w:fldChar w:fldCharType="separate"/>
          </w:r>
          <w:r>
            <w:rPr>
              <w:rFonts w:hint="eastAsia" w:ascii="楷体_GB2312" w:hAnsi="楷体_GB2312" w:eastAsia="楷体_GB2312" w:cs="楷体_GB2312"/>
              <w:bCs/>
              <w:sz w:val="28"/>
              <w:szCs w:val="28"/>
            </w:rPr>
            <w:t>第四节  确保公共医疗卫生服务公平</w:t>
          </w:r>
          <w:r>
            <w:rPr>
              <w:sz w:val="28"/>
              <w:szCs w:val="28"/>
            </w:rPr>
            <w:tab/>
          </w:r>
          <w:r>
            <w:rPr>
              <w:sz w:val="28"/>
              <w:szCs w:val="28"/>
            </w:rPr>
            <w:fldChar w:fldCharType="begin"/>
          </w:r>
          <w:r>
            <w:rPr>
              <w:sz w:val="28"/>
              <w:szCs w:val="28"/>
            </w:rPr>
            <w:instrText xml:space="preserve"> PAGEREF _Toc18310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sz w:val="28"/>
              <w:szCs w:val="28"/>
            </w:rPr>
          </w:pPr>
          <w:r>
            <w:fldChar w:fldCharType="begin"/>
          </w:r>
          <w:r>
            <w:instrText xml:space="preserve"> HYPERLINK \l "_Toc7498" </w:instrText>
          </w:r>
          <w:r>
            <w:fldChar w:fldCharType="separate"/>
          </w:r>
          <w:r>
            <w:rPr>
              <w:rFonts w:hint="eastAsia" w:ascii="黑体" w:hAnsi="黑体" w:eastAsia="黑体" w:cs="黑体"/>
              <w:bCs/>
              <w:sz w:val="28"/>
              <w:szCs w:val="28"/>
            </w:rPr>
            <w:t>第四章  高起点优化城镇空间布局</w:t>
          </w:r>
          <w:r>
            <w:rPr>
              <w:sz w:val="28"/>
              <w:szCs w:val="28"/>
            </w:rPr>
            <w:tab/>
          </w:r>
          <w:r>
            <w:rPr>
              <w:sz w:val="28"/>
              <w:szCs w:val="28"/>
            </w:rPr>
            <w:fldChar w:fldCharType="begin"/>
          </w:r>
          <w:r>
            <w:rPr>
              <w:sz w:val="28"/>
              <w:szCs w:val="28"/>
            </w:rPr>
            <w:instrText xml:space="preserve"> PAGEREF _Toc7498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"_Toc28693" </w:instrText>
          </w:r>
          <w:r>
            <w:fldChar w:fldCharType="separate"/>
          </w:r>
          <w:r>
            <w:rPr>
              <w:rFonts w:hint="eastAsia" w:ascii="楷体_GB2312" w:hAnsi="楷体_GB2312" w:eastAsia="楷体_GB2312" w:cs="楷体_GB2312"/>
              <w:bCs/>
              <w:sz w:val="28"/>
              <w:szCs w:val="28"/>
            </w:rPr>
            <w:t>第一节  构建优化城镇空间发展格局</w:t>
          </w:r>
          <w:r>
            <w:rPr>
              <w:sz w:val="28"/>
              <w:szCs w:val="28"/>
            </w:rPr>
            <w:tab/>
          </w:r>
          <w:r>
            <w:rPr>
              <w:sz w:val="28"/>
              <w:szCs w:val="28"/>
            </w:rPr>
            <w:fldChar w:fldCharType="begin"/>
          </w:r>
          <w:r>
            <w:rPr>
              <w:sz w:val="28"/>
              <w:szCs w:val="28"/>
            </w:rPr>
            <w:instrText xml:space="preserve"> PAGEREF _Toc28693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"_Toc21405" </w:instrText>
          </w:r>
          <w:r>
            <w:fldChar w:fldCharType="separate"/>
          </w:r>
          <w:r>
            <w:rPr>
              <w:rFonts w:hint="eastAsia" w:ascii="楷体_GB2312" w:hAnsi="楷体_GB2312" w:eastAsia="楷体_GB2312" w:cs="楷体_GB2312"/>
              <w:bCs/>
              <w:sz w:val="28"/>
              <w:szCs w:val="28"/>
            </w:rPr>
            <w:t>第二节  加快推进“甘临”一体化</w:t>
          </w:r>
          <w:r>
            <w:rPr>
              <w:sz w:val="28"/>
              <w:szCs w:val="28"/>
            </w:rPr>
            <w:tab/>
          </w:r>
          <w:r>
            <w:rPr>
              <w:sz w:val="28"/>
              <w:szCs w:val="28"/>
            </w:rPr>
            <w:fldChar w:fldCharType="begin"/>
          </w:r>
          <w:r>
            <w:rPr>
              <w:sz w:val="28"/>
              <w:szCs w:val="28"/>
            </w:rPr>
            <w:instrText xml:space="preserve"> PAGEREF _Toc21405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"_Toc19646" </w:instrText>
          </w:r>
          <w:r>
            <w:fldChar w:fldCharType="separate"/>
          </w:r>
          <w:r>
            <w:rPr>
              <w:rFonts w:hint="eastAsia" w:ascii="楷体_GB2312" w:hAnsi="楷体_GB2312" w:eastAsia="楷体_GB2312" w:cs="楷体_GB2312"/>
              <w:bCs/>
              <w:sz w:val="28"/>
              <w:szCs w:val="28"/>
            </w:rPr>
            <w:t>第三节  推动县域经济高质量发展</w:t>
          </w:r>
          <w:r>
            <w:rPr>
              <w:sz w:val="28"/>
              <w:szCs w:val="28"/>
            </w:rPr>
            <w:tab/>
          </w:r>
          <w:r>
            <w:rPr>
              <w:sz w:val="28"/>
              <w:szCs w:val="28"/>
            </w:rPr>
            <w:fldChar w:fldCharType="begin"/>
          </w:r>
          <w:r>
            <w:rPr>
              <w:sz w:val="28"/>
              <w:szCs w:val="28"/>
            </w:rPr>
            <w:instrText xml:space="preserve"> PAGEREF _Toc19646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"_Toc4059" </w:instrText>
          </w:r>
          <w:r>
            <w:fldChar w:fldCharType="separate"/>
          </w:r>
          <w:r>
            <w:rPr>
              <w:rFonts w:hint="eastAsia" w:ascii="楷体_GB2312" w:hAnsi="楷体_GB2312" w:eastAsia="楷体_GB2312" w:cs="楷体_GB2312"/>
              <w:bCs/>
              <w:sz w:val="28"/>
              <w:szCs w:val="28"/>
            </w:rPr>
            <w:t>第四节  统筹推进小城镇优化发展</w:t>
          </w:r>
          <w:r>
            <w:rPr>
              <w:sz w:val="28"/>
              <w:szCs w:val="28"/>
            </w:rPr>
            <w:tab/>
          </w:r>
          <w:r>
            <w:rPr>
              <w:sz w:val="28"/>
              <w:szCs w:val="28"/>
            </w:rPr>
            <w:fldChar w:fldCharType="begin"/>
          </w:r>
          <w:r>
            <w:rPr>
              <w:sz w:val="28"/>
              <w:szCs w:val="28"/>
            </w:rPr>
            <w:instrText xml:space="preserve"> PAGEREF _Toc4059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sz w:val="28"/>
              <w:szCs w:val="28"/>
            </w:rPr>
          </w:pPr>
          <w:r>
            <w:fldChar w:fldCharType="begin"/>
          </w:r>
          <w:r>
            <w:instrText xml:space="preserve"> HYPERLINK \l "_Toc11766" </w:instrText>
          </w:r>
          <w:r>
            <w:fldChar w:fldCharType="separate"/>
          </w:r>
          <w:r>
            <w:rPr>
              <w:rFonts w:hint="eastAsia" w:ascii="黑体" w:hAnsi="黑体" w:eastAsia="黑体" w:cs="黑体"/>
              <w:sz w:val="28"/>
              <w:szCs w:val="28"/>
            </w:rPr>
            <w:t>第五章  高水平夯实城市创新和产业支撑</w:t>
          </w:r>
          <w:r>
            <w:rPr>
              <w:sz w:val="28"/>
              <w:szCs w:val="28"/>
            </w:rPr>
            <w:tab/>
          </w:r>
          <w:r>
            <w:rPr>
              <w:sz w:val="28"/>
              <w:szCs w:val="28"/>
            </w:rPr>
            <w:fldChar w:fldCharType="begin"/>
          </w:r>
          <w:r>
            <w:rPr>
              <w:sz w:val="28"/>
              <w:szCs w:val="28"/>
            </w:rPr>
            <w:instrText xml:space="preserve"> PAGEREF _Toc11766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"_Toc1155" </w:instrText>
          </w:r>
          <w:r>
            <w:fldChar w:fldCharType="separate"/>
          </w:r>
          <w:r>
            <w:rPr>
              <w:rFonts w:hint="eastAsia" w:ascii="楷体_GB2312" w:hAnsi="楷体_GB2312" w:eastAsia="楷体_GB2312" w:cs="楷体_GB2312"/>
              <w:bCs/>
              <w:sz w:val="28"/>
              <w:szCs w:val="28"/>
            </w:rPr>
            <w:t>第一节  提高绿色生态农业强县质量</w:t>
          </w:r>
          <w:r>
            <w:rPr>
              <w:sz w:val="28"/>
              <w:szCs w:val="28"/>
            </w:rPr>
            <w:tab/>
          </w:r>
          <w:r>
            <w:rPr>
              <w:sz w:val="28"/>
              <w:szCs w:val="28"/>
            </w:rPr>
            <w:fldChar w:fldCharType="begin"/>
          </w:r>
          <w:r>
            <w:rPr>
              <w:sz w:val="28"/>
              <w:szCs w:val="28"/>
            </w:rPr>
            <w:instrText xml:space="preserve"> PAGEREF _Toc1155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"_Toc30893" </w:instrText>
          </w:r>
          <w:r>
            <w:fldChar w:fldCharType="separate"/>
          </w:r>
          <w:r>
            <w:rPr>
              <w:rFonts w:hint="eastAsia" w:ascii="楷体_GB2312" w:hAnsi="楷体_GB2312" w:eastAsia="楷体_GB2312" w:cs="楷体_GB2312"/>
              <w:bCs/>
              <w:sz w:val="28"/>
              <w:szCs w:val="28"/>
            </w:rPr>
            <w:t>第二节  夯实新兴生态工业大县基础</w:t>
          </w:r>
          <w:r>
            <w:rPr>
              <w:sz w:val="28"/>
              <w:szCs w:val="28"/>
            </w:rPr>
            <w:tab/>
          </w:r>
          <w:r>
            <w:rPr>
              <w:sz w:val="28"/>
              <w:szCs w:val="28"/>
            </w:rPr>
            <w:fldChar w:fldCharType="begin"/>
          </w:r>
          <w:r>
            <w:rPr>
              <w:sz w:val="28"/>
              <w:szCs w:val="28"/>
            </w:rPr>
            <w:instrText xml:space="preserve"> PAGEREF _Toc30893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1"/>
            <w:tabs>
              <w:tab w:val="left" w:pos="1560"/>
              <w:tab w:val="right" w:leader="dot" w:pos="8647"/>
            </w:tabs>
            <w:adjustRightInd w:val="0"/>
            <w:snapToGrid w:val="0"/>
            <w:spacing w:line="450" w:lineRule="exact"/>
            <w:rPr>
              <w:sz w:val="28"/>
              <w:szCs w:val="28"/>
            </w:rPr>
          </w:pPr>
          <w:r>
            <w:fldChar w:fldCharType="begin"/>
          </w:r>
          <w:r>
            <w:instrText xml:space="preserve"> HYPERLINK \l "_Toc21871" </w:instrText>
          </w:r>
          <w:r>
            <w:fldChar w:fldCharType="separate"/>
          </w:r>
          <w:r>
            <w:rPr>
              <w:rFonts w:hint="eastAsia" w:ascii="楷体_GB2312" w:hAnsi="楷体_GB2312" w:eastAsia="楷体_GB2312" w:cs="楷体_GB2312"/>
              <w:bCs/>
              <w:sz w:val="28"/>
              <w:szCs w:val="28"/>
            </w:rPr>
            <w:t>第三节  聚力全域旅游打造文旅名县新名片</w:t>
          </w:r>
          <w:r>
            <w:rPr>
              <w:sz w:val="28"/>
              <w:szCs w:val="28"/>
            </w:rPr>
            <w:tab/>
          </w:r>
          <w:r>
            <w:rPr>
              <w:sz w:val="28"/>
              <w:szCs w:val="28"/>
            </w:rPr>
            <w:fldChar w:fldCharType="begin"/>
          </w:r>
          <w:r>
            <w:rPr>
              <w:sz w:val="28"/>
              <w:szCs w:val="28"/>
            </w:rPr>
            <w:instrText xml:space="preserve"> PAGEREF _Toc21871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"_Toc29019" </w:instrText>
          </w:r>
          <w:r>
            <w:fldChar w:fldCharType="separate"/>
          </w:r>
          <w:r>
            <w:rPr>
              <w:rFonts w:hint="eastAsia" w:ascii="楷体_GB2312" w:hAnsi="楷体_GB2312" w:eastAsia="楷体_GB2312" w:cs="楷体_GB2312"/>
              <w:bCs/>
              <w:sz w:val="28"/>
              <w:szCs w:val="28"/>
            </w:rPr>
            <w:t>第四节  创新驱动打造数字信息高地</w:t>
          </w:r>
          <w:r>
            <w:rPr>
              <w:sz w:val="28"/>
              <w:szCs w:val="28"/>
            </w:rPr>
            <w:tab/>
          </w:r>
          <w:r>
            <w:rPr>
              <w:sz w:val="28"/>
              <w:szCs w:val="28"/>
            </w:rPr>
            <w:fldChar w:fldCharType="begin"/>
          </w:r>
          <w:r>
            <w:rPr>
              <w:sz w:val="28"/>
              <w:szCs w:val="28"/>
            </w:rPr>
            <w:instrText xml:space="preserve"> PAGEREF _Toc29019 \h </w:instrText>
          </w:r>
          <w:r>
            <w:rPr>
              <w:sz w:val="28"/>
              <w:szCs w:val="28"/>
            </w:rPr>
            <w:fldChar w:fldCharType="separate"/>
          </w:r>
          <w:r>
            <w:rPr>
              <w:sz w:val="28"/>
              <w:szCs w:val="28"/>
            </w:rPr>
            <w:t>24</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sz w:val="28"/>
              <w:szCs w:val="28"/>
            </w:rPr>
          </w:pPr>
          <w:r>
            <w:fldChar w:fldCharType="begin"/>
          </w:r>
          <w:r>
            <w:instrText xml:space="preserve"> HYPERLINK \l "_Toc11563" </w:instrText>
          </w:r>
          <w:r>
            <w:fldChar w:fldCharType="separate"/>
          </w:r>
          <w:r>
            <w:rPr>
              <w:rFonts w:hint="eastAsia" w:ascii="黑体" w:hAnsi="黑体" w:eastAsia="黑体" w:cs="黑体"/>
              <w:sz w:val="28"/>
              <w:szCs w:val="28"/>
            </w:rPr>
            <w:t>第六章  高质量提升城镇综合服务能力</w:t>
          </w:r>
          <w:r>
            <w:rPr>
              <w:sz w:val="28"/>
              <w:szCs w:val="28"/>
            </w:rPr>
            <w:tab/>
          </w:r>
          <w:r>
            <w:rPr>
              <w:sz w:val="28"/>
              <w:szCs w:val="28"/>
            </w:rPr>
            <w:fldChar w:fldCharType="begin"/>
          </w:r>
          <w:r>
            <w:rPr>
              <w:sz w:val="28"/>
              <w:szCs w:val="28"/>
            </w:rPr>
            <w:instrText xml:space="preserve"> PAGEREF _Toc11563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"_Toc6254" </w:instrText>
          </w:r>
          <w:r>
            <w:fldChar w:fldCharType="separate"/>
          </w:r>
          <w:r>
            <w:rPr>
              <w:rFonts w:hint="eastAsia" w:ascii="楷体_GB2312" w:hAnsi="楷体_GB2312" w:eastAsia="楷体_GB2312" w:cs="楷体_GB2312"/>
              <w:bCs/>
              <w:sz w:val="28"/>
              <w:szCs w:val="28"/>
            </w:rPr>
            <w:t>第一节  强化综合交通网络枢纽</w:t>
          </w:r>
          <w:r>
            <w:rPr>
              <w:sz w:val="28"/>
              <w:szCs w:val="28"/>
            </w:rPr>
            <w:tab/>
          </w:r>
          <w:r>
            <w:rPr>
              <w:sz w:val="28"/>
              <w:szCs w:val="28"/>
            </w:rPr>
            <w:fldChar w:fldCharType="begin"/>
          </w:r>
          <w:r>
            <w:rPr>
              <w:sz w:val="28"/>
              <w:szCs w:val="28"/>
            </w:rPr>
            <w:instrText xml:space="preserve"> PAGEREF _Toc6254 \h </w:instrText>
          </w:r>
          <w:r>
            <w:rPr>
              <w:sz w:val="28"/>
              <w:szCs w:val="28"/>
            </w:rPr>
            <w:fldChar w:fldCharType="separate"/>
          </w:r>
          <w:r>
            <w:rPr>
              <w:sz w:val="28"/>
              <w:szCs w:val="28"/>
            </w:rPr>
            <w:t>26</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"_Toc21055" </w:instrText>
          </w:r>
          <w:r>
            <w:fldChar w:fldCharType="separate"/>
          </w:r>
          <w:r>
            <w:rPr>
              <w:rFonts w:hint="eastAsia" w:ascii="楷体_GB2312" w:hAnsi="楷体_GB2312" w:eastAsia="楷体_GB2312" w:cs="楷体_GB2312"/>
              <w:bCs/>
              <w:sz w:val="28"/>
              <w:szCs w:val="28"/>
            </w:rPr>
            <w:t>第二节  完善市政基础设施建设</w:t>
          </w:r>
          <w:r>
            <w:rPr>
              <w:sz w:val="28"/>
              <w:szCs w:val="28"/>
            </w:rPr>
            <w:tab/>
          </w:r>
          <w:r>
            <w:rPr>
              <w:sz w:val="28"/>
              <w:szCs w:val="28"/>
            </w:rPr>
            <w:fldChar w:fldCharType="begin"/>
          </w:r>
          <w:r>
            <w:rPr>
              <w:sz w:val="28"/>
              <w:szCs w:val="28"/>
            </w:rPr>
            <w:instrText xml:space="preserve"> PAGEREF _Toc21055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rFonts w:hint="eastAsia"/>
            </w:rPr>
          </w:pPr>
          <w:r>
            <w:fldChar w:fldCharType="begin"/>
          </w:r>
          <w:r>
            <w:instrText xml:space="preserve"> HYPERLINK \l "_Toc27375" </w:instrText>
          </w:r>
          <w:r>
            <w:fldChar w:fldCharType="separate"/>
          </w:r>
          <w:r>
            <w:rPr>
              <w:rFonts w:hint="eastAsia" w:ascii="楷体_GB2312" w:hAnsi="楷体_GB2312" w:eastAsia="楷体_GB2312" w:cs="楷体_GB2312"/>
              <w:bCs/>
              <w:sz w:val="28"/>
              <w:szCs w:val="28"/>
            </w:rPr>
            <w:t>第三节  提高社会公共服务水平</w:t>
          </w:r>
          <w:r>
            <w:rPr>
              <w:sz w:val="28"/>
              <w:szCs w:val="28"/>
            </w:rPr>
            <w:tab/>
          </w:r>
          <w:r>
            <w:rPr>
              <w:sz w:val="28"/>
              <w:szCs w:val="28"/>
            </w:rPr>
            <w:fldChar w:fldCharType="begin"/>
          </w:r>
          <w:r>
            <w:rPr>
              <w:sz w:val="28"/>
              <w:szCs w:val="28"/>
            </w:rPr>
            <w:instrText xml:space="preserve"> PAGEREF _Toc27375 \h </w:instrText>
          </w:r>
          <w:r>
            <w:rPr>
              <w:sz w:val="28"/>
              <w:szCs w:val="28"/>
            </w:rPr>
            <w:fldChar w:fldCharType="separate"/>
          </w:r>
          <w:r>
            <w:rPr>
              <w:sz w:val="28"/>
              <w:szCs w:val="28"/>
            </w:rPr>
            <w:t>28</w:t>
          </w:r>
          <w:r>
            <w:rPr>
              <w:sz w:val="28"/>
              <w:szCs w:val="28"/>
            </w:rPr>
            <w:fldChar w:fldCharType="end"/>
          </w:r>
          <w:r>
            <w:rPr>
              <w:sz w:val="28"/>
              <w:szCs w:val="28"/>
            </w:rPr>
            <w:fldChar w:fldCharType="end"/>
          </w:r>
        </w:p>
        <w:p>
          <w:pPr>
            <w:rPr>
              <w:rFonts w:hint="eastAsia"/>
            </w:rPr>
          </w:pPr>
        </w:p>
        <w:p>
          <w:pPr>
            <w:pStyle w:val="10"/>
            <w:tabs>
              <w:tab w:val="right" w:leader="dot" w:pos="8647"/>
            </w:tabs>
            <w:adjustRightInd w:val="0"/>
            <w:snapToGrid w:val="0"/>
            <w:spacing w:line="450" w:lineRule="exact"/>
            <w:rPr>
              <w:sz w:val="28"/>
              <w:szCs w:val="28"/>
            </w:rPr>
          </w:pPr>
          <w:r>
            <w:fldChar w:fldCharType="begin"/>
          </w:r>
          <w:r>
            <w:instrText xml:space="preserve"> HYPERLINK \l "_Toc25509" </w:instrText>
          </w:r>
          <w:r>
            <w:fldChar w:fldCharType="separate"/>
          </w:r>
          <w:r>
            <w:rPr>
              <w:rFonts w:hint="eastAsia" w:ascii="黑体" w:hAnsi="黑体" w:eastAsia="黑体" w:cs="黑体"/>
              <w:sz w:val="28"/>
              <w:szCs w:val="28"/>
            </w:rPr>
            <w:t>第七章  加快推动城乡融合发展</w:t>
          </w:r>
          <w:r>
            <w:rPr>
              <w:sz w:val="28"/>
              <w:szCs w:val="28"/>
            </w:rPr>
            <w:tab/>
          </w:r>
          <w:r>
            <w:rPr>
              <w:sz w:val="28"/>
              <w:szCs w:val="28"/>
            </w:rPr>
            <w:fldChar w:fldCharType="begin"/>
          </w:r>
          <w:r>
            <w:rPr>
              <w:sz w:val="28"/>
              <w:szCs w:val="28"/>
            </w:rPr>
            <w:instrText xml:space="preserve"> PAGEREF _Toc25509 \h </w:instrText>
          </w:r>
          <w:r>
            <w:rPr>
              <w:sz w:val="28"/>
              <w:szCs w:val="28"/>
            </w:rPr>
            <w:fldChar w:fldCharType="separate"/>
          </w:r>
          <w:r>
            <w:rPr>
              <w:sz w:val="28"/>
              <w:szCs w:val="28"/>
            </w:rPr>
            <w:t>30</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"_Toc12707" </w:instrText>
          </w:r>
          <w:r>
            <w:fldChar w:fldCharType="separate"/>
          </w:r>
          <w:r>
            <w:rPr>
              <w:rFonts w:hint="eastAsia" w:ascii="楷体_GB2312" w:hAnsi="楷体_GB2312" w:eastAsia="楷体_GB2312" w:cs="楷体_GB2312"/>
              <w:bCs/>
              <w:sz w:val="28"/>
              <w:szCs w:val="28"/>
            </w:rPr>
            <w:t>第一节  推动城乡基础设施一体化</w:t>
          </w:r>
          <w:r>
            <w:rPr>
              <w:sz w:val="28"/>
              <w:szCs w:val="28"/>
            </w:rPr>
            <w:tab/>
          </w:r>
          <w:r>
            <w:rPr>
              <w:sz w:val="28"/>
              <w:szCs w:val="28"/>
            </w:rPr>
            <w:fldChar w:fldCharType="begin"/>
          </w:r>
          <w:r>
            <w:rPr>
              <w:sz w:val="28"/>
              <w:szCs w:val="28"/>
            </w:rPr>
            <w:instrText xml:space="preserve"> PAGEREF _Toc12707 \h </w:instrText>
          </w:r>
          <w:r>
            <w:rPr>
              <w:sz w:val="28"/>
              <w:szCs w:val="28"/>
            </w:rPr>
            <w:fldChar w:fldCharType="separate"/>
          </w:r>
          <w:r>
            <w:rPr>
              <w:sz w:val="28"/>
              <w:szCs w:val="28"/>
            </w:rPr>
            <w:t>30</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"_Toc24056" </w:instrText>
          </w:r>
          <w:r>
            <w:fldChar w:fldCharType="separate"/>
          </w:r>
          <w:r>
            <w:rPr>
              <w:rFonts w:hint="eastAsia" w:ascii="楷体_GB2312" w:hAnsi="楷体_GB2312" w:eastAsia="楷体_GB2312" w:cs="楷体_GB2312"/>
              <w:bCs/>
              <w:sz w:val="28"/>
              <w:szCs w:val="28"/>
            </w:rPr>
            <w:t>第二节  加快城乡要素双向自由流动</w:t>
          </w:r>
          <w:r>
            <w:rPr>
              <w:sz w:val="28"/>
              <w:szCs w:val="28"/>
            </w:rPr>
            <w:tab/>
          </w:r>
          <w:r>
            <w:rPr>
              <w:sz w:val="28"/>
              <w:szCs w:val="28"/>
            </w:rPr>
            <w:fldChar w:fldCharType="begin"/>
          </w:r>
          <w:r>
            <w:rPr>
              <w:sz w:val="28"/>
              <w:szCs w:val="28"/>
            </w:rPr>
            <w:instrText xml:space="preserve"> PAGEREF _Toc24056 \h </w:instrText>
          </w:r>
          <w:r>
            <w:rPr>
              <w:sz w:val="28"/>
              <w:szCs w:val="28"/>
            </w:rPr>
            <w:fldChar w:fldCharType="separate"/>
          </w:r>
          <w:r>
            <w:rPr>
              <w:sz w:val="28"/>
              <w:szCs w:val="28"/>
            </w:rPr>
            <w:t>31</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"_Toc6649" </w:instrText>
          </w:r>
          <w:r>
            <w:fldChar w:fldCharType="separate"/>
          </w:r>
          <w:r>
            <w:rPr>
              <w:rFonts w:hint="eastAsia" w:ascii="楷体_GB2312" w:hAnsi="楷体_GB2312" w:eastAsia="楷体_GB2312" w:cs="楷体_GB2312"/>
              <w:bCs/>
              <w:sz w:val="28"/>
              <w:szCs w:val="28"/>
            </w:rPr>
            <w:t>第三节  推动城乡优质资源平等共享</w:t>
          </w:r>
          <w:r>
            <w:rPr>
              <w:sz w:val="28"/>
              <w:szCs w:val="28"/>
            </w:rPr>
            <w:tab/>
          </w:r>
          <w:r>
            <w:rPr>
              <w:sz w:val="28"/>
              <w:szCs w:val="28"/>
            </w:rPr>
            <w:fldChar w:fldCharType="begin"/>
          </w:r>
          <w:r>
            <w:rPr>
              <w:sz w:val="28"/>
              <w:szCs w:val="28"/>
            </w:rPr>
            <w:instrText xml:space="preserve"> PAGEREF _Toc6649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"_Toc22312" </w:instrText>
          </w:r>
          <w:r>
            <w:fldChar w:fldCharType="separate"/>
          </w:r>
          <w:r>
            <w:rPr>
              <w:rFonts w:hint="eastAsia" w:ascii="楷体_GB2312" w:hAnsi="楷体_GB2312" w:eastAsia="楷体_GB2312" w:cs="楷体_GB2312"/>
              <w:bCs/>
              <w:sz w:val="28"/>
              <w:szCs w:val="28"/>
            </w:rPr>
            <w:t>第四节  努力缩小城乡居民收入差距</w:t>
          </w:r>
          <w:r>
            <w:rPr>
              <w:sz w:val="28"/>
              <w:szCs w:val="28"/>
            </w:rPr>
            <w:tab/>
          </w:r>
          <w:r>
            <w:rPr>
              <w:sz w:val="28"/>
              <w:szCs w:val="28"/>
            </w:rPr>
            <w:fldChar w:fldCharType="begin"/>
          </w:r>
          <w:r>
            <w:rPr>
              <w:sz w:val="28"/>
              <w:szCs w:val="28"/>
            </w:rPr>
            <w:instrText xml:space="preserve"> PAGEREF _Toc22312 \h </w:instrText>
          </w:r>
          <w:r>
            <w:rPr>
              <w:sz w:val="28"/>
              <w:szCs w:val="28"/>
            </w:rPr>
            <w:fldChar w:fldCharType="separate"/>
          </w:r>
          <w:r>
            <w:rPr>
              <w:sz w:val="28"/>
              <w:szCs w:val="28"/>
            </w:rPr>
            <w:t>33</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"_Toc28533" </w:instrText>
          </w:r>
          <w:r>
            <w:fldChar w:fldCharType="separate"/>
          </w:r>
          <w:r>
            <w:rPr>
              <w:rFonts w:hint="eastAsia" w:ascii="楷体_GB2312" w:hAnsi="楷体_GB2312" w:eastAsia="楷体_GB2312" w:cs="楷体_GB2312"/>
              <w:bCs/>
              <w:sz w:val="28"/>
              <w:szCs w:val="28"/>
            </w:rPr>
            <w:t>第五节  促进城乡产业协同发展</w:t>
          </w:r>
          <w:r>
            <w:rPr>
              <w:sz w:val="28"/>
              <w:szCs w:val="28"/>
            </w:rPr>
            <w:tab/>
          </w:r>
          <w:r>
            <w:rPr>
              <w:sz w:val="28"/>
              <w:szCs w:val="28"/>
            </w:rPr>
            <w:fldChar w:fldCharType="begin"/>
          </w:r>
          <w:r>
            <w:rPr>
              <w:sz w:val="28"/>
              <w:szCs w:val="28"/>
            </w:rPr>
            <w:instrText xml:space="preserve"> PAGEREF _Toc28533 \h </w:instrText>
          </w:r>
          <w:r>
            <w:rPr>
              <w:sz w:val="28"/>
              <w:szCs w:val="28"/>
            </w:rPr>
            <w:fldChar w:fldCharType="separate"/>
          </w:r>
          <w:r>
            <w:rPr>
              <w:sz w:val="28"/>
              <w:szCs w:val="28"/>
            </w:rPr>
            <w:t>34</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sz w:val="28"/>
              <w:szCs w:val="28"/>
            </w:rPr>
          </w:pPr>
          <w:r>
            <w:fldChar w:fldCharType="begin"/>
          </w:r>
          <w:r>
            <w:instrText xml:space="preserve"> HYPERLINK \l "_Toc3249" </w:instrText>
          </w:r>
          <w:r>
            <w:fldChar w:fldCharType="separate"/>
          </w:r>
          <w:r>
            <w:rPr>
              <w:rFonts w:hint="eastAsia" w:ascii="黑体" w:hAnsi="黑体" w:eastAsia="黑体" w:cs="黑体"/>
              <w:sz w:val="28"/>
              <w:szCs w:val="28"/>
            </w:rPr>
            <w:t>第八章  加快建设现代化城市</w:t>
          </w:r>
          <w:r>
            <w:rPr>
              <w:sz w:val="28"/>
              <w:szCs w:val="28"/>
            </w:rPr>
            <w:tab/>
          </w:r>
          <w:r>
            <w:rPr>
              <w:sz w:val="28"/>
              <w:szCs w:val="28"/>
            </w:rPr>
            <w:fldChar w:fldCharType="begin"/>
          </w:r>
          <w:r>
            <w:rPr>
              <w:sz w:val="28"/>
              <w:szCs w:val="28"/>
            </w:rPr>
            <w:instrText xml:space="preserve"> PAGEREF _Toc3249 \h </w:instrText>
          </w:r>
          <w:r>
            <w:rPr>
              <w:sz w:val="28"/>
              <w:szCs w:val="28"/>
            </w:rPr>
            <w:fldChar w:fldCharType="separate"/>
          </w:r>
          <w:r>
            <w:rPr>
              <w:sz w:val="28"/>
              <w:szCs w:val="28"/>
            </w:rPr>
            <w:t>35</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"_Toc16771" </w:instrText>
          </w:r>
          <w:r>
            <w:fldChar w:fldCharType="separate"/>
          </w:r>
          <w:r>
            <w:rPr>
              <w:rFonts w:hint="eastAsia" w:ascii="楷体_GB2312" w:hAnsi="楷体_GB2312" w:eastAsia="楷体_GB2312" w:cs="楷体_GB2312"/>
              <w:bCs/>
              <w:sz w:val="28"/>
              <w:szCs w:val="28"/>
            </w:rPr>
            <w:t>第一节  提升人居品质，创造人民幸福的彩虹城市</w:t>
          </w:r>
          <w:r>
            <w:rPr>
              <w:sz w:val="28"/>
              <w:szCs w:val="28"/>
            </w:rPr>
            <w:tab/>
          </w:r>
          <w:r>
            <w:rPr>
              <w:sz w:val="28"/>
              <w:szCs w:val="28"/>
            </w:rPr>
            <w:fldChar w:fldCharType="begin"/>
          </w:r>
          <w:r>
            <w:rPr>
              <w:sz w:val="28"/>
              <w:szCs w:val="28"/>
            </w:rPr>
            <w:instrText xml:space="preserve"> PAGEREF _Toc16771 \h </w:instrText>
          </w:r>
          <w:r>
            <w:rPr>
              <w:sz w:val="28"/>
              <w:szCs w:val="28"/>
            </w:rPr>
            <w:fldChar w:fldCharType="separate"/>
          </w:r>
          <w:r>
            <w:rPr>
              <w:sz w:val="28"/>
              <w:szCs w:val="28"/>
            </w:rPr>
            <w:t>36</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"_Toc169" </w:instrText>
          </w:r>
          <w:r>
            <w:fldChar w:fldCharType="separate"/>
          </w:r>
          <w:r>
            <w:rPr>
              <w:rFonts w:hint="eastAsia" w:ascii="楷体_GB2312" w:hAnsi="楷体_GB2312" w:eastAsia="楷体_GB2312" w:cs="楷体_GB2312"/>
              <w:bCs/>
              <w:sz w:val="28"/>
              <w:szCs w:val="28"/>
            </w:rPr>
            <w:t>第二节  筑牢生态屏障，打造山清水秀的森林城市</w:t>
          </w:r>
          <w:r>
            <w:rPr>
              <w:sz w:val="28"/>
              <w:szCs w:val="28"/>
            </w:rPr>
            <w:tab/>
          </w:r>
          <w:r>
            <w:rPr>
              <w:sz w:val="28"/>
              <w:szCs w:val="28"/>
            </w:rPr>
            <w:fldChar w:fldCharType="begin"/>
          </w:r>
          <w:r>
            <w:rPr>
              <w:sz w:val="28"/>
              <w:szCs w:val="28"/>
            </w:rPr>
            <w:instrText xml:space="preserve"> PAGEREF _Toc169 \h </w:instrText>
          </w:r>
          <w:r>
            <w:rPr>
              <w:sz w:val="28"/>
              <w:szCs w:val="28"/>
            </w:rPr>
            <w:fldChar w:fldCharType="separate"/>
          </w:r>
          <w:r>
            <w:rPr>
              <w:sz w:val="28"/>
              <w:szCs w:val="28"/>
            </w:rPr>
            <w:t>37</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"_Toc24790" </w:instrText>
          </w:r>
          <w:r>
            <w:fldChar w:fldCharType="separate"/>
          </w:r>
          <w:r>
            <w:rPr>
              <w:rFonts w:hint="eastAsia" w:ascii="楷体_GB2312" w:hAnsi="楷体_GB2312" w:eastAsia="楷体_GB2312" w:cs="楷体_GB2312"/>
              <w:bCs/>
              <w:sz w:val="28"/>
              <w:szCs w:val="28"/>
            </w:rPr>
            <w:t>第三节  加快城市更新，打造平安稳定的韧性城市</w:t>
          </w:r>
          <w:r>
            <w:rPr>
              <w:sz w:val="28"/>
              <w:szCs w:val="28"/>
            </w:rPr>
            <w:tab/>
          </w:r>
          <w:r>
            <w:rPr>
              <w:sz w:val="28"/>
              <w:szCs w:val="28"/>
            </w:rPr>
            <w:fldChar w:fldCharType="begin"/>
          </w:r>
          <w:r>
            <w:rPr>
              <w:sz w:val="28"/>
              <w:szCs w:val="28"/>
            </w:rPr>
            <w:instrText xml:space="preserve"> PAGEREF _Toc24790 \h </w:instrText>
          </w:r>
          <w:r>
            <w:rPr>
              <w:sz w:val="28"/>
              <w:szCs w:val="28"/>
            </w:rPr>
            <w:fldChar w:fldCharType="separate"/>
          </w:r>
          <w:r>
            <w:rPr>
              <w:sz w:val="28"/>
              <w:szCs w:val="28"/>
            </w:rPr>
            <w:t>39</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"_Toc1057" </w:instrText>
          </w:r>
          <w:r>
            <w:fldChar w:fldCharType="separate"/>
          </w:r>
          <w:r>
            <w:rPr>
              <w:rFonts w:hint="eastAsia" w:ascii="楷体_GB2312" w:hAnsi="楷体_GB2312" w:eastAsia="楷体_GB2312" w:cs="楷体_GB2312"/>
              <w:bCs/>
              <w:sz w:val="28"/>
              <w:szCs w:val="28"/>
            </w:rPr>
            <w:t>第四节  加快创新发展，创建开放融合的智慧城市</w:t>
          </w:r>
          <w:r>
            <w:rPr>
              <w:sz w:val="28"/>
              <w:szCs w:val="28"/>
            </w:rPr>
            <w:tab/>
          </w:r>
          <w:r>
            <w:rPr>
              <w:sz w:val="28"/>
              <w:szCs w:val="28"/>
            </w:rPr>
            <w:fldChar w:fldCharType="begin"/>
          </w:r>
          <w:r>
            <w:rPr>
              <w:sz w:val="28"/>
              <w:szCs w:val="28"/>
            </w:rPr>
            <w:instrText xml:space="preserve"> PAGEREF _Toc1057 \h </w:instrText>
          </w:r>
          <w:r>
            <w:rPr>
              <w:sz w:val="28"/>
              <w:szCs w:val="28"/>
            </w:rPr>
            <w:fldChar w:fldCharType="separate"/>
          </w:r>
          <w:r>
            <w:rPr>
              <w:sz w:val="28"/>
              <w:szCs w:val="28"/>
            </w:rPr>
            <w:t>41</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"_Toc14523" </w:instrText>
          </w:r>
          <w:r>
            <w:fldChar w:fldCharType="separate"/>
          </w:r>
          <w:r>
            <w:rPr>
              <w:rFonts w:hint="eastAsia" w:ascii="楷体_GB2312" w:hAnsi="楷体_GB2312" w:eastAsia="楷体_GB2312" w:cs="楷体_GB2312"/>
              <w:bCs/>
              <w:sz w:val="28"/>
              <w:szCs w:val="28"/>
            </w:rPr>
            <w:t>第五节  提高治理水平，创建人民满意的文明城市</w:t>
          </w:r>
          <w:r>
            <w:rPr>
              <w:sz w:val="28"/>
              <w:szCs w:val="28"/>
            </w:rPr>
            <w:tab/>
          </w:r>
          <w:r>
            <w:rPr>
              <w:sz w:val="28"/>
              <w:szCs w:val="28"/>
            </w:rPr>
            <w:fldChar w:fldCharType="begin"/>
          </w:r>
          <w:r>
            <w:rPr>
              <w:sz w:val="28"/>
              <w:szCs w:val="28"/>
            </w:rPr>
            <w:instrText xml:space="preserve"> PAGEREF _Toc14523 \h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sz w:val="28"/>
              <w:szCs w:val="28"/>
            </w:rPr>
          </w:pPr>
          <w:r>
            <w:fldChar w:fldCharType="begin"/>
          </w:r>
          <w:r>
            <w:instrText xml:space="preserve"> HYPERLINK \l "_Toc16812" </w:instrText>
          </w:r>
          <w:r>
            <w:fldChar w:fldCharType="separate"/>
          </w:r>
          <w:r>
            <w:rPr>
              <w:rFonts w:hint="eastAsia" w:ascii="黑体" w:hAnsi="黑体" w:eastAsia="黑体" w:cs="黑体"/>
              <w:sz w:val="28"/>
              <w:szCs w:val="28"/>
            </w:rPr>
            <w:t>第九章  环境影响评价</w:t>
          </w:r>
          <w:r>
            <w:rPr>
              <w:sz w:val="28"/>
              <w:szCs w:val="28"/>
            </w:rPr>
            <w:tab/>
          </w:r>
          <w:r>
            <w:rPr>
              <w:sz w:val="28"/>
              <w:szCs w:val="28"/>
            </w:rPr>
            <w:fldChar w:fldCharType="begin"/>
          </w:r>
          <w:r>
            <w:rPr>
              <w:sz w:val="28"/>
              <w:szCs w:val="28"/>
            </w:rPr>
            <w:instrText xml:space="preserve"> PAGEREF _Toc16812 \h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"_Toc27657" </w:instrText>
          </w:r>
          <w:r>
            <w:fldChar w:fldCharType="separate"/>
          </w:r>
          <w:r>
            <w:rPr>
              <w:rFonts w:hint="eastAsia" w:ascii="楷体_GB2312" w:hAnsi="楷体_GB2312" w:eastAsia="楷体_GB2312" w:cs="楷体_GB2312"/>
              <w:bCs/>
              <w:sz w:val="28"/>
              <w:szCs w:val="28"/>
            </w:rPr>
            <w:t>第一节  区位资源与环境特征</w:t>
          </w:r>
          <w:r>
            <w:rPr>
              <w:sz w:val="28"/>
              <w:szCs w:val="28"/>
            </w:rPr>
            <w:tab/>
          </w:r>
          <w:r>
            <w:rPr>
              <w:sz w:val="28"/>
              <w:szCs w:val="28"/>
            </w:rPr>
            <w:fldChar w:fldCharType="begin"/>
          </w:r>
          <w:r>
            <w:rPr>
              <w:sz w:val="28"/>
              <w:szCs w:val="28"/>
            </w:rPr>
            <w:instrText xml:space="preserve"> PAGEREF _Toc27657 \h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"_Toc12559" </w:instrText>
          </w:r>
          <w:r>
            <w:fldChar w:fldCharType="separate"/>
          </w:r>
          <w:r>
            <w:rPr>
              <w:rFonts w:hint="eastAsia" w:ascii="楷体_GB2312" w:hAnsi="楷体_GB2312" w:eastAsia="楷体_GB2312" w:cs="楷体_GB2312"/>
              <w:bCs/>
              <w:sz w:val="28"/>
              <w:szCs w:val="28"/>
            </w:rPr>
            <w:t>第二节  资源环境影响分析和预测</w:t>
          </w:r>
          <w:r>
            <w:rPr>
              <w:sz w:val="28"/>
              <w:szCs w:val="28"/>
            </w:rPr>
            <w:tab/>
          </w:r>
          <w:r>
            <w:rPr>
              <w:sz w:val="28"/>
              <w:szCs w:val="28"/>
            </w:rPr>
            <w:fldChar w:fldCharType="begin"/>
          </w:r>
          <w:r>
            <w:rPr>
              <w:sz w:val="28"/>
              <w:szCs w:val="28"/>
            </w:rPr>
            <w:instrText xml:space="preserve"> PAGEREF _Toc12559 \h </w:instrText>
          </w:r>
          <w:r>
            <w:rPr>
              <w:sz w:val="28"/>
              <w:szCs w:val="28"/>
            </w:rPr>
            <w:fldChar w:fldCharType="separate"/>
          </w:r>
          <w:r>
            <w:rPr>
              <w:sz w:val="28"/>
              <w:szCs w:val="28"/>
            </w:rPr>
            <w:t>44</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"_Toc6809" </w:instrText>
          </w:r>
          <w:r>
            <w:fldChar w:fldCharType="separate"/>
          </w:r>
          <w:r>
            <w:rPr>
              <w:rFonts w:hint="eastAsia" w:ascii="楷体_GB2312" w:hAnsi="楷体_GB2312" w:eastAsia="楷体_GB2312" w:cs="楷体_GB2312"/>
              <w:bCs/>
              <w:sz w:val="28"/>
              <w:szCs w:val="28"/>
            </w:rPr>
            <w:t>第三节  新型城镇化环境影响防治措施</w:t>
          </w:r>
          <w:r>
            <w:rPr>
              <w:sz w:val="28"/>
              <w:szCs w:val="28"/>
            </w:rPr>
            <w:tab/>
          </w:r>
          <w:r>
            <w:rPr>
              <w:sz w:val="28"/>
              <w:szCs w:val="28"/>
            </w:rPr>
            <w:fldChar w:fldCharType="begin"/>
          </w:r>
          <w:r>
            <w:rPr>
              <w:sz w:val="28"/>
              <w:szCs w:val="28"/>
            </w:rPr>
            <w:instrText xml:space="preserve"> PAGEREF _Toc6809 \h </w:instrText>
          </w:r>
          <w:r>
            <w:rPr>
              <w:sz w:val="28"/>
              <w:szCs w:val="28"/>
            </w:rPr>
            <w:fldChar w:fldCharType="separate"/>
          </w:r>
          <w:r>
            <w:rPr>
              <w:sz w:val="28"/>
              <w:szCs w:val="28"/>
            </w:rPr>
            <w:t>46</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sz w:val="28"/>
              <w:szCs w:val="28"/>
            </w:rPr>
          </w:pPr>
          <w:r>
            <w:fldChar w:fldCharType="begin"/>
          </w:r>
          <w:r>
            <w:instrText xml:space="preserve"> HYPERLINK \l "_Toc25947" </w:instrText>
          </w:r>
          <w:r>
            <w:fldChar w:fldCharType="separate"/>
          </w:r>
          <w:r>
            <w:rPr>
              <w:rFonts w:hint="eastAsia" w:ascii="黑体" w:hAnsi="黑体" w:eastAsia="黑体" w:cs="黑体"/>
              <w:sz w:val="28"/>
              <w:szCs w:val="28"/>
            </w:rPr>
            <w:t>第十章  完善城镇化发展体制机制</w:t>
          </w:r>
          <w:r>
            <w:rPr>
              <w:sz w:val="28"/>
              <w:szCs w:val="28"/>
            </w:rPr>
            <w:tab/>
          </w:r>
          <w:r>
            <w:rPr>
              <w:sz w:val="28"/>
              <w:szCs w:val="28"/>
            </w:rPr>
            <w:fldChar w:fldCharType="begin"/>
          </w:r>
          <w:r>
            <w:rPr>
              <w:sz w:val="28"/>
              <w:szCs w:val="28"/>
            </w:rPr>
            <w:instrText xml:space="preserve"> PAGEREF _Toc25947 \h </w:instrText>
          </w:r>
          <w:r>
            <w:rPr>
              <w:sz w:val="28"/>
              <w:szCs w:val="28"/>
            </w:rPr>
            <w:fldChar w:fldCharType="separate"/>
          </w:r>
          <w:r>
            <w:rPr>
              <w:sz w:val="28"/>
              <w:szCs w:val="28"/>
            </w:rPr>
            <w:t>48</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"_Toc7013" </w:instrText>
          </w:r>
          <w:r>
            <w:fldChar w:fldCharType="separate"/>
          </w:r>
          <w:r>
            <w:rPr>
              <w:rFonts w:hint="eastAsia" w:ascii="楷体_GB2312" w:hAnsi="楷体_GB2312" w:eastAsia="楷体_GB2312" w:cs="楷体_GB2312"/>
              <w:bCs/>
              <w:sz w:val="28"/>
              <w:szCs w:val="28"/>
            </w:rPr>
            <w:t>第一节  提升空间规划管理水平</w:t>
          </w:r>
          <w:r>
            <w:rPr>
              <w:sz w:val="28"/>
              <w:szCs w:val="28"/>
            </w:rPr>
            <w:tab/>
          </w:r>
          <w:r>
            <w:rPr>
              <w:sz w:val="28"/>
              <w:szCs w:val="28"/>
            </w:rPr>
            <w:fldChar w:fldCharType="begin"/>
          </w:r>
          <w:r>
            <w:rPr>
              <w:sz w:val="28"/>
              <w:szCs w:val="28"/>
            </w:rPr>
            <w:instrText xml:space="preserve"> PAGEREF _Toc7013 \h </w:instrText>
          </w:r>
          <w:r>
            <w:rPr>
              <w:sz w:val="28"/>
              <w:szCs w:val="28"/>
            </w:rPr>
            <w:fldChar w:fldCharType="separate"/>
          </w:r>
          <w:r>
            <w:rPr>
              <w:sz w:val="28"/>
              <w:szCs w:val="28"/>
            </w:rPr>
            <w:t>48</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"_Toc28937" </w:instrText>
          </w:r>
          <w:r>
            <w:fldChar w:fldCharType="separate"/>
          </w:r>
          <w:r>
            <w:rPr>
              <w:rFonts w:hint="eastAsia" w:ascii="楷体_GB2312" w:hAnsi="楷体_GB2312" w:eastAsia="楷体_GB2312" w:cs="楷体_GB2312"/>
              <w:bCs/>
              <w:sz w:val="28"/>
              <w:szCs w:val="28"/>
            </w:rPr>
            <w:t>第二节  理顺城乡建设管理体制</w:t>
          </w:r>
          <w:r>
            <w:rPr>
              <w:sz w:val="28"/>
              <w:szCs w:val="28"/>
            </w:rPr>
            <w:tab/>
          </w:r>
          <w:r>
            <w:rPr>
              <w:sz w:val="28"/>
              <w:szCs w:val="28"/>
            </w:rPr>
            <w:fldChar w:fldCharType="begin"/>
          </w:r>
          <w:r>
            <w:rPr>
              <w:sz w:val="28"/>
              <w:szCs w:val="28"/>
            </w:rPr>
            <w:instrText xml:space="preserve"> PAGEREF _Toc28937 \h </w:instrText>
          </w:r>
          <w:r>
            <w:rPr>
              <w:sz w:val="28"/>
              <w:szCs w:val="28"/>
            </w:rPr>
            <w:fldChar w:fldCharType="separate"/>
          </w:r>
          <w:r>
            <w:rPr>
              <w:sz w:val="28"/>
              <w:szCs w:val="28"/>
            </w:rPr>
            <w:t>49</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"_Toc6338" </w:instrText>
          </w:r>
          <w:r>
            <w:fldChar w:fldCharType="separate"/>
          </w:r>
          <w:r>
            <w:rPr>
              <w:rFonts w:hint="eastAsia" w:ascii="楷体_GB2312" w:hAnsi="楷体_GB2312" w:eastAsia="楷体_GB2312" w:cs="楷体_GB2312"/>
              <w:bCs/>
              <w:sz w:val="28"/>
              <w:szCs w:val="28"/>
            </w:rPr>
            <w:t>第三节  推进人口管理制度改革</w:t>
          </w:r>
          <w:r>
            <w:rPr>
              <w:sz w:val="28"/>
              <w:szCs w:val="28"/>
            </w:rPr>
            <w:tab/>
          </w:r>
          <w:r>
            <w:rPr>
              <w:sz w:val="28"/>
              <w:szCs w:val="28"/>
            </w:rPr>
            <w:fldChar w:fldCharType="begin"/>
          </w:r>
          <w:r>
            <w:rPr>
              <w:sz w:val="28"/>
              <w:szCs w:val="28"/>
            </w:rPr>
            <w:instrText xml:space="preserve"> PAGEREF _Toc6338 \h </w:instrText>
          </w:r>
          <w:r>
            <w:rPr>
              <w:sz w:val="28"/>
              <w:szCs w:val="28"/>
            </w:rPr>
            <w:fldChar w:fldCharType="separate"/>
          </w:r>
          <w:r>
            <w:rPr>
              <w:sz w:val="28"/>
              <w:szCs w:val="28"/>
            </w:rPr>
            <w:t>50</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"_Toc14293" </w:instrText>
          </w:r>
          <w:r>
            <w:fldChar w:fldCharType="separate"/>
          </w:r>
          <w:r>
            <w:rPr>
              <w:rFonts w:hint="eastAsia" w:ascii="楷体_GB2312" w:hAnsi="楷体_GB2312" w:eastAsia="楷体_GB2312" w:cs="楷体_GB2312"/>
              <w:bCs/>
              <w:sz w:val="28"/>
              <w:szCs w:val="28"/>
            </w:rPr>
            <w:t>第四节  深化土地管理制度改革</w:t>
          </w:r>
          <w:r>
            <w:rPr>
              <w:sz w:val="28"/>
              <w:szCs w:val="28"/>
            </w:rPr>
            <w:tab/>
          </w:r>
          <w:r>
            <w:rPr>
              <w:sz w:val="28"/>
              <w:szCs w:val="28"/>
            </w:rPr>
            <w:fldChar w:fldCharType="begin"/>
          </w:r>
          <w:r>
            <w:rPr>
              <w:sz w:val="28"/>
              <w:szCs w:val="28"/>
            </w:rPr>
            <w:instrText xml:space="preserve"> PAGEREF _Toc14293 \h </w:instrText>
          </w:r>
          <w:r>
            <w:rPr>
              <w:sz w:val="28"/>
              <w:szCs w:val="28"/>
            </w:rPr>
            <w:fldChar w:fldCharType="separate"/>
          </w:r>
          <w:r>
            <w:rPr>
              <w:sz w:val="28"/>
              <w:szCs w:val="28"/>
            </w:rPr>
            <w:t>51</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"_Toc10070" </w:instrText>
          </w:r>
          <w:r>
            <w:fldChar w:fldCharType="separate"/>
          </w:r>
          <w:r>
            <w:rPr>
              <w:rFonts w:hint="eastAsia" w:ascii="楷体_GB2312" w:hAnsi="楷体_GB2312" w:eastAsia="楷体_GB2312" w:cs="楷体_GB2312"/>
              <w:bCs/>
              <w:sz w:val="28"/>
              <w:szCs w:val="28"/>
            </w:rPr>
            <w:t>第五节  完善发展融资综合机制</w:t>
          </w:r>
          <w:r>
            <w:rPr>
              <w:sz w:val="28"/>
              <w:szCs w:val="28"/>
            </w:rPr>
            <w:tab/>
          </w:r>
          <w:r>
            <w:rPr>
              <w:sz w:val="28"/>
              <w:szCs w:val="28"/>
            </w:rPr>
            <w:fldChar w:fldCharType="begin"/>
          </w:r>
          <w:r>
            <w:rPr>
              <w:sz w:val="28"/>
              <w:szCs w:val="28"/>
            </w:rPr>
            <w:instrText xml:space="preserve"> PAGEREF _Toc10070 \h </w:instrText>
          </w:r>
          <w:r>
            <w:rPr>
              <w:sz w:val="28"/>
              <w:szCs w:val="28"/>
            </w:rPr>
            <w:fldChar w:fldCharType="separate"/>
          </w:r>
          <w:r>
            <w:rPr>
              <w:sz w:val="28"/>
              <w:szCs w:val="28"/>
            </w:rPr>
            <w:t>52</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sz w:val="28"/>
              <w:szCs w:val="28"/>
            </w:rPr>
          </w:pPr>
          <w:r>
            <w:fldChar w:fldCharType="begin"/>
          </w:r>
          <w:r>
            <w:instrText xml:space="preserve"> HYPERLINK \l "_Toc1113" </w:instrText>
          </w:r>
          <w:r>
            <w:fldChar w:fldCharType="separate"/>
          </w:r>
          <w:r>
            <w:rPr>
              <w:rFonts w:hint="eastAsia" w:ascii="黑体" w:hAnsi="黑体" w:eastAsia="黑体" w:cs="黑体"/>
              <w:bCs/>
              <w:sz w:val="28"/>
              <w:szCs w:val="28"/>
            </w:rPr>
            <w:t>第十一章  保障措施</w:t>
          </w:r>
          <w:r>
            <w:rPr>
              <w:sz w:val="28"/>
              <w:szCs w:val="28"/>
            </w:rPr>
            <w:tab/>
          </w:r>
          <w:r>
            <w:rPr>
              <w:sz w:val="28"/>
              <w:szCs w:val="28"/>
            </w:rPr>
            <w:fldChar w:fldCharType="begin"/>
          </w:r>
          <w:r>
            <w:rPr>
              <w:sz w:val="28"/>
              <w:szCs w:val="28"/>
            </w:rPr>
            <w:instrText xml:space="preserve"> PAGEREF _Toc1113 \h </w:instrText>
          </w:r>
          <w:r>
            <w:rPr>
              <w:sz w:val="28"/>
              <w:szCs w:val="28"/>
            </w:rPr>
            <w:fldChar w:fldCharType="separate"/>
          </w:r>
          <w:r>
            <w:rPr>
              <w:sz w:val="28"/>
              <w:szCs w:val="28"/>
            </w:rPr>
            <w:t>54</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"_Toc30125" </w:instrText>
          </w:r>
          <w:r>
            <w:fldChar w:fldCharType="separate"/>
          </w:r>
          <w:r>
            <w:rPr>
              <w:rFonts w:hint="eastAsia" w:ascii="楷体_GB2312" w:hAnsi="楷体_GB2312" w:eastAsia="楷体_GB2312" w:cs="楷体_GB2312"/>
              <w:bCs/>
              <w:sz w:val="28"/>
              <w:szCs w:val="28"/>
            </w:rPr>
            <w:t>第一节  加强组织协调，强化执行能力</w:t>
          </w:r>
          <w:r>
            <w:rPr>
              <w:sz w:val="28"/>
              <w:szCs w:val="28"/>
            </w:rPr>
            <w:tab/>
          </w:r>
          <w:r>
            <w:rPr>
              <w:sz w:val="28"/>
              <w:szCs w:val="28"/>
            </w:rPr>
            <w:fldChar w:fldCharType="begin"/>
          </w:r>
          <w:r>
            <w:rPr>
              <w:sz w:val="28"/>
              <w:szCs w:val="28"/>
            </w:rPr>
            <w:instrText xml:space="preserve"> PAGEREF _Toc30125 \h </w:instrText>
          </w:r>
          <w:r>
            <w:rPr>
              <w:sz w:val="28"/>
              <w:szCs w:val="28"/>
            </w:rPr>
            <w:fldChar w:fldCharType="separate"/>
          </w:r>
          <w:r>
            <w:rPr>
              <w:sz w:val="28"/>
              <w:szCs w:val="28"/>
            </w:rPr>
            <w:t>54</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"_Toc24996" </w:instrText>
          </w:r>
          <w:r>
            <w:fldChar w:fldCharType="separate"/>
          </w:r>
          <w:r>
            <w:rPr>
              <w:rFonts w:hint="eastAsia" w:ascii="楷体_GB2312" w:hAnsi="楷体_GB2312" w:eastAsia="楷体_GB2312" w:cs="楷体_GB2312"/>
              <w:bCs/>
              <w:sz w:val="28"/>
              <w:szCs w:val="28"/>
            </w:rPr>
            <w:t>第二节  重视人才培养，完善资金保障</w:t>
          </w:r>
          <w:r>
            <w:rPr>
              <w:sz w:val="28"/>
              <w:szCs w:val="28"/>
            </w:rPr>
            <w:tab/>
          </w:r>
          <w:r>
            <w:rPr>
              <w:sz w:val="28"/>
              <w:szCs w:val="28"/>
            </w:rPr>
            <w:fldChar w:fldCharType="begin"/>
          </w:r>
          <w:r>
            <w:rPr>
              <w:sz w:val="28"/>
              <w:szCs w:val="28"/>
            </w:rPr>
            <w:instrText xml:space="preserve"> PAGEREF _Toc24996 \h </w:instrText>
          </w:r>
          <w:r>
            <w:rPr>
              <w:sz w:val="28"/>
              <w:szCs w:val="28"/>
            </w:rPr>
            <w:fldChar w:fldCharType="separate"/>
          </w:r>
          <w:r>
            <w:rPr>
              <w:sz w:val="28"/>
              <w:szCs w:val="28"/>
            </w:rPr>
            <w:t>54</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"_Toc23605" </w:instrText>
          </w:r>
          <w:r>
            <w:fldChar w:fldCharType="separate"/>
          </w:r>
          <w:r>
            <w:rPr>
              <w:rFonts w:hint="eastAsia" w:ascii="楷体_GB2312" w:hAnsi="楷体_GB2312" w:eastAsia="楷体_GB2312" w:cs="楷体_GB2312"/>
              <w:bCs/>
              <w:sz w:val="28"/>
              <w:szCs w:val="28"/>
            </w:rPr>
            <w:t>第三节  严格规划管控，分类试点引导</w:t>
          </w:r>
          <w:r>
            <w:rPr>
              <w:sz w:val="28"/>
              <w:szCs w:val="28"/>
            </w:rPr>
            <w:tab/>
          </w:r>
          <w:r>
            <w:rPr>
              <w:sz w:val="28"/>
              <w:szCs w:val="28"/>
            </w:rPr>
            <w:fldChar w:fldCharType="begin"/>
          </w:r>
          <w:r>
            <w:rPr>
              <w:sz w:val="28"/>
              <w:szCs w:val="28"/>
            </w:rPr>
            <w:instrText xml:space="preserve"> PAGEREF _Toc23605 \h </w:instrText>
          </w:r>
          <w:r>
            <w:rPr>
              <w:sz w:val="28"/>
              <w:szCs w:val="28"/>
            </w:rPr>
            <w:fldChar w:fldCharType="separate"/>
          </w:r>
          <w:r>
            <w:rPr>
              <w:sz w:val="28"/>
              <w:szCs w:val="28"/>
            </w:rPr>
            <w:t>55</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rPr>
              <w:sz w:val="28"/>
              <w:szCs w:val="28"/>
            </w:rPr>
          </w:pPr>
          <w:r>
            <w:fldChar w:fldCharType="begin"/>
          </w:r>
          <w:r>
            <w:instrText xml:space="preserve"> HYPERLINK \l "_Toc27140" </w:instrText>
          </w:r>
          <w:r>
            <w:fldChar w:fldCharType="separate"/>
          </w:r>
          <w:r>
            <w:rPr>
              <w:rFonts w:hint="eastAsia" w:ascii="楷体_GB2312" w:hAnsi="楷体_GB2312" w:eastAsia="楷体_GB2312" w:cs="楷体_GB2312"/>
              <w:bCs/>
              <w:sz w:val="28"/>
              <w:szCs w:val="28"/>
            </w:rPr>
            <w:t>第四节  强化项目支撑，厚植发展动能</w:t>
          </w:r>
          <w:r>
            <w:rPr>
              <w:sz w:val="28"/>
              <w:szCs w:val="28"/>
            </w:rPr>
            <w:tab/>
          </w:r>
          <w:r>
            <w:rPr>
              <w:sz w:val="28"/>
              <w:szCs w:val="28"/>
            </w:rPr>
            <w:fldChar w:fldCharType="begin"/>
          </w:r>
          <w:r>
            <w:rPr>
              <w:sz w:val="28"/>
              <w:szCs w:val="28"/>
            </w:rPr>
            <w:instrText xml:space="preserve"> PAGEREF _Toc27140 \h </w:instrText>
          </w:r>
          <w:r>
            <w:rPr>
              <w:sz w:val="28"/>
              <w:szCs w:val="28"/>
            </w:rPr>
            <w:fldChar w:fldCharType="separate"/>
          </w:r>
          <w:r>
            <w:rPr>
              <w:sz w:val="28"/>
              <w:szCs w:val="28"/>
            </w:rPr>
            <w:t>55</w:t>
          </w:r>
          <w:r>
            <w:rPr>
              <w:sz w:val="28"/>
              <w:szCs w:val="28"/>
            </w:rPr>
            <w:fldChar w:fldCharType="end"/>
          </w:r>
          <w:r>
            <w:rPr>
              <w:sz w:val="28"/>
              <w:szCs w:val="28"/>
            </w:rPr>
            <w:fldChar w:fldCharType="end"/>
          </w:r>
        </w:p>
        <w:p>
          <w:pPr>
            <w:pStyle w:val="11"/>
            <w:tabs>
              <w:tab w:val="right" w:leader="dot" w:pos="8647"/>
            </w:tabs>
            <w:adjustRightInd w:val="0"/>
            <w:snapToGrid w:val="0"/>
            <w:spacing w:line="450" w:lineRule="exact"/>
          </w:pPr>
          <w:r>
            <w:fldChar w:fldCharType="begin"/>
          </w:r>
          <w:r>
            <w:instrText xml:space="preserve"> HYPERLINK \l "_Toc9794" </w:instrText>
          </w:r>
          <w:r>
            <w:fldChar w:fldCharType="separate"/>
          </w:r>
          <w:r>
            <w:rPr>
              <w:rFonts w:hint="eastAsia" w:ascii="楷体_GB2312" w:hAnsi="楷体_GB2312" w:eastAsia="楷体_GB2312" w:cs="楷体_GB2312"/>
              <w:bCs/>
              <w:sz w:val="28"/>
              <w:szCs w:val="28"/>
            </w:rPr>
            <w:t>第五节  严格目标考核，凝聚工作合力</w:t>
          </w:r>
          <w:r>
            <w:rPr>
              <w:sz w:val="28"/>
              <w:szCs w:val="28"/>
            </w:rPr>
            <w:tab/>
          </w:r>
          <w:r>
            <w:rPr>
              <w:sz w:val="28"/>
              <w:szCs w:val="28"/>
            </w:rPr>
            <w:fldChar w:fldCharType="begin"/>
          </w:r>
          <w:r>
            <w:rPr>
              <w:sz w:val="28"/>
              <w:szCs w:val="28"/>
            </w:rPr>
            <w:instrText xml:space="preserve"> PAGEREF _Toc9794 \h </w:instrText>
          </w:r>
          <w:r>
            <w:rPr>
              <w:sz w:val="28"/>
              <w:szCs w:val="28"/>
            </w:rPr>
            <w:fldChar w:fldCharType="separate"/>
          </w:r>
          <w:r>
            <w:rPr>
              <w:sz w:val="28"/>
              <w:szCs w:val="28"/>
            </w:rPr>
            <w:t>55</w:t>
          </w:r>
          <w:r>
            <w:rPr>
              <w:sz w:val="28"/>
              <w:szCs w:val="28"/>
            </w:rPr>
            <w:fldChar w:fldCharType="end"/>
          </w:r>
          <w:r>
            <w:rPr>
              <w:sz w:val="28"/>
              <w:szCs w:val="28"/>
            </w:rPr>
            <w:fldChar w:fldCharType="end"/>
          </w:r>
        </w:p>
        <w:p>
          <w:pPr>
            <w:pStyle w:val="10"/>
            <w:tabs>
              <w:tab w:val="right" w:leader="dot" w:pos="8647"/>
            </w:tabs>
            <w:adjustRightInd w:val="0"/>
            <w:snapToGrid w:val="0"/>
            <w:spacing w:line="450" w:lineRule="exact"/>
            <w:rPr>
              <w:rFonts w:hint="eastAsia" w:ascii="黑体" w:hAnsi="黑体" w:eastAsia="黑体" w:cs="黑体"/>
              <w:bCs/>
              <w:sz w:val="28"/>
              <w:szCs w:val="28"/>
            </w:rPr>
          </w:pPr>
          <w:r>
            <w:rPr>
              <w:rFonts w:hint="eastAsia" w:ascii="黑体" w:hAnsi="黑体" w:eastAsia="黑体" w:cs="黑体"/>
              <w:bCs/>
              <w:sz w:val="28"/>
              <w:szCs w:val="28"/>
            </w:rPr>
            <w:t>附件：临泽县“十四五”新型城镇化发展规划项目表</w:t>
          </w:r>
          <w:r>
            <w:rPr>
              <w:rFonts w:hint="eastAsia" w:ascii="黑体" w:hAnsi="黑体" w:eastAsia="黑体" w:cs="黑体"/>
              <w:bCs/>
              <w:sz w:val="28"/>
              <w:szCs w:val="28"/>
            </w:rPr>
            <w:tab/>
          </w:r>
          <w:r>
            <w:rPr>
              <w:rFonts w:hint="eastAsia" w:ascii="黑体" w:hAnsi="黑体" w:eastAsia="黑体" w:cs="黑体"/>
              <w:bCs/>
              <w:sz w:val="28"/>
              <w:szCs w:val="28"/>
            </w:rPr>
            <w:t>57</w:t>
          </w:r>
        </w:p>
        <w:p>
          <w:pPr>
            <w:autoSpaceDE w:val="0"/>
            <w:autoSpaceDN w:val="0"/>
            <w:adjustRightInd w:val="0"/>
            <w:snapToGrid w:val="0"/>
            <w:spacing w:line="450" w:lineRule="exact"/>
            <w:sectPr>
              <w:footerReference r:id="rId3" w:type="default"/>
              <w:footerReference r:id="rId4" w:type="even"/>
              <w:pgSz w:w="11906" w:h="16838"/>
              <w:pgMar w:top="1701" w:right="1588" w:bottom="1701" w:left="1588" w:header="851" w:footer="992" w:gutter="0"/>
              <w:pgNumType w:fmt="numberInDash" w:start="1"/>
              <w:cols w:space="425" w:num="1"/>
              <w:titlePg/>
              <w:docGrid w:type="lines" w:linePitch="312" w:charSpace="0"/>
            </w:sectPr>
          </w:pPr>
          <w:r>
            <w:rPr>
              <w:rFonts w:hint="eastAsia" w:ascii="方正小标宋简体" w:hAnsi="方正小标宋简体" w:eastAsia="方正小标宋简体" w:cs="方正小标宋简体"/>
              <w:szCs w:val="44"/>
            </w:rPr>
            <w:fldChar w:fldCharType="end"/>
          </w:r>
        </w:p>
      </w:sdtContent>
    </w:sdt>
    <w:p>
      <w:pPr>
        <w:autoSpaceDE w:val="0"/>
        <w:autoSpaceDN w:val="0"/>
        <w:adjustRightInd w:val="0"/>
        <w:snapToGrid w:val="0"/>
        <w:spacing w:line="600" w:lineRule="exact"/>
        <w:outlineLvl w:val="0"/>
        <w:rPr>
          <w:rFonts w:hint="eastAsia" w:ascii="方正小标宋简体" w:hAnsi="方正小标宋简体" w:eastAsia="方正小标宋简体" w:cs="方正小标宋简体"/>
          <w:color w:val="000000" w:themeColor="text1"/>
          <w:sz w:val="44"/>
          <w:szCs w:val="44"/>
        </w:rPr>
      </w:pPr>
      <w:bookmarkStart w:id="0" w:name="_Toc2825"/>
      <w:bookmarkStart w:id="1" w:name="_Toc24959"/>
    </w:p>
    <w:p>
      <w:pPr>
        <w:autoSpaceDE w:val="0"/>
        <w:autoSpaceDN w:val="0"/>
        <w:adjustRightInd w:val="0"/>
        <w:snapToGrid w:val="0"/>
        <w:spacing w:line="600" w:lineRule="exact"/>
        <w:jc w:val="center"/>
        <w:outlineLvl w:val="0"/>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临泽县“十四五”新型城镇化发展规划</w:t>
      </w:r>
      <w:bookmarkEnd w:id="0"/>
      <w:bookmarkEnd w:id="1"/>
    </w:p>
    <w:p>
      <w:pPr>
        <w:pStyle w:val="3"/>
        <w:adjustRightInd w:val="0"/>
        <w:snapToGrid w:val="0"/>
        <w:spacing w:line="600" w:lineRule="exact"/>
        <w:rPr>
          <w:color w:val="000000" w:themeColor="text1"/>
          <w:sz w:val="32"/>
        </w:rPr>
      </w:pPr>
      <w:r>
        <w:rPr>
          <w:rFonts w:hint="eastAsia"/>
          <w:color w:val="000000" w:themeColor="text1"/>
          <w:sz w:val="32"/>
        </w:rPr>
        <w:t xml:space="preserve"> </w:t>
      </w:r>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在我国开启全面建设社会主义现代化国家新征程的重要时期，准确深刻地推进以人为核心的新型城镇化对促进全县经济社会高质量发展具有重大意义。清晰把握城镇化发展的态势和基础，积极应对城镇化过程中面临的问题与挑战，乘势而上为促进“十四五”时期新型城镇化建设迈向新台阶奠定基础。</w:t>
      </w:r>
    </w:p>
    <w:p>
      <w:pPr>
        <w:autoSpaceDE w:val="0"/>
        <w:autoSpaceDN w:val="0"/>
        <w:adjustRightInd w:val="0"/>
        <w:snapToGrid w:val="0"/>
        <w:spacing w:line="580" w:lineRule="exact"/>
        <w:rPr>
          <w:rFonts w:ascii="仿宋_GB2312" w:hAnsi="仿宋_GB2312" w:eastAsia="仿宋_GB2312" w:cs="仿宋_GB2312"/>
          <w:color w:val="000000" w:themeColor="text1"/>
          <w:sz w:val="32"/>
          <w:szCs w:val="32"/>
        </w:rPr>
      </w:pPr>
      <w:bookmarkStart w:id="2" w:name="_Toc26563"/>
    </w:p>
    <w:p>
      <w:pPr>
        <w:autoSpaceDE w:val="0"/>
        <w:autoSpaceDN w:val="0"/>
        <w:adjustRightInd w:val="0"/>
        <w:snapToGrid w:val="0"/>
        <w:spacing w:line="580" w:lineRule="exact"/>
        <w:jc w:val="center"/>
        <w:outlineLvl w:val="0"/>
        <w:rPr>
          <w:rFonts w:ascii="黑体" w:hAnsi="黑体" w:eastAsia="黑体" w:cs="黑体"/>
          <w:color w:val="000000" w:themeColor="text1"/>
          <w:sz w:val="32"/>
          <w:szCs w:val="32"/>
        </w:rPr>
      </w:pPr>
      <w:bookmarkStart w:id="3" w:name="_Toc23713"/>
      <w:bookmarkStart w:id="4" w:name="_Toc26782"/>
      <w:bookmarkStart w:id="5" w:name="_Toc10184"/>
      <w:bookmarkStart w:id="6" w:name="_Toc23672"/>
      <w:r>
        <w:rPr>
          <w:rFonts w:hint="eastAsia" w:ascii="黑体" w:hAnsi="黑体" w:eastAsia="黑体" w:cs="黑体"/>
          <w:color w:val="000000" w:themeColor="text1"/>
          <w:sz w:val="32"/>
          <w:szCs w:val="32"/>
        </w:rPr>
        <w:t>第一章  发展现状与环境</w:t>
      </w:r>
      <w:bookmarkEnd w:id="2"/>
      <w:bookmarkEnd w:id="3"/>
      <w:bookmarkEnd w:id="4"/>
      <w:bookmarkEnd w:id="5"/>
      <w:bookmarkEnd w:id="6"/>
    </w:p>
    <w:p>
      <w:pPr>
        <w:pStyle w:val="6"/>
        <w:adjustRightInd w:val="0"/>
        <w:snapToGrid w:val="0"/>
        <w:spacing w:line="580" w:lineRule="exact"/>
        <w:ind w:left="426"/>
        <w:rPr>
          <w:color w:val="000000" w:themeColor="text1"/>
        </w:rPr>
      </w:pPr>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“十三五”以来，全县新型城镇化发展进程快速推进，城镇化水平稳步提升。截至2021年末，全县城镇化率为48.56%，比上年增长1.72%，随着城乡一体化推进，城镇发展体系逐步完善，城镇化发展进程呈现向好态势。</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7" w:name="_Toc28787"/>
      <w:bookmarkStart w:id="8" w:name="_Toc6941"/>
      <w:bookmarkStart w:id="9" w:name="_Toc31555"/>
      <w:bookmarkStart w:id="10" w:name="_Toc11035"/>
      <w:r>
        <w:rPr>
          <w:rFonts w:hint="eastAsia" w:ascii="楷体_GB2312" w:hAnsi="楷体_GB2312" w:eastAsia="楷体_GB2312" w:cs="楷体_GB2312"/>
          <w:b/>
          <w:bCs/>
          <w:color w:val="000000" w:themeColor="text1"/>
          <w:sz w:val="32"/>
          <w:szCs w:val="32"/>
        </w:rPr>
        <w:t>第一节 “十三五”发展</w:t>
      </w:r>
      <w:bookmarkEnd w:id="7"/>
      <w:r>
        <w:rPr>
          <w:rFonts w:hint="eastAsia" w:ascii="楷体_GB2312" w:hAnsi="楷体_GB2312" w:eastAsia="楷体_GB2312" w:cs="楷体_GB2312"/>
          <w:b/>
          <w:bCs/>
          <w:color w:val="000000" w:themeColor="text1"/>
          <w:sz w:val="32"/>
          <w:szCs w:val="32"/>
        </w:rPr>
        <w:t>基础</w:t>
      </w:r>
      <w:bookmarkEnd w:id="8"/>
      <w:bookmarkEnd w:id="9"/>
      <w:bookmarkEnd w:id="10"/>
    </w:p>
    <w:p>
      <w:pPr>
        <w:pStyle w:val="25"/>
        <w:adjustRightInd w:val="0"/>
        <w:snapToGrid w:val="0"/>
        <w:spacing w:line="600" w:lineRule="exact"/>
        <w:ind w:firstLine="648"/>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——城镇化增速明显。</w:t>
      </w:r>
      <w:r>
        <w:rPr>
          <w:rFonts w:hint="eastAsia" w:ascii="仿宋_GB2312" w:hAnsi="仿宋_GB2312" w:eastAsia="仿宋_GB2312" w:cs="仿宋_GB2312"/>
          <w:color w:val="000000" w:themeColor="text1"/>
          <w:sz w:val="32"/>
          <w:szCs w:val="32"/>
        </w:rPr>
        <w:t>“十三五”末，全县城镇常住人口5.43万人，城镇化率46.84%，比2015年提高6.1个百分点，城镇综合承载能力得到显著提高，城镇空间范围扩大，集聚人口和产业能力增强。</w:t>
      </w:r>
    </w:p>
    <w:p>
      <w:pPr>
        <w:pStyle w:val="25"/>
        <w:adjustRightInd w:val="0"/>
        <w:snapToGrid w:val="0"/>
        <w:spacing w:line="600" w:lineRule="exact"/>
        <w:ind w:firstLine="648"/>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——产业</w:t>
      </w:r>
      <w:r>
        <w:rPr>
          <w:rFonts w:hint="eastAsia" w:ascii="仿宋_GB2312" w:hAnsi="仿宋_GB2312" w:eastAsia="仿宋_GB2312" w:cs="仿宋_GB2312"/>
          <w:b/>
          <w:color w:val="000000" w:themeColor="text1"/>
          <w:spacing w:val="4"/>
          <w:sz w:val="32"/>
          <w:szCs w:val="32"/>
        </w:rPr>
        <w:t>支撑优势明显。</w:t>
      </w:r>
      <w:r>
        <w:rPr>
          <w:rFonts w:hint="eastAsia" w:ascii="仿宋_GB2312" w:hAnsi="仿宋_GB2312" w:eastAsia="仿宋_GB2312" w:cs="仿宋_GB2312"/>
          <w:color w:val="000000" w:themeColor="text1"/>
          <w:spacing w:val="4"/>
          <w:sz w:val="32"/>
          <w:szCs w:val="32"/>
        </w:rPr>
        <w:t>全县国内生产总值由“十二五”末的46.71亿元增至57.45亿元，年均增长5.2%；人均生产总值达到4.97万元，年均增长5.3%。三次产业结构调整为34.4：15.3：50.3。丹霞景区晋升为5A级景区，张掖世界地质公园创建成功，通航产业园被确定为省级军民融</w:t>
      </w:r>
      <w:r>
        <w:rPr>
          <w:rFonts w:hint="eastAsia" w:ascii="仿宋_GB2312" w:hAnsi="仿宋_GB2312" w:eastAsia="仿宋_GB2312" w:cs="仿宋_GB2312"/>
          <w:color w:val="000000" w:themeColor="text1"/>
          <w:sz w:val="32"/>
          <w:szCs w:val="32"/>
        </w:rPr>
        <w:t>合产业园，国家级通航产业综合示范区创建进展顺利，已探明</w:t>
      </w:r>
      <w:r>
        <w:rPr>
          <w:rFonts w:hint="eastAsia" w:ascii="仿宋_GB2312" w:hAnsi="仿宋_GB2312" w:eastAsia="仿宋_GB2312" w:cs="仿宋_GB2312"/>
          <w:color w:val="000000" w:themeColor="text1"/>
          <w:kern w:val="32"/>
          <w:sz w:val="32"/>
          <w:szCs w:val="32"/>
        </w:rPr>
        <w:t>凹凸棒石储量</w:t>
      </w:r>
      <w:r>
        <w:rPr>
          <w:rFonts w:hint="eastAsia" w:ascii="仿宋_GB2312" w:hAnsi="仿宋_GB2312" w:eastAsia="仿宋_GB2312" w:cs="仿宋_GB2312"/>
          <w:snapToGrid w:val="0"/>
          <w:color w:val="000000" w:themeColor="text1"/>
          <w:sz w:val="32"/>
          <w:szCs w:val="32"/>
        </w:rPr>
        <w:t>13.5亿吨，</w:t>
      </w:r>
      <w:r>
        <w:rPr>
          <w:rFonts w:hint="eastAsia" w:ascii="仿宋_GB2312" w:hAnsi="仿宋_GB2312" w:eastAsia="仿宋_GB2312" w:cs="仿宋_GB2312"/>
          <w:color w:val="000000" w:themeColor="text1"/>
          <w:kern w:val="32"/>
          <w:sz w:val="32"/>
          <w:szCs w:val="32"/>
        </w:rPr>
        <w:t>占世界储量的63%以上，</w:t>
      </w:r>
      <w:r>
        <w:rPr>
          <w:rFonts w:hint="eastAsia" w:ascii="仿宋_GB2312" w:hAnsi="仿宋_GB2312" w:eastAsia="仿宋_GB2312" w:cs="仿宋_GB2312"/>
          <w:color w:val="000000" w:themeColor="text1"/>
          <w:sz w:val="32"/>
          <w:szCs w:val="32"/>
        </w:rPr>
        <w:t>极具开发价值。传统产业转型快速推进，农产品精细加工、绿色生态农业、新兴生态工业、全域旅游等产业对城市发展促进作用持续增强，光伏、风电等新能源产业快速发展。</w:t>
      </w:r>
    </w:p>
    <w:p>
      <w:pPr>
        <w:adjustRightInd w:val="0"/>
        <w:snapToGrid w:val="0"/>
        <w:spacing w:line="610" w:lineRule="exact"/>
        <w:ind w:firstLine="640"/>
        <w:rPr>
          <w:rFonts w:ascii="仿宋_GB2312" w:hAnsi="仿宋_GB2312" w:eastAsia="仿宋_GB2312" w:cs="仿宋_GB2312"/>
          <w:color w:val="000000" w:themeColor="text1"/>
          <w:sz w:val="32"/>
          <w:szCs w:val="32"/>
          <w:lang w:val="zh-CN"/>
        </w:rPr>
      </w:pPr>
      <w:r>
        <w:rPr>
          <w:rFonts w:hint="eastAsia" w:ascii="仿宋_GB2312" w:hAnsi="仿宋_GB2312" w:eastAsia="仿宋_GB2312" w:cs="仿宋_GB2312"/>
          <w:b/>
          <w:color w:val="000000" w:themeColor="text1"/>
          <w:sz w:val="32"/>
          <w:szCs w:val="32"/>
        </w:rPr>
        <w:t>——生态环境质量明显改善。</w:t>
      </w:r>
      <w:r>
        <w:rPr>
          <w:rFonts w:hint="eastAsia" w:ascii="仿宋_GB2312" w:hAnsi="仿宋_GB2312" w:eastAsia="仿宋_GB2312" w:cs="仿宋_GB2312"/>
          <w:color w:val="000000" w:themeColor="text1"/>
          <w:sz w:val="32"/>
          <w:szCs w:val="32"/>
        </w:rPr>
        <w:t>大力开展“六带四园多点”大规模国土绿化行动，年均植树造林4.5万亩以上，森林覆盖率达16.66%，城市建成区绿化覆盖率达到41.2%。全力打好污染防治攻坚战，城市生活垃圾实现100%无害化处理。</w:t>
      </w:r>
      <w:r>
        <w:rPr>
          <w:rFonts w:hint="eastAsia" w:ascii="仿宋_GB2312" w:hAnsi="仿宋_GB2312" w:eastAsia="仿宋_GB2312" w:cs="仿宋_GB2312"/>
          <w:color w:val="000000" w:themeColor="text1"/>
          <w:sz w:val="32"/>
          <w:szCs w:val="32"/>
          <w:lang w:val="zh-CN"/>
        </w:rPr>
        <w:t>被确定为</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zh-CN"/>
        </w:rPr>
        <w:t>全国大宗固体废弃物综合利用示范基地</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zh-CN"/>
        </w:rPr>
        <w:t>全国首批水系连通及农村水系综合整治试点县</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zh-CN"/>
        </w:rPr>
        <w:t>获评</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zh-CN"/>
        </w:rPr>
        <w:t>全国村庄清洁行动先进县</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zh-CN"/>
        </w:rPr>
        <w:t>“</w:t>
      </w:r>
      <w:r>
        <w:rPr>
          <w:rFonts w:hint="eastAsia" w:ascii="仿宋_GB2312" w:hAnsi="仿宋_GB2312" w:eastAsia="仿宋_GB2312" w:cs="仿宋_GB2312"/>
          <w:color w:val="000000" w:themeColor="text1"/>
          <w:sz w:val="32"/>
          <w:szCs w:val="32"/>
        </w:rPr>
        <w:t>全国</w:t>
      </w:r>
      <w:r>
        <w:rPr>
          <w:rFonts w:hint="eastAsia" w:ascii="仿宋_GB2312" w:hAnsi="仿宋_GB2312" w:eastAsia="仿宋_GB2312" w:cs="仿宋_GB2312"/>
          <w:color w:val="000000" w:themeColor="text1"/>
          <w:sz w:val="32"/>
          <w:szCs w:val="32"/>
          <w:lang w:val="zh-CN"/>
        </w:rPr>
        <w:t>‘绿水青山就是金山银山’实践创新基地”“</w:t>
      </w:r>
      <w:r>
        <w:rPr>
          <w:rFonts w:hint="eastAsia" w:ascii="仿宋_GB2312" w:hAnsi="仿宋_GB2312" w:eastAsia="仿宋_GB2312" w:cs="仿宋_GB2312"/>
          <w:color w:val="000000" w:themeColor="text1"/>
          <w:sz w:val="32"/>
          <w:szCs w:val="32"/>
        </w:rPr>
        <w:t>全国造林绿化先进集体”。</w:t>
      </w:r>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——改革创新水平不断提升。</w:t>
      </w:r>
      <w:r>
        <w:rPr>
          <w:rFonts w:hint="eastAsia" w:ascii="仿宋_GB2312" w:hAnsi="仿宋_GB2312" w:eastAsia="仿宋_GB2312" w:cs="仿宋_GB2312"/>
          <w:color w:val="000000" w:themeColor="text1"/>
          <w:sz w:val="32"/>
          <w:szCs w:val="32"/>
          <w:lang w:val="zh-CN"/>
        </w:rPr>
        <w:t>农村集体产权</w:t>
      </w:r>
      <w:r>
        <w:rPr>
          <w:rFonts w:hint="eastAsia" w:ascii="仿宋_GB2312" w:hAnsi="仿宋_GB2312" w:eastAsia="仿宋_GB2312" w:cs="仿宋_GB2312"/>
          <w:color w:val="000000" w:themeColor="text1"/>
          <w:sz w:val="32"/>
          <w:szCs w:val="32"/>
        </w:rPr>
        <w:t>制度</w:t>
      </w:r>
      <w:r>
        <w:rPr>
          <w:rFonts w:hint="eastAsia" w:ascii="仿宋_GB2312" w:hAnsi="仿宋_GB2312" w:eastAsia="仿宋_GB2312" w:cs="仿宋_GB2312"/>
          <w:color w:val="000000" w:themeColor="text1"/>
          <w:sz w:val="32"/>
          <w:szCs w:val="32"/>
          <w:lang w:val="zh-CN"/>
        </w:rPr>
        <w:t>改革等</w:t>
      </w:r>
      <w:r>
        <w:rPr>
          <w:rFonts w:hint="eastAsia" w:ascii="仿宋_GB2312" w:hAnsi="仿宋_GB2312" w:eastAsia="仿宋_GB2312" w:cs="仿宋_GB2312"/>
          <w:color w:val="000000" w:themeColor="text1"/>
          <w:sz w:val="32"/>
          <w:szCs w:val="32"/>
        </w:rPr>
        <w:t>9项</w:t>
      </w:r>
      <w:r>
        <w:rPr>
          <w:rFonts w:hint="eastAsia" w:ascii="仿宋_GB2312" w:hAnsi="仿宋_GB2312" w:eastAsia="仿宋_GB2312" w:cs="仿宋_GB2312"/>
          <w:color w:val="000000" w:themeColor="text1"/>
          <w:sz w:val="32"/>
          <w:szCs w:val="32"/>
          <w:lang w:val="zh-CN"/>
        </w:rPr>
        <w:t>省级重点改革任务全面完成。教育、文化、卫生、司法、</w:t>
      </w:r>
      <w:r>
        <w:rPr>
          <w:rFonts w:hint="eastAsia" w:ascii="仿宋_GB2312" w:hAnsi="仿宋_GB2312" w:eastAsia="仿宋_GB2312" w:cs="仿宋_GB2312"/>
          <w:color w:val="000000" w:themeColor="text1"/>
          <w:sz w:val="32"/>
          <w:szCs w:val="32"/>
        </w:rPr>
        <w:t>供销</w:t>
      </w:r>
      <w:r>
        <w:rPr>
          <w:rFonts w:hint="eastAsia" w:ascii="仿宋_GB2312" w:hAnsi="仿宋_GB2312" w:eastAsia="仿宋_GB2312" w:cs="仿宋_GB2312"/>
          <w:color w:val="000000" w:themeColor="text1"/>
          <w:sz w:val="32"/>
          <w:szCs w:val="32"/>
          <w:lang w:val="zh-CN"/>
        </w:rPr>
        <w:t>等领域改革一体推进，党政机构改革、县属国有企业改革顺</w:t>
      </w:r>
      <w:r>
        <w:rPr>
          <w:rFonts w:hint="eastAsia" w:ascii="仿宋_GB2312" w:hAnsi="仿宋_GB2312" w:eastAsia="仿宋_GB2312" w:cs="仿宋_GB2312"/>
          <w:color w:val="000000" w:themeColor="text1"/>
          <w:spacing w:val="-6"/>
          <w:sz w:val="32"/>
          <w:szCs w:val="32"/>
          <w:lang w:val="zh-CN"/>
        </w:rPr>
        <w:t>利完成，</w:t>
      </w:r>
      <w:r>
        <w:rPr>
          <w:rFonts w:hint="eastAsia" w:ascii="仿宋_GB2312" w:hAnsi="仿宋_GB2312" w:eastAsia="仿宋_GB2312" w:cs="仿宋_GB2312"/>
          <w:color w:val="000000" w:themeColor="text1"/>
          <w:spacing w:val="-6"/>
          <w:sz w:val="32"/>
          <w:szCs w:val="32"/>
        </w:rPr>
        <w:t>7家县属国有企业实体化运营</w:t>
      </w:r>
      <w:r>
        <w:rPr>
          <w:rFonts w:hint="eastAsia" w:ascii="仿宋_GB2312" w:hAnsi="仿宋_GB2312" w:eastAsia="仿宋_GB2312" w:cs="仿宋_GB2312"/>
          <w:color w:val="000000" w:themeColor="text1"/>
          <w:spacing w:val="-6"/>
          <w:sz w:val="32"/>
          <w:szCs w:val="32"/>
          <w:lang w:val="zh-CN"/>
        </w:rPr>
        <w:t>。放管服“不来即享”等改革</w:t>
      </w:r>
      <w:r>
        <w:rPr>
          <w:rFonts w:hint="eastAsia" w:ascii="仿宋_GB2312" w:hAnsi="仿宋_GB2312" w:eastAsia="仿宋_GB2312" w:cs="仿宋_GB2312"/>
          <w:color w:val="000000" w:themeColor="text1"/>
          <w:sz w:val="32"/>
          <w:szCs w:val="32"/>
          <w:lang w:val="zh-CN"/>
        </w:rPr>
        <w:t>任务全面落实，行政审批事项精简</w:t>
      </w:r>
      <w:r>
        <w:rPr>
          <w:rFonts w:hint="eastAsia" w:ascii="仿宋_GB2312" w:hAnsi="仿宋_GB2312" w:eastAsia="仿宋_GB2312" w:cs="仿宋_GB2312"/>
          <w:color w:val="000000" w:themeColor="text1"/>
          <w:sz w:val="32"/>
          <w:szCs w:val="32"/>
        </w:rPr>
        <w:t>70%，政务服务事项平均办结时限由法定的17个工作日压缩至5个工作日内</w:t>
      </w:r>
      <w:r>
        <w:rPr>
          <w:rFonts w:hint="eastAsia" w:ascii="仿宋_GB2312" w:hAnsi="仿宋_GB2312" w:eastAsia="仿宋_GB2312" w:cs="仿宋_GB2312"/>
          <w:color w:val="000000" w:themeColor="text1"/>
          <w:sz w:val="32"/>
          <w:szCs w:val="32"/>
          <w:lang w:val="zh-CN"/>
        </w:rPr>
        <w:t>。</w:t>
      </w:r>
      <w:r>
        <w:rPr>
          <w:rFonts w:hint="eastAsia" w:ascii="仿宋_GB2312" w:hAnsi="仿宋_GB2312" w:eastAsia="仿宋_GB2312" w:cs="仿宋_GB2312"/>
          <w:color w:val="000000" w:themeColor="text1"/>
          <w:sz w:val="32"/>
          <w:szCs w:val="32"/>
        </w:rPr>
        <w:t>37家企业入库科技型中小企业，高新技术企业增至26家，战略性新兴产业增加值占比提高到15.5%，科技进步贡献率达65.2%。</w:t>
      </w:r>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b/>
          <w:color w:val="000000" w:themeColor="text1"/>
          <w:sz w:val="32"/>
          <w:szCs w:val="32"/>
          <w:lang w:val="zh-CN"/>
        </w:rPr>
        <w:t>城乡</w:t>
      </w:r>
      <w:r>
        <w:rPr>
          <w:rFonts w:hint="eastAsia" w:ascii="仿宋_GB2312" w:hAnsi="仿宋_GB2312" w:eastAsia="仿宋_GB2312" w:cs="仿宋_GB2312"/>
          <w:b/>
          <w:color w:val="000000" w:themeColor="text1"/>
          <w:sz w:val="32"/>
          <w:szCs w:val="32"/>
        </w:rPr>
        <w:t>基础设施持续改善。</w:t>
      </w:r>
      <w:r>
        <w:rPr>
          <w:rFonts w:hint="eastAsia" w:ascii="仿宋_GB2312" w:hAnsi="仿宋_GB2312" w:eastAsia="仿宋_GB2312" w:cs="仿宋_GB2312"/>
          <w:color w:val="000000" w:themeColor="text1"/>
          <w:sz w:val="32"/>
          <w:szCs w:val="32"/>
        </w:rPr>
        <w:t>陆续启动重大交通基础设施项目，全县公路通车里程达到1501公里。全省首个通航机场建成试运行，外联内畅的交通路网进一步优化。重大民生工程——红山湾水库建成投运。城市供水排污、供热供气、停车场、专业市场等基础设施更加完善，粮食储备保障能力大幅提升。城乡4G基站覆盖率分别达99.8%和98.4%，建成开通5G基站50个，实现县城无线、农村有线网络全覆盖。</w:t>
      </w:r>
    </w:p>
    <w:p>
      <w:pPr>
        <w:pStyle w:val="25"/>
        <w:adjustRightInd w:val="0"/>
        <w:snapToGrid w:val="0"/>
        <w:spacing w:line="600" w:lineRule="exact"/>
        <w:ind w:firstLine="648"/>
        <w:rPr>
          <w:rFonts w:ascii="仿宋_GB2312" w:hAnsi="仿宋_GB2312" w:eastAsia="仿宋_GB2312" w:cs="仿宋_GB2312"/>
          <w:color w:val="000000" w:themeColor="text1"/>
          <w:sz w:val="32"/>
          <w:szCs w:val="32"/>
          <w:lang w:val="zh-CN"/>
        </w:rPr>
      </w:pPr>
      <w:r>
        <w:rPr>
          <w:rFonts w:hint="eastAsia" w:ascii="仿宋_GB2312" w:hAnsi="仿宋_GB2312" w:eastAsia="仿宋_GB2312" w:cs="仿宋_GB2312"/>
          <w:b/>
          <w:color w:val="000000" w:themeColor="text1"/>
          <w:sz w:val="32"/>
          <w:szCs w:val="32"/>
        </w:rPr>
        <w:t>——城镇体制机制日趋完善。</w:t>
      </w:r>
      <w:r>
        <w:rPr>
          <w:rFonts w:hint="eastAsia" w:ascii="仿宋_GB2312" w:hAnsi="仿宋_GB2312" w:eastAsia="仿宋_GB2312" w:cs="仿宋_GB2312"/>
          <w:color w:val="000000" w:themeColor="text1"/>
          <w:sz w:val="32"/>
          <w:szCs w:val="32"/>
          <w:lang w:val="zh-CN"/>
        </w:rPr>
        <w:t>户籍制度改革全面提速，农业转移人口市民化配套政策快速完善，农业转移人口就业服务、基本养老、基本医疗、保障性住房和其子女义务教育纳入了各级政府公益性范围。率先出台优化生育政策配套措施，政法跨</w:t>
      </w:r>
      <w:r>
        <w:rPr>
          <w:rFonts w:hint="eastAsia" w:ascii="仿宋_GB2312" w:hAnsi="仿宋_GB2312" w:eastAsia="仿宋_GB2312" w:cs="仿宋_GB2312"/>
          <w:color w:val="000000" w:themeColor="text1"/>
          <w:spacing w:val="4"/>
          <w:sz w:val="32"/>
          <w:szCs w:val="32"/>
          <w:lang w:val="zh-CN"/>
        </w:rPr>
        <w:t>部门大数据协同办案平台建设经验在全省推广，被列为全省城乡社区治理创新实验区，荣获“全国法治宣传教育先进县”、“全国信访工作‘三无’县”及全国社会治安综合治理最高奖“长安杯”</w:t>
      </w:r>
      <w:r>
        <w:rPr>
          <w:rFonts w:hint="eastAsia" w:ascii="仿宋_GB2312" w:hAnsi="仿宋_GB2312" w:eastAsia="仿宋_GB2312" w:cs="仿宋_GB2312"/>
          <w:color w:val="000000" w:themeColor="text1"/>
          <w:sz w:val="32"/>
          <w:szCs w:val="32"/>
          <w:lang w:val="zh-CN"/>
        </w:rPr>
        <w:t>。</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1" w:name="_Toc19873"/>
      <w:bookmarkStart w:id="12" w:name="_Toc475632238"/>
      <w:bookmarkStart w:id="13" w:name="_Toc3035"/>
      <w:bookmarkStart w:id="14" w:name="_Toc12049"/>
      <w:bookmarkStart w:id="15" w:name="_Toc24148"/>
      <w:r>
        <w:rPr>
          <w:rFonts w:hint="eastAsia" w:ascii="楷体_GB2312" w:hAnsi="楷体_GB2312" w:eastAsia="楷体_GB2312" w:cs="楷体_GB2312"/>
          <w:b/>
          <w:bCs/>
          <w:color w:val="000000" w:themeColor="text1"/>
          <w:sz w:val="32"/>
          <w:szCs w:val="32"/>
        </w:rPr>
        <w:t>第二节  发展中的</w:t>
      </w:r>
      <w:bookmarkEnd w:id="11"/>
      <w:bookmarkEnd w:id="12"/>
      <w:bookmarkStart w:id="16" w:name="_Toc1679265562"/>
      <w:r>
        <w:rPr>
          <w:rFonts w:hint="eastAsia" w:ascii="楷体_GB2312" w:hAnsi="楷体_GB2312" w:eastAsia="楷体_GB2312" w:cs="楷体_GB2312"/>
          <w:b/>
          <w:bCs/>
          <w:color w:val="000000" w:themeColor="text1"/>
          <w:sz w:val="32"/>
          <w:szCs w:val="32"/>
        </w:rPr>
        <w:t>主要问题</w:t>
      </w:r>
      <w:bookmarkEnd w:id="13"/>
      <w:bookmarkEnd w:id="14"/>
      <w:bookmarkEnd w:id="15"/>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——城镇化水平不高。</w:t>
      </w:r>
      <w:r>
        <w:rPr>
          <w:rFonts w:hint="eastAsia" w:ascii="仿宋_GB2312" w:hAnsi="仿宋_GB2312" w:eastAsia="仿宋_GB2312" w:cs="仿宋_GB2312"/>
          <w:color w:val="000000" w:themeColor="text1"/>
          <w:sz w:val="32"/>
          <w:szCs w:val="32"/>
        </w:rPr>
        <w:t>“十三五”末，全县城镇化率为46.84%，低于全市4.45个百分点，低于全省5.39个百分点，滞后于全国17.05个百分点。城镇空间结构规模不够合理，市场化程度低，体制机制不够灵活，生产要素外溢速度加快。</w:t>
      </w:r>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——人口收缩明显。</w:t>
      </w:r>
      <w:r>
        <w:rPr>
          <w:rFonts w:hint="eastAsia" w:ascii="仿宋_GB2312" w:hAnsi="仿宋_GB2312" w:eastAsia="仿宋_GB2312" w:cs="仿宋_GB2312"/>
          <w:color w:val="000000" w:themeColor="text1"/>
          <w:sz w:val="32"/>
          <w:szCs w:val="32"/>
        </w:rPr>
        <w:t>第七次人口普查数据显示，全县常住人口为11.59万人，与2010年第六次全国人口普查时的13.43万人相比，减少了1.84万人，年平均下降1.5%，城市对周边地区人口吸引能力较弱，农民工在城镇就业后转出农村的人口比例不高。</w:t>
      </w:r>
    </w:p>
    <w:p>
      <w:pPr>
        <w:adjustRightInd w:val="0"/>
        <w:snapToGrid w:val="0"/>
        <w:spacing w:line="610" w:lineRule="exact"/>
        <w:ind w:firstLine="644" w:firstLineChars="200"/>
        <w:rPr>
          <w:rFonts w:ascii="仿宋_GB2312" w:eastAsia="仿宋_GB2312"/>
          <w:color w:val="000000" w:themeColor="text1"/>
          <w:sz w:val="32"/>
          <w:szCs w:val="32"/>
        </w:rPr>
      </w:pPr>
      <w:r>
        <w:rPr>
          <w:rFonts w:hint="eastAsia" w:ascii="仿宋_GB2312" w:hAnsi="仿宋_GB2312" w:eastAsia="仿宋_GB2312" w:cs="仿宋_GB2312"/>
          <w:b/>
          <w:color w:val="000000" w:themeColor="text1"/>
          <w:sz w:val="32"/>
          <w:szCs w:val="32"/>
        </w:rPr>
        <w:t>——产业结构不完善。</w:t>
      </w:r>
      <w:r>
        <w:rPr>
          <w:rFonts w:hint="eastAsia" w:ascii="仿宋_GB2312" w:hAnsi="仿宋_GB2312" w:eastAsia="仿宋_GB2312" w:cs="仿宋_GB2312"/>
          <w:color w:val="000000" w:themeColor="text1"/>
          <w:sz w:val="32"/>
          <w:szCs w:val="32"/>
        </w:rPr>
        <w:t>“十三五”末，全县三次产业结构为36.2:14.7:28.19，一产占比偏大，二产偏低且呈下降趋势。同时，农产品竞争优势不强，缺乏市场占有率较高的主导品种和主打品牌。工业企业生产规模小、带动能力弱，新建企业接续不足，</w:t>
      </w:r>
      <w:r>
        <w:rPr>
          <w:rFonts w:hint="eastAsia" w:ascii="仿宋_GB2312" w:eastAsia="仿宋_GB2312"/>
          <w:color w:val="000000" w:themeColor="text1"/>
          <w:sz w:val="32"/>
          <w:szCs w:val="32"/>
        </w:rPr>
        <w:t>工业经济扩容增量缺乏新产能支撑。</w:t>
      </w:r>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——城乡发展不平衡。</w:t>
      </w:r>
      <w:r>
        <w:rPr>
          <w:rFonts w:hint="eastAsia" w:ascii="仿宋_GB2312" w:hAnsi="仿宋_GB2312" w:eastAsia="仿宋_GB2312" w:cs="仿宋_GB2312"/>
          <w:color w:val="000000" w:themeColor="text1"/>
          <w:sz w:val="32"/>
          <w:szCs w:val="32"/>
        </w:rPr>
        <w:t>从城乡发展来看，2020年城镇居民人均可支配收入为28191元，比全国43834元低15643元，比全省33822元低5631元，比全市28976元低785元；农村居民人均可支配收入17101元，比全国17131元低30元，比全省10344元高6757元，比全市16020元高1081元，全县城乡居民人均收入比1.64:1。</w:t>
      </w:r>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——资源要素制约发展。</w:t>
      </w:r>
      <w:r>
        <w:rPr>
          <w:rFonts w:hint="eastAsia" w:ascii="仿宋_GB2312" w:hAnsi="仿宋_GB2312" w:eastAsia="仿宋_GB2312" w:cs="仿宋_GB2312"/>
          <w:color w:val="000000" w:themeColor="text1"/>
          <w:sz w:val="32"/>
          <w:szCs w:val="32"/>
        </w:rPr>
        <w:t>水资源方面，中游用水与省际调水、水资源短缺与经济社会发展用水需求之间还不平衡，地下水超采治理难度大。土地方面，根据国家控制增量、盘活存量的要求，新增建设用地指标将进一步趋紧，保障项目建设用地存在较大难度。能源方面，“十四五”期间新上高载能项目，必须要拿出等量或减量转换方案，节能形势严峻难度较大。</w:t>
      </w:r>
    </w:p>
    <w:bookmarkEnd w:id="16"/>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7" w:name="_Toc19602"/>
      <w:bookmarkStart w:id="18" w:name="_Toc25079"/>
      <w:bookmarkStart w:id="19" w:name="_Toc10947"/>
      <w:bookmarkStart w:id="20" w:name="_Toc23930"/>
      <w:r>
        <w:rPr>
          <w:rFonts w:hint="eastAsia" w:ascii="楷体_GB2312" w:hAnsi="楷体_GB2312" w:eastAsia="楷体_GB2312" w:cs="楷体_GB2312"/>
          <w:b/>
          <w:bCs/>
          <w:color w:val="000000" w:themeColor="text1"/>
          <w:sz w:val="32"/>
          <w:szCs w:val="32"/>
        </w:rPr>
        <w:t>第三节  发展机遇</w:t>
      </w:r>
      <w:bookmarkEnd w:id="17"/>
      <w:bookmarkEnd w:id="18"/>
      <w:bookmarkEnd w:id="19"/>
      <w:bookmarkEnd w:id="20"/>
    </w:p>
    <w:p>
      <w:pPr>
        <w:autoSpaceDE w:val="0"/>
        <w:autoSpaceDN w:val="0"/>
        <w:adjustRightInd w:val="0"/>
        <w:snapToGrid w:val="0"/>
        <w:spacing w:line="600" w:lineRule="exact"/>
        <w:ind w:firstLine="644" w:firstLineChars="200"/>
        <w:rPr>
          <w:rFonts w:ascii="仿宋_GB2312" w:hAnsi="仿宋_GB2312" w:eastAsia="仿宋_GB2312" w:cs="仿宋_GB2312"/>
          <w:color w:val="000000" w:themeColor="text1"/>
          <w:sz w:val="32"/>
          <w:szCs w:val="32"/>
        </w:rPr>
      </w:pPr>
      <w:bookmarkStart w:id="21" w:name="_Toc475632239"/>
      <w:bookmarkStart w:id="22" w:name="_Toc313876235"/>
      <w:r>
        <w:rPr>
          <w:rFonts w:hint="eastAsia" w:ascii="仿宋_GB2312" w:hAnsi="仿宋_GB2312" w:eastAsia="仿宋_GB2312" w:cs="仿宋_GB2312"/>
          <w:b/>
          <w:color w:val="000000" w:themeColor="text1"/>
          <w:sz w:val="32"/>
          <w:szCs w:val="32"/>
        </w:rPr>
        <w:t>——从发展条件看，</w:t>
      </w:r>
      <w:r>
        <w:rPr>
          <w:rFonts w:hint="eastAsia" w:ascii="仿宋_GB2312" w:hAnsi="仿宋_GB2312" w:eastAsia="仿宋_GB2312" w:cs="仿宋_GB2312"/>
          <w:color w:val="000000" w:themeColor="text1"/>
          <w:sz w:val="32"/>
          <w:szCs w:val="32"/>
        </w:rPr>
        <w:t>经过长期的积累，区位优势更加凸显，资源能源相对富集，特色优势比较明显，综合实力和发展水平大幅提升。</w:t>
      </w:r>
      <w:r>
        <w:rPr>
          <w:rFonts w:hint="eastAsia" w:ascii="仿宋_GB2312" w:hAnsi="仿宋_GB2312" w:eastAsia="仿宋_GB2312" w:cs="仿宋_GB2312"/>
          <w:bCs/>
          <w:color w:val="000000" w:themeColor="text1"/>
          <w:sz w:val="32"/>
          <w:szCs w:val="32"/>
        </w:rPr>
        <w:t>绿色生态农业蓬勃发展</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Cs/>
          <w:color w:val="000000" w:themeColor="text1"/>
          <w:sz w:val="32"/>
          <w:szCs w:val="32"/>
        </w:rPr>
        <w:t>新兴生态工业</w:t>
      </w:r>
      <w:r>
        <w:rPr>
          <w:rFonts w:hint="eastAsia" w:ascii="仿宋_GB2312" w:hAnsi="仿宋_GB2312" w:eastAsia="仿宋_GB2312" w:cs="仿宋_GB2312"/>
          <w:color w:val="000000" w:themeColor="text1"/>
          <w:sz w:val="32"/>
          <w:szCs w:val="32"/>
        </w:rPr>
        <w:t>蓄势待发，全域全季生态旅游格局加快形成，生态环境持续改善，基础设施配套日臻完善，公共服务体系日趋完备，这些都为我们转型跨越、率先发展积蓄了潜力后劲，提供了现实路径。</w:t>
      </w:r>
    </w:p>
    <w:p>
      <w:pPr>
        <w:autoSpaceDE w:val="0"/>
        <w:autoSpaceDN w:val="0"/>
        <w:adjustRightInd w:val="0"/>
        <w:snapToGrid w:val="0"/>
        <w:spacing w:line="61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——从发展环境看，</w:t>
      </w:r>
      <w:r>
        <w:rPr>
          <w:rFonts w:hint="eastAsia" w:ascii="仿宋_GB2312" w:hAnsi="仿宋_GB2312" w:eastAsia="仿宋_GB2312" w:cs="仿宋_GB2312"/>
          <w:bCs/>
          <w:color w:val="000000" w:themeColor="text1"/>
          <w:sz w:val="32"/>
          <w:szCs w:val="32"/>
        </w:rPr>
        <w:t>乡村振兴向整体推进、全域拓展提升，良好的自然生态环境得到改善，优质高效的营商环境不断扩大；各类市场主体不断发展壮大，富有活力的创新创业环境加速形成；社会事业、民生保障和社会治理工作走在全市前列；干部群众干事创业激情充分调动，风清气正的政治环境持续优化。</w:t>
      </w:r>
    </w:p>
    <w:p>
      <w:pPr>
        <w:autoSpaceDE w:val="0"/>
        <w:autoSpaceDN w:val="0"/>
        <w:adjustRightInd w:val="0"/>
        <w:snapToGrid w:val="0"/>
        <w:spacing w:line="600" w:lineRule="exact"/>
        <w:ind w:firstLine="644" w:firstLineChars="200"/>
        <w:rPr>
          <w:rFonts w:ascii="仿宋_GB2312" w:hAnsi="仿宋_GB2312" w:eastAsia="仿宋_GB2312" w:cs="仿宋_GB2312"/>
          <w:color w:val="000000" w:themeColor="text1"/>
          <w:sz w:val="32"/>
          <w:szCs w:val="32"/>
        </w:rPr>
      </w:pPr>
      <w:bookmarkStart w:id="23" w:name="_Toc16948"/>
      <w:r>
        <w:rPr>
          <w:rFonts w:hint="eastAsia" w:ascii="仿宋_GB2312" w:hAnsi="仿宋_GB2312" w:eastAsia="仿宋_GB2312" w:cs="仿宋_GB2312"/>
          <w:b/>
          <w:bCs/>
          <w:color w:val="000000" w:themeColor="text1"/>
          <w:sz w:val="32"/>
          <w:szCs w:val="32"/>
        </w:rPr>
        <w:t>——从发展机遇看，</w:t>
      </w:r>
      <w:r>
        <w:rPr>
          <w:rFonts w:hint="eastAsia" w:ascii="仿宋_GB2312" w:hAnsi="仿宋_GB2312" w:eastAsia="仿宋_GB2312" w:cs="仿宋_GB2312"/>
          <w:color w:val="000000" w:themeColor="text1"/>
          <w:sz w:val="32"/>
          <w:szCs w:val="32"/>
        </w:rPr>
        <w:t>习近平总书记视察甘肃和张掖并做出一</w:t>
      </w:r>
      <w:r>
        <w:rPr>
          <w:rFonts w:hint="eastAsia" w:ascii="仿宋_GB2312" w:hAnsi="仿宋_GB2312" w:eastAsia="仿宋_GB2312" w:cs="仿宋_GB2312"/>
          <w:color w:val="000000" w:themeColor="text1"/>
          <w:spacing w:val="6"/>
          <w:sz w:val="32"/>
          <w:szCs w:val="32"/>
        </w:rPr>
        <w:t>系列重要指示，为我们指引前进方向、提供根本遵循、带来诸多政策利好；国家深入实施“一带一路”、推动西部大开发形成新格局、黄河流域生态保护和高质量发展等一系列战略举措，在基础设施、产业发展、公共服务等方面加大向西部倾斜支持力度；</w:t>
      </w:r>
      <w:bookmarkStart w:id="24" w:name="_Toc4338"/>
      <w:r>
        <w:rPr>
          <w:rFonts w:hint="eastAsia" w:ascii="仿宋_GB2312" w:hAnsi="仿宋_GB2312" w:eastAsia="仿宋_GB2312" w:cs="仿宋_GB2312"/>
          <w:color w:val="000000" w:themeColor="text1"/>
          <w:spacing w:val="6"/>
          <w:sz w:val="32"/>
          <w:szCs w:val="32"/>
        </w:rPr>
        <w:t>省上作出打造产业园区和产业集群、建设河西走廊省域副中心都市圈、河西清洁能源基地等规划部署，出台加快县域经济高质量发展的意见；市上提出着力建设以“一园四带”为主体的生态功能区、以绿色生态产业为重点的产业功能</w:t>
      </w:r>
      <w:bookmarkEnd w:id="21"/>
      <w:bookmarkEnd w:id="22"/>
      <w:bookmarkEnd w:id="23"/>
      <w:bookmarkEnd w:id="24"/>
      <w:bookmarkStart w:id="25" w:name="_Toc17620"/>
      <w:bookmarkStart w:id="26" w:name="_Toc475632241"/>
      <w:bookmarkStart w:id="27" w:name="_Toc179988662"/>
      <w:bookmarkStart w:id="28" w:name="_Toc12134"/>
      <w:r>
        <w:rPr>
          <w:rFonts w:hint="eastAsia" w:ascii="仿宋_GB2312" w:hAnsi="仿宋_GB2312" w:eastAsia="仿宋_GB2312" w:cs="仿宋_GB2312"/>
          <w:color w:val="000000" w:themeColor="text1"/>
          <w:spacing w:val="6"/>
          <w:sz w:val="32"/>
          <w:szCs w:val="32"/>
        </w:rPr>
        <w:t>。</w:t>
      </w:r>
    </w:p>
    <w:p>
      <w:pPr>
        <w:adjustRightInd w:val="0"/>
        <w:snapToGrid w:val="0"/>
        <w:spacing w:line="580" w:lineRule="exact"/>
        <w:rPr>
          <w:color w:val="000000" w:themeColor="text1"/>
        </w:rPr>
      </w:pPr>
    </w:p>
    <w:p>
      <w:pPr>
        <w:autoSpaceDE w:val="0"/>
        <w:autoSpaceDN w:val="0"/>
        <w:adjustRightInd w:val="0"/>
        <w:snapToGrid w:val="0"/>
        <w:spacing w:line="580" w:lineRule="exact"/>
        <w:jc w:val="center"/>
        <w:outlineLvl w:val="0"/>
        <w:rPr>
          <w:rFonts w:ascii="黑体" w:hAnsi="黑体" w:eastAsia="黑体" w:cs="黑体"/>
          <w:color w:val="000000" w:themeColor="text1"/>
          <w:sz w:val="32"/>
          <w:szCs w:val="32"/>
        </w:rPr>
      </w:pPr>
      <w:bookmarkStart w:id="29" w:name="_Toc8627"/>
      <w:bookmarkStart w:id="30" w:name="_Toc19504"/>
      <w:r>
        <w:rPr>
          <w:rFonts w:hint="eastAsia" w:ascii="黑体" w:hAnsi="黑体" w:eastAsia="黑体" w:cs="黑体"/>
          <w:color w:val="000000" w:themeColor="text1"/>
          <w:sz w:val="32"/>
          <w:szCs w:val="32"/>
        </w:rPr>
        <w:t>第二章  发展思路</w:t>
      </w:r>
      <w:bookmarkEnd w:id="29"/>
    </w:p>
    <w:p>
      <w:pPr>
        <w:pStyle w:val="2"/>
        <w:adjustRightInd w:val="0"/>
        <w:snapToGrid w:val="0"/>
        <w:ind w:left="2130"/>
      </w:pP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第一节  指导思想</w:t>
      </w:r>
    </w:p>
    <w:p>
      <w:pPr>
        <w:adjustRightInd w:val="0"/>
        <w:snapToGrid w:val="0"/>
        <w:spacing w:line="600" w:lineRule="exact"/>
        <w:ind w:firstLine="644" w:firstLineChars="200"/>
        <w:rPr>
          <w:rFonts w:ascii="仿宋_GB2312" w:hAnsi="仿宋_GB2312" w:eastAsia="仿宋_GB2312" w:cs="仿宋_GB2312"/>
          <w:bCs/>
          <w:color w:val="000000" w:themeColor="text1"/>
          <w:sz w:val="32"/>
        </w:rPr>
      </w:pPr>
      <w:r>
        <w:rPr>
          <w:rFonts w:hint="eastAsia" w:ascii="仿宋_GB2312" w:hAnsi="仿宋_GB2312" w:eastAsia="仿宋_GB2312" w:cs="仿宋_GB2312"/>
          <w:bCs/>
          <w:color w:val="000000" w:themeColor="text1"/>
          <w:sz w:val="32"/>
        </w:rPr>
        <w:t>坚持以习近平新时代中国特色社会主义思想为指导，全面贯彻党的十九大和十九届历次全会精神，深入贯彻习近平总书记对甘肃重要讲话和指示精神，聚力“三新一高”，践行“两山”理论，对标农业优先型和文旅赋能型功能定位，聚焦“一核四廊多点”空间布局和“一城五县”建设目标，以推动新型城镇化高质量发展为主题，以转变城市发展方式为主线，以体制机制改革创新为动力，以满足人民日益增长的美好生活需要为根本目的，深入实施以人为核心的新型城镇化战略，有序推进农</w:t>
      </w:r>
      <w:r>
        <w:rPr>
          <w:rFonts w:hint="eastAsia" w:ascii="仿宋_GB2312" w:hAnsi="仿宋_GB2312" w:eastAsia="仿宋_GB2312" w:cs="仿宋_GB2312"/>
          <w:bCs/>
          <w:color w:val="000000" w:themeColor="text1"/>
          <w:spacing w:val="-4"/>
          <w:sz w:val="32"/>
        </w:rPr>
        <w:t>业转移人口市民化，优化城镇空间布局，夯实城市创新和产业支撑，提高城镇综合服务能力，以“六化”促城乡一体化，打造城乡融合发展新样板，为全面建设社会主义现代化打下坚实基础</w:t>
      </w:r>
      <w:r>
        <w:rPr>
          <w:rFonts w:hint="eastAsia" w:ascii="仿宋_GB2312" w:hAnsi="仿宋_GB2312" w:eastAsia="仿宋_GB2312" w:cs="仿宋_GB2312"/>
          <w:bCs/>
          <w:color w:val="000000" w:themeColor="text1"/>
          <w:sz w:val="32"/>
        </w:rPr>
        <w:t>。</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31" w:name="_Toc11052"/>
      <w:r>
        <w:rPr>
          <w:rFonts w:hint="eastAsia" w:ascii="楷体_GB2312" w:hAnsi="楷体_GB2312" w:eastAsia="楷体_GB2312" w:cs="楷体_GB2312"/>
          <w:b/>
          <w:bCs/>
          <w:color w:val="000000" w:themeColor="text1"/>
          <w:sz w:val="32"/>
          <w:szCs w:val="32"/>
        </w:rPr>
        <w:t>第二节  基本原则</w:t>
      </w:r>
      <w:bookmarkEnd w:id="25"/>
      <w:bookmarkEnd w:id="26"/>
      <w:bookmarkEnd w:id="27"/>
      <w:bookmarkEnd w:id="28"/>
      <w:bookmarkEnd w:id="30"/>
      <w:bookmarkEnd w:id="31"/>
    </w:p>
    <w:p>
      <w:pPr>
        <w:adjustRightInd w:val="0"/>
        <w:snapToGrid w:val="0"/>
        <w:spacing w:line="60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——以人为本、公平共享。</w:t>
      </w:r>
      <w:r>
        <w:rPr>
          <w:rFonts w:hint="eastAsia" w:ascii="仿宋_GB2312" w:hAnsi="仿宋_GB2312" w:eastAsia="仿宋_GB2312" w:cs="仿宋_GB2312"/>
          <w:bCs/>
          <w:color w:val="000000" w:themeColor="text1"/>
          <w:sz w:val="32"/>
          <w:szCs w:val="32"/>
        </w:rPr>
        <w:t>推进以人为核心的新型城镇化，有序推进农业转移人口市民化，稳步推进城镇基本公共服务常住人口全覆盖，不断提高人口素质，促进人的全面发展，使全体居民共享新型城镇化建设成果。</w:t>
      </w:r>
    </w:p>
    <w:p>
      <w:pPr>
        <w:adjustRightInd w:val="0"/>
        <w:snapToGrid w:val="0"/>
        <w:spacing w:line="58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——优化布局、集约高效。</w:t>
      </w:r>
      <w:r>
        <w:rPr>
          <w:rFonts w:hint="eastAsia" w:ascii="仿宋_GB2312" w:hAnsi="仿宋_GB2312" w:eastAsia="仿宋_GB2312" w:cs="仿宋_GB2312"/>
          <w:bCs/>
          <w:color w:val="000000" w:themeColor="text1"/>
          <w:sz w:val="32"/>
          <w:szCs w:val="32"/>
        </w:rPr>
        <w:t>严守生态保护红线、环境质量底线和资源利用上限，落实生态环境分区管控。积极融入河西走廊经济带发展战略，加强祁连山黑河流域生态保护。优化城镇空间结构，合理确定城镇规模和功能，形成集约高效的生产空间、宜居幸福的生活空间和山清水秀的生态空间。</w:t>
      </w:r>
    </w:p>
    <w:p>
      <w:pPr>
        <w:adjustRightInd w:val="0"/>
        <w:snapToGrid w:val="0"/>
        <w:spacing w:line="60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——五化同步、城乡一体。</w:t>
      </w:r>
      <w:r>
        <w:rPr>
          <w:rFonts w:hint="eastAsia" w:ascii="仿宋_GB2312" w:hAnsi="仿宋_GB2312" w:eastAsia="仿宋_GB2312" w:cs="仿宋_GB2312"/>
          <w:bCs/>
          <w:color w:val="000000" w:themeColor="text1"/>
          <w:sz w:val="32"/>
          <w:szCs w:val="32"/>
        </w:rPr>
        <w:t>推进新型城镇化与绿色化、工业化、信息化和农业现代化同步发展，强化产业对城镇化的支撑作用，推动产业与城镇融合发展。立足临泽实际，推动旅游康养、商贸物流、新型低碳绿色工业与乡镇特色发展。</w:t>
      </w:r>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——生态优先、文化传承。</w:t>
      </w:r>
      <w:r>
        <w:rPr>
          <w:rFonts w:hint="eastAsia" w:ascii="仿宋_GB2312" w:hAnsi="仿宋_GB2312" w:eastAsia="仿宋_GB2312" w:cs="仿宋_GB2312"/>
          <w:bCs/>
          <w:color w:val="000000" w:themeColor="text1"/>
          <w:sz w:val="32"/>
          <w:szCs w:val="32"/>
        </w:rPr>
        <w:t>尊重自然，毫不动摇地保护地域自然风光，让城镇融入大自然，让居民望得见山、看得见水、记得住乡愁。着力推进绿色发展、循环发展、低碳发展，节约集约利用水、土地、能源等自然资源。保护和弘扬红西路军文化，延续城市历史文脉，发展有历史记忆、地域特色、文化地标的美丽张掖。</w:t>
      </w:r>
      <w:bookmarkStart w:id="32" w:name="_Toc475632242"/>
      <w:bookmarkStart w:id="33" w:name="_Toc1782583155"/>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34" w:name="_Toc10696"/>
      <w:bookmarkStart w:id="35" w:name="_Toc32157"/>
      <w:bookmarkStart w:id="36" w:name="_Toc16473"/>
      <w:bookmarkStart w:id="37" w:name="_Toc32489"/>
      <w:r>
        <w:rPr>
          <w:rFonts w:hint="eastAsia" w:ascii="楷体_GB2312" w:hAnsi="楷体_GB2312" w:eastAsia="楷体_GB2312" w:cs="楷体_GB2312"/>
          <w:b/>
          <w:bCs/>
          <w:color w:val="000000" w:themeColor="text1"/>
          <w:sz w:val="32"/>
          <w:szCs w:val="32"/>
        </w:rPr>
        <w:t>第三节  发展目标</w:t>
      </w:r>
      <w:bookmarkEnd w:id="32"/>
      <w:bookmarkEnd w:id="33"/>
      <w:bookmarkEnd w:id="34"/>
      <w:bookmarkEnd w:id="35"/>
      <w:bookmarkEnd w:id="36"/>
      <w:bookmarkEnd w:id="37"/>
    </w:p>
    <w:p>
      <w:pPr>
        <w:adjustRightInd w:val="0"/>
        <w:snapToGrid w:val="0"/>
        <w:spacing w:line="60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——城镇化水平和质量实现新提高。</w:t>
      </w:r>
      <w:r>
        <w:rPr>
          <w:rFonts w:hint="eastAsia" w:ascii="仿宋_GB2312" w:hAnsi="仿宋_GB2312" w:eastAsia="仿宋_GB2312" w:cs="仿宋_GB2312"/>
          <w:bCs/>
          <w:color w:val="000000" w:themeColor="text1"/>
          <w:sz w:val="32"/>
          <w:szCs w:val="32"/>
        </w:rPr>
        <w:t>以建设全省乡村振兴重点帮扶县为契机，推动新型城镇化与乡村振兴全面对接，城乡融合发展体制机制更加健全，产业现代化加快推进，居住社区化提质扩容，服务均等化优质均衡，公交一体化普惠共享，治理智能化精细高效，城乡互补，协调发展，力争“十四五”末城镇化率达到55%。</w:t>
      </w:r>
    </w:p>
    <w:p>
      <w:pPr>
        <w:adjustRightInd w:val="0"/>
        <w:snapToGrid w:val="0"/>
        <w:spacing w:line="58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——城镇空间格局形成新局面。</w:t>
      </w:r>
      <w:r>
        <w:rPr>
          <w:rFonts w:hint="eastAsia" w:ascii="仿宋_GB2312" w:hAnsi="仿宋_GB2312" w:eastAsia="仿宋_GB2312" w:cs="仿宋_GB2312"/>
          <w:bCs/>
          <w:color w:val="000000" w:themeColor="text1"/>
          <w:sz w:val="32"/>
          <w:szCs w:val="32"/>
        </w:rPr>
        <w:t>立足区位特点、交通条件、资源禀赋、产业基础、历史人文等因素，构建形成“一核四廊多点”空间格局；覆盖城乡、功能完备、支撑有力的基础设施体系全面构建；内外兼顾、向西为主、多向并进的开放新格局全面形成，共同繁荣的新型城乡关系基本形成。</w:t>
      </w:r>
    </w:p>
    <w:p>
      <w:pPr>
        <w:adjustRightInd w:val="0"/>
        <w:snapToGrid w:val="0"/>
        <w:spacing w:line="58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——城市功能转型实现新升级。</w:t>
      </w:r>
      <w:r>
        <w:rPr>
          <w:rFonts w:hint="eastAsia" w:ascii="仿宋_GB2312" w:hAnsi="仿宋_GB2312" w:eastAsia="仿宋_GB2312" w:cs="仿宋_GB2312"/>
          <w:bCs/>
          <w:color w:val="000000" w:themeColor="text1"/>
          <w:sz w:val="32"/>
          <w:szCs w:val="32"/>
        </w:rPr>
        <w:t>推动区域协调发展，经济发展质量效益明显提高，居民收入增长与经济增长基本同步，产业升级与消费升级协调共进、经济结构与社会结构优化互促，城乡居民人均可支配收入分别达到4.5万元，3万元以上（倍差缩小到1.5左右）。建设生态工业大县，力争“十四五”末生态工业产值达到75亿元以上，战略性新兴产业增加值占工业增加值比重达到50%以上，基本实现新型工业化、绿色化、信息化、城镇化、农业现代化，基本建成现代化创新型城市。应用科技新动能，推进产业迭代升级，把光伏、风电新能源、凹凸棒石新材料、智能制造、5G等产业作为转型发展的新动能，构建现代产业体系，实现城市功能转型新升级。</w:t>
      </w:r>
    </w:p>
    <w:p>
      <w:pPr>
        <w:adjustRightInd w:val="0"/>
        <w:snapToGrid w:val="0"/>
        <w:spacing w:line="58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——生态文明建设取得新成效。</w:t>
      </w:r>
      <w:r>
        <w:rPr>
          <w:rFonts w:hint="eastAsia" w:ascii="仿宋_GB2312" w:hAnsi="仿宋_GB2312" w:eastAsia="仿宋_GB2312" w:cs="仿宋_GB2312"/>
          <w:bCs/>
          <w:color w:val="000000" w:themeColor="text1"/>
          <w:sz w:val="32"/>
          <w:szCs w:val="32"/>
        </w:rPr>
        <w:t>持续巩固提升“绿水青山就是金山银山”实践创新基地、国家园林县城创建成果，森林覆盖率、城市建成区绿化覆盖率分别达到17%、43%以上。“双碳”战略有效实施，建成“零碳”城市。城市基础设施更加完善，综合服务功能不断增强，宜居水平显著提升，宜业环境更加优化，基本形成生态经济发达、生态优势明显、生态环境优美的生态文明格局，创建为国家生态园林城市和全省水美乡村示范县。</w:t>
      </w:r>
    </w:p>
    <w:p>
      <w:pPr>
        <w:adjustRightInd w:val="0"/>
        <w:snapToGrid w:val="0"/>
        <w:spacing w:line="58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——城乡融合发展制度建设跃上新台阶。</w:t>
      </w:r>
      <w:r>
        <w:rPr>
          <w:rFonts w:hint="eastAsia" w:ascii="仿宋_GB2312" w:hAnsi="仿宋_GB2312" w:eastAsia="仿宋_GB2312" w:cs="仿宋_GB2312"/>
          <w:bCs/>
          <w:color w:val="000000" w:themeColor="text1"/>
          <w:sz w:val="32"/>
          <w:szCs w:val="32"/>
        </w:rPr>
        <w:t>社会主义市场经济体制更加健全，高标准市场体系基本建成，公平竞争制度更加全面，更高水平开放型经济新体制基本形成。人口、土地、财政、社会保障和行政区划制度改革取得重大进展，阻碍城镇化发展的体制机制障碍基本消除。</w:t>
      </w:r>
      <w:bookmarkStart w:id="38" w:name="_Hlk58182858"/>
      <w:r>
        <w:rPr>
          <w:rFonts w:hint="eastAsia" w:ascii="仿宋_GB2312" w:hAnsi="仿宋_GB2312" w:eastAsia="仿宋_GB2312" w:cs="仿宋_GB2312"/>
          <w:bCs/>
          <w:color w:val="000000" w:themeColor="text1"/>
          <w:sz w:val="32"/>
          <w:szCs w:val="32"/>
        </w:rPr>
        <w:t>促进城乡生活富裕富足，环境宜居宜业，公共服务普及普惠。</w:t>
      </w:r>
    </w:p>
    <w:bookmarkEnd w:id="38"/>
    <w:p>
      <w:pPr>
        <w:adjustRightInd w:val="0"/>
        <w:snapToGrid w:val="0"/>
        <w:spacing w:line="580" w:lineRule="exact"/>
        <w:rPr>
          <w:rFonts w:ascii="仿宋_GB2312" w:hAnsi="仿宋_GB2312" w:eastAsia="仿宋_GB2312" w:cs="仿宋_GB2312"/>
          <w:color w:val="000000" w:themeColor="text1"/>
          <w:sz w:val="32"/>
          <w:szCs w:val="32"/>
        </w:rPr>
      </w:pPr>
    </w:p>
    <w:p>
      <w:pPr>
        <w:autoSpaceDE w:val="0"/>
        <w:autoSpaceDN w:val="0"/>
        <w:adjustRightInd w:val="0"/>
        <w:snapToGrid w:val="0"/>
        <w:spacing w:line="580" w:lineRule="exact"/>
        <w:jc w:val="center"/>
        <w:outlineLvl w:val="0"/>
        <w:rPr>
          <w:rFonts w:ascii="黑体" w:hAnsi="黑体" w:eastAsia="黑体" w:cs="黑体"/>
          <w:color w:val="000000" w:themeColor="text1"/>
          <w:sz w:val="32"/>
          <w:szCs w:val="32"/>
        </w:rPr>
      </w:pPr>
      <w:bookmarkStart w:id="39" w:name="_Toc10698"/>
      <w:bookmarkStart w:id="40" w:name="_Toc22395"/>
      <w:bookmarkStart w:id="41" w:name="_Toc5284"/>
      <w:bookmarkStart w:id="42" w:name="_Toc1226582277"/>
      <w:bookmarkStart w:id="43" w:name="_Toc18294"/>
      <w:bookmarkStart w:id="44" w:name="_Toc475632243"/>
      <w:bookmarkStart w:id="45" w:name="_Hlk58355665"/>
      <w:r>
        <w:rPr>
          <w:rFonts w:hint="eastAsia" w:ascii="黑体" w:hAnsi="黑体" w:eastAsia="黑体" w:cs="黑体"/>
          <w:color w:val="000000" w:themeColor="text1"/>
          <w:sz w:val="32"/>
          <w:szCs w:val="32"/>
        </w:rPr>
        <w:t>第三章  有序推进农业转移人口市民化</w:t>
      </w:r>
      <w:bookmarkEnd w:id="39"/>
      <w:bookmarkEnd w:id="40"/>
      <w:bookmarkEnd w:id="41"/>
      <w:bookmarkEnd w:id="42"/>
      <w:bookmarkEnd w:id="43"/>
    </w:p>
    <w:p>
      <w:pPr>
        <w:pStyle w:val="6"/>
        <w:adjustRightInd w:val="0"/>
        <w:snapToGrid w:val="0"/>
        <w:spacing w:line="580" w:lineRule="exact"/>
        <w:ind w:left="426"/>
        <w:rPr>
          <w:color w:val="000000" w:themeColor="text1"/>
        </w:rPr>
      </w:pPr>
    </w:p>
    <w:p>
      <w:pPr>
        <w:adjustRightInd w:val="0"/>
        <w:snapToGrid w:val="0"/>
        <w:spacing w:line="60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十四五”期间，努力实现推进农业转移人口市民化由量变到质变。坚持尊重意愿、自主选择、全面系统、循序渐进的基本原则，推动农业转移人口在城镇稳定居住就业、在常住地享有基本公共服务，切实提高农业转移人口市民化质量，实现农业转移人口公平共享新型城镇化成果。</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46" w:name="_Toc32017"/>
      <w:bookmarkStart w:id="47" w:name="_Toc58063015"/>
      <w:bookmarkStart w:id="48" w:name="_Toc15434"/>
      <w:bookmarkStart w:id="49" w:name="_Toc25567"/>
      <w:bookmarkStart w:id="50" w:name="_Toc58062944"/>
      <w:bookmarkStart w:id="51" w:name="_Toc738485799"/>
      <w:bookmarkStart w:id="52" w:name="_Toc18232"/>
      <w:r>
        <w:rPr>
          <w:rFonts w:hint="eastAsia" w:ascii="楷体_GB2312" w:hAnsi="楷体_GB2312" w:eastAsia="楷体_GB2312" w:cs="楷体_GB2312"/>
          <w:b/>
          <w:bCs/>
          <w:color w:val="000000" w:themeColor="text1"/>
          <w:sz w:val="32"/>
          <w:szCs w:val="32"/>
        </w:rPr>
        <w:t>第一节  加快农业转移人口落户城镇</w:t>
      </w:r>
      <w:bookmarkEnd w:id="46"/>
      <w:bookmarkEnd w:id="47"/>
      <w:bookmarkEnd w:id="48"/>
      <w:bookmarkEnd w:id="49"/>
      <w:bookmarkEnd w:id="50"/>
      <w:bookmarkEnd w:id="51"/>
      <w:bookmarkEnd w:id="52"/>
    </w:p>
    <w:p>
      <w:pPr>
        <w:adjustRightInd w:val="0"/>
        <w:snapToGrid w:val="0"/>
        <w:spacing w:line="60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——推动全面户籍改革。</w:t>
      </w:r>
      <w:r>
        <w:rPr>
          <w:rFonts w:hint="eastAsia" w:ascii="仿宋_GB2312" w:hAnsi="仿宋_GB2312" w:eastAsia="仿宋_GB2312" w:cs="仿宋_GB2312"/>
          <w:bCs/>
          <w:color w:val="000000" w:themeColor="text1"/>
          <w:sz w:val="32"/>
          <w:szCs w:val="32"/>
        </w:rPr>
        <w:t>进一步深化户籍制度改革，全面放开全县所有落户限制，实现城市、城镇落户“零门槛”。进一步简化户籍迁移手续，以就近城镇化为主要方向，引导农民工、大中专毕业生、退役军人等重点人群落户城镇。进一步促进劳动力和人才社会性流动，认真落实支持农业转移人口市民化若干财政政策，全力维护进城落户农民土地承包权、宅基地使用权、集体收益分配权，推行农村集体经营性建设用地直接入市。</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——推进农业人口市民化。</w:t>
      </w:r>
      <w:r>
        <w:rPr>
          <w:rFonts w:hint="eastAsia" w:ascii="仿宋_GB2312" w:hAnsi="仿宋_GB2312" w:eastAsia="仿宋_GB2312" w:cs="仿宋_GB2312"/>
          <w:bCs/>
          <w:color w:val="000000" w:themeColor="text1"/>
          <w:sz w:val="32"/>
          <w:szCs w:val="32"/>
        </w:rPr>
        <w:t>根据全县城镇人口规模、综合承载能力和基本公共服务保障能力，以产业发展和就业转移为支撑，进一步破除建制镇落户限制。解决生活在城市，生产在农村，户籍在农村等人群的户籍制度和生产生活问题。积极引导就地、就近城镇化，对失地的“城中村”和“城郊村”农业人口以及在本地城镇规划区域范围内，因城镇建设需要，集体土地已被征用的农村居民，可就地登记为城镇居民。</w:t>
      </w:r>
      <w:r>
        <w:rPr>
          <w:rFonts w:hint="eastAsia" w:ascii="仿宋_GB2312" w:hAnsi="仿宋_GB2312" w:eastAsia="仿宋_GB2312" w:cs="仿宋_GB2312"/>
          <w:color w:val="000000" w:themeColor="text1"/>
          <w:sz w:val="32"/>
          <w:szCs w:val="32"/>
        </w:rPr>
        <w:t>加强城镇基础设施和公共服务能力建设，提升县城和集镇产业人口集聚能力，引导农业转移人口就近就地就业转移。维护进城落户农民的土地承包权、宅基地使用权、集体收益分配权。提高农业转移人口就业创业能力，发挥公共就业服务体系和人力资源市场的作用，提供就业指导和培训服务。制定和完善农业转移人口市民化配套政策，为农民转移人口提供优质服务。</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53" w:name="_Toc58063016"/>
      <w:bookmarkStart w:id="54" w:name="_Toc30661"/>
      <w:bookmarkStart w:id="55" w:name="_Toc6780"/>
      <w:bookmarkStart w:id="56" w:name="_Toc58062945"/>
      <w:bookmarkStart w:id="57" w:name="_Toc180683385"/>
      <w:bookmarkStart w:id="58" w:name="_Toc28742"/>
      <w:bookmarkStart w:id="59" w:name="_Toc8711"/>
      <w:r>
        <w:rPr>
          <w:rFonts w:hint="eastAsia" w:ascii="楷体_GB2312" w:hAnsi="楷体_GB2312" w:eastAsia="楷体_GB2312" w:cs="楷体_GB2312"/>
          <w:b/>
          <w:bCs/>
          <w:color w:val="000000" w:themeColor="text1"/>
          <w:sz w:val="32"/>
          <w:szCs w:val="32"/>
        </w:rPr>
        <w:t>第二节  强化农业转移人口就业扶持</w:t>
      </w:r>
      <w:bookmarkEnd w:id="53"/>
      <w:bookmarkEnd w:id="54"/>
      <w:bookmarkEnd w:id="55"/>
      <w:bookmarkEnd w:id="56"/>
      <w:bookmarkEnd w:id="57"/>
      <w:bookmarkEnd w:id="58"/>
      <w:bookmarkEnd w:id="59"/>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bookmarkStart w:id="60" w:name="_Toc227454949"/>
      <w:bookmarkStart w:id="61" w:name="_Toc58063017"/>
      <w:bookmarkStart w:id="62" w:name="_Toc58062946"/>
      <w:r>
        <w:rPr>
          <w:rFonts w:hint="eastAsia" w:ascii="仿宋_GB2312" w:hAnsi="仿宋_GB2312" w:eastAsia="仿宋_GB2312" w:cs="仿宋_GB2312"/>
          <w:b/>
          <w:color w:val="000000" w:themeColor="text1"/>
          <w:sz w:val="32"/>
          <w:szCs w:val="32"/>
        </w:rPr>
        <w:t>——强化职业技能培训。</w:t>
      </w:r>
      <w:r>
        <w:rPr>
          <w:rFonts w:hint="eastAsia" w:ascii="仿宋_GB2312" w:hAnsi="仿宋_GB2312" w:eastAsia="仿宋_GB2312" w:cs="仿宋_GB2312"/>
          <w:color w:val="000000" w:themeColor="text1"/>
          <w:sz w:val="32"/>
          <w:szCs w:val="32"/>
        </w:rPr>
        <w:t>以农村劳动力为重点，持续实施“新生代农民工职业技能提升计划”“康养职业技能培训计划”“创业培训马兰花计划”等专项培训。整合培训资源，充分利用民办培训学校、公共实训基地和农村劳动力技能培训实</w:t>
      </w:r>
      <w:r>
        <w:rPr>
          <w:rFonts w:hint="eastAsia" w:ascii="仿宋_GB2312" w:hAnsi="仿宋_GB2312" w:eastAsia="仿宋_GB2312" w:cs="仿宋_GB2312"/>
          <w:color w:val="000000" w:themeColor="text1"/>
          <w:spacing w:val="4"/>
          <w:sz w:val="32"/>
          <w:szCs w:val="32"/>
        </w:rPr>
        <w:t>训基地，结合产业发展和劳动力培训需求，大力开展劳动力技能培训，不断提升劳动力技能素质。鼓励企业建立职工岗位培训制度，结合技术进步和产业升级要求，开展职工岗位技能提升培训</w:t>
      </w:r>
      <w:r>
        <w:rPr>
          <w:rFonts w:hint="eastAsia" w:ascii="仿宋_GB2312" w:hAnsi="仿宋_GB2312" w:eastAsia="仿宋_GB2312" w:cs="仿宋_GB2312"/>
          <w:color w:val="000000" w:themeColor="text1"/>
          <w:sz w:val="32"/>
          <w:szCs w:val="32"/>
        </w:rPr>
        <w:t>。</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——加大就业信息监测力度。</w:t>
      </w:r>
      <w:r>
        <w:rPr>
          <w:rFonts w:hint="eastAsia" w:ascii="仿宋_GB2312" w:hAnsi="仿宋_GB2312" w:eastAsia="仿宋_GB2312" w:cs="仿宋_GB2312"/>
          <w:color w:val="000000" w:themeColor="text1"/>
          <w:sz w:val="32"/>
          <w:szCs w:val="32"/>
        </w:rPr>
        <w:t>加快基层公共就业服务平台建设，实行城乡统一就业登记制度，建立劳动力资源数据库和企业用工信息库，双向对接为进城农民提供免费职业指导、职业介绍、政策咨询等就业服务，切实解决企业用工难和劳动力就业难问题。加强就业信息、农民进城工作动态、</w:t>
      </w:r>
      <w:r>
        <w:rPr>
          <w:rFonts w:hint="eastAsia" w:ascii="仿宋_GB2312" w:hAnsi="仿宋_GB2312" w:eastAsia="仿宋_GB2312" w:cs="仿宋_GB2312"/>
          <w:color w:val="000000" w:themeColor="text1"/>
          <w:spacing w:val="-4"/>
          <w:sz w:val="32"/>
          <w:szCs w:val="32"/>
        </w:rPr>
        <w:t>人力资源市场监测，及时掌握用工需求和求职动态，适时发布市场紧缺工种和优先扶持产业工种目录，增强对市场的调节能力</w:t>
      </w:r>
      <w:r>
        <w:rPr>
          <w:rFonts w:hint="eastAsia" w:ascii="仿宋_GB2312" w:hAnsi="仿宋_GB2312" w:eastAsia="仿宋_GB2312" w:cs="仿宋_GB2312"/>
          <w:color w:val="000000" w:themeColor="text1"/>
          <w:sz w:val="32"/>
          <w:szCs w:val="32"/>
        </w:rPr>
        <w:t>。</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63" w:name="_Toc23228"/>
      <w:bookmarkStart w:id="64" w:name="_Toc30521"/>
      <w:bookmarkStart w:id="65" w:name="_Toc9739"/>
      <w:bookmarkStart w:id="66" w:name="_Toc10046"/>
      <w:r>
        <w:rPr>
          <w:rFonts w:hint="eastAsia" w:ascii="楷体_GB2312" w:hAnsi="楷体_GB2312" w:eastAsia="楷体_GB2312" w:cs="楷体_GB2312"/>
          <w:b/>
          <w:bCs/>
          <w:color w:val="000000" w:themeColor="text1"/>
          <w:sz w:val="32"/>
          <w:szCs w:val="32"/>
        </w:rPr>
        <w:t>第三节  确保全民共同享有教育公平</w:t>
      </w:r>
      <w:bookmarkEnd w:id="60"/>
      <w:bookmarkEnd w:id="61"/>
      <w:bookmarkEnd w:id="62"/>
      <w:bookmarkEnd w:id="63"/>
      <w:bookmarkEnd w:id="64"/>
      <w:bookmarkEnd w:id="65"/>
      <w:bookmarkEnd w:id="66"/>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——强化户口流入地主体责任。</w:t>
      </w:r>
      <w:r>
        <w:rPr>
          <w:rFonts w:hint="eastAsia" w:ascii="仿宋_GB2312" w:hAnsi="仿宋_GB2312" w:eastAsia="仿宋_GB2312" w:cs="仿宋_GB2312"/>
          <w:color w:val="000000" w:themeColor="text1"/>
          <w:sz w:val="32"/>
          <w:szCs w:val="32"/>
        </w:rPr>
        <w:t>将农业转移人口随迁子女全部纳入普惠性学前教育、教育发展规划，扩充教育资源，确保农民和农民工随迁子女按照就近原则在流入地公办学校平等接受义务教育。努力实现流入地政府统筹安排所有符合条件的随迁子女在流入地接受义务教育和考试升学，全面实现保障农民工随迁子女在流入地平等接受义务教育。</w:t>
      </w:r>
    </w:p>
    <w:p>
      <w:pPr>
        <w:adjustRightInd w:val="0"/>
        <w:snapToGrid w:val="0"/>
        <w:spacing w:line="58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 xml:space="preserve">    ——均衡配置城乡义务教育资源。</w:t>
      </w:r>
      <w:r>
        <w:rPr>
          <w:rFonts w:hint="eastAsia" w:ascii="仿宋_GB2312" w:hAnsi="仿宋_GB2312" w:eastAsia="仿宋_GB2312" w:cs="仿宋_GB2312"/>
          <w:color w:val="000000" w:themeColor="text1"/>
          <w:sz w:val="32"/>
          <w:szCs w:val="32"/>
        </w:rPr>
        <w:t>坚持教育优先发展，提高公办和普惠性幼儿园办园水平，推进县域义务教育优质均衡发展，实施优质普通高中再提升计划，统筹抓好特殊教育、民办教育、职业教育、民族教育。推进临泽县西关小学、西关幼儿园、实验小学项目建设，扩充城区教育资源，实现适龄儿童、少年就近接受优质教育。健全完善中小学生学籍信息管理系统，为学籍转接提供便捷服务。</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67" w:name="_Toc28043"/>
      <w:bookmarkStart w:id="68" w:name="_Toc15447"/>
      <w:bookmarkStart w:id="69" w:name="_Toc23474"/>
      <w:bookmarkStart w:id="70" w:name="_Toc2005097431"/>
      <w:bookmarkStart w:id="71" w:name="_Toc18310"/>
      <w:r>
        <w:rPr>
          <w:rFonts w:hint="eastAsia" w:ascii="楷体_GB2312" w:hAnsi="楷体_GB2312" w:eastAsia="楷体_GB2312" w:cs="楷体_GB2312"/>
          <w:b/>
          <w:bCs/>
          <w:color w:val="000000" w:themeColor="text1"/>
          <w:sz w:val="32"/>
          <w:szCs w:val="32"/>
        </w:rPr>
        <w:t>第四节  确保公共医疗卫生服务公平</w:t>
      </w:r>
      <w:bookmarkEnd w:id="67"/>
      <w:bookmarkEnd w:id="68"/>
      <w:bookmarkEnd w:id="69"/>
      <w:bookmarkEnd w:id="70"/>
      <w:bookmarkEnd w:id="71"/>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——促进公共卫生服务均等化。</w:t>
      </w:r>
      <w:r>
        <w:rPr>
          <w:rFonts w:hint="eastAsia" w:ascii="仿宋_GB2312" w:hAnsi="仿宋_GB2312" w:eastAsia="仿宋_GB2312" w:cs="仿宋_GB2312"/>
          <w:color w:val="000000" w:themeColor="text1"/>
          <w:sz w:val="32"/>
          <w:szCs w:val="32"/>
        </w:rPr>
        <w:t>根据常住人口和流动人口合理配置城镇基本医疗卫生服务资源，新增医疗卫生资源向城镇社区倾斜。将农业转移人口纳入城镇社区卫生服务体系，按规定免费提供健康教育、妇幼保健、预防接种、传染病防控、慢性病管理、优生优育服务等基本公共卫生服务。重点实施疾病预防控制中心能力提升及业务用房、妇幼保健计划生育服务中心儿童早期发展教育示范基地项目、11所村卫生室及乐民社区、鸭暖、新华、沙河、板桥中心卫生院业务用房及发热门诊建设项目，促进全县公共卫生资源均等化。</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——提升基层医疗卫生服务质量。</w:t>
      </w:r>
      <w:r>
        <w:rPr>
          <w:rFonts w:hint="eastAsia" w:ascii="仿宋_GB2312" w:hAnsi="仿宋_GB2312" w:eastAsia="仿宋_GB2312" w:cs="仿宋_GB2312"/>
          <w:color w:val="000000" w:themeColor="text1"/>
          <w:sz w:val="32"/>
          <w:szCs w:val="32"/>
        </w:rPr>
        <w:t>实施健康临泽促进行动，加快医疗信息化建设，健全完善公共卫生服务体系。确保80%以上镇卫生院和社区卫生服务中心达到“优质服务基层行”国家“基本标准”，努力实现到2025年达到国家“推荐标准”的镇卫生院和社区卫生服务中心达到12%以上。积极开展县域内县级医疗机构对口支援镇卫生院制度。做实做细家庭医生签约服务，建立签约服务质量综合评价机制，落实奖惩和激励约束制度，稳步提升履约服务质量。</w:t>
      </w:r>
    </w:p>
    <w:p>
      <w:pPr>
        <w:autoSpaceDE w:val="0"/>
        <w:autoSpaceDN w:val="0"/>
        <w:adjustRightInd w:val="0"/>
        <w:snapToGrid w:val="0"/>
        <w:spacing w:line="580" w:lineRule="exact"/>
        <w:rPr>
          <w:rFonts w:ascii="黑体" w:hAnsi="黑体" w:eastAsia="黑体" w:cs="黑体"/>
          <w:b/>
          <w:bCs/>
          <w:color w:val="000000" w:themeColor="text1"/>
          <w:sz w:val="32"/>
          <w:szCs w:val="32"/>
        </w:rPr>
      </w:pPr>
      <w:bookmarkStart w:id="72" w:name="_Toc496295602"/>
      <w:bookmarkStart w:id="73" w:name="_Toc14588"/>
    </w:p>
    <w:p>
      <w:pPr>
        <w:autoSpaceDE w:val="0"/>
        <w:autoSpaceDN w:val="0"/>
        <w:adjustRightInd w:val="0"/>
        <w:snapToGrid w:val="0"/>
        <w:spacing w:line="580" w:lineRule="exact"/>
        <w:jc w:val="center"/>
        <w:outlineLvl w:val="0"/>
        <w:rPr>
          <w:rFonts w:ascii="黑体" w:hAnsi="黑体" w:eastAsia="黑体" w:cs="黑体"/>
          <w:bCs/>
          <w:color w:val="000000" w:themeColor="text1"/>
          <w:sz w:val="32"/>
          <w:szCs w:val="32"/>
        </w:rPr>
      </w:pPr>
      <w:bookmarkStart w:id="74" w:name="_Toc7498"/>
      <w:bookmarkStart w:id="75" w:name="_Toc842"/>
      <w:bookmarkStart w:id="76" w:name="_Toc9018"/>
      <w:r>
        <w:rPr>
          <w:rFonts w:hint="eastAsia" w:ascii="黑体" w:hAnsi="黑体" w:eastAsia="黑体" w:cs="黑体"/>
          <w:bCs/>
          <w:color w:val="000000" w:themeColor="text1"/>
          <w:sz w:val="32"/>
          <w:szCs w:val="32"/>
        </w:rPr>
        <w:t>第四章  高起点优化城镇空间布局</w:t>
      </w:r>
      <w:bookmarkEnd w:id="44"/>
      <w:bookmarkEnd w:id="72"/>
      <w:bookmarkEnd w:id="73"/>
      <w:bookmarkEnd w:id="74"/>
      <w:bookmarkEnd w:id="75"/>
      <w:bookmarkEnd w:id="76"/>
    </w:p>
    <w:p>
      <w:pPr>
        <w:pStyle w:val="6"/>
        <w:adjustRightInd w:val="0"/>
        <w:snapToGrid w:val="0"/>
        <w:spacing w:line="580" w:lineRule="exact"/>
        <w:ind w:left="426"/>
        <w:rPr>
          <w:color w:val="000000" w:themeColor="text1"/>
        </w:rPr>
      </w:pP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立足资源环境承载能力和我县农业优先型、文旅赋能型主体功能区定位，充分发挥比较优势，进一步优化重大基础设施、重大生产力和公共资源布局；坚持新城区做“加法”，持续完善公共服务设施，提升城市品质；老城区做“减法”，持续推进改造更新，实现新老城区“互补融通”。注重因地制宜，分类施策，有序推进“城中村”改造，推动建设用地等要素向中心城区倾斜，提升中心城区的承载力、吸引力和辐射带动能力，吸引人口、产业和资源要素向中心城区聚集。</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77" w:name="_Toc28693"/>
      <w:bookmarkStart w:id="78" w:name="_Toc1659338284"/>
      <w:bookmarkStart w:id="79" w:name="_Toc1314"/>
      <w:bookmarkStart w:id="80" w:name="_Toc18917"/>
      <w:bookmarkStart w:id="81" w:name="_Toc18890"/>
      <w:r>
        <w:rPr>
          <w:rFonts w:hint="eastAsia" w:ascii="楷体_GB2312" w:hAnsi="楷体_GB2312" w:eastAsia="楷体_GB2312" w:cs="楷体_GB2312"/>
          <w:b/>
          <w:bCs/>
          <w:color w:val="000000" w:themeColor="text1"/>
          <w:sz w:val="32"/>
          <w:szCs w:val="32"/>
        </w:rPr>
        <w:t>第一节  构建优化城镇空间发展格局</w:t>
      </w:r>
      <w:bookmarkEnd w:id="45"/>
      <w:bookmarkEnd w:id="77"/>
      <w:bookmarkEnd w:id="78"/>
      <w:bookmarkEnd w:id="79"/>
      <w:bookmarkEnd w:id="80"/>
      <w:bookmarkEnd w:id="81"/>
      <w:bookmarkStart w:id="82" w:name="_Toc857619629"/>
      <w:bookmarkStart w:id="83" w:name="_Toc475632248"/>
    </w:p>
    <w:p>
      <w:pPr>
        <w:adjustRightInd w:val="0"/>
        <w:snapToGrid w:val="0"/>
        <w:spacing w:line="580" w:lineRule="exact"/>
        <w:ind w:firstLine="644"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以自然地理格局为基础，以完善区域协调发展、确定生态保护空间、保障农业发展空间、融合城乡一体化发展、彰显地方特</w:t>
      </w:r>
      <w:r>
        <w:rPr>
          <w:rFonts w:hint="eastAsia" w:ascii="仿宋_GB2312" w:hAnsi="仿宋_GB2312" w:eastAsia="仿宋_GB2312" w:cs="仿宋_GB2312"/>
          <w:color w:val="000000" w:themeColor="text1"/>
          <w:kern w:val="0"/>
          <w:sz w:val="32"/>
          <w:szCs w:val="32"/>
        </w:rPr>
        <w:t>色和历史文化名城保护传承为重点，着力构建“一核四廊多点”空间布局和“一城五县”发展格局。</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“一核”：</w:t>
      </w:r>
      <w:r>
        <w:rPr>
          <w:rFonts w:hint="eastAsia" w:ascii="仿宋_GB2312" w:hAnsi="仿宋_GB2312" w:eastAsia="仿宋_GB2312" w:cs="仿宋_GB2312"/>
          <w:color w:val="000000" w:themeColor="text1"/>
          <w:sz w:val="32"/>
          <w:szCs w:val="32"/>
        </w:rPr>
        <w:t>县城综合发展核心。</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“四廊”：</w:t>
      </w:r>
      <w:r>
        <w:rPr>
          <w:rFonts w:hint="eastAsia" w:ascii="仿宋_GB2312" w:hAnsi="仿宋_GB2312" w:eastAsia="仿宋_GB2312" w:cs="仿宋_GB2312"/>
          <w:color w:val="000000" w:themeColor="text1"/>
          <w:sz w:val="32"/>
          <w:szCs w:val="32"/>
        </w:rPr>
        <w:t>312国道、张罗路、临平路、丹柳路四条乡村振兴示范廊道。</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“多点”：</w:t>
      </w:r>
      <w:r>
        <w:rPr>
          <w:rFonts w:hint="eastAsia" w:ascii="仿宋_GB2312" w:hAnsi="仿宋_GB2312" w:eastAsia="仿宋_GB2312" w:cs="仿宋_GB2312"/>
          <w:color w:val="000000" w:themeColor="text1"/>
          <w:sz w:val="32"/>
          <w:szCs w:val="32"/>
        </w:rPr>
        <w:t>乡镇所在地、中心村和重点村、园区、景区等。</w:t>
      </w:r>
    </w:p>
    <w:p>
      <w:pPr>
        <w:pStyle w:val="2"/>
        <w:adjustRightInd w:val="0"/>
        <w:snapToGrid w:val="0"/>
        <w:spacing w:line="580" w:lineRule="exact"/>
        <w:ind w:left="0" w:leftChars="0"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“一城五县”：</w:t>
      </w:r>
      <w:r>
        <w:rPr>
          <w:rFonts w:hint="eastAsia" w:ascii="仿宋_GB2312" w:hAnsi="仿宋_GB2312" w:eastAsia="仿宋_GB2312" w:cs="仿宋_GB2312"/>
          <w:color w:val="000000" w:themeColor="text1"/>
          <w:sz w:val="32"/>
          <w:szCs w:val="32"/>
        </w:rPr>
        <w:t>生态秀美宜居宜业之城，绿色农业强县生态工业大县，全城文旅名县、城乡融合发展示范县、共同富裕示苑县。</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84" w:name="_Toc2418"/>
      <w:bookmarkStart w:id="85" w:name="_Toc21405"/>
      <w:bookmarkStart w:id="86" w:name="_Toc6237"/>
      <w:bookmarkStart w:id="87" w:name="_Toc18589"/>
      <w:r>
        <w:rPr>
          <w:rFonts w:hint="eastAsia" w:ascii="楷体_GB2312" w:hAnsi="楷体_GB2312" w:eastAsia="楷体_GB2312" w:cs="楷体_GB2312"/>
          <w:b/>
          <w:bCs/>
          <w:color w:val="000000" w:themeColor="text1"/>
          <w:sz w:val="32"/>
          <w:szCs w:val="32"/>
        </w:rPr>
        <w:t>第二节  加快推进“甘临”一体化</w:t>
      </w:r>
      <w:bookmarkEnd w:id="82"/>
      <w:bookmarkEnd w:id="84"/>
      <w:bookmarkEnd w:id="85"/>
      <w:bookmarkEnd w:id="86"/>
      <w:bookmarkEnd w:id="87"/>
    </w:p>
    <w:p>
      <w:pPr>
        <w:pStyle w:val="26"/>
        <w:adjustRightInd w:val="0"/>
        <w:snapToGrid w:val="0"/>
        <w:spacing w:line="580" w:lineRule="exact"/>
        <w:ind w:firstLine="648"/>
        <w:rPr>
          <w:rFonts w:ascii="仿宋_GB2312" w:hAnsi="仿宋_GB2312" w:eastAsia="仿宋_GB2312" w:cs="仿宋_GB2312"/>
          <w:color w:val="000000" w:themeColor="text1"/>
          <w:spacing w:val="-4"/>
          <w:kern w:val="0"/>
          <w:sz w:val="32"/>
          <w:szCs w:val="32"/>
        </w:rPr>
      </w:pPr>
      <w:r>
        <w:rPr>
          <w:rFonts w:hint="eastAsia" w:ascii="仿宋_GB2312" w:hAnsi="仿宋_GB2312" w:eastAsia="仿宋_GB2312" w:cs="仿宋_GB2312"/>
          <w:b/>
          <w:color w:val="000000" w:themeColor="text1"/>
          <w:sz w:val="32"/>
          <w:szCs w:val="32"/>
        </w:rPr>
        <w:t>——推动“甘临”优势互补。</w:t>
      </w:r>
      <w:r>
        <w:rPr>
          <w:rFonts w:hint="eastAsia" w:ascii="仿宋_GB2312" w:hAnsi="仿宋_GB2312" w:eastAsia="仿宋_GB2312" w:cs="仿宋_GB2312"/>
          <w:color w:val="000000" w:themeColor="text1"/>
          <w:kern w:val="0"/>
          <w:sz w:val="32"/>
          <w:szCs w:val="32"/>
        </w:rPr>
        <w:t>围绕建设丝绸之路西部国家创新型城市和河西走廊综合枢纽城市，科学统筹新型城镇化建设</w:t>
      </w:r>
      <w:r>
        <w:rPr>
          <w:rFonts w:hint="eastAsia" w:ascii="仿宋_GB2312" w:hAnsi="仿宋_GB2312" w:eastAsia="仿宋_GB2312" w:cs="仿宋_GB2312"/>
          <w:color w:val="000000" w:themeColor="text1"/>
          <w:spacing w:val="-4"/>
          <w:kern w:val="0"/>
          <w:sz w:val="32"/>
          <w:szCs w:val="32"/>
        </w:rPr>
        <w:t>方向。明确主体功能定位和发展目标，依托丹霞大景区，加快推进“甘临”产城融合区建设。形成区域优势互补，推动形成特色彰显、优势强化，通过功能互补、协调联动，提升整体竞争力。</w:t>
      </w:r>
    </w:p>
    <w:p>
      <w:pPr>
        <w:pStyle w:val="27"/>
        <w:adjustRightInd w:val="0"/>
        <w:spacing w:line="600" w:lineRule="exact"/>
        <w:ind w:firstLine="644" w:firstLineChars="200"/>
        <w:jc w:val="both"/>
        <w:outlineLvl w:val="9"/>
        <w:rPr>
          <w:rFonts w:ascii="仿宋_GB2312" w:hAnsi="仿宋_GB2312" w:cs="仿宋_GB2312"/>
          <w:b w:val="0"/>
          <w:color w:val="000000" w:themeColor="text1"/>
          <w:spacing w:val="-4"/>
          <w:kern w:val="2"/>
          <w:sz w:val="32"/>
          <w:szCs w:val="32"/>
        </w:rPr>
      </w:pPr>
      <w:bookmarkStart w:id="88" w:name="_Toc20957"/>
      <w:r>
        <w:rPr>
          <w:rFonts w:hint="eastAsia" w:ascii="仿宋_GB2312" w:hAnsi="仿宋_GB2312" w:cs="仿宋_GB2312"/>
          <w:color w:val="000000" w:themeColor="text1"/>
          <w:sz w:val="32"/>
          <w:szCs w:val="32"/>
        </w:rPr>
        <w:t>——</w:t>
      </w:r>
      <w:bookmarkStart w:id="89" w:name="_Toc85120349"/>
      <w:r>
        <w:rPr>
          <w:rFonts w:hint="eastAsia" w:ascii="仿宋_GB2312" w:hAnsi="仿宋_GB2312" w:cs="仿宋_GB2312"/>
          <w:color w:val="000000" w:themeColor="text1"/>
          <w:sz w:val="32"/>
          <w:szCs w:val="32"/>
        </w:rPr>
        <w:t>统筹融合，协调发展</w:t>
      </w:r>
      <w:bookmarkEnd w:id="89"/>
      <w:r>
        <w:rPr>
          <w:rFonts w:hint="eastAsia" w:ascii="仿宋_GB2312" w:hAnsi="仿宋_GB2312" w:cs="仿宋_GB2312"/>
          <w:color w:val="000000" w:themeColor="text1"/>
          <w:sz w:val="32"/>
          <w:szCs w:val="32"/>
        </w:rPr>
        <w:t>。</w:t>
      </w:r>
      <w:r>
        <w:rPr>
          <w:rFonts w:hint="eastAsia" w:ascii="仿宋_GB2312" w:hAnsi="仿宋_GB2312" w:cs="仿宋_GB2312"/>
          <w:b w:val="0"/>
          <w:color w:val="000000" w:themeColor="text1"/>
          <w:kern w:val="0"/>
          <w:sz w:val="32"/>
          <w:szCs w:val="32"/>
        </w:rPr>
        <w:t>以创建“全国城乡交通运输一体化示范县”为抓手，</w:t>
      </w:r>
      <w:r>
        <w:rPr>
          <w:rFonts w:hint="eastAsia" w:ascii="仿宋_GB2312" w:hAnsi="仿宋_GB2312" w:cs="仿宋_GB2312"/>
          <w:b w:val="0"/>
          <w:color w:val="000000" w:themeColor="text1"/>
          <w:kern w:val="2"/>
          <w:sz w:val="32"/>
          <w:szCs w:val="32"/>
        </w:rPr>
        <w:t>着力推进基础设施联通、客货枢纽畅联、运输服务联程、战略规划协同、体制机制衔接、技术标准兼容、发展要素共享、信息数据融合。</w:t>
      </w:r>
      <w:r>
        <w:rPr>
          <w:rFonts w:hint="eastAsia" w:ascii="仿宋_GB2312" w:hAnsi="仿宋_GB2312" w:cs="仿宋_GB2312"/>
          <w:b w:val="0"/>
          <w:color w:val="000000" w:themeColor="text1"/>
          <w:kern w:val="0"/>
          <w:sz w:val="32"/>
          <w:szCs w:val="32"/>
        </w:rPr>
        <w:t>重新布局以县城为中心，县城至6个镇公交线路为主干线，镇至建制村次干线为补充的城乡</w:t>
      </w:r>
      <w:r>
        <w:rPr>
          <w:rFonts w:hint="eastAsia" w:ascii="仿宋_GB2312" w:hAnsi="仿宋_GB2312" w:cs="仿宋_GB2312"/>
          <w:b w:val="0"/>
          <w:color w:val="000000" w:themeColor="text1"/>
          <w:spacing w:val="-4"/>
          <w:kern w:val="0"/>
          <w:sz w:val="32"/>
          <w:szCs w:val="32"/>
        </w:rPr>
        <w:t>公交一体化网络，开通城区、县镇、镇村、园区及旅游专线等五级公交线路，有效促</w:t>
      </w:r>
      <w:r>
        <w:rPr>
          <w:rFonts w:hint="eastAsia" w:ascii="仿宋_GB2312" w:hAnsi="仿宋_GB2312" w:cs="仿宋_GB2312"/>
          <w:b w:val="0"/>
          <w:color w:val="000000" w:themeColor="text1"/>
          <w:spacing w:val="-4"/>
          <w:kern w:val="2"/>
          <w:sz w:val="32"/>
          <w:szCs w:val="32"/>
        </w:rPr>
        <w:t>进多种运输方式的硬连接和软联通，加快推动交通运输与关联产业有机融合，大力培育路衍经济产业链。</w:t>
      </w:r>
      <w:bookmarkEnd w:id="88"/>
    </w:p>
    <w:bookmarkEnd w:id="83"/>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90" w:name="_Toc32216"/>
      <w:bookmarkStart w:id="91" w:name="_Toc15908"/>
      <w:bookmarkStart w:id="92" w:name="_Toc19646"/>
      <w:bookmarkStart w:id="93" w:name="_Toc29901"/>
      <w:bookmarkStart w:id="94" w:name="_Toc1175155962"/>
      <w:r>
        <w:rPr>
          <w:rFonts w:hint="eastAsia" w:ascii="楷体_GB2312" w:hAnsi="楷体_GB2312" w:eastAsia="楷体_GB2312" w:cs="楷体_GB2312"/>
          <w:b/>
          <w:bCs/>
          <w:color w:val="000000" w:themeColor="text1"/>
          <w:sz w:val="32"/>
          <w:szCs w:val="32"/>
        </w:rPr>
        <w:t>第三节  推动县域经济高质量发展</w:t>
      </w:r>
      <w:bookmarkEnd w:id="90"/>
      <w:bookmarkEnd w:id="91"/>
      <w:bookmarkEnd w:id="92"/>
      <w:bookmarkEnd w:id="93"/>
      <w:bookmarkEnd w:id="94"/>
    </w:p>
    <w:p>
      <w:pPr>
        <w:adjustRightInd w:val="0"/>
        <w:snapToGrid w:val="0"/>
        <w:spacing w:line="586" w:lineRule="exact"/>
        <w:ind w:firstLine="644" w:firstLineChars="200"/>
        <w:rPr>
          <w:rFonts w:ascii="仿宋_GB2312" w:hAnsi="仿宋_GB2312" w:eastAsia="仿宋_GB2312" w:cs="仿宋_GB2312"/>
          <w:color w:val="000000" w:themeColor="text1"/>
          <w:kern w:val="32"/>
          <w:sz w:val="32"/>
          <w:szCs w:val="32"/>
        </w:rPr>
      </w:pPr>
      <w:r>
        <w:rPr>
          <w:rFonts w:hint="eastAsia" w:ascii="仿宋_GB2312" w:hAnsi="仿宋_GB2312" w:eastAsia="仿宋_GB2312" w:cs="仿宋_GB2312"/>
          <w:color w:val="000000" w:themeColor="text1"/>
          <w:sz w:val="32"/>
          <w:szCs w:val="32"/>
        </w:rPr>
        <w:t>立足农业优先型、文旅赋能型功能定位，坚持强县和富民相统一，差异化与协同化相统一，实施“强县域”行动，大力发展特色主导产业，加快构建优势互补、错位发展、繁荣兴旺的县域经济发展新格局。坚持以产业现代化为关键，强龙头、补链条、聚集群，建设现代种子、现代丝路寒旱农业、凹凸棒石、通用航空、风光电新能源、文旅康养六大产业功能区，构建特色优势产业体系。深入实施工业突破发展三年行动计划，打造国家级凹凸棒石科技产业园，争创国家级通航产业综合示范区，建设百万千瓦级清洁能源基地，推动产业基础高级化、产业链现代化。实施全域文旅产业提质增效三年行动计划，培育壮大乡村、康养、红色、研学、体育五大旅游业态，不断完善全域全季旅游格局，创建全省乡村旅游示范县、国家级全域旅游示范区。</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95" w:name="_Toc7506"/>
      <w:bookmarkStart w:id="96" w:name="_Toc22367"/>
      <w:bookmarkStart w:id="97" w:name="_Toc4059"/>
      <w:bookmarkStart w:id="98" w:name="_Toc21930"/>
      <w:bookmarkStart w:id="99" w:name="_Toc601148078"/>
      <w:bookmarkStart w:id="100" w:name="_Toc475632249"/>
      <w:r>
        <w:rPr>
          <w:rFonts w:hint="eastAsia" w:ascii="楷体_GB2312" w:hAnsi="楷体_GB2312" w:eastAsia="楷体_GB2312" w:cs="楷体_GB2312"/>
          <w:b/>
          <w:bCs/>
          <w:color w:val="000000" w:themeColor="text1"/>
          <w:sz w:val="32"/>
          <w:szCs w:val="32"/>
        </w:rPr>
        <w:t>第四节  统筹推进小城镇优化发展</w:t>
      </w:r>
      <w:bookmarkEnd w:id="95"/>
      <w:bookmarkEnd w:id="96"/>
      <w:bookmarkEnd w:id="97"/>
      <w:bookmarkEnd w:id="98"/>
      <w:bookmarkEnd w:id="99"/>
      <w:bookmarkEnd w:id="100"/>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32"/>
          <w:sz w:val="32"/>
          <w:szCs w:val="32"/>
        </w:rPr>
        <w:t>加强县城基础设施建设和产业发展，激发县城增长活力。促进县城公共服务设施提标扩面、环境基础设施提级扩能、市政公用设施提档升级、产业配套设施提质增效。规划形成以贯穿县域的四条“井”字形廊道为轴线，以县城和重点镇为重点，因地制宜地打造一批特色鲜明、优势明显的“工业强镇”“旅游名镇”“商贸集镇”“农业重镇”，增强产业和人口集聚能力，促进农业转移人口就近城镇化。</w:t>
      </w:r>
      <w:r>
        <w:rPr>
          <w:rFonts w:hint="eastAsia" w:ascii="仿宋_GB2312" w:hAnsi="仿宋_GB2312" w:eastAsia="仿宋_GB2312" w:cs="仿宋_GB2312"/>
          <w:color w:val="000000" w:themeColor="text1"/>
          <w:sz w:val="32"/>
          <w:szCs w:val="32"/>
        </w:rPr>
        <w:t>按照产业兴旺、生态宜居、乡风文明、治理有效、生活富裕的总要求，精心编制乡村规划，推进“零碳”村镇建设。尊重山水林田湖草沙冰等生态脉络，注重自然和农业景观搭配互动，立足镇村资源禀赋和发展现状，保护塑造乡村风貌，延续乡村历史文脉</w:t>
      </w:r>
      <w:bookmarkStart w:id="101" w:name="_Toc10404"/>
      <w:r>
        <w:rPr>
          <w:rFonts w:hint="eastAsia" w:ascii="仿宋_GB2312" w:hAnsi="仿宋_GB2312" w:eastAsia="仿宋_GB2312" w:cs="仿宋_GB2312"/>
          <w:color w:val="000000" w:themeColor="text1"/>
          <w:sz w:val="32"/>
          <w:szCs w:val="32"/>
        </w:rPr>
        <w:t>，推进绿色农村建设</w:t>
      </w:r>
      <w:bookmarkEnd w:id="101"/>
      <w:r>
        <w:rPr>
          <w:rFonts w:hint="eastAsia" w:ascii="仿宋_GB2312" w:hAnsi="仿宋_GB2312" w:eastAsia="仿宋_GB2312" w:cs="仿宋_GB2312"/>
          <w:color w:val="000000" w:themeColor="text1"/>
          <w:sz w:val="32"/>
          <w:szCs w:val="32"/>
        </w:rPr>
        <w:t>。</w:t>
      </w:r>
    </w:p>
    <w:p>
      <w:pPr>
        <w:autoSpaceDE w:val="0"/>
        <w:autoSpaceDN w:val="0"/>
        <w:adjustRightInd w:val="0"/>
        <w:snapToGrid w:val="0"/>
        <w:spacing w:line="580" w:lineRule="exact"/>
        <w:rPr>
          <w:rFonts w:ascii="黑体" w:hAnsi="黑体" w:eastAsia="黑体" w:cs="黑体"/>
          <w:color w:val="000000" w:themeColor="text1"/>
          <w:sz w:val="32"/>
          <w:szCs w:val="32"/>
        </w:rPr>
      </w:pPr>
      <w:bookmarkStart w:id="102" w:name="_Toc1749"/>
      <w:bookmarkStart w:id="103" w:name="_Toc475632250"/>
      <w:bookmarkStart w:id="104" w:name="_Toc6582"/>
      <w:bookmarkStart w:id="105" w:name="_Toc328453372"/>
    </w:p>
    <w:p>
      <w:pPr>
        <w:autoSpaceDE w:val="0"/>
        <w:autoSpaceDN w:val="0"/>
        <w:adjustRightInd w:val="0"/>
        <w:snapToGrid w:val="0"/>
        <w:spacing w:line="580" w:lineRule="exact"/>
        <w:jc w:val="center"/>
        <w:outlineLvl w:val="0"/>
        <w:rPr>
          <w:rFonts w:ascii="黑体" w:hAnsi="黑体" w:eastAsia="黑体" w:cs="黑体"/>
          <w:color w:val="000000" w:themeColor="text1"/>
          <w:sz w:val="32"/>
          <w:szCs w:val="32"/>
        </w:rPr>
      </w:pPr>
      <w:bookmarkStart w:id="106" w:name="_Toc13106"/>
      <w:bookmarkStart w:id="107" w:name="_Toc11766"/>
      <w:r>
        <w:rPr>
          <w:rFonts w:hint="eastAsia" w:ascii="黑体" w:hAnsi="黑体" w:eastAsia="黑体" w:cs="黑体"/>
          <w:color w:val="000000" w:themeColor="text1"/>
          <w:sz w:val="32"/>
          <w:szCs w:val="32"/>
        </w:rPr>
        <w:t>第五章  高水平夯实城市创新和产业支撑</w:t>
      </w:r>
      <w:bookmarkEnd w:id="102"/>
      <w:bookmarkEnd w:id="103"/>
      <w:bookmarkEnd w:id="104"/>
      <w:bookmarkEnd w:id="105"/>
      <w:bookmarkEnd w:id="106"/>
      <w:bookmarkEnd w:id="107"/>
    </w:p>
    <w:p>
      <w:pPr>
        <w:pStyle w:val="6"/>
        <w:adjustRightInd w:val="0"/>
        <w:snapToGrid w:val="0"/>
        <w:spacing w:line="580" w:lineRule="exact"/>
        <w:ind w:left="426"/>
        <w:rPr>
          <w:color w:val="000000" w:themeColor="text1"/>
        </w:rPr>
      </w:pPr>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坚持把产业作为夯实新型城镇化发展基础的支撑和关键，大力实施三农优先发展、工业突破发展、全域旅游业提质增效、现代农业升级、现代服务业不断壮大行动，建强产业链、构建产业生态圈、培育产业集群，着力夯实新型城镇化高质量发展产业支撑。</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08" w:name="_Toc372236715"/>
      <w:bookmarkStart w:id="109" w:name="_Toc30267"/>
      <w:bookmarkStart w:id="110" w:name="_Toc2918"/>
      <w:bookmarkStart w:id="111" w:name="_Toc1155"/>
      <w:bookmarkStart w:id="112" w:name="_Toc17084"/>
      <w:r>
        <w:rPr>
          <w:rFonts w:hint="eastAsia" w:ascii="楷体_GB2312" w:hAnsi="楷体_GB2312" w:eastAsia="楷体_GB2312" w:cs="楷体_GB2312"/>
          <w:b/>
          <w:bCs/>
          <w:color w:val="000000" w:themeColor="text1"/>
          <w:sz w:val="32"/>
          <w:szCs w:val="32"/>
        </w:rPr>
        <w:t>第一节</w:t>
      </w:r>
      <w:bookmarkEnd w:id="108"/>
      <w:r>
        <w:rPr>
          <w:rFonts w:hint="eastAsia" w:ascii="楷体_GB2312" w:hAnsi="楷体_GB2312" w:eastAsia="楷体_GB2312" w:cs="楷体_GB2312"/>
          <w:b/>
          <w:bCs/>
          <w:color w:val="000000" w:themeColor="text1"/>
          <w:sz w:val="32"/>
          <w:szCs w:val="32"/>
        </w:rPr>
        <w:t xml:space="preserve">  提高绿色生态农业强县质量</w:t>
      </w:r>
      <w:bookmarkEnd w:id="109"/>
      <w:bookmarkEnd w:id="110"/>
      <w:bookmarkEnd w:id="111"/>
      <w:bookmarkEnd w:id="112"/>
    </w:p>
    <w:p>
      <w:pPr>
        <w:autoSpaceDE w:val="0"/>
        <w:autoSpaceDN w:val="0"/>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44"/>
          <w:sz w:val="32"/>
          <w:szCs w:val="32"/>
        </w:rPr>
        <w:t>——提升绿色农业质效。</w:t>
      </w:r>
      <w:r>
        <w:rPr>
          <w:rFonts w:hint="eastAsia" w:ascii="仿宋_GB2312" w:hAnsi="仿宋_GB2312" w:eastAsia="仿宋_GB2312" w:cs="仿宋_GB2312"/>
          <w:color w:val="000000" w:themeColor="text1"/>
          <w:sz w:val="32"/>
          <w:szCs w:val="32"/>
        </w:rPr>
        <w:t>坚决扛牢粮食安全政治责任，加快粮食</w:t>
      </w:r>
      <w:r>
        <w:rPr>
          <w:rFonts w:hint="eastAsia" w:ascii="仿宋_GB2312" w:hAnsi="宋体" w:eastAsia="仿宋_GB2312"/>
          <w:color w:val="000000" w:themeColor="text1"/>
          <w:sz w:val="32"/>
          <w:szCs w:val="32"/>
        </w:rPr>
        <w:t>物流中心、中储粮仓库</w:t>
      </w:r>
      <w:r>
        <w:rPr>
          <w:rFonts w:ascii="仿宋_GB2312" w:hAnsi="宋体" w:eastAsia="仿宋_GB2312"/>
          <w:color w:val="000000" w:themeColor="text1"/>
          <w:sz w:val="32"/>
          <w:szCs w:val="32"/>
        </w:rPr>
        <w:t>建设</w:t>
      </w:r>
      <w:r>
        <w:rPr>
          <w:rFonts w:hint="eastAsia" w:ascii="仿宋_GB2312" w:hAnsi="宋体" w:eastAsia="仿宋_GB2312"/>
          <w:color w:val="000000" w:themeColor="text1"/>
          <w:sz w:val="32"/>
          <w:szCs w:val="32"/>
        </w:rPr>
        <w:t>，落实小麦等口粮田2万亩。深入实施现代种业工程，加快“育繁推”一体化发展，推进农发行7亿元国家级杂交玉米种子生产基地和种子产业园改造提升项目，全面推行基地市场化配置，推动优质基地向优势企业倾斜、产值和税收向本地汇聚，建成“五化”示范基地7万亩，稳定玉米制种25万亩。</w:t>
      </w:r>
      <w:r>
        <w:rPr>
          <w:rFonts w:hint="eastAsia" w:ascii="仿宋_GB2312" w:hAnsi="仿宋_GB2312" w:eastAsia="仿宋_GB2312" w:cs="仿宋_GB2312"/>
          <w:color w:val="000000" w:themeColor="text1"/>
          <w:sz w:val="32"/>
          <w:szCs w:val="32"/>
        </w:rPr>
        <w:t>做足“接二连三、农头食尾”文章，构建贯通种植养殖、生产加工、信息流通、营销推广的现代产销体系，以一产带二产兴三产，推进产业融合发展，实现绿色有机蔬菜、特色农畜产品、现代丝路寒旱农业“产供储加销”全链条发展。实</w:t>
      </w:r>
      <w:r>
        <w:rPr>
          <w:rFonts w:hint="eastAsia" w:ascii="仿宋_GB2312" w:hAnsi="宋体" w:eastAsia="仿宋_GB2312"/>
          <w:color w:val="000000" w:themeColor="text1"/>
          <w:sz w:val="32"/>
          <w:szCs w:val="32"/>
        </w:rPr>
        <w:t>施品牌强农行动</w:t>
      </w:r>
      <w:r>
        <w:rPr>
          <w:rFonts w:hint="eastAsia" w:ascii="仿宋_GB2312" w:eastAsia="仿宋_GB2312"/>
          <w:color w:val="000000" w:themeColor="text1"/>
          <w:sz w:val="32"/>
          <w:szCs w:val="32"/>
        </w:rPr>
        <w:t>，</w:t>
      </w:r>
      <w:r>
        <w:rPr>
          <w:rFonts w:hint="eastAsia" w:ascii="仿宋_GB2312" w:hAnsi="仿宋_GB2312" w:eastAsia="仿宋_GB2312" w:cs="仿宋_GB2312"/>
          <w:color w:val="000000" w:themeColor="text1"/>
          <w:sz w:val="32"/>
          <w:szCs w:val="32"/>
        </w:rPr>
        <w:t>引进试验示范推广新品种、新技术，</w:t>
      </w:r>
      <w:r>
        <w:rPr>
          <w:rFonts w:hint="eastAsia" w:ascii="仿宋_GB2312" w:eastAsia="仿宋_GB2312"/>
          <w:color w:val="000000" w:themeColor="text1"/>
          <w:sz w:val="32"/>
          <w:szCs w:val="32"/>
        </w:rPr>
        <w:t>培育县域公共品牌，认定</w:t>
      </w:r>
      <w:r>
        <w:rPr>
          <w:rFonts w:hint="eastAsia" w:ascii="仿宋_GB2312" w:hAnsi="宋体" w:eastAsia="仿宋_GB2312"/>
          <w:color w:val="000000" w:themeColor="text1"/>
          <w:sz w:val="32"/>
          <w:szCs w:val="32"/>
        </w:rPr>
        <w:t>“三品一标”农产品10个以上、“甘味”农产品3个以上</w:t>
      </w:r>
      <w:r>
        <w:rPr>
          <w:rFonts w:hint="eastAsia" w:ascii="仿宋_GB2312" w:hAnsi="仿宋_GB2312" w:eastAsia="仿宋_GB2312" w:cs="仿宋_GB2312"/>
          <w:color w:val="000000" w:themeColor="text1"/>
          <w:sz w:val="32"/>
          <w:szCs w:val="32"/>
        </w:rPr>
        <w:t>。</w:t>
      </w:r>
    </w:p>
    <w:p>
      <w:pPr>
        <w:autoSpaceDE w:val="0"/>
        <w:autoSpaceDN w:val="0"/>
        <w:adjustRightInd w:val="0"/>
        <w:snapToGrid w:val="0"/>
        <w:spacing w:line="580" w:lineRule="exact"/>
        <w:ind w:firstLine="644" w:firstLineChars="200"/>
        <w:rPr>
          <w:rFonts w:asci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44"/>
          <w:sz w:val="32"/>
          <w:szCs w:val="32"/>
        </w:rPr>
        <w:t>——</w:t>
      </w:r>
      <w:r>
        <w:rPr>
          <w:rFonts w:hint="eastAsia" w:ascii="仿宋_GB2312" w:hAnsi="仿宋_GB2312" w:eastAsia="仿宋_GB2312" w:cs="仿宋_GB2312"/>
          <w:b/>
          <w:color w:val="000000" w:themeColor="text1"/>
          <w:sz w:val="32"/>
          <w:szCs w:val="32"/>
        </w:rPr>
        <w:t>推进乡村全面振兴。</w:t>
      </w:r>
      <w:r>
        <w:rPr>
          <w:rFonts w:hint="eastAsia" w:ascii="仿宋_GB2312" w:hAnsi="仿宋_GB2312" w:eastAsia="仿宋_GB2312" w:cs="仿宋_GB2312"/>
          <w:color w:val="000000" w:themeColor="text1"/>
          <w:sz w:val="32"/>
          <w:szCs w:val="32"/>
        </w:rPr>
        <w:t>坚持区域化布局、要素化融合、特色化发展，</w:t>
      </w:r>
      <w:r>
        <w:rPr>
          <w:rFonts w:hint="eastAsia" w:ascii="仿宋_GB2312" w:hAnsi="楷体_GB2312" w:eastAsia="仿宋_GB2312" w:cs="楷体_GB2312"/>
          <w:color w:val="000000" w:themeColor="text1"/>
          <w:sz w:val="32"/>
          <w:szCs w:val="32"/>
        </w:rPr>
        <w:t>优化多规合一空间规划，促进“</w:t>
      </w:r>
      <w:r>
        <w:rPr>
          <w:rFonts w:hint="eastAsia" w:ascii="仿宋_GB2312" w:hAnsi="仿宋_GB2312" w:eastAsia="仿宋_GB2312" w:cs="仿宋_GB2312"/>
          <w:color w:val="000000" w:themeColor="text1"/>
          <w:sz w:val="32"/>
          <w:szCs w:val="32"/>
        </w:rPr>
        <w:t>三产联动、三生融合”。</w:t>
      </w:r>
      <w:r>
        <w:rPr>
          <w:rFonts w:hint="eastAsia" w:ascii="仿宋_GB2312" w:eastAsia="仿宋_GB2312" w:cs="仿宋_GB2312"/>
          <w:color w:val="000000" w:themeColor="text1"/>
          <w:sz w:val="32"/>
          <w:szCs w:val="32"/>
        </w:rPr>
        <w:t>全力推进丹柳路、张罗路、</w:t>
      </w:r>
      <w:r>
        <w:rPr>
          <w:rFonts w:ascii="仿宋_GB2312" w:eastAsia="仿宋_GB2312" w:cs="仿宋_GB2312"/>
          <w:color w:val="000000" w:themeColor="text1"/>
          <w:sz w:val="32"/>
          <w:szCs w:val="32"/>
        </w:rPr>
        <w:t>312</w:t>
      </w:r>
      <w:r>
        <w:rPr>
          <w:rFonts w:hint="eastAsia" w:ascii="仿宋_GB2312" w:eastAsia="仿宋_GB2312" w:cs="仿宋_GB2312"/>
          <w:color w:val="000000" w:themeColor="text1"/>
          <w:sz w:val="32"/>
          <w:szCs w:val="32"/>
        </w:rPr>
        <w:t>国道、临平路四条乡村振兴示范带建设，谋划实施生态产业、文化旅游、基础配套等项目，推动乡村振兴向全域拓展提升。</w:t>
      </w:r>
      <w:r>
        <w:rPr>
          <w:rFonts w:ascii="仿宋_GB2312" w:hAnsi="仿宋_GB2312" w:eastAsia="仿宋_GB2312" w:cs="仿宋_GB2312"/>
          <w:color w:val="000000" w:themeColor="text1"/>
          <w:sz w:val="32"/>
          <w:szCs w:val="32"/>
        </w:rPr>
        <w:t>用足用好“全省乡村振兴重点帮扶县”机遇，大力</w:t>
      </w:r>
      <w:r>
        <w:rPr>
          <w:rFonts w:hint="eastAsia" w:ascii="仿宋_GB2312" w:hAnsi="仿宋_GB2312" w:eastAsia="仿宋_GB2312" w:cs="仿宋_GB2312"/>
          <w:color w:val="000000" w:themeColor="text1"/>
          <w:sz w:val="32"/>
          <w:szCs w:val="32"/>
        </w:rPr>
        <w:t>实施乡村建设示范行动，</w:t>
      </w:r>
      <w:r>
        <w:rPr>
          <w:rFonts w:hint="eastAsia" w:ascii="仿宋_GB2312" w:eastAsia="仿宋_GB2312"/>
          <w:color w:val="000000" w:themeColor="text1"/>
          <w:sz w:val="32"/>
          <w:szCs w:val="32"/>
        </w:rPr>
        <w:t>打造各具特色、各显其美的省级示范村10个</w:t>
      </w:r>
      <w:r>
        <w:rPr>
          <w:rFonts w:ascii="仿宋_GB2312" w:eastAsia="仿宋_GB2312"/>
          <w:color w:val="000000" w:themeColor="text1"/>
          <w:sz w:val="32"/>
          <w:szCs w:val="32"/>
        </w:rPr>
        <w:t>、</w:t>
      </w:r>
      <w:r>
        <w:rPr>
          <w:rFonts w:hint="eastAsia" w:ascii="仿宋_GB2312" w:eastAsia="仿宋_GB2312"/>
          <w:color w:val="000000" w:themeColor="text1"/>
          <w:sz w:val="32"/>
          <w:szCs w:val="32"/>
        </w:rPr>
        <w:t>市级示范村20个。</w:t>
      </w:r>
    </w:p>
    <w:p>
      <w:pPr>
        <w:autoSpaceDE w:val="0"/>
        <w:autoSpaceDN w:val="0"/>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44"/>
          <w:sz w:val="32"/>
          <w:szCs w:val="32"/>
        </w:rPr>
        <w:t>——</w:t>
      </w:r>
      <w:r>
        <w:rPr>
          <w:rFonts w:hint="eastAsia" w:ascii="仿宋_GB2312" w:eastAsia="仿宋_GB2312" w:cs="仿宋_GB2312"/>
          <w:b/>
          <w:color w:val="000000" w:themeColor="text1"/>
          <w:sz w:val="32"/>
          <w:szCs w:val="32"/>
        </w:rPr>
        <w:t>大力发展节水农业。</w:t>
      </w:r>
      <w:r>
        <w:rPr>
          <w:rFonts w:hint="eastAsia" w:ascii="仿宋_GB2312" w:eastAsia="仿宋_GB2312" w:cs="仿宋_GB2312"/>
          <w:color w:val="000000" w:themeColor="text1"/>
          <w:sz w:val="32"/>
          <w:szCs w:val="32"/>
        </w:rPr>
        <w:t>创建西北旱区农牧业可持续发展试验示范区，大力推进高效节水农业示范区建设。着力实施高标准</w:t>
      </w:r>
      <w:r>
        <w:rPr>
          <w:rFonts w:hint="eastAsia" w:ascii="仿宋_GB2312" w:hAnsi="仿宋_GB2312" w:eastAsia="仿宋_GB2312" w:cs="仿宋_GB2312"/>
          <w:color w:val="000000" w:themeColor="text1"/>
          <w:sz w:val="32"/>
          <w:szCs w:val="32"/>
        </w:rPr>
        <w:t>农田建设、高效节水灌溉工程。</w:t>
      </w:r>
      <w:bookmarkStart w:id="113" w:name="_Toc1752797253"/>
      <w:r>
        <w:rPr>
          <w:rFonts w:hint="eastAsia" w:ascii="仿宋_GB2312" w:hAnsi="仿宋_GB2312" w:eastAsia="仿宋_GB2312" w:cs="仿宋_GB2312"/>
          <w:color w:val="000000" w:themeColor="text1"/>
          <w:sz w:val="32"/>
          <w:szCs w:val="32"/>
        </w:rPr>
        <w:t>全面推进末级渠系建设、田间工程配套和高标准农田建设，解决农田灌溉“最后一公里”问题。全面推进农业水价综合改革，形成有利于促进节约用水、产业结构调整和生态补偿的合理水价形成机制、水权分配、管理、保护和交易机制，建立健全高效节水农业设施、技术、制度体系。</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14" w:name="_Toc12177"/>
      <w:bookmarkStart w:id="115" w:name="_Toc4350"/>
      <w:bookmarkStart w:id="116" w:name="_Toc30893"/>
      <w:bookmarkStart w:id="117" w:name="_Toc7789"/>
      <w:r>
        <w:rPr>
          <w:rFonts w:hint="eastAsia" w:ascii="楷体_GB2312" w:hAnsi="楷体_GB2312" w:eastAsia="楷体_GB2312" w:cs="楷体_GB2312"/>
          <w:b/>
          <w:bCs/>
          <w:color w:val="000000" w:themeColor="text1"/>
          <w:sz w:val="32"/>
          <w:szCs w:val="32"/>
        </w:rPr>
        <w:t>第二节</w:t>
      </w:r>
      <w:bookmarkEnd w:id="113"/>
      <w:r>
        <w:rPr>
          <w:rFonts w:hint="eastAsia" w:ascii="楷体_GB2312" w:hAnsi="楷体_GB2312" w:eastAsia="楷体_GB2312" w:cs="楷体_GB2312"/>
          <w:b/>
          <w:bCs/>
          <w:color w:val="000000" w:themeColor="text1"/>
          <w:sz w:val="32"/>
          <w:szCs w:val="32"/>
        </w:rPr>
        <w:t xml:space="preserve">  夯实新兴生态工业大县基础</w:t>
      </w:r>
      <w:bookmarkEnd w:id="114"/>
      <w:bookmarkEnd w:id="115"/>
      <w:bookmarkEnd w:id="116"/>
      <w:bookmarkEnd w:id="117"/>
    </w:p>
    <w:p>
      <w:pPr>
        <w:pStyle w:val="13"/>
        <w:widowControl w:val="0"/>
        <w:adjustRightInd w:val="0"/>
        <w:snapToGrid w:val="0"/>
        <w:spacing w:before="0" w:beforeAutospacing="0" w:after="0" w:afterAutospacing="0" w:line="580" w:lineRule="exact"/>
        <w:ind w:firstLine="644" w:firstLineChars="200"/>
        <w:jc w:val="both"/>
        <w:rPr>
          <w:rFonts w:ascii="仿宋_GB2312" w:eastAsia="仿宋_GB2312"/>
          <w:bCs/>
          <w:color w:val="000000" w:themeColor="text1"/>
          <w:sz w:val="32"/>
          <w:szCs w:val="32"/>
        </w:rPr>
      </w:pPr>
      <w:bookmarkStart w:id="118" w:name="_Toc886794262"/>
      <w:bookmarkStart w:id="119" w:name="_Toc475632253"/>
      <w:r>
        <w:rPr>
          <w:rFonts w:hint="eastAsia" w:ascii="仿宋_GB2312" w:hAnsi="仿宋_GB2312" w:eastAsia="仿宋_GB2312" w:cs="仿宋_GB2312"/>
          <w:b/>
          <w:color w:val="000000" w:themeColor="text1"/>
          <w:kern w:val="44"/>
          <w:sz w:val="32"/>
          <w:szCs w:val="32"/>
        </w:rPr>
        <w:t>——提升园区要素保障能力。</w:t>
      </w:r>
      <w:r>
        <w:rPr>
          <w:rFonts w:hint="eastAsia" w:ascii="仿宋_GB2312" w:hAnsi="仿宋_GB2312" w:eastAsia="仿宋_GB2312" w:cs="仿宋_GB2312"/>
          <w:color w:val="000000" w:themeColor="text1"/>
          <w:sz w:val="32"/>
          <w:szCs w:val="32"/>
        </w:rPr>
        <w:t>健全完善园区管理体系，加快管理体制改革，推行“管委会+公司”运营模式，坚持“一园多区”“一区一业”“一区一策”，积极培育“首位产业”。优化调整园区规划，推行“一张蓝图+区域评估”和“标准地”供地，盘活存量低效用地和闲置土地，推动产业用地类型合理转换、高效供给，实现土地效益最大化、产业布</w:t>
      </w:r>
      <w:r>
        <w:rPr>
          <w:rFonts w:hint="eastAsia" w:ascii="仿宋_GB2312" w:eastAsia="仿宋_GB2312"/>
          <w:bCs/>
          <w:color w:val="000000" w:themeColor="text1"/>
          <w:sz w:val="32"/>
          <w:szCs w:val="32"/>
        </w:rPr>
        <w:t>局科学化。探索发展“飞地经济”，推动产业集群成链、园区做专做强。</w:t>
      </w:r>
    </w:p>
    <w:p>
      <w:pPr>
        <w:pStyle w:val="13"/>
        <w:widowControl w:val="0"/>
        <w:adjustRightInd w:val="0"/>
        <w:snapToGrid w:val="0"/>
        <w:spacing w:before="0" w:beforeAutospacing="0" w:after="0" w:afterAutospacing="0" w:line="600" w:lineRule="exact"/>
        <w:ind w:firstLine="644" w:firstLineChars="200"/>
        <w:jc w:val="both"/>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color w:val="000000" w:themeColor="text1"/>
          <w:kern w:val="44"/>
          <w:sz w:val="32"/>
          <w:szCs w:val="32"/>
        </w:rPr>
        <w:t>——优先发展凹凸棒石产业。</w:t>
      </w:r>
      <w:r>
        <w:rPr>
          <w:rFonts w:hint="eastAsia" w:ascii="仿宋_GB2312" w:eastAsia="仿宋_GB2312" w:cs="仿宋_GB2312"/>
          <w:color w:val="000000" w:themeColor="text1"/>
          <w:kern w:val="32"/>
          <w:sz w:val="32"/>
          <w:szCs w:val="32"/>
          <w:lang w:val="zh-CN"/>
        </w:rPr>
        <w:t>以“五专”机制为引领，加快产业功能区建设，</w:t>
      </w:r>
      <w:r>
        <w:rPr>
          <w:rFonts w:hint="eastAsia" w:ascii="仿宋_GB2312" w:hAnsi="仿宋_GB2312" w:eastAsia="仿宋_GB2312" w:cs="仿宋_GB2312"/>
          <w:color w:val="000000" w:themeColor="text1"/>
          <w:sz w:val="32"/>
          <w:szCs w:val="32"/>
        </w:rPr>
        <w:t>推动产业基础高级化、产业链现代化。持续深化与中科院兰化所等科研院校战略合作，继续设立开放性课题，</w:t>
      </w:r>
      <w:r>
        <w:rPr>
          <w:rFonts w:hint="eastAsia" w:ascii="仿宋_GB2312" w:eastAsia="仿宋_GB2312"/>
          <w:bCs/>
          <w:color w:val="000000" w:themeColor="text1"/>
          <w:sz w:val="32"/>
          <w:szCs w:val="32"/>
        </w:rPr>
        <w:t>实现成果转化5项以上。加快凹凸棒石初级加工园区二期、科技创新园区、产业化创客孵化基地、新材料产业集群平台培育等项目建设，不断夯实产业发展基础。</w:t>
      </w:r>
      <w:r>
        <w:rPr>
          <w:rFonts w:hint="eastAsia" w:ascii="仿宋_GB2312" w:hAnsi="仿宋_GB2312" w:eastAsia="仿宋_GB2312" w:cs="仿宋_GB2312"/>
          <w:color w:val="000000" w:themeColor="text1"/>
          <w:sz w:val="32"/>
          <w:szCs w:val="32"/>
          <w:shd w:val="clear" w:color="auto" w:fill="FFFFFF"/>
        </w:rPr>
        <w:t>“十四五”末，凹凸棒石初级加工园区引进并投产企业达到15家以上，亿元产值企业达到5家以上；凹凸棒石产品产量达到20万吨以上，产值达到25亿元以上；每年发布科研课题不少于4项；参与临泽凹凸棒石产业发展的各类人才达到100人以上。</w:t>
      </w:r>
    </w:p>
    <w:p>
      <w:pPr>
        <w:adjustRightInd w:val="0"/>
        <w:snapToGrid w:val="0"/>
        <w:spacing w:line="580" w:lineRule="exact"/>
        <w:ind w:firstLine="644"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color w:val="000000" w:themeColor="text1"/>
          <w:kern w:val="44"/>
          <w:sz w:val="32"/>
          <w:szCs w:val="32"/>
        </w:rPr>
        <w:t>——</w:t>
      </w:r>
      <w:r>
        <w:rPr>
          <w:rFonts w:hint="eastAsia" w:ascii="仿宋_GB2312" w:hAnsi="仿宋_GB2312" w:eastAsia="仿宋_GB2312" w:cs="仿宋_GB2312"/>
          <w:b/>
          <w:color w:val="000000" w:themeColor="text1"/>
          <w:kern w:val="44"/>
          <w:sz w:val="32"/>
          <w:szCs w:val="32"/>
          <w:lang w:val="zh-CN"/>
        </w:rPr>
        <w:t>稳步拓展</w:t>
      </w:r>
      <w:r>
        <w:rPr>
          <w:rFonts w:hint="eastAsia" w:ascii="仿宋_GB2312" w:hAnsi="仿宋_GB2312" w:eastAsia="仿宋_GB2312" w:cs="仿宋_GB2312"/>
          <w:b/>
          <w:color w:val="000000" w:themeColor="text1"/>
          <w:kern w:val="44"/>
          <w:sz w:val="32"/>
          <w:szCs w:val="32"/>
        </w:rPr>
        <w:t>通航发展业态。</w:t>
      </w:r>
      <w:r>
        <w:rPr>
          <w:rFonts w:hint="eastAsia" w:ascii="仿宋_GB2312" w:hAnsi="仿宋_GB2312" w:eastAsia="仿宋_GB2312" w:cs="仿宋_GB2312"/>
          <w:color w:val="000000" w:themeColor="text1"/>
          <w:sz w:val="32"/>
          <w:szCs w:val="32"/>
          <w:shd w:val="clear" w:color="auto" w:fill="FFFFFF"/>
        </w:rPr>
        <w:t>积极创建国家重点支持的第二批通航产业综合示范区，着力打造国际知名航空运动和低空旅游基地、区域性通用航空公共服务中心、西北通用航空飞行器研发制造维修基地、全省通用航空产业高质量发展集聚高地、通航会展中心、国内知名的飞行培训基地、西北重要航空物流枢纽。</w:t>
      </w:r>
      <w:r>
        <w:rPr>
          <w:rFonts w:hint="eastAsia" w:ascii="仿宋_GB2312" w:eastAsia="仿宋_GB2312"/>
          <w:bCs/>
          <w:color w:val="000000" w:themeColor="text1"/>
          <w:sz w:val="32"/>
          <w:szCs w:val="32"/>
        </w:rPr>
        <w:t>建成投资6.8亿元的通航产业园孵化中心和实训基地，加快神龙无人机、固定翼飞机生产线搬迁并启动生产，力争开工建设河西体育产业基地、丹霞机场改扩建</w:t>
      </w:r>
      <w:r>
        <w:rPr>
          <w:rFonts w:ascii="仿宋_GB2312" w:eastAsia="仿宋_GB2312"/>
          <w:bCs/>
          <w:color w:val="000000" w:themeColor="text1"/>
          <w:sz w:val="32"/>
          <w:szCs w:val="32"/>
        </w:rPr>
        <w:t>等</w:t>
      </w:r>
      <w:r>
        <w:rPr>
          <w:rFonts w:hint="eastAsia" w:ascii="仿宋_GB2312" w:eastAsia="仿宋_GB2312"/>
          <w:bCs/>
          <w:color w:val="000000" w:themeColor="text1"/>
          <w:sz w:val="32"/>
          <w:szCs w:val="32"/>
        </w:rPr>
        <w:t>项目，延伸研发、产销、培训、运营产业链条。</w:t>
      </w:r>
      <w:r>
        <w:rPr>
          <w:rFonts w:hint="eastAsia" w:ascii="仿宋_GB2312" w:hAnsi="仿宋_GB2312" w:eastAsia="仿宋_GB2312" w:cs="仿宋_GB2312"/>
          <w:color w:val="000000" w:themeColor="text1"/>
          <w:sz w:val="32"/>
          <w:szCs w:val="32"/>
          <w:shd w:val="clear" w:color="auto" w:fill="FFFFFF"/>
        </w:rPr>
        <w:t>“十四五”末，</w:t>
      </w:r>
      <w:r>
        <w:rPr>
          <w:rFonts w:hint="eastAsia" w:ascii="仿宋_GB2312" w:hAnsi="仿宋_GB2312" w:eastAsia="仿宋_GB2312" w:cs="仿宋_GB2312"/>
          <w:color w:val="000000" w:themeColor="text1"/>
          <w:kern w:val="0"/>
          <w:sz w:val="32"/>
          <w:szCs w:val="32"/>
        </w:rPr>
        <w:t>入驻企业15家以上，打造西北乃至全国规模较大的飞行器生产制造、飞行培训、航空体育产业功能区，产值达到10亿元。</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44"/>
          <w:sz w:val="32"/>
          <w:szCs w:val="32"/>
        </w:rPr>
        <w:t>——抢占新能源产业发展先机。</w:t>
      </w:r>
      <w:r>
        <w:rPr>
          <w:rFonts w:hint="eastAsia" w:ascii="仿宋_GB2312" w:eastAsia="仿宋_GB2312"/>
          <w:bCs/>
          <w:color w:val="000000" w:themeColor="text1"/>
          <w:sz w:val="32"/>
          <w:szCs w:val="32"/>
        </w:rPr>
        <w:t>紧盯落实全省新能源产业发展政策，按照“规划总量控制、逐年开发建设”原则，鼓励支持企业向上争取项目，获得更多建设指标，力促尽快落地建设。全力实施汇集输变站、</w:t>
      </w:r>
      <w:r>
        <w:rPr>
          <w:rFonts w:hint="eastAsia" w:ascii="仿宋_GB2312" w:hAnsi="仿宋_GB2312" w:eastAsia="仿宋_GB2312" w:cs="仿宋_GB2312"/>
          <w:color w:val="000000" w:themeColor="text1"/>
          <w:sz w:val="32"/>
          <w:szCs w:val="32"/>
        </w:rPr>
        <w:t>50万千瓦光伏治沙、20万千瓦光伏发电、30万千瓦风电、中船10万千瓦风电和5万千瓦屋顶分布式光伏发电等新能源项目建设进度，</w:t>
      </w:r>
      <w:r>
        <w:rPr>
          <w:rFonts w:hint="eastAsia" w:ascii="仿宋_GB2312" w:eastAsia="仿宋_GB2312"/>
          <w:bCs/>
          <w:color w:val="000000" w:themeColor="text1"/>
          <w:sz w:val="32"/>
          <w:szCs w:val="32"/>
        </w:rPr>
        <w:t>同步推进共享储能电站、低压母线槽等协同产业项目，确保年内建成运行，完成投资40亿元以上。</w:t>
      </w:r>
      <w:r>
        <w:rPr>
          <w:rFonts w:hint="eastAsia" w:ascii="仿宋_GB2312" w:hAnsi="仿宋_GB2312" w:eastAsia="仿宋_GB2312" w:cs="仿宋_GB2312"/>
          <w:color w:val="000000" w:themeColor="text1"/>
          <w:sz w:val="32"/>
          <w:szCs w:val="32"/>
        </w:rPr>
        <w:t>鼓励支持签约企业及时申报争取国家以沙漠、戈壁、荒漠区为重点的大型风电光伏基地、“源网荷储一体化”及“十四五”后续批次新能源项目建设指标，力争“十四五”期间新争取建设指标120-150万千瓦。</w:t>
      </w:r>
    </w:p>
    <w:p>
      <w:pPr>
        <w:adjustRightInd w:val="0"/>
        <w:snapToGrid w:val="0"/>
        <w:spacing w:line="60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color w:val="000000" w:themeColor="text1"/>
          <w:kern w:val="44"/>
          <w:sz w:val="32"/>
          <w:szCs w:val="32"/>
        </w:rPr>
        <w:t>——壮大绿色食品加工规模。</w:t>
      </w:r>
      <w:r>
        <w:rPr>
          <w:rFonts w:hint="eastAsia" w:ascii="仿宋_GB2312" w:eastAsia="仿宋_GB2312"/>
          <w:bCs/>
          <w:color w:val="000000" w:themeColor="text1"/>
          <w:sz w:val="32"/>
          <w:szCs w:val="32"/>
        </w:rPr>
        <w:t>坚持增品种、提品质、创品牌，鼓励大唐农牧等企业开发高档肉类产品，引导北凉春、京沙等企业加快新产品研发及技术改造，培育康利、鸿泽等一批产业附加值高、带动能力强的龙头企业，建成专精特新</w:t>
      </w:r>
      <w:bookmarkStart w:id="339" w:name="_GoBack"/>
      <w:bookmarkEnd w:id="339"/>
      <w:r>
        <w:rPr>
          <w:rFonts w:hint="eastAsia" w:ascii="仿宋_GB2312" w:eastAsia="仿宋_GB2312"/>
          <w:bCs/>
          <w:color w:val="000000" w:themeColor="text1"/>
          <w:sz w:val="32"/>
          <w:szCs w:val="32"/>
        </w:rPr>
        <w:t>中小企业3户、绿色工厂2家。</w:t>
      </w:r>
      <w:r>
        <w:rPr>
          <w:rFonts w:hint="eastAsia" w:ascii="仿宋_GB2312" w:hAnsi="仿宋_GB2312" w:eastAsia="仿宋_GB2312" w:cs="仿宋_GB2312"/>
          <w:color w:val="000000" w:themeColor="text1"/>
          <w:sz w:val="32"/>
          <w:szCs w:val="32"/>
        </w:rPr>
        <w:t>扶持壮大红枣产业，</w:t>
      </w:r>
      <w:r>
        <w:rPr>
          <w:rFonts w:hint="eastAsia" w:ascii="仿宋_GB2312" w:eastAsia="仿宋_GB2312"/>
          <w:bCs/>
          <w:color w:val="000000" w:themeColor="text1"/>
          <w:sz w:val="32"/>
          <w:szCs w:val="32"/>
        </w:rPr>
        <w:t>支持加工企业</w:t>
      </w:r>
      <w:r>
        <w:rPr>
          <w:rFonts w:ascii="仿宋_GB2312" w:eastAsia="仿宋_GB2312"/>
          <w:bCs/>
          <w:color w:val="000000" w:themeColor="text1"/>
          <w:sz w:val="32"/>
          <w:szCs w:val="32"/>
        </w:rPr>
        <w:t>抱团发展</w:t>
      </w:r>
      <w:r>
        <w:rPr>
          <w:rFonts w:hint="eastAsia" w:ascii="仿宋_GB2312" w:eastAsia="仿宋_GB2312"/>
          <w:bCs/>
          <w:color w:val="000000" w:themeColor="text1"/>
          <w:sz w:val="32"/>
          <w:szCs w:val="32"/>
        </w:rPr>
        <w:t>，</w:t>
      </w:r>
      <w:r>
        <w:rPr>
          <w:rFonts w:hint="eastAsia" w:ascii="仿宋_GB2312" w:hAnsi="仿宋_GB2312" w:eastAsia="仿宋_GB2312" w:cs="仿宋_GB2312"/>
          <w:color w:val="000000" w:themeColor="text1"/>
          <w:sz w:val="32"/>
          <w:szCs w:val="32"/>
        </w:rPr>
        <w:t>延伸产业链，提升价值链，做强做靓“中国枣乡”特色品牌</w:t>
      </w:r>
      <w:r>
        <w:rPr>
          <w:rFonts w:hint="eastAsia" w:ascii="仿宋_GB2312" w:eastAsia="仿宋_GB2312"/>
          <w:bCs/>
          <w:color w:val="000000" w:themeColor="text1"/>
          <w:sz w:val="32"/>
          <w:szCs w:val="32"/>
        </w:rPr>
        <w:t>。</w:t>
      </w:r>
      <w:r>
        <w:rPr>
          <w:rFonts w:hint="eastAsia" w:ascii="仿宋_GB2312" w:hAnsi="仿宋_GB2312" w:eastAsia="仿宋_GB2312" w:cs="仿宋_GB2312"/>
          <w:color w:val="000000" w:themeColor="text1"/>
          <w:sz w:val="32"/>
          <w:szCs w:val="32"/>
        </w:rPr>
        <w:t>到2025年，全县规模以上农产品加工产业增加值年均增长12%以上，力争产值突破20亿元；产值亿元以上的龙头企业5家以上，产值5000万元以上的骨干企业5家以上，</w:t>
      </w:r>
      <w:r>
        <w:rPr>
          <w:rFonts w:hint="eastAsia" w:ascii="仿宋_GB2312" w:hAnsi="仿宋_GB2312" w:eastAsia="仿宋_GB2312" w:cs="仿宋_GB2312"/>
          <w:color w:val="000000" w:themeColor="text1"/>
          <w:sz w:val="32"/>
          <w:szCs w:val="32"/>
          <w:shd w:val="clear" w:color="auto" w:fill="FFFFFF"/>
        </w:rPr>
        <w:t>培育新增国家和省级技术创新示范企业、产业技术创新联盟、行业技术中心、企业技术中心等创新平台3个以上。</w:t>
      </w:r>
    </w:p>
    <w:p>
      <w:pPr>
        <w:pStyle w:val="13"/>
        <w:widowControl w:val="0"/>
        <w:adjustRightInd w:val="0"/>
        <w:snapToGrid w:val="0"/>
        <w:spacing w:before="0" w:beforeAutospacing="0" w:after="0" w:afterAutospacing="0" w:line="600" w:lineRule="exact"/>
        <w:ind w:firstLine="644"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kern w:val="44"/>
          <w:sz w:val="32"/>
          <w:szCs w:val="32"/>
        </w:rPr>
        <w:t>——加速传统产业提档升级。</w:t>
      </w:r>
      <w:r>
        <w:rPr>
          <w:rFonts w:hint="eastAsia" w:ascii="仿宋_GB2312" w:eastAsia="仿宋_GB2312"/>
          <w:bCs/>
          <w:color w:val="000000" w:themeColor="text1"/>
          <w:sz w:val="32"/>
          <w:szCs w:val="32"/>
        </w:rPr>
        <w:t>抢抓国家促进产业转型升级</w:t>
      </w:r>
      <w:r>
        <w:rPr>
          <w:rFonts w:hint="eastAsia" w:ascii="仿宋_GB2312" w:eastAsia="仿宋_GB2312"/>
          <w:bCs/>
          <w:color w:val="000000" w:themeColor="text1"/>
          <w:spacing w:val="4"/>
          <w:sz w:val="32"/>
          <w:szCs w:val="32"/>
        </w:rPr>
        <w:t>政策机遇，抓好传统企业高端化、智能化、绿色化提升改造，推动宏鑫80万吨锰铁选矿项目建成投产，</w:t>
      </w:r>
      <w:r>
        <w:rPr>
          <w:rFonts w:hint="eastAsia" w:ascii="仿宋_GB2312" w:hAnsi="仿宋_GB2312" w:eastAsia="仿宋_GB2312" w:cs="仿宋_GB2312"/>
          <w:color w:val="000000" w:themeColor="text1"/>
          <w:spacing w:val="4"/>
          <w:sz w:val="32"/>
          <w:szCs w:val="32"/>
        </w:rPr>
        <w:t>促进</w:t>
      </w:r>
      <w:r>
        <w:rPr>
          <w:rFonts w:hint="eastAsia" w:ascii="仿宋_GB2312" w:hAnsi="仿宋_GB2312" w:eastAsia="仿宋_GB2312" w:cs="仿宋_GB2312"/>
          <w:color w:val="000000" w:themeColor="text1"/>
          <w:spacing w:val="4"/>
          <w:sz w:val="32"/>
          <w:szCs w:val="32"/>
          <w:lang w:val="zh-CN"/>
        </w:rPr>
        <w:t>工业新旧动能加快转换</w:t>
      </w:r>
      <w:r>
        <w:rPr>
          <w:rFonts w:hint="eastAsia" w:ascii="仿宋_GB2312" w:eastAsia="仿宋_GB2312"/>
          <w:bCs/>
          <w:color w:val="000000" w:themeColor="text1"/>
          <w:spacing w:val="4"/>
          <w:sz w:val="32"/>
          <w:szCs w:val="32"/>
        </w:rPr>
        <w:t>。坚持规下企业和新建项目同步培育，新入规企业3家以上。</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20" w:name="_Toc7919"/>
      <w:bookmarkStart w:id="121" w:name="_Toc21871"/>
      <w:bookmarkStart w:id="122" w:name="_Toc9314"/>
      <w:bookmarkStart w:id="123" w:name="_Toc3560"/>
      <w:r>
        <w:rPr>
          <w:rFonts w:hint="eastAsia" w:ascii="楷体_GB2312" w:hAnsi="楷体_GB2312" w:eastAsia="楷体_GB2312" w:cs="楷体_GB2312"/>
          <w:b/>
          <w:bCs/>
          <w:color w:val="000000" w:themeColor="text1"/>
          <w:sz w:val="32"/>
          <w:szCs w:val="32"/>
        </w:rPr>
        <w:t>第三节</w:t>
      </w:r>
      <w:bookmarkEnd w:id="118"/>
      <w:r>
        <w:rPr>
          <w:rFonts w:hint="eastAsia" w:ascii="楷体_GB2312" w:hAnsi="楷体_GB2312" w:eastAsia="楷体_GB2312" w:cs="楷体_GB2312"/>
          <w:b/>
          <w:bCs/>
          <w:color w:val="000000" w:themeColor="text1"/>
          <w:sz w:val="32"/>
          <w:szCs w:val="32"/>
        </w:rPr>
        <w:t xml:space="preserve">  聚力全域旅游打造文旅名县新名片</w:t>
      </w:r>
      <w:bookmarkEnd w:id="120"/>
      <w:bookmarkEnd w:id="121"/>
      <w:bookmarkEnd w:id="122"/>
      <w:bookmarkEnd w:id="123"/>
    </w:p>
    <w:bookmarkEnd w:id="119"/>
    <w:p>
      <w:pPr>
        <w:overflowPunct w:val="0"/>
        <w:adjustRightInd w:val="0"/>
        <w:snapToGrid w:val="0"/>
        <w:spacing w:line="580" w:lineRule="exact"/>
        <w:ind w:firstLine="643"/>
        <w:rPr>
          <w:rFonts w:ascii="仿宋_GB2312" w:hAnsi="仿宋_GB2312" w:eastAsia="仿宋_GB2312" w:cs="仿宋_GB2312"/>
          <w:color w:val="000000" w:themeColor="text1"/>
          <w:kern w:val="0"/>
          <w:sz w:val="32"/>
          <w:szCs w:val="32"/>
        </w:rPr>
      </w:pPr>
      <w:bookmarkStart w:id="124" w:name="_Toc475632254"/>
      <w:bookmarkStart w:id="125" w:name="_Toc1654368434"/>
      <w:r>
        <w:rPr>
          <w:rFonts w:hint="eastAsia" w:ascii="仿宋_GB2312" w:hAnsi="仿宋_GB2312" w:eastAsia="仿宋_GB2312" w:cs="仿宋_GB2312"/>
          <w:color w:val="000000" w:themeColor="text1"/>
          <w:sz w:val="32"/>
          <w:szCs w:val="32"/>
        </w:rPr>
        <w:t>以创建国家全域旅游示范区为目标，按照全区域谋划、全产业联动、全要素配套、全时空统筹、全社会参与的发展理念，构建</w:t>
      </w:r>
      <w:r>
        <w:rPr>
          <w:rFonts w:hint="eastAsia" w:ascii="仿宋_GB2312" w:hAnsi="仿宋_GB2312" w:eastAsia="仿宋_GB2312" w:cs="仿宋_GB2312"/>
          <w:b/>
          <w:bCs/>
          <w:color w:val="000000" w:themeColor="text1"/>
          <w:sz w:val="32"/>
          <w:szCs w:val="32"/>
        </w:rPr>
        <w:t>“一个龙头、一个中心、两大支撑、四大廊道、四个板块”</w:t>
      </w:r>
      <w:r>
        <w:rPr>
          <w:rFonts w:hint="eastAsia" w:ascii="仿宋_GB2312" w:hAnsi="仿宋_GB2312" w:eastAsia="仿宋_GB2312" w:cs="仿宋_GB2312"/>
          <w:color w:val="000000" w:themeColor="text1"/>
          <w:sz w:val="32"/>
          <w:szCs w:val="32"/>
        </w:rPr>
        <w:t>的全域全季全日旅游发展格局，培育丹霞旅游、乡村旅游、红色旅游三大产业集群，建设丹霞口文旅、丹霞康养彩虹谷、流沙河文旅三大产业园区，打造“五心”旅游目的地。</w:t>
      </w:r>
      <w:r>
        <w:rPr>
          <w:rFonts w:hint="eastAsia" w:ascii="仿宋_GB2312" w:hAnsi="仿宋_GB2312" w:eastAsia="仿宋_GB2312" w:cs="仿宋_GB2312"/>
          <w:color w:val="000000" w:themeColor="text1"/>
          <w:kern w:val="0"/>
          <w:sz w:val="32"/>
          <w:szCs w:val="32"/>
        </w:rPr>
        <w:t>力争“十四五”末旅游及三产服务业产值达到120亿元以上。</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——拓展业态丰富供给。</w:t>
      </w:r>
      <w:r>
        <w:rPr>
          <w:rFonts w:hint="eastAsia" w:ascii="仿宋_GB2312" w:hAnsi="仿宋_GB2312" w:eastAsia="仿宋_GB2312" w:cs="仿宋_GB2312"/>
          <w:color w:val="000000" w:themeColor="text1"/>
          <w:sz w:val="32"/>
          <w:szCs w:val="32"/>
        </w:rPr>
        <w:t>配合做好七彩丹霞“世界遗产（文化和自然）名录”申报，加快丹霞景区北入口二期、丹霞生态康养彩虹谷等项目建设，打造西部影视拍摄基地，增强核心景区竞争力。精心策划“丹霞+乡村”全域旅游线路，让游客赏完丹霞逛乡村、品农味、住民宿，争创“全省乡村旅游示范县”。</w:t>
      </w:r>
      <w:r>
        <w:rPr>
          <w:rFonts w:hint="eastAsia" w:ascii="仿宋_GB2312" w:hAnsi="仿宋_GB2312" w:eastAsia="仿宋_GB2312" w:cs="仿宋_GB2312"/>
          <w:color w:val="000000" w:themeColor="text1"/>
          <w:kern w:val="0"/>
          <w:sz w:val="32"/>
          <w:szCs w:val="32"/>
        </w:rPr>
        <w:t>争取将梨园口、三道柳沟等遗址列入国家、省级文物保护单位名录，全力实施红西路军革命遗址保护修缮及展示利用项目，拓展梨园口战役纪念馆功能，加快汪家墩红西路军总指挥部陈展，完善梨园口战斗遗址公园服务设施。</w:t>
      </w:r>
      <w:r>
        <w:rPr>
          <w:rFonts w:hint="eastAsia" w:ascii="仿宋_GB2312" w:hAnsi="仿宋_GB2312" w:eastAsia="仿宋_GB2312" w:cs="仿宋_GB2312"/>
          <w:color w:val="000000" w:themeColor="text1"/>
          <w:sz w:val="32"/>
          <w:szCs w:val="32"/>
        </w:rPr>
        <w:t>拓展汪家墩、梨园口等红色景点功能，培育康养、红色、研学等旅游业态，提升“西路军魂传承地”知名度。</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——加强监管优化服务。</w:t>
      </w:r>
      <w:r>
        <w:rPr>
          <w:rFonts w:hint="eastAsia" w:ascii="仿宋_GB2312" w:hAnsi="仿宋_GB2312" w:eastAsia="仿宋_GB2312" w:cs="仿宋_GB2312"/>
          <w:color w:val="000000" w:themeColor="text1"/>
          <w:sz w:val="32"/>
          <w:szCs w:val="32"/>
        </w:rPr>
        <w:t>持续开展A级旅游景区“服务质量提升年”行动，制定旅游地方标准和企业标准，培育一批经营管理示范单位、接待服务标准化酒店、地方特色餐饮门店。建立文旅行业单位和从业人员“负面清单”，规范服务活动。健全旅游体验师、志愿者队伍，依托社会力量加强行业监督，打造旅游服务“首善之区”。</w:t>
      </w:r>
    </w:p>
    <w:p>
      <w:pPr>
        <w:adjustRightInd w:val="0"/>
        <w:snapToGrid w:val="0"/>
        <w:spacing w:line="580" w:lineRule="exact"/>
        <w:ind w:firstLine="644"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color w:val="000000" w:themeColor="text1"/>
          <w:sz w:val="32"/>
          <w:szCs w:val="32"/>
        </w:rPr>
        <w:t>——发展文旅康养新业态。</w:t>
      </w:r>
      <w:r>
        <w:rPr>
          <w:rFonts w:hint="eastAsia" w:ascii="仿宋_GB2312" w:hAnsi="仿宋_GB2312" w:eastAsia="仿宋_GB2312" w:cs="仿宋_GB2312"/>
          <w:color w:val="000000" w:themeColor="text1"/>
          <w:kern w:val="0"/>
          <w:sz w:val="32"/>
          <w:szCs w:val="32"/>
        </w:rPr>
        <w:t>高起点、高标准编制丹霞康养彩虹谷规划，规范运营丹霞康养庄园、海圣田园之梦酒店温泉度假区，加快推进丹霞康养村温泉体验中心、流沙河体育公园水体验馆、中医院康复综合服务中心、屯泉小镇、金沙湾沙漠旅游度假营地、健身步道等康养项目建设力度，全力跟进温泉酒店落地建设，把临泽打造成生态宜居的福地、休闲养生的胜地。用好全国农产品质量安全县“金”字招牌，高效开发利用温泉和富硒农特资源，不断丰富健身赛事、康复医疗、营养膳食、养老养生、美体美容、心理诊疗等文旅康养旅游业态。</w:t>
      </w:r>
    </w:p>
    <w:p>
      <w:pPr>
        <w:adjustRightInd w:val="0"/>
        <w:snapToGrid w:val="0"/>
        <w:spacing w:line="580" w:lineRule="exact"/>
        <w:ind w:firstLine="644"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——精准营销彰显魅力。</w:t>
      </w:r>
      <w:r>
        <w:rPr>
          <w:rFonts w:hint="eastAsia" w:ascii="仿宋_GB2312" w:hAnsi="仿宋_GB2312" w:eastAsia="仿宋_GB2312" w:cs="仿宋_GB2312"/>
          <w:color w:val="000000" w:themeColor="text1"/>
          <w:kern w:val="0"/>
          <w:sz w:val="32"/>
          <w:szCs w:val="32"/>
        </w:rPr>
        <w:t>积极参与“百城百场”文化旅游互动交流，邀请专业旅游网站、知名旅行社来临洽谈合作，拓展文旅会展空间，主动融入甘青大环线旅游景区联盟，加大优质产品宣传推介，实现资源共享、客源互送。持续举办马拉松、马自骑、航空航海航模、垂钓、轮滑、户外露营徒步等国家和省级品牌体育赛事活动，积极承办全省文化体育旅游系统门类艺术培训和研讨交流活动，放大节会营销</w:t>
      </w:r>
      <w:r>
        <w:rPr>
          <w:rFonts w:hint="eastAsia" w:ascii="仿宋_GB2312" w:hAnsi="仿宋_GB2312" w:eastAsia="仿宋_GB2312" w:cs="仿宋_GB2312"/>
          <w:color w:val="000000" w:themeColor="text1"/>
          <w:kern w:val="0"/>
          <w:sz w:val="32"/>
          <w:szCs w:val="32"/>
          <w:lang w:val="zh-CN"/>
        </w:rPr>
        <w:t>发展</w:t>
      </w:r>
      <w:r>
        <w:rPr>
          <w:rFonts w:hint="eastAsia" w:ascii="仿宋_GB2312" w:hAnsi="仿宋_GB2312" w:eastAsia="仿宋_GB2312" w:cs="仿宋_GB2312"/>
          <w:color w:val="000000" w:themeColor="text1"/>
          <w:kern w:val="0"/>
          <w:sz w:val="32"/>
          <w:szCs w:val="32"/>
        </w:rPr>
        <w:t>效应。开展全民宣传营销活动，综合运用原创视频、云直播、云旅游等体验式营销方式，</w:t>
      </w:r>
      <w:r>
        <w:rPr>
          <w:rFonts w:hint="eastAsia" w:ascii="仿宋_GB2312" w:hAnsi="仿宋_GB2312" w:eastAsia="仿宋_GB2312" w:cs="仿宋_GB2312"/>
          <w:color w:val="000000" w:themeColor="text1"/>
          <w:kern w:val="0"/>
          <w:sz w:val="32"/>
          <w:szCs w:val="32"/>
          <w:lang w:val="zh-CN"/>
        </w:rPr>
        <w:t>展示临泽丰富的</w:t>
      </w:r>
      <w:r>
        <w:rPr>
          <w:rFonts w:hint="eastAsia" w:ascii="仿宋_GB2312" w:hAnsi="仿宋_GB2312" w:eastAsia="仿宋_GB2312" w:cs="仿宋_GB2312"/>
          <w:color w:val="000000" w:themeColor="text1"/>
          <w:kern w:val="0"/>
          <w:sz w:val="32"/>
          <w:szCs w:val="32"/>
        </w:rPr>
        <w:t>文化</w:t>
      </w:r>
      <w:r>
        <w:rPr>
          <w:rFonts w:hint="eastAsia" w:ascii="仿宋_GB2312" w:hAnsi="仿宋_GB2312" w:eastAsia="仿宋_GB2312" w:cs="仿宋_GB2312"/>
          <w:color w:val="000000" w:themeColor="text1"/>
          <w:kern w:val="0"/>
          <w:sz w:val="32"/>
          <w:szCs w:val="32"/>
          <w:lang w:val="zh-CN"/>
        </w:rPr>
        <w:t>旅游资源和多样的</w:t>
      </w:r>
      <w:r>
        <w:rPr>
          <w:rFonts w:hint="eastAsia" w:ascii="仿宋_GB2312" w:hAnsi="仿宋_GB2312" w:eastAsia="仿宋_GB2312" w:cs="仿宋_GB2312"/>
          <w:color w:val="000000" w:themeColor="text1"/>
          <w:kern w:val="0"/>
          <w:sz w:val="32"/>
          <w:szCs w:val="32"/>
        </w:rPr>
        <w:t>文化</w:t>
      </w:r>
      <w:r>
        <w:rPr>
          <w:rFonts w:hint="eastAsia" w:ascii="仿宋_GB2312" w:hAnsi="仿宋_GB2312" w:eastAsia="仿宋_GB2312" w:cs="仿宋_GB2312"/>
          <w:color w:val="000000" w:themeColor="text1"/>
          <w:kern w:val="0"/>
          <w:sz w:val="32"/>
          <w:szCs w:val="32"/>
          <w:lang w:val="zh-CN"/>
        </w:rPr>
        <w:t>旅游产品，形成全民化、全媒介宣传营销局面。</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26" w:name="_Toc12556"/>
      <w:bookmarkStart w:id="127" w:name="_Toc29019"/>
      <w:bookmarkStart w:id="128" w:name="_Toc19680"/>
      <w:bookmarkStart w:id="129" w:name="_Toc24474"/>
      <w:r>
        <w:rPr>
          <w:rFonts w:hint="eastAsia" w:ascii="楷体_GB2312" w:hAnsi="楷体_GB2312" w:eastAsia="楷体_GB2312" w:cs="楷体_GB2312"/>
          <w:b/>
          <w:bCs/>
          <w:color w:val="000000" w:themeColor="text1"/>
          <w:sz w:val="32"/>
          <w:szCs w:val="32"/>
        </w:rPr>
        <w:t>第四节  创新驱动</w:t>
      </w:r>
      <w:bookmarkEnd w:id="124"/>
      <w:r>
        <w:rPr>
          <w:rFonts w:hint="eastAsia" w:ascii="楷体_GB2312" w:hAnsi="楷体_GB2312" w:eastAsia="楷体_GB2312" w:cs="楷体_GB2312"/>
          <w:b/>
          <w:bCs/>
          <w:color w:val="000000" w:themeColor="text1"/>
          <w:sz w:val="32"/>
          <w:szCs w:val="32"/>
        </w:rPr>
        <w:t>打造数字信息高地</w:t>
      </w:r>
      <w:bookmarkEnd w:id="125"/>
      <w:bookmarkEnd w:id="126"/>
      <w:bookmarkEnd w:id="127"/>
      <w:bookmarkEnd w:id="128"/>
      <w:bookmarkEnd w:id="129"/>
    </w:p>
    <w:p>
      <w:pPr>
        <w:pStyle w:val="2"/>
        <w:adjustRightInd w:val="0"/>
        <w:snapToGrid w:val="0"/>
        <w:spacing w:line="610" w:lineRule="exact"/>
        <w:ind w:left="0" w:leftChars="0" w:firstLine="644" w:firstLineChars="200"/>
        <w:rPr>
          <w:rFonts w:ascii="仿宋_GB2312" w:hAnsi="仿宋_GB2312" w:eastAsia="仿宋_GB2312" w:cs="仿宋_GB2312"/>
          <w:color w:val="000000" w:themeColor="text1"/>
          <w:kern w:val="0"/>
          <w:sz w:val="32"/>
          <w:szCs w:val="32"/>
          <w:lang w:val="zh-CN"/>
        </w:rPr>
      </w:pPr>
      <w:r>
        <w:rPr>
          <w:rFonts w:hint="eastAsia" w:ascii="仿宋_GB2312" w:hAnsi="仿宋_GB2312" w:eastAsia="仿宋_GB2312" w:cs="仿宋_GB2312"/>
          <w:b/>
          <w:color w:val="000000" w:themeColor="text1"/>
          <w:kern w:val="44"/>
          <w:sz w:val="32"/>
          <w:szCs w:val="32"/>
        </w:rPr>
        <w:t>——大力发展数字经济。</w:t>
      </w:r>
      <w:r>
        <w:rPr>
          <w:rFonts w:hint="eastAsia" w:ascii="仿宋_GB2312" w:hAnsi="仿宋_GB2312" w:eastAsia="仿宋_GB2312" w:cs="仿宋_GB2312"/>
          <w:color w:val="000000" w:themeColor="text1"/>
          <w:sz w:val="32"/>
          <w:szCs w:val="32"/>
        </w:rPr>
        <w:t>持续完善网络基础设施，建成5G基站46个，推进“千兆城市”“高水平全光网城市”建设。加快推动数字产业化、产业数字化，以</w:t>
      </w:r>
      <w:r>
        <w:rPr>
          <w:rFonts w:hint="eastAsia" w:ascii="仿宋_GB2312" w:hAnsi="仿宋_GB2312" w:eastAsia="仿宋_GB2312" w:cs="仿宋_GB2312"/>
          <w:color w:val="000000" w:themeColor="text1"/>
          <w:kern w:val="0"/>
          <w:sz w:val="32"/>
          <w:szCs w:val="32"/>
          <w:lang w:val="zh-CN"/>
        </w:rPr>
        <w:t>“互联网+戈壁农业”全产业链服务和“互联网+农业社会化服务”网络体系建设</w:t>
      </w:r>
      <w:r>
        <w:rPr>
          <w:rFonts w:hint="eastAsia" w:ascii="仿宋_GB2312" w:hAnsi="仿宋_GB2312" w:eastAsia="仿宋_GB2312" w:cs="仿宋_GB2312"/>
          <w:color w:val="000000" w:themeColor="text1"/>
          <w:kern w:val="0"/>
          <w:sz w:val="32"/>
          <w:szCs w:val="32"/>
        </w:rPr>
        <w:t>项目实施为基础</w:t>
      </w:r>
      <w:r>
        <w:rPr>
          <w:rFonts w:hint="eastAsia" w:ascii="仿宋_GB2312" w:hAnsi="仿宋_GB2312" w:eastAsia="仿宋_GB2312" w:cs="仿宋_GB2312"/>
          <w:color w:val="000000" w:themeColor="text1"/>
          <w:kern w:val="0"/>
          <w:sz w:val="32"/>
          <w:szCs w:val="32"/>
          <w:lang w:val="zh-CN"/>
        </w:rPr>
        <w:t>，构建完善农业大数据、冷链仓储物流、电商服务等平台，大力发展智慧农业、智慧物流。推广无接触配送、直播带货、“生产基地+中央厨房+餐饮门店”等经营模式，做优做强电商经济。引导支持西域、雪润等企业运用互联网、大数据、人工智能等技术完成智能化、信息化改造。加快推进智慧景区、智慧</w:t>
      </w:r>
      <w:r>
        <w:rPr>
          <w:rFonts w:hint="eastAsia" w:ascii="仿宋_GB2312" w:hAnsi="CESI仿宋-GB2312" w:eastAsia="仿宋_GB2312" w:cs="CESI仿宋-GB2312"/>
          <w:color w:val="000000" w:themeColor="text1"/>
          <w:sz w:val="32"/>
          <w:szCs w:val="32"/>
        </w:rPr>
        <w:t>医疗、智慧教育、智慧交通、智慧养老、智慧社区建设，为群众</w:t>
      </w:r>
      <w:r>
        <w:rPr>
          <w:rFonts w:hint="eastAsia" w:ascii="仿宋_GB2312" w:hAnsi="仿宋_GB2312" w:eastAsia="仿宋_GB2312" w:cs="仿宋_GB2312"/>
          <w:color w:val="000000" w:themeColor="text1"/>
          <w:kern w:val="0"/>
          <w:sz w:val="32"/>
          <w:szCs w:val="32"/>
          <w:lang w:val="zh-CN"/>
        </w:rPr>
        <w:t>提供个性化、差异化服务，实现乡村数据化、生活数据化和治理数据化。</w:t>
      </w:r>
      <w:bookmarkStart w:id="130" w:name="_Toc28950"/>
      <w:bookmarkStart w:id="131" w:name="_Toc9332"/>
    </w:p>
    <w:p>
      <w:pPr>
        <w:pStyle w:val="2"/>
        <w:adjustRightInd w:val="0"/>
        <w:snapToGrid w:val="0"/>
        <w:spacing w:line="610" w:lineRule="exact"/>
        <w:ind w:left="0" w:leftChars="0" w:firstLine="644" w:firstLineChars="200"/>
        <w:rPr>
          <w:rFonts w:ascii="仿宋_GB2312" w:hAnsi="仿宋_GB2312" w:eastAsia="仿宋_GB2312" w:cs="仿宋_GB2312"/>
          <w:color w:val="000000" w:themeColor="text1"/>
          <w:sz w:val="32"/>
          <w:szCs w:val="32"/>
          <w:lang w:val="zh-CN"/>
        </w:rPr>
      </w:pP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b/>
          <w:color w:val="000000" w:themeColor="text1"/>
          <w:sz w:val="32"/>
          <w:szCs w:val="32"/>
          <w:lang w:val="zh-CN"/>
        </w:rPr>
        <w:t>完善科技创新体制机制</w:t>
      </w: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color w:val="000000" w:themeColor="text1"/>
          <w:sz w:val="32"/>
          <w:szCs w:val="32"/>
        </w:rPr>
        <w:t>健全科技创新治理体系，促进科技供给侧和需求侧、研发端和落地端畅通对接。优化科技管理体制和运行机制，实现重点领域项目、基地、人才、资金高效配置</w:t>
      </w:r>
      <w:bookmarkStart w:id="132" w:name="_Hlk67581464"/>
      <w:r>
        <w:rPr>
          <w:rFonts w:hint="eastAsia" w:ascii="仿宋_GB2312" w:hAnsi="仿宋_GB2312" w:eastAsia="仿宋_GB2312" w:cs="仿宋_GB2312"/>
          <w:color w:val="000000" w:themeColor="text1"/>
          <w:sz w:val="32"/>
          <w:szCs w:val="32"/>
        </w:rPr>
        <w:t>。</w:t>
      </w:r>
      <w:bookmarkEnd w:id="132"/>
      <w:r>
        <w:rPr>
          <w:rFonts w:hint="eastAsia" w:ascii="仿宋_GB2312" w:hAnsi="仿宋_GB2312" w:eastAsia="仿宋_GB2312" w:cs="仿宋_GB2312"/>
          <w:color w:val="000000" w:themeColor="text1"/>
          <w:sz w:val="32"/>
          <w:szCs w:val="32"/>
        </w:rPr>
        <w:t>强化政策引导，完善科技创新奖励政策，构建共建共享的技术交易、资源共享的创新服务机制，促进各类创新要素向企业集聚。鼓励吸引国内外客商来临建立高新技术企业或科技开发机构，鼓励和支持企业引进国内外先进技术。完善创新创业政策体系和服务保障机制，实行技术项目“揭榜攻关”“赛马”等制度，利用重大项目和重要平台引进人才。</w:t>
      </w:r>
      <w:r>
        <w:rPr>
          <w:rFonts w:hint="eastAsia" w:ascii="仿宋_GB2312" w:hAnsi="仿宋_GB2312" w:eastAsia="仿宋_GB2312" w:cs="仿宋_GB2312"/>
          <w:color w:val="000000" w:themeColor="text1"/>
          <w:sz w:val="32"/>
          <w:szCs w:val="32"/>
          <w:lang w:val="zh-CN"/>
        </w:rPr>
        <w:t>优化创新创业融资环境，吸引一批带着项目或技术的创新人才和创新团队到临泽发展。</w:t>
      </w:r>
      <w:bookmarkEnd w:id="130"/>
      <w:bookmarkEnd w:id="131"/>
    </w:p>
    <w:p>
      <w:pPr>
        <w:autoSpaceDE w:val="0"/>
        <w:autoSpaceDN w:val="0"/>
        <w:adjustRightInd w:val="0"/>
        <w:snapToGrid w:val="0"/>
        <w:spacing w:line="580" w:lineRule="exact"/>
        <w:rPr>
          <w:rFonts w:ascii="黑体" w:hAnsi="黑体" w:eastAsia="黑体" w:cs="黑体"/>
          <w:color w:val="000000" w:themeColor="text1"/>
          <w:sz w:val="32"/>
          <w:szCs w:val="32"/>
        </w:rPr>
      </w:pPr>
      <w:bookmarkStart w:id="133" w:name="_Toc58849965"/>
      <w:bookmarkStart w:id="134" w:name="_Toc32621"/>
      <w:bookmarkStart w:id="135" w:name="_Toc18627"/>
      <w:bookmarkStart w:id="136" w:name="_Toc1700741847"/>
      <w:bookmarkStart w:id="137" w:name="_Toc475632272"/>
    </w:p>
    <w:p>
      <w:pPr>
        <w:autoSpaceDE w:val="0"/>
        <w:autoSpaceDN w:val="0"/>
        <w:adjustRightInd w:val="0"/>
        <w:snapToGrid w:val="0"/>
        <w:spacing w:line="580" w:lineRule="exact"/>
        <w:jc w:val="center"/>
        <w:outlineLvl w:val="0"/>
        <w:rPr>
          <w:rFonts w:ascii="黑体" w:hAnsi="黑体" w:eastAsia="黑体" w:cs="黑体"/>
          <w:color w:val="000000" w:themeColor="text1"/>
          <w:sz w:val="32"/>
          <w:szCs w:val="32"/>
        </w:rPr>
      </w:pPr>
      <w:bookmarkStart w:id="138" w:name="_Toc11563"/>
      <w:bookmarkStart w:id="139" w:name="_Toc15899"/>
      <w:r>
        <w:rPr>
          <w:rFonts w:hint="eastAsia" w:ascii="黑体" w:hAnsi="黑体" w:eastAsia="黑体" w:cs="黑体"/>
          <w:color w:val="000000" w:themeColor="text1"/>
          <w:sz w:val="32"/>
          <w:szCs w:val="32"/>
        </w:rPr>
        <w:t xml:space="preserve">第六章  </w:t>
      </w:r>
      <w:r>
        <w:fldChar w:fldCharType="begin"/>
      </w:r>
      <w:r>
        <w:instrText xml:space="preserve"> HYPERLINK "file:///C:\\Users\\46204\\Desktop\\城市预防重大风险能力.docx" \l "_Toc475632278" </w:instrText>
      </w:r>
      <w:r>
        <w:fldChar w:fldCharType="separate"/>
      </w:r>
      <w:bookmarkStart w:id="140" w:name="_Toc58063046"/>
      <w:bookmarkStart w:id="141" w:name="_Toc59009252"/>
      <w:bookmarkStart w:id="142" w:name="_Toc58062975"/>
      <w:r>
        <w:rPr>
          <w:rFonts w:hint="eastAsia" w:ascii="黑体" w:hAnsi="黑体" w:eastAsia="黑体" w:cs="黑体"/>
          <w:color w:val="000000" w:themeColor="text1"/>
          <w:sz w:val="32"/>
          <w:szCs w:val="32"/>
        </w:rPr>
        <w:t>高质量提升城镇</w:t>
      </w:r>
      <w:bookmarkEnd w:id="133"/>
      <w:bookmarkEnd w:id="140"/>
      <w:bookmarkEnd w:id="141"/>
      <w:bookmarkEnd w:id="142"/>
      <w:r>
        <w:rPr>
          <w:rFonts w:hint="eastAsia" w:ascii="黑体" w:hAnsi="黑体" w:eastAsia="黑体" w:cs="黑体"/>
          <w:color w:val="000000" w:themeColor="text1"/>
          <w:sz w:val="32"/>
          <w:szCs w:val="32"/>
        </w:rPr>
        <w:t>综合服务能力</w:t>
      </w:r>
      <w:r>
        <w:rPr>
          <w:rFonts w:hint="eastAsia" w:ascii="黑体" w:hAnsi="黑体" w:eastAsia="黑体" w:cs="黑体"/>
          <w:color w:val="000000" w:themeColor="text1"/>
          <w:sz w:val="32"/>
          <w:szCs w:val="32"/>
        </w:rPr>
        <w:fldChar w:fldCharType="end"/>
      </w:r>
      <w:bookmarkEnd w:id="134"/>
      <w:bookmarkEnd w:id="135"/>
      <w:bookmarkEnd w:id="136"/>
      <w:bookmarkEnd w:id="138"/>
      <w:bookmarkEnd w:id="139"/>
    </w:p>
    <w:p>
      <w:pPr>
        <w:pStyle w:val="6"/>
        <w:adjustRightInd w:val="0"/>
        <w:snapToGrid w:val="0"/>
        <w:spacing w:line="580" w:lineRule="exact"/>
        <w:ind w:left="426"/>
        <w:rPr>
          <w:color w:val="000000" w:themeColor="text1"/>
        </w:rPr>
      </w:pPr>
    </w:p>
    <w:p>
      <w:pPr>
        <w:tabs>
          <w:tab w:val="left" w:pos="3718"/>
        </w:tabs>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全面提升城镇公共基础设施，增强城镇对人口和产业集聚支撑能力，满足居民对基本公共服务的需求，为顺利推进城镇化进程提供必要条件。</w:t>
      </w:r>
      <w:bookmarkStart w:id="143" w:name="_Toc1869020241"/>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44" w:name="_Toc30610"/>
      <w:bookmarkStart w:id="145" w:name="_Toc32207"/>
      <w:bookmarkStart w:id="146" w:name="_Toc6254"/>
      <w:bookmarkStart w:id="147" w:name="_Toc19402"/>
      <w:r>
        <w:rPr>
          <w:rFonts w:hint="eastAsia" w:ascii="楷体_GB2312" w:hAnsi="楷体_GB2312" w:eastAsia="楷体_GB2312" w:cs="楷体_GB2312"/>
          <w:b/>
          <w:bCs/>
          <w:color w:val="000000" w:themeColor="text1"/>
          <w:sz w:val="32"/>
          <w:szCs w:val="32"/>
        </w:rPr>
        <w:t>第一节  强化综合交通网络枢纽</w:t>
      </w:r>
      <w:bookmarkEnd w:id="143"/>
      <w:bookmarkEnd w:id="144"/>
      <w:bookmarkEnd w:id="145"/>
      <w:bookmarkEnd w:id="146"/>
      <w:bookmarkEnd w:id="147"/>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——完善优化城乡基础设施。</w:t>
      </w:r>
      <w:r>
        <w:rPr>
          <w:rFonts w:hint="eastAsia" w:ascii="仿宋_GB2312" w:hAnsi="仿宋_GB2312" w:eastAsia="仿宋_GB2312" w:cs="仿宋_GB2312"/>
          <w:color w:val="000000" w:themeColor="text1"/>
          <w:sz w:val="32"/>
          <w:szCs w:val="32"/>
        </w:rPr>
        <w:t>实施“交通+”战略，加大城乡公交一体化、G30连霍高速张掖丹霞服务区拓能综合工程和张掖丹霞货运枢纽建设项目，基本形成能级充分的“东西畅通、南北贯通”的综合运输通道，有效促进临泽与周边区域的快速联通。路网规模进一步扩大，公路网总里程达到1830公里以上。普通国道二级及以上公路比重达到100%，普通省道三级及以上公路比重达到100%，乡镇通三级及以上公路比例达到100%，具备条件的自然村（组）通硬化路比例达到100%。县道、乡道、村道的结构更加合理，县乡两级比例增加，与国省干线衔接更加顺畅。运输枢纽体系更加完善，货运站场和物流园区建设积极推进，货物运输组织化水平明显提升，县乡村三级物流体系基本建成。</w:t>
      </w:r>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b/>
          <w:color w:val="000000" w:themeColor="text1"/>
          <w:kern w:val="11"/>
          <w:sz w:val="32"/>
          <w:szCs w:val="32"/>
          <w:lang w:val="zh-CN"/>
        </w:rPr>
        <w:t>促进交通旅游融合发展。</w:t>
      </w:r>
      <w:r>
        <w:rPr>
          <w:rFonts w:hint="eastAsia" w:ascii="仿宋_GB2312" w:hAnsi="仿宋_GB2312" w:eastAsia="仿宋_GB2312" w:cs="仿宋_GB2312"/>
          <w:bCs/>
          <w:color w:val="000000" w:themeColor="text1"/>
          <w:sz w:val="32"/>
          <w:szCs w:val="32"/>
        </w:rPr>
        <w:t>按照全域旅游发展理念，积极对接《甘肃千里河西走廊交通旅游融合建设规划》，围绕全县旅游资源，加快旅游道路建设，逐渐完善“快进慢游”旅游交通基础设施网络，增强旅游交通</w:t>
      </w:r>
      <w:r>
        <w:rPr>
          <w:rFonts w:hint="eastAsia" w:ascii="仿宋_GB2312" w:hAnsi="仿宋_GB2312" w:eastAsia="仿宋_GB2312" w:cs="仿宋_GB2312"/>
          <w:color w:val="000000" w:themeColor="text1"/>
          <w:sz w:val="32"/>
          <w:szCs w:val="32"/>
        </w:rPr>
        <w:t>产品供给能力，改善旅游交通服务功能，促进交通与旅游深度融合发展。</w:t>
      </w:r>
      <w:r>
        <w:rPr>
          <w:rFonts w:hint="eastAsia" w:ascii="仿宋_GB2312" w:hAnsi="仿宋_GB2312" w:eastAsia="仿宋_GB2312" w:cs="仿宋_GB2312"/>
          <w:bCs/>
          <w:color w:val="000000" w:themeColor="text1"/>
          <w:sz w:val="32"/>
          <w:szCs w:val="32"/>
        </w:rPr>
        <w:t>发挥农村特色资源和生态优势，提升乡村旅游保障能力，加大城乡客运支持乡村旅游发展力度，积极拓展“运游一体”服务。鼓励在农村公路沿线设置驿站、自驾车营地、房车营地、观景平台等旅游配套基础服务设施，满足游客多样化、个性化旅游需求。</w:t>
      </w:r>
      <w:r>
        <w:rPr>
          <w:rFonts w:hint="eastAsia" w:ascii="仿宋_GB2312" w:hAnsi="仿宋_GB2312" w:eastAsia="仿宋_GB2312" w:cs="仿宋_GB2312"/>
          <w:color w:val="000000" w:themeColor="text1"/>
          <w:sz w:val="32"/>
          <w:szCs w:val="32"/>
        </w:rPr>
        <w:t>鼓励完善火车站、客运中心和重点旅游景区汽车客运站的旅游集散服务功能，倡导发展汽车共享服务，与交通枢纽、旅游景点、酒店等增强互动性，积极推进异地租车换车等服务。</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48" w:name="_Toc21055"/>
      <w:bookmarkStart w:id="149" w:name="_Toc23068"/>
      <w:bookmarkStart w:id="150" w:name="_Toc24614"/>
      <w:bookmarkStart w:id="151" w:name="_Toc477831184"/>
      <w:bookmarkStart w:id="152" w:name="_Toc10598"/>
      <w:r>
        <w:rPr>
          <w:rFonts w:hint="eastAsia" w:ascii="楷体_GB2312" w:hAnsi="楷体_GB2312" w:eastAsia="楷体_GB2312" w:cs="楷体_GB2312"/>
          <w:b/>
          <w:bCs/>
          <w:color w:val="000000" w:themeColor="text1"/>
          <w:sz w:val="32"/>
          <w:szCs w:val="32"/>
        </w:rPr>
        <w:t>第二节  完善市政基础设施建设</w:t>
      </w:r>
      <w:bookmarkEnd w:id="148"/>
      <w:bookmarkEnd w:id="149"/>
      <w:bookmarkEnd w:id="150"/>
      <w:bookmarkEnd w:id="151"/>
      <w:bookmarkEnd w:id="152"/>
      <w:bookmarkStart w:id="153" w:name="_Toc59009253"/>
    </w:p>
    <w:p>
      <w:pPr>
        <w:adjustRightInd w:val="0"/>
        <w:snapToGrid w:val="0"/>
        <w:spacing w:line="600" w:lineRule="exact"/>
        <w:ind w:firstLine="644" w:firstLineChars="200"/>
        <w:rPr>
          <w:rFonts w:ascii="仿宋_GB2312" w:hAnsi="仿宋_GB2312" w:eastAsia="仿宋_GB2312" w:cs="仿宋_GB2312"/>
          <w:color w:val="000000" w:themeColor="text1"/>
          <w:kern w:val="0"/>
          <w:sz w:val="32"/>
          <w:szCs w:val="32"/>
        </w:rPr>
      </w:pPr>
      <w:bookmarkStart w:id="154" w:name="_Toc2133576986"/>
      <w:r>
        <w:rPr>
          <w:rFonts w:hint="eastAsia" w:ascii="仿宋_GB2312" w:hAnsi="仿宋_GB2312" w:eastAsia="仿宋_GB2312" w:cs="仿宋_GB2312"/>
          <w:b/>
          <w:color w:val="000000" w:themeColor="text1"/>
          <w:sz w:val="32"/>
          <w:szCs w:val="32"/>
        </w:rPr>
        <w:t>——完善城市道路和通讯网络。</w:t>
      </w:r>
      <w:r>
        <w:rPr>
          <w:rFonts w:hint="eastAsia" w:ascii="仿宋_GB2312" w:hAnsi="仿宋_GB2312" w:eastAsia="仿宋_GB2312" w:cs="仿宋_GB2312"/>
          <w:color w:val="000000" w:themeColor="text1"/>
          <w:kern w:val="0"/>
          <w:sz w:val="32"/>
          <w:szCs w:val="32"/>
        </w:rPr>
        <w:t>新建（改造）南昌路、小康路、天鹅湖西路、中环路向南延伸段等主次干道，进一步改善城区道路通行条件，提高交通出行能力；大力实施供水、污水管网、雨水河流、垃圾分类等市政基础设施提升工程，不断提升城市综合承载能力。</w:t>
      </w:r>
      <w:r>
        <w:rPr>
          <w:rFonts w:hint="eastAsia" w:ascii="仿宋_GB2312" w:hAnsi="仿宋_GB2312" w:eastAsia="仿宋_GB2312" w:cs="仿宋_GB2312"/>
          <w:color w:val="000000" w:themeColor="text1"/>
          <w:sz w:val="32"/>
          <w:szCs w:val="32"/>
        </w:rPr>
        <w:t>推进信息基础设施建设，加快接入网基础设施改造，深入推进全光网城市建设，进一步提升城市和农村地区光纤网络接入能力和城域网传输交换能力，改造提升城乡光纤网络线路综合整治，优化杆路设置，推进杆线共享。</w:t>
      </w:r>
    </w:p>
    <w:p>
      <w:pPr>
        <w:adjustRightInd w:val="0"/>
        <w:snapToGrid w:val="0"/>
        <w:spacing w:line="580" w:lineRule="exact"/>
        <w:ind w:firstLine="644"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color w:val="000000" w:themeColor="text1"/>
          <w:sz w:val="32"/>
          <w:szCs w:val="32"/>
        </w:rPr>
        <w:t>——提升城市供水和集中供热、供气保障能力。</w:t>
      </w:r>
      <w:r>
        <w:rPr>
          <w:rFonts w:hint="eastAsia" w:ascii="仿宋_GB2312" w:hAnsi="仿宋_GB2312" w:eastAsia="仿宋_GB2312" w:cs="仿宋_GB2312"/>
          <w:color w:val="000000" w:themeColor="text1"/>
          <w:kern w:val="0"/>
          <w:sz w:val="32"/>
          <w:szCs w:val="32"/>
        </w:rPr>
        <w:t>有序推进城市供水设施改造与建设、备用水源地建设等，确保县城供水普及率达100%。落实城市供水设施运行、安全、环保、应急四个监管责任，建立健全水质化验、检测制度和城市供水反恐怖防范工作长效机制，转变二次供水建设管理模式、完善供水水质突发事件应急预案、健全供水安全保障体系。完善燃气输配、储备和供应保障系统，逐步实现城区和县城天然气全覆盖。加快城镇集中供热新热源、扩容工程和燃气利用工程建设，扩大集中供热、供燃气覆盖范围。分年度实施集中供热老旧管网优化改造，显著降低设备管网故障率，提高供热效率。</w:t>
      </w:r>
    </w:p>
    <w:p>
      <w:pPr>
        <w:pStyle w:val="2"/>
        <w:adjustRightInd w:val="0"/>
        <w:snapToGrid w:val="0"/>
        <w:spacing w:line="620" w:lineRule="exact"/>
        <w:ind w:left="0" w:leftChars="0"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——完善公共基础设施。</w:t>
      </w:r>
      <w:r>
        <w:rPr>
          <w:rFonts w:hint="eastAsia" w:ascii="仿宋_GB2312" w:hAnsi="仿宋_GB2312" w:eastAsia="仿宋_GB2312" w:cs="仿宋_GB2312"/>
          <w:color w:val="000000" w:themeColor="text1"/>
          <w:sz w:val="32"/>
          <w:szCs w:val="32"/>
        </w:rPr>
        <w:t>完善垃圾分类体系，提高生活垃圾无害化处理能力，加强城市餐厨垃圾、建筑垃圾收运处置体系建设，改造完善城镇公厕设施。实施城区生活垃圾分类及环卫一体化处置项目，全面实现垃圾分类收集处理，切实提高生活垃圾无害化处理和资源化利用水平。</w:t>
      </w:r>
      <w:r>
        <w:rPr>
          <w:rFonts w:hint="eastAsia" w:ascii="仿宋_GB2312" w:hAnsi="仿宋_GB2312" w:eastAsia="仿宋_GB2312" w:cs="仿宋_GB2312"/>
          <w:color w:val="000000" w:themeColor="text1"/>
          <w:kern w:val="0"/>
          <w:sz w:val="32"/>
          <w:szCs w:val="32"/>
        </w:rPr>
        <w:t>加快推进市政排水管网改造力度，</w:t>
      </w:r>
      <w:r>
        <w:rPr>
          <w:rFonts w:hint="eastAsia" w:ascii="仿宋_GB2312" w:hAnsi="仿宋_GB2312" w:eastAsia="仿宋_GB2312" w:cs="仿宋_GB2312"/>
          <w:color w:val="000000" w:themeColor="text1"/>
          <w:sz w:val="32"/>
          <w:szCs w:val="32"/>
        </w:rPr>
        <w:t>推进雨污分流改造和污泥无害化处置，</w:t>
      </w:r>
      <w:r>
        <w:rPr>
          <w:rFonts w:hint="eastAsia" w:ascii="仿宋_GB2312" w:hAnsi="仿宋_GB2312" w:eastAsia="仿宋_GB2312" w:cs="仿宋_GB2312"/>
          <w:color w:val="000000" w:themeColor="text1"/>
          <w:sz w:val="32"/>
          <w:szCs w:val="32"/>
          <w:shd w:val="clear" w:color="auto" w:fill="FFFFFF"/>
        </w:rPr>
        <w:t>使70%以上的雨水得到有效控制，保护水生态环境，逐步提高城市排水防涝标准，有效控制面源污染。</w:t>
      </w:r>
    </w:p>
    <w:p>
      <w:pPr>
        <w:adjustRightInd w:val="0"/>
        <w:snapToGrid w:val="0"/>
        <w:spacing w:beforeLines="50" w:afterLines="50" w:line="610" w:lineRule="exact"/>
        <w:jc w:val="center"/>
        <w:outlineLvl w:val="1"/>
        <w:rPr>
          <w:rFonts w:ascii="楷体_GB2312" w:hAnsi="楷体_GB2312" w:eastAsia="楷体_GB2312" w:cs="楷体_GB2312"/>
          <w:b/>
          <w:bCs/>
          <w:color w:val="000000" w:themeColor="text1"/>
          <w:sz w:val="32"/>
          <w:szCs w:val="32"/>
        </w:rPr>
      </w:pPr>
      <w:bookmarkStart w:id="155" w:name="_Toc25807"/>
      <w:bookmarkStart w:id="156" w:name="_Toc21406"/>
      <w:bookmarkStart w:id="157" w:name="_Toc12342"/>
      <w:bookmarkStart w:id="158" w:name="_Toc27375"/>
      <w:r>
        <w:rPr>
          <w:rFonts w:hint="eastAsia" w:ascii="楷体_GB2312" w:hAnsi="楷体_GB2312" w:eastAsia="楷体_GB2312" w:cs="楷体_GB2312"/>
          <w:b/>
          <w:bCs/>
          <w:color w:val="000000" w:themeColor="text1"/>
          <w:sz w:val="32"/>
          <w:szCs w:val="32"/>
        </w:rPr>
        <w:t>第三节  提高社会公共服务水平</w:t>
      </w:r>
      <w:bookmarkEnd w:id="154"/>
      <w:bookmarkEnd w:id="155"/>
      <w:bookmarkEnd w:id="156"/>
      <w:bookmarkEnd w:id="157"/>
      <w:bookmarkEnd w:id="158"/>
    </w:p>
    <w:p>
      <w:pPr>
        <w:adjustRightInd w:val="0"/>
        <w:snapToGrid w:val="0"/>
        <w:spacing w:line="62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——坚持教育优先，提高人民素质。</w:t>
      </w:r>
      <w:r>
        <w:rPr>
          <w:rFonts w:hint="eastAsia" w:ascii="仿宋_GB2312" w:hAnsi="仿宋_GB2312" w:eastAsia="仿宋_GB2312" w:cs="仿宋_GB2312"/>
          <w:color w:val="000000" w:themeColor="text1"/>
          <w:sz w:val="32"/>
          <w:szCs w:val="32"/>
        </w:rPr>
        <w:t>基于第七次人口普查数据趋势，城镇常住人口增长趋势和分布特点，调整中小学布局，优化整合农村教学点，适当向县城和镇中心校集中，重点解决我县乡村弱、城区挤、农民子女入学、优质教育资源共享、办学条件改善等问题。高度重视学前教育、职业教育、特殊教育和老年教育。</w:t>
      </w:r>
      <w:r>
        <w:rPr>
          <w:rFonts w:hint="eastAsia" w:ascii="仿宋_GB2312" w:hAnsi="仿宋_GB2312" w:eastAsia="仿宋_GB2312" w:cs="仿宋_GB2312"/>
          <w:color w:val="000000" w:themeColor="text1"/>
          <w:kern w:val="0"/>
          <w:sz w:val="32"/>
          <w:szCs w:val="32"/>
        </w:rPr>
        <w:t>优化城区学前教育布局，鼓励支持社会力量举办普惠性民办幼儿园</w:t>
      </w:r>
      <w:r>
        <w:rPr>
          <w:rFonts w:hint="eastAsia" w:ascii="仿宋_GB2312" w:hAnsi="仿宋_GB2312" w:eastAsia="仿宋_GB2312" w:cs="仿宋_GB2312"/>
          <w:color w:val="000000" w:themeColor="text1"/>
          <w:sz w:val="32"/>
          <w:szCs w:val="32"/>
        </w:rPr>
        <w:t>。围绕“一城五县”建设，着力提升职业教育服务县域经济社会发展能力。</w:t>
      </w:r>
    </w:p>
    <w:p>
      <w:pPr>
        <w:pStyle w:val="2"/>
        <w:adjustRightInd w:val="0"/>
        <w:snapToGrid w:val="0"/>
        <w:spacing w:line="620" w:lineRule="exact"/>
        <w:ind w:left="0" w:leftChars="0"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——夯实医疗保障，改善医疗条件。</w:t>
      </w:r>
      <w:r>
        <w:rPr>
          <w:rFonts w:hint="eastAsia" w:ascii="仿宋_GB2312" w:hAnsi="仿宋_GB2312" w:eastAsia="仿宋_GB2312" w:cs="仿宋_GB2312"/>
          <w:color w:val="000000" w:themeColor="text1"/>
          <w:sz w:val="32"/>
          <w:szCs w:val="32"/>
        </w:rPr>
        <w:t>持续实施“优质服务基层行”活动，继续改善医疗卫生条件，维护人民生命安全和身体健康。健全各级专业机构，增加检测、治疗设备，提高业务人员水平。加快构建社区医疗机构与县级医院的分工协作、双向转诊的城镇医疗服务体系，实行分级诊疗，完善预防控制突发传染病和重大公共卫生风险的对策措施。</w:t>
      </w:r>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——优化城市布局，提升文化旅游服务功能。</w:t>
      </w:r>
      <w:r>
        <w:rPr>
          <w:rFonts w:hint="eastAsia" w:ascii="仿宋_GB2312" w:hAnsi="仿宋_GB2312" w:eastAsia="仿宋_GB2312" w:cs="仿宋_GB2312"/>
          <w:color w:val="000000" w:themeColor="text1"/>
          <w:sz w:val="32"/>
          <w:szCs w:val="32"/>
        </w:rPr>
        <w:t>依托丹霞国家5A级旅游景区和世界地质公园金字招牌，将临泽打造为全省全域生态旅游名县；围绕“彰显特色、提升品位、助力文旅、惠及人民”的目标，高起点规划建设“彩虹家园”，加快推进“彩虹文旅”示范区建设。持续开展A级旅游景区“服务质量提升年”行动，制定旅游地方标准和企业标准，培育一批经营管理示范单位、接待服务标准化酒店、地方特色餐饮门店。健全旅游体验师、志愿者队伍，依托社会力量加强行业监督，打造旅游服务“首善之区”。不断延伸产业链条，进一步开发培育有特色、种类多的“临泽味道”；策划举办文创产品大赛，开发有创意、能带走的“临泽礼物”；加快梨园新村等景区周边宾馆客栈晋等升级，打造有市场、受欢迎的“临泽美居”；借力在临泽取景拍摄的影视作品，讲好有渊源、广流传的“临泽故事”。</w:t>
      </w:r>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——提升服务质量，不断丰富群众文化生活。</w:t>
      </w:r>
      <w:r>
        <w:rPr>
          <w:rFonts w:hint="eastAsia" w:ascii="仿宋_GB2312" w:hAnsi="仿宋_GB2312" w:eastAsia="仿宋_GB2312" w:cs="仿宋_GB2312"/>
          <w:color w:val="000000" w:themeColor="text1"/>
          <w:sz w:val="32"/>
          <w:szCs w:val="32"/>
          <w:lang w:val="zh-CN"/>
        </w:rPr>
        <w:t>深入推进“三馆一站”针对群众需求开设免费服务项目，提升公共文化免费服务效能。加大政府购买公共文化服务的力度，持续推进特色文化活动引领行动，办活办精文化旅游节会活动，打造葡萄美酒节、“枣花节”等文化旅游节会和“二月二”“四月八”等民俗文化节会品牌。</w:t>
      </w:r>
      <w:r>
        <w:rPr>
          <w:rFonts w:hint="eastAsia" w:ascii="仿宋_GB2312" w:hAnsi="仿宋_GB2312" w:eastAsia="仿宋_GB2312" w:cs="仿宋_GB2312"/>
          <w:color w:val="000000" w:themeColor="text1"/>
          <w:sz w:val="32"/>
          <w:szCs w:val="32"/>
        </w:rPr>
        <w:t>打磨提升《回道张掖》《阿兰拉格达》剧目，支持多渠道开拓客源市场。</w:t>
      </w:r>
      <w:bookmarkEnd w:id="153"/>
      <w:bookmarkStart w:id="159" w:name="_Toc305984838"/>
    </w:p>
    <w:p>
      <w:pPr>
        <w:autoSpaceDE w:val="0"/>
        <w:autoSpaceDN w:val="0"/>
        <w:adjustRightInd w:val="0"/>
        <w:snapToGrid w:val="0"/>
        <w:spacing w:line="580" w:lineRule="exact"/>
        <w:rPr>
          <w:rFonts w:ascii="黑体" w:hAnsi="黑体" w:eastAsia="黑体" w:cs="黑体"/>
          <w:color w:val="000000" w:themeColor="text1"/>
          <w:sz w:val="32"/>
          <w:szCs w:val="32"/>
        </w:rPr>
      </w:pPr>
      <w:bookmarkStart w:id="160" w:name="_Toc3305"/>
    </w:p>
    <w:p>
      <w:pPr>
        <w:autoSpaceDE w:val="0"/>
        <w:autoSpaceDN w:val="0"/>
        <w:adjustRightInd w:val="0"/>
        <w:snapToGrid w:val="0"/>
        <w:spacing w:line="580" w:lineRule="exact"/>
        <w:jc w:val="center"/>
        <w:outlineLvl w:val="0"/>
        <w:rPr>
          <w:rFonts w:ascii="黑体" w:hAnsi="黑体" w:eastAsia="黑体" w:cs="黑体"/>
          <w:color w:val="000000" w:themeColor="text1"/>
          <w:sz w:val="32"/>
          <w:szCs w:val="32"/>
        </w:rPr>
      </w:pPr>
      <w:bookmarkStart w:id="161" w:name="_Toc8410"/>
      <w:bookmarkStart w:id="162" w:name="_Toc29992"/>
      <w:bookmarkStart w:id="163" w:name="_Toc25509"/>
      <w:r>
        <w:rPr>
          <w:rFonts w:hint="eastAsia" w:ascii="黑体" w:hAnsi="黑体" w:eastAsia="黑体" w:cs="黑体"/>
          <w:color w:val="000000" w:themeColor="text1"/>
          <w:sz w:val="32"/>
          <w:szCs w:val="32"/>
        </w:rPr>
        <w:t>第七章  加快推动城乡融合发展</w:t>
      </w:r>
      <w:bookmarkEnd w:id="137"/>
      <w:bookmarkEnd w:id="159"/>
      <w:bookmarkEnd w:id="160"/>
      <w:bookmarkEnd w:id="161"/>
      <w:bookmarkEnd w:id="162"/>
      <w:bookmarkEnd w:id="163"/>
    </w:p>
    <w:p>
      <w:pPr>
        <w:pStyle w:val="6"/>
        <w:adjustRightInd w:val="0"/>
        <w:snapToGrid w:val="0"/>
        <w:spacing w:line="580" w:lineRule="exact"/>
        <w:ind w:left="426"/>
        <w:rPr>
          <w:color w:val="000000" w:themeColor="text1"/>
        </w:rPr>
      </w:pPr>
    </w:p>
    <w:p>
      <w:pPr>
        <w:adjustRightInd w:val="0"/>
        <w:snapToGrid w:val="0"/>
        <w:spacing w:line="580" w:lineRule="exact"/>
        <w:ind w:firstLine="644" w:firstLineChars="200"/>
        <w:rPr>
          <w:rFonts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以“城乡融合发展”为重点，坚持城乡一体、区域协同，加快补齐城乡发展短板，着力提升城市品质能级、乡村发展质量，逐步缩小城乡发展差距和居民生活水平差距，推动形成工农互促、城乡融合、协调发展、共同繁荣的新型工农城乡关系。</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64" w:name="_Toc622370813"/>
      <w:bookmarkStart w:id="165" w:name="_Toc16152"/>
      <w:bookmarkStart w:id="166" w:name="_Toc12609"/>
      <w:bookmarkStart w:id="167" w:name="_Toc15457"/>
      <w:bookmarkStart w:id="168" w:name="_Toc12707"/>
      <w:r>
        <w:rPr>
          <w:rFonts w:hint="eastAsia" w:ascii="楷体_GB2312" w:hAnsi="楷体_GB2312" w:eastAsia="楷体_GB2312" w:cs="楷体_GB2312"/>
          <w:b/>
          <w:bCs/>
          <w:color w:val="000000" w:themeColor="text1"/>
          <w:sz w:val="32"/>
          <w:szCs w:val="32"/>
        </w:rPr>
        <w:t>第一节  推动城乡基础设施一体化</w:t>
      </w:r>
      <w:bookmarkEnd w:id="164"/>
      <w:bookmarkEnd w:id="165"/>
      <w:bookmarkEnd w:id="166"/>
      <w:bookmarkEnd w:id="167"/>
      <w:bookmarkEnd w:id="168"/>
    </w:p>
    <w:p>
      <w:pPr>
        <w:adjustRightInd w:val="0"/>
        <w:snapToGrid w:val="0"/>
        <w:spacing w:line="600" w:lineRule="exact"/>
        <w:ind w:firstLine="644" w:firstLineChars="200"/>
        <w:rPr>
          <w:rFonts w:ascii="仿宋_GB2312" w:hAnsi="仿宋_GB2312" w:eastAsia="仿宋_GB2312" w:cs="仿宋_GB2312"/>
          <w:color w:val="000000" w:themeColor="text1"/>
          <w:sz w:val="32"/>
          <w:szCs w:val="32"/>
          <w:lang w:val="zh-CN"/>
        </w:rPr>
      </w:pP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b/>
          <w:color w:val="000000" w:themeColor="text1"/>
          <w:sz w:val="32"/>
          <w:szCs w:val="32"/>
          <w:lang w:val="zh-CN"/>
        </w:rPr>
        <w:t>加快推进城乡交通设施一体化建设。</w:t>
      </w:r>
      <w:r>
        <w:rPr>
          <w:rFonts w:hint="eastAsia" w:ascii="仿宋_GB2312" w:hAnsi="仿宋_GB2312" w:eastAsia="仿宋_GB2312" w:cs="仿宋_GB2312"/>
          <w:color w:val="000000" w:themeColor="text1"/>
          <w:sz w:val="32"/>
          <w:szCs w:val="32"/>
        </w:rPr>
        <w:t>抢抓交通运输部第二批城乡交通运输一体化示范县创建机遇，大力推进城乡公交一体化，实现县域内7个镇、71个建制村全部通公交，打造全县30分钟的生产生活圈；加快推进“快递进村”工程，依托城乡公交一体化建设工程，实施集客货邮为一体的综合服务站和</w:t>
      </w:r>
      <w:r>
        <w:rPr>
          <w:rStyle w:val="28"/>
          <w:rFonts w:hint="eastAsia" w:ascii="仿宋_GB2312" w:hAnsi="仿宋_GB2312" w:eastAsia="仿宋_GB2312" w:cs="仿宋_GB2312"/>
          <w:color w:val="000000" w:themeColor="text1"/>
          <w:sz w:val="32"/>
          <w:szCs w:val="32"/>
        </w:rPr>
        <w:t>集建、管、养、运为一体的智慧交通平台</w:t>
      </w:r>
      <w:r>
        <w:rPr>
          <w:rFonts w:hint="eastAsia" w:ascii="仿宋_GB2312" w:hAnsi="仿宋_GB2312" w:eastAsia="仿宋_GB2312" w:cs="仿宋_GB2312"/>
          <w:color w:val="000000" w:themeColor="text1"/>
          <w:sz w:val="32"/>
          <w:szCs w:val="32"/>
        </w:rPr>
        <w:t>，逐步提升交通基</w:t>
      </w:r>
      <w:r>
        <w:rPr>
          <w:rFonts w:hint="eastAsia" w:ascii="仿宋_GB2312" w:hAnsi="仿宋_GB2312" w:eastAsia="仿宋_GB2312" w:cs="仿宋_GB2312"/>
          <w:color w:val="000000" w:themeColor="text1"/>
          <w:spacing w:val="-4"/>
          <w:sz w:val="32"/>
          <w:szCs w:val="32"/>
        </w:rPr>
        <w:t>础设施数字化水平。</w:t>
      </w:r>
      <w:r>
        <w:rPr>
          <w:rFonts w:hint="eastAsia" w:ascii="仿宋_GB2312" w:hAnsi="仿宋_GB2312" w:eastAsia="仿宋_GB2312" w:cs="仿宋_GB2312"/>
          <w:color w:val="000000" w:themeColor="text1"/>
          <w:spacing w:val="-4"/>
          <w:sz w:val="32"/>
          <w:szCs w:val="32"/>
          <w:lang w:val="zh-CN"/>
        </w:rPr>
        <w:t>加快推动高等级公路、城市道路与通乡通村公路无缝衔接，不断提升农村公路建设、管理、养护、运营水平，推动城乡之间、乡村之间、景区园区之间连接更加紧密便捷。</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b/>
          <w:color w:val="000000" w:themeColor="text1"/>
          <w:sz w:val="32"/>
          <w:szCs w:val="32"/>
          <w:lang w:val="zh-CN"/>
        </w:rPr>
        <w:t>推动城乡市政基础设施一体化建设。</w:t>
      </w:r>
      <w:r>
        <w:rPr>
          <w:rFonts w:hint="eastAsia" w:ascii="仿宋_GB2312" w:hAnsi="仿宋_GB2312" w:eastAsia="仿宋_GB2312" w:cs="仿宋_GB2312"/>
          <w:color w:val="000000" w:themeColor="text1"/>
          <w:sz w:val="32"/>
          <w:szCs w:val="32"/>
          <w:lang w:val="zh-CN"/>
        </w:rPr>
        <w:t>扩大公共财政农村覆盖范围，提高城乡基础设施和公共服务保障水平。统筹城乡基础设施建设，加快基础设施向农村延伸，强化城乡基础设施连接，推动暖、水、电、路、气和通信等基础设施城乡联网、共建共享。完善城乡一体的供排水网络，基本实现城乡居民生活、生产经营和生态环境用水全覆盖。全面完成农网改造，完善城乡一体化电力供应体系，有序扩大天然气供应覆盖面。</w:t>
      </w:r>
      <w:bookmarkStart w:id="169" w:name="_Toc1606197284"/>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70" w:name="_Toc31259"/>
      <w:bookmarkStart w:id="171" w:name="_Toc21935"/>
      <w:bookmarkStart w:id="172" w:name="_Toc6305"/>
      <w:bookmarkStart w:id="173" w:name="_Toc24056"/>
      <w:r>
        <w:rPr>
          <w:rFonts w:hint="eastAsia" w:ascii="楷体_GB2312" w:hAnsi="楷体_GB2312" w:eastAsia="楷体_GB2312" w:cs="楷体_GB2312"/>
          <w:b/>
          <w:bCs/>
          <w:color w:val="000000" w:themeColor="text1"/>
          <w:sz w:val="32"/>
          <w:szCs w:val="32"/>
        </w:rPr>
        <w:t>第二节  加快城乡要素双向自由流动</w:t>
      </w:r>
      <w:bookmarkEnd w:id="169"/>
      <w:bookmarkEnd w:id="170"/>
      <w:bookmarkEnd w:id="171"/>
      <w:bookmarkEnd w:id="172"/>
      <w:bookmarkEnd w:id="173"/>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b/>
          <w:color w:val="000000" w:themeColor="text1"/>
          <w:sz w:val="32"/>
          <w:szCs w:val="32"/>
          <w:lang w:val="zh-CN"/>
        </w:rPr>
        <w:t>深化农村土地制度改革。</w:t>
      </w:r>
      <w:r>
        <w:rPr>
          <w:rFonts w:hint="eastAsia" w:ascii="仿宋_GB2312" w:hAnsi="仿宋_GB2312" w:eastAsia="仿宋_GB2312" w:cs="仿宋_GB2312"/>
          <w:color w:val="000000" w:themeColor="text1"/>
          <w:sz w:val="32"/>
          <w:szCs w:val="32"/>
          <w:lang w:val="zh-CN"/>
        </w:rPr>
        <w:t>落实好第二轮土地承包到期后再延长30年的政策，巩固和完善农村承包地确权成果，稳妥推进“三权分置”改革。积极推进农村土地征收制度改革和农村集体经营性建设用地入市改革，加快建立城乡统一的建设用地市场。落实集体所有权，稳定农户承包权，放活土地经营权。完善农村集体产权制度，赋予农民对集体资产股份占有、收益等权能。保障进城落户农民土地承包权、宅基地使用权、集体收益分配权，鼓励依法自愿有偿转让。加快培育农民合作社、家庭农场等新型农业经营主体，鼓励承包经营权向专业大户、家庭农场、农民专业合作社、农业企业流转，探索对财政资金投入农业农村形成的经营性资产进行股权量化到户，推进农民以土地承包经营权、农业设施等资源资产参股到种养大户、专业合作社、龙头企业或其他农业项目，提高农民流转、务工、分红等收益。完善城镇新增建设用地规模与农业转移人口市民化挂钩政策，对农村土地使用权退出给予合理的市场化补偿，打通城乡资源循环。</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——加快推动乡村人才振兴。</w:t>
      </w:r>
      <w:r>
        <w:rPr>
          <w:rFonts w:hint="eastAsia" w:ascii="仿宋_GB2312" w:hAnsi="仿宋_GB2312" w:eastAsia="仿宋_GB2312" w:cs="仿宋_GB2312"/>
          <w:color w:val="000000" w:themeColor="text1"/>
          <w:sz w:val="32"/>
          <w:szCs w:val="32"/>
        </w:rPr>
        <w:t>培育高素质农民队伍，深入实施高素质农民培育计划，紧紧围绕玉米制种、草畜、蔬菜、丝路寒旱、特色产业等主导产业和芦笋、中药材等新型特色优势产业，重点面向从事适度规模经营的农民，分层分类开展全产业链培训。培育新型经营主体带头人，深入推进家庭农场经营者培养，完善项目支持、生产指导、质量管理、对接市场等服务，优先选拔培养运营良好、管理规范、发展潜力大、带动能力效果明显的合作社带头人，提升综合素质和经营管理水平，鼓励农业经营主体带头人参加农村人才职称评审、技能等级认定。培育农村实用人才，组织农技、畜牧等“土专家”“田秀才”，线上线下对产业发展提供技术指导服务，把人才镶嵌在产业链，实现乡土人才由“零星分布”向“抱团集聚”转变。落实好科技</w:t>
      </w:r>
      <w:r>
        <w:rPr>
          <w:rFonts w:hint="eastAsia" w:ascii="仿宋_GB2312" w:hAnsi="仿宋_GB2312" w:eastAsia="仿宋_GB2312" w:cs="仿宋_GB2312"/>
          <w:color w:val="000000" w:themeColor="text1"/>
          <w:spacing w:val="-4"/>
          <w:sz w:val="32"/>
          <w:szCs w:val="32"/>
        </w:rPr>
        <w:t>特派员制度，鼓励乡村振兴团、县管拔尖人才和农技推广专业技术人员发挥作用，开展技术推广、成果转化，解决技术难题</w:t>
      </w:r>
      <w:r>
        <w:rPr>
          <w:rFonts w:hint="eastAsia" w:ascii="仿宋_GB2312" w:hAnsi="仿宋_GB2312" w:eastAsia="仿宋_GB2312" w:cs="仿宋_GB2312"/>
          <w:color w:val="000000" w:themeColor="text1"/>
          <w:spacing w:val="-4"/>
          <w:sz w:val="32"/>
          <w:szCs w:val="32"/>
          <w:lang w:val="zh-CN"/>
        </w:rPr>
        <w:t>。</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74" w:name="_Toc17573"/>
      <w:bookmarkStart w:id="175" w:name="_Toc6649"/>
      <w:bookmarkStart w:id="176" w:name="_Toc417170664"/>
      <w:bookmarkStart w:id="177" w:name="_Toc3665"/>
      <w:bookmarkStart w:id="178" w:name="_Toc3541"/>
      <w:r>
        <w:rPr>
          <w:rFonts w:hint="eastAsia" w:ascii="楷体_GB2312" w:hAnsi="楷体_GB2312" w:eastAsia="楷体_GB2312" w:cs="楷体_GB2312"/>
          <w:b/>
          <w:bCs/>
          <w:color w:val="000000" w:themeColor="text1"/>
          <w:sz w:val="32"/>
          <w:szCs w:val="32"/>
        </w:rPr>
        <w:t>第三节  推动城乡优质资源平等共享</w:t>
      </w:r>
      <w:bookmarkEnd w:id="174"/>
      <w:bookmarkEnd w:id="175"/>
      <w:bookmarkEnd w:id="176"/>
      <w:bookmarkEnd w:id="177"/>
      <w:bookmarkEnd w:id="178"/>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——推动优质医疗养老资源下沉。</w:t>
      </w:r>
      <w:r>
        <w:rPr>
          <w:rFonts w:hint="eastAsia" w:ascii="仿宋_GB2312" w:hAnsi="仿宋_GB2312" w:eastAsia="仿宋_GB2312" w:cs="仿宋_GB2312"/>
          <w:color w:val="000000" w:themeColor="text1"/>
          <w:sz w:val="32"/>
          <w:szCs w:val="32"/>
        </w:rPr>
        <w:t>深化医联体和县域医共体建设，推动优质医疗资源下沉。深化基层医疗人员更新补充机制，推进“全专融合型”家庭医生团队在镇村全覆盖。健全完善社保体系，逐步提高社会保障水平。推进城乡居民基本医</w:t>
      </w:r>
      <w:r>
        <w:rPr>
          <w:rFonts w:hint="eastAsia" w:ascii="仿宋_GB2312" w:hAnsi="仿宋_GB2312" w:eastAsia="仿宋_GB2312" w:cs="仿宋_GB2312"/>
          <w:color w:val="000000" w:themeColor="text1"/>
          <w:spacing w:val="-4"/>
          <w:sz w:val="32"/>
          <w:szCs w:val="32"/>
        </w:rPr>
        <w:t>疗保险、大病保险、医疗救助三重保障更加有力。完善农村居家养老服务模式，为最低生活保障家庭和最低生活保障边缘家庭中的失能、失智、高龄老年人提供基本养老服务补贴。加快建设居家社区机构相协调、“医疗康养”相结合的养老服务体系，着力完善农村社区步行15分钟的居家养老服务圈。落实推进城乡居民基本养老保</w:t>
      </w:r>
      <w:r>
        <w:rPr>
          <w:rFonts w:hint="eastAsia" w:ascii="仿宋_GB2312" w:hAnsi="仿宋_GB2312" w:eastAsia="仿宋_GB2312" w:cs="仿宋_GB2312"/>
          <w:color w:val="000000" w:themeColor="text1"/>
          <w:sz w:val="32"/>
          <w:szCs w:val="32"/>
        </w:rPr>
        <w:t>险制度，加快提升城乡居民养老保险保障水平。</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——完善城乡教育文体服务供给。</w:t>
      </w:r>
      <w:r>
        <w:rPr>
          <w:rFonts w:hint="eastAsia" w:ascii="仿宋_GB2312" w:hAnsi="仿宋_GB2312" w:eastAsia="仿宋_GB2312" w:cs="仿宋_GB2312"/>
          <w:color w:val="000000" w:themeColor="text1"/>
          <w:sz w:val="32"/>
          <w:szCs w:val="32"/>
        </w:rPr>
        <w:t>以普惠园为主体，发挥中心园示范带动作用，加快城区幼儿园扩容建设，进一步提升建设水平。补齐乡村小规模学校和乡镇寄宿制学校两类学校短板，优化资源配置。推动教学资源上云，通过同步课堂、远程专递课堂、教师网络研修、名师网络课堂等方式，实现城乡结对学校管理共进、教学共研、资源共享、信息互通、师生互动。</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79" w:name="_Toc683509859"/>
      <w:bookmarkStart w:id="180" w:name="_Toc22312"/>
      <w:bookmarkStart w:id="181" w:name="_Toc4818"/>
      <w:bookmarkStart w:id="182" w:name="_Toc2947"/>
      <w:bookmarkStart w:id="183" w:name="_Toc29327"/>
      <w:r>
        <w:rPr>
          <w:rFonts w:hint="eastAsia" w:ascii="楷体_GB2312" w:hAnsi="楷体_GB2312" w:eastAsia="楷体_GB2312" w:cs="楷体_GB2312"/>
          <w:b/>
          <w:bCs/>
          <w:color w:val="000000" w:themeColor="text1"/>
          <w:sz w:val="32"/>
          <w:szCs w:val="32"/>
        </w:rPr>
        <w:t>第四节  努力缩小城乡居民收入差距</w:t>
      </w:r>
      <w:bookmarkEnd w:id="179"/>
      <w:bookmarkEnd w:id="180"/>
      <w:bookmarkEnd w:id="181"/>
      <w:bookmarkEnd w:id="182"/>
      <w:bookmarkEnd w:id="183"/>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——推进巩固拓展脱贫攻坚成果同乡村振兴有效衔接。</w:t>
      </w:r>
      <w:bookmarkStart w:id="184" w:name="_Toc67640264"/>
      <w:r>
        <w:rPr>
          <w:rFonts w:hint="eastAsia" w:ascii="仿宋_GB2312" w:hAnsi="仿宋_GB2312" w:eastAsia="仿宋_GB2312" w:cs="仿宋_GB2312"/>
          <w:color w:val="000000" w:themeColor="text1"/>
          <w:sz w:val="32"/>
          <w:szCs w:val="32"/>
        </w:rPr>
        <w:t>把巩固拓展脱贫攻坚成果作为实施乡村振兴战略的首要任务，逐步实现由集中资源支持脱贫攻坚向全面推进乡村振兴平稳过渡，推动“三农”工作重心历史性转移。做好易地扶贫搬迁后续扶持工作，持续加大就业和产业帮扶力度，继续完善安置区配套基础设施、产业园区配套设施、公共服务设施，切实提升社区治理能力。加强扶贫项目资产管理和监督。</w:t>
      </w:r>
      <w:bookmarkEnd w:id="184"/>
      <w:bookmarkStart w:id="185" w:name="_Toc67640266"/>
      <w:r>
        <w:rPr>
          <w:rFonts w:hint="eastAsia" w:ascii="仿宋_GB2312" w:hAnsi="仿宋_GB2312" w:eastAsia="仿宋_GB2312" w:cs="仿宋_GB2312"/>
          <w:color w:val="000000" w:themeColor="text1"/>
          <w:sz w:val="32"/>
          <w:szCs w:val="32"/>
        </w:rPr>
        <w:t>加强脱贫攻坚与乡村振兴领导体制、工作、规划、任务、项目、考核的有效衔接，在政策、举措、项目、资金、组织、生态、队伍等方面形成系统集成的工作体系。做好财政投入、金融服务、土地、人才智力等支持政策的有效衔接。稳固龙头企业带动作用，提升乡村就业工厂生产能力。加大脱贫人口职业技能培训力度。统筹用好公益性岗位，对符合条件的就业困难人员进行就业援助。</w:t>
      </w:r>
      <w:bookmarkEnd w:id="185"/>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——不断拓展农民增收渠道。</w:t>
      </w:r>
      <w:r>
        <w:rPr>
          <w:rFonts w:hint="eastAsia" w:ascii="仿宋_GB2312" w:hAnsi="仿宋_GB2312" w:eastAsia="仿宋_GB2312" w:cs="仿宋_GB2312"/>
          <w:color w:val="000000" w:themeColor="text1"/>
          <w:kern w:val="0"/>
          <w:sz w:val="32"/>
          <w:szCs w:val="32"/>
        </w:rPr>
        <w:t>坚持农民收入增长和经济增长同步、劳动报酬提高与劳动生产率提高同步。</w:t>
      </w:r>
      <w:r>
        <w:rPr>
          <w:rFonts w:hint="eastAsia" w:ascii="仿宋_GB2312" w:hAnsi="仿宋_GB2312" w:eastAsia="仿宋_GB2312" w:cs="仿宋_GB2312"/>
          <w:color w:val="000000" w:themeColor="text1"/>
          <w:sz w:val="32"/>
          <w:szCs w:val="32"/>
        </w:rPr>
        <w:t>以产业融合打开增收就业新空间，把扶持农民工和大学生返乡创业作为重点，促进一、二、三产业融合发展。鼓励发展专业合作、股份合作经济，支持农户利用各项农村产权与新型农业经营主体通过股份合作等多种形式建立利益共同体，实现合作共赢。按照“稳定面积、优化结构、提高品质、增加效益”的原则，进一步优化甜叶菊、</w:t>
      </w:r>
      <w:r>
        <w:rPr>
          <w:rFonts w:hint="eastAsia" w:ascii="仿宋_GB2312" w:hAnsi="仿宋_GB2312" w:eastAsia="仿宋_GB2312" w:cs="仿宋_GB2312"/>
          <w:color w:val="000000" w:themeColor="text1"/>
          <w:spacing w:val="-4"/>
          <w:sz w:val="32"/>
          <w:szCs w:val="32"/>
        </w:rPr>
        <w:t>蔬菜制种、小杂粮等特色种植规模，拓宽农民增收渠道。</w:t>
      </w:r>
      <w:r>
        <w:rPr>
          <w:rFonts w:hint="eastAsia" w:ascii="仿宋_GB2312" w:hAnsi="仿宋_GB2312" w:eastAsia="仿宋_GB2312" w:cs="仿宋_GB2312"/>
          <w:color w:val="000000" w:themeColor="text1"/>
          <w:spacing w:val="-4"/>
          <w:kern w:val="0"/>
          <w:sz w:val="32"/>
          <w:szCs w:val="32"/>
        </w:rPr>
        <w:t>大力发展劳务经济，完善劳务输出精准对接机制，推动劳务输转市场化、规范化、产业化，扩大中等收入群体，逐步实现共同富裕。</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86" w:name="_Toc22936"/>
      <w:bookmarkStart w:id="187" w:name="_Toc14294"/>
      <w:bookmarkStart w:id="188" w:name="_Toc4299"/>
      <w:bookmarkStart w:id="189" w:name="_Toc364634852"/>
      <w:bookmarkStart w:id="190" w:name="_Toc28533"/>
      <w:bookmarkStart w:id="191" w:name="_Toc475632273"/>
      <w:r>
        <w:rPr>
          <w:rFonts w:hint="eastAsia" w:ascii="楷体_GB2312" w:hAnsi="楷体_GB2312" w:eastAsia="楷体_GB2312" w:cs="楷体_GB2312"/>
          <w:b/>
          <w:bCs/>
          <w:color w:val="000000" w:themeColor="text1"/>
          <w:sz w:val="32"/>
          <w:szCs w:val="32"/>
        </w:rPr>
        <w:t>第五节  促进城乡产业协同发展</w:t>
      </w:r>
      <w:bookmarkEnd w:id="186"/>
      <w:bookmarkEnd w:id="187"/>
      <w:bookmarkEnd w:id="188"/>
      <w:bookmarkEnd w:id="189"/>
      <w:bookmarkEnd w:id="190"/>
    </w:p>
    <w:p>
      <w:pPr>
        <w:adjustRightInd w:val="0"/>
        <w:snapToGrid w:val="0"/>
        <w:spacing w:line="580" w:lineRule="exact"/>
        <w:ind w:firstLine="644"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szCs w:val="32"/>
        </w:rPr>
        <w:t>——推动一二三产业融合发展。</w:t>
      </w:r>
      <w:r>
        <w:rPr>
          <w:rFonts w:hint="eastAsia" w:ascii="仿宋_GB2312" w:hAnsi="仿宋_GB2312" w:eastAsia="仿宋_GB2312" w:cs="仿宋_GB2312"/>
          <w:color w:val="000000" w:themeColor="text1"/>
          <w:sz w:val="32"/>
          <w:szCs w:val="32"/>
        </w:rPr>
        <w:t>积极创建国家农村一二三产业融合发展示范园，以农民分享产业链增值收益为核心，以延长产业链、提升价值链、完善利益链为关键，打造农村产业融合发展新载体新模式，培育农业农村新产业新业态，切实增强农业农村经济发展新动能，让农村一二三产业在融合发展中同步升级、同步增值、同步受益。推动乡村资源整合，增强地方特色旅游产品竞争力。</w:t>
      </w:r>
      <w:r>
        <w:rPr>
          <w:rFonts w:hint="eastAsia" w:ascii="仿宋_GB2312" w:hAnsi="仿宋_GB2312" w:eastAsia="仿宋_GB2312" w:cs="仿宋_GB2312"/>
          <w:bCs/>
          <w:color w:val="000000" w:themeColor="text1"/>
          <w:sz w:val="32"/>
          <w:szCs w:val="32"/>
        </w:rPr>
        <w:t>围绕蔬菜特色产业核心示范区，重点发展“一个中心、两个园区、两大基地”（农产品综合服务中心，绿色蔬果公园、七彩农业乐园，绿色蔬菜标准化基地、果蔬产品深加工基地），打造近郊城乡发展经济圈。</w:t>
      </w:r>
    </w:p>
    <w:p>
      <w:pPr>
        <w:adjustRightInd w:val="0"/>
        <w:snapToGrid w:val="0"/>
        <w:spacing w:line="609" w:lineRule="exact"/>
        <w:ind w:firstLine="644"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
          <w:color w:val="000000" w:themeColor="text1"/>
          <w:sz w:val="32"/>
          <w:szCs w:val="32"/>
        </w:rPr>
        <w:t>——推进信息产业与乡村振兴融合发展。</w:t>
      </w:r>
      <w:r>
        <w:rPr>
          <w:rFonts w:hint="eastAsia" w:ascii="仿宋_GB2312" w:hAnsi="仿宋_GB2312" w:eastAsia="仿宋_GB2312" w:cs="仿宋_GB2312"/>
          <w:bCs/>
          <w:color w:val="000000" w:themeColor="text1"/>
          <w:kern w:val="0"/>
          <w:sz w:val="32"/>
          <w:szCs w:val="32"/>
        </w:rPr>
        <w:t>围绕农业生产经营决策需要，健全市场信息采集、分析、发布和服务体系，用市场信息引导农户按市场需求调整优化种养结构、合理安排农业生产。</w:t>
      </w:r>
      <w:r>
        <w:rPr>
          <w:rFonts w:hint="eastAsia" w:ascii="仿宋_GB2312" w:hAnsi="仿宋_GB2312" w:eastAsia="仿宋_GB2312" w:cs="仿宋_GB2312"/>
          <w:bCs/>
          <w:color w:val="000000" w:themeColor="text1"/>
          <w:sz w:val="32"/>
          <w:szCs w:val="32"/>
        </w:rPr>
        <w:t>建立健全政银企社合作对接机制，搭建信息共享、资金对接平台，协调金融机构加大对现代农业、新农村等重大工程的支持力度。</w:t>
      </w:r>
      <w:r>
        <w:rPr>
          <w:rFonts w:hint="eastAsia" w:ascii="仿宋_GB2312" w:hAnsi="仿宋_GB2312" w:eastAsia="仿宋_GB2312" w:cs="仿宋_GB2312"/>
          <w:color w:val="000000" w:themeColor="text1"/>
          <w:kern w:val="0"/>
          <w:sz w:val="32"/>
          <w:szCs w:val="32"/>
        </w:rPr>
        <w:t>实施“互联网+”现代农业行动，促进信息化与农业现代化相融合，抓好农业信息化载体建设，深入实施农业信息化示范工程和农业信息化示范基地建设，培育一批带动性强的“互联网+”特色产业领军企业。</w:t>
      </w:r>
    </w:p>
    <w:p>
      <w:pPr>
        <w:adjustRightInd w:val="0"/>
        <w:snapToGrid w:val="0"/>
        <w:spacing w:line="609" w:lineRule="exact"/>
        <w:ind w:firstLine="644"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color w:val="000000" w:themeColor="text1"/>
          <w:sz w:val="32"/>
          <w:szCs w:val="32"/>
        </w:rPr>
        <w:t>——创新城乡产业融合发展机制。</w:t>
      </w:r>
      <w:r>
        <w:rPr>
          <w:rFonts w:hint="eastAsia" w:ascii="仿宋_GB2312" w:hAnsi="仿宋_GB2312" w:eastAsia="仿宋_GB2312" w:cs="仿宋_GB2312"/>
          <w:color w:val="000000" w:themeColor="text1"/>
          <w:kern w:val="0"/>
          <w:sz w:val="32"/>
          <w:szCs w:val="32"/>
        </w:rPr>
        <w:t>以“资源变资产、资金变股金、农民变股东”为理念的农村“三变”改革为引擎，全面深化农业农村综合改革，助力乡村振兴战略实施，加快城乡产业融合发展。加快培育龙头企业产业化，支持龙头企业与农户、农民专业合作社建立多种形式利益联结机制。积极创建现代农业产业园、科技园和田园综合体，提升现代农业发展的层次水平。发挥农业产业化龙头企业示范引领作用，大力发展农产品加工和农业社会化服务，加强产业链建设和供应链管理，提高农产品附加值。将农村产业融合发展与新型城镇化有机结合，引导农村二、三产业向城市、重点乡镇与园区集中。</w:t>
      </w:r>
    </w:p>
    <w:bookmarkEnd w:id="191"/>
    <w:p>
      <w:pPr>
        <w:autoSpaceDE w:val="0"/>
        <w:autoSpaceDN w:val="0"/>
        <w:adjustRightInd w:val="0"/>
        <w:snapToGrid w:val="0"/>
        <w:spacing w:line="609" w:lineRule="exact"/>
        <w:rPr>
          <w:rFonts w:ascii="黑体" w:hAnsi="黑体" w:eastAsia="黑体" w:cs="黑体"/>
          <w:color w:val="000000" w:themeColor="text1"/>
          <w:sz w:val="32"/>
          <w:szCs w:val="32"/>
        </w:rPr>
      </w:pPr>
      <w:bookmarkStart w:id="192" w:name="_Toc17548"/>
      <w:bookmarkStart w:id="193" w:name="_Toc1141954220"/>
    </w:p>
    <w:p>
      <w:pPr>
        <w:autoSpaceDE w:val="0"/>
        <w:autoSpaceDN w:val="0"/>
        <w:adjustRightInd w:val="0"/>
        <w:snapToGrid w:val="0"/>
        <w:spacing w:line="609" w:lineRule="exact"/>
        <w:jc w:val="center"/>
        <w:outlineLvl w:val="0"/>
        <w:rPr>
          <w:rFonts w:ascii="黑体" w:hAnsi="黑体" w:eastAsia="黑体" w:cs="黑体"/>
          <w:color w:val="000000" w:themeColor="text1"/>
          <w:sz w:val="32"/>
          <w:szCs w:val="32"/>
        </w:rPr>
      </w:pPr>
      <w:bookmarkStart w:id="194" w:name="_Toc3249"/>
      <w:bookmarkStart w:id="195" w:name="_Toc15241"/>
      <w:bookmarkStart w:id="196" w:name="_Toc345"/>
      <w:r>
        <w:rPr>
          <w:rFonts w:hint="eastAsia" w:ascii="黑体" w:hAnsi="黑体" w:eastAsia="黑体" w:cs="黑体"/>
          <w:color w:val="000000" w:themeColor="text1"/>
          <w:sz w:val="32"/>
          <w:szCs w:val="32"/>
        </w:rPr>
        <w:t>第八章  加快建设现代化城市</w:t>
      </w:r>
      <w:bookmarkEnd w:id="192"/>
      <w:bookmarkEnd w:id="193"/>
      <w:bookmarkEnd w:id="194"/>
      <w:bookmarkEnd w:id="195"/>
      <w:bookmarkEnd w:id="196"/>
    </w:p>
    <w:p>
      <w:pPr>
        <w:adjustRightInd w:val="0"/>
        <w:snapToGrid w:val="0"/>
        <w:spacing w:line="609" w:lineRule="exact"/>
        <w:rPr>
          <w:rFonts w:ascii="仿宋_GB2312" w:hAnsi="仿宋_GB2312" w:eastAsia="仿宋_GB2312" w:cs="仿宋_GB2312"/>
          <w:color w:val="000000" w:themeColor="text1"/>
          <w:sz w:val="32"/>
          <w:szCs w:val="32"/>
        </w:rPr>
      </w:pPr>
    </w:p>
    <w:p>
      <w:pPr>
        <w:adjustRightInd w:val="0"/>
        <w:snapToGrid w:val="0"/>
        <w:spacing w:line="609" w:lineRule="exact"/>
        <w:ind w:firstLine="644" w:firstLineChars="200"/>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bCs/>
          <w:color w:val="000000" w:themeColor="text1"/>
          <w:kern w:val="0"/>
          <w:sz w:val="32"/>
          <w:szCs w:val="32"/>
        </w:rPr>
        <w:t>以民生需求为导向，因城施策，因地制宜地从城乡发展战略目标和人民关心的实际问题为双重出发点，系统推进生态文明建设、人居环境提升、历史文化彰显、生态保护修复、房住不炒有机结合。努力实现以人为核心的新型城镇化水平得到显著提高、乡村振兴战略全面推进、城乡人居环境更加整洁优美、人民对美好生活的向往更好实现。</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197" w:name="_Toc25307"/>
      <w:bookmarkStart w:id="198" w:name="_Toc27402"/>
      <w:bookmarkStart w:id="199" w:name="_Toc215291774"/>
      <w:bookmarkStart w:id="200" w:name="_Toc16771"/>
      <w:bookmarkStart w:id="201" w:name="_Toc13342"/>
      <w:r>
        <w:rPr>
          <w:rFonts w:hint="eastAsia" w:ascii="楷体_GB2312" w:hAnsi="楷体_GB2312" w:eastAsia="楷体_GB2312" w:cs="楷体_GB2312"/>
          <w:b/>
          <w:bCs/>
          <w:color w:val="000000" w:themeColor="text1"/>
          <w:sz w:val="32"/>
          <w:szCs w:val="32"/>
        </w:rPr>
        <w:t>第一节  提升人居品质，创造人民幸福的彩虹城市</w:t>
      </w:r>
      <w:bookmarkEnd w:id="197"/>
      <w:bookmarkEnd w:id="198"/>
      <w:bookmarkEnd w:id="199"/>
      <w:bookmarkEnd w:id="200"/>
      <w:bookmarkEnd w:id="201"/>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——加快彩虹家园建设，提升城市形象底蕴。</w:t>
      </w:r>
      <w:r>
        <w:rPr>
          <w:rFonts w:hint="eastAsia" w:ascii="仿宋_GB2312" w:hAnsi="仿宋_GB2312" w:eastAsia="仿宋_GB2312" w:cs="仿宋_GB2312"/>
          <w:color w:val="000000" w:themeColor="text1"/>
          <w:sz w:val="32"/>
          <w:szCs w:val="32"/>
          <w:lang w:val="zh-CN"/>
        </w:rPr>
        <w:t>积极融入全市“彩虹城市”建设布局，</w:t>
      </w:r>
      <w:r>
        <w:rPr>
          <w:rFonts w:hint="eastAsia" w:ascii="仿宋_GB2312" w:hAnsi="仿宋_GB2312" w:eastAsia="仿宋_GB2312" w:cs="仿宋_GB2312"/>
          <w:color w:val="000000" w:themeColor="text1"/>
          <w:sz w:val="32"/>
          <w:szCs w:val="32"/>
        </w:rPr>
        <w:t>按照“一轴、两道、五节点”总体布局，以丹霞快速通道、丹霞生态康养彩虹谷为轴线，以丹霞口文旅小镇、彩虹康养庄园、海圣温泉帐篷酒店、昌源酒店、游客集散中心为五大节点，在项目建设、风貌改造、道路提升、景观绿化、夜景亮化、设施配套等方面彰显丹霞彩虹元素和生态绿色主基调，打造</w:t>
      </w:r>
      <w:r>
        <w:rPr>
          <w:rFonts w:hint="eastAsia" w:ascii="仿宋_GB2312" w:hAnsi="仿宋_GB2312" w:eastAsia="仿宋_GB2312" w:cs="仿宋_GB2312"/>
          <w:color w:val="000000" w:themeColor="text1"/>
          <w:sz w:val="32"/>
          <w:szCs w:val="32"/>
          <w:lang w:val="zh-CN"/>
        </w:rPr>
        <w:t>丹霞生态康养彩虹谷示范带</w:t>
      </w:r>
      <w:r>
        <w:rPr>
          <w:rFonts w:hint="eastAsia" w:ascii="仿宋_GB2312" w:hAnsi="仿宋_GB2312" w:eastAsia="仿宋_GB2312" w:cs="仿宋_GB2312"/>
          <w:color w:val="000000" w:themeColor="text1"/>
          <w:sz w:val="32"/>
          <w:szCs w:val="32"/>
        </w:rPr>
        <w:t>。加</w:t>
      </w:r>
      <w:r>
        <w:rPr>
          <w:rFonts w:hint="eastAsia" w:ascii="仿宋_GB2312" w:hAnsi="仿宋_GB2312" w:eastAsia="仿宋_GB2312" w:cs="仿宋_GB2312"/>
          <w:color w:val="000000" w:themeColor="text1"/>
          <w:kern w:val="32"/>
          <w:sz w:val="32"/>
          <w:szCs w:val="32"/>
        </w:rPr>
        <w:t>快建设文化旅游集散中心水街雨巷</w:t>
      </w:r>
      <w:r>
        <w:rPr>
          <w:rFonts w:hint="eastAsia" w:ascii="仿宋_GB2312" w:hAnsi="仿宋_GB2312" w:eastAsia="仿宋_GB2312" w:cs="仿宋_GB2312"/>
          <w:color w:val="000000" w:themeColor="text1"/>
          <w:sz w:val="32"/>
          <w:szCs w:val="32"/>
        </w:rPr>
        <w:t>，打造彩虹元素凸显、功能业态丰富、聚集效应明显的特色商业街区。依托彩虹康养庄园，加快建设中央厨房，推出一批“彩虹之旅·丹霞宴”特色餐饮品牌，着力培育“彩虹经济”示范带。</w:t>
      </w:r>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——加强区域环境整治，提高人居环境品质。</w:t>
      </w:r>
      <w:r>
        <w:rPr>
          <w:rFonts w:hint="eastAsia" w:ascii="仿宋_GB2312" w:hAnsi="仿宋_GB2312" w:eastAsia="仿宋_GB2312" w:cs="仿宋_GB2312"/>
          <w:color w:val="000000" w:themeColor="text1"/>
          <w:sz w:val="32"/>
          <w:szCs w:val="32"/>
        </w:rPr>
        <w:t>开展大气环境质量改善工程、水环境水生态重点治理修复工程、农村环境综合整治工程、生态系统保护修复工程、重点领域环境风险防范能力建设。深入推进环境污染治理，推动城市生态修复，实现临泽县生态文明建设高质量发展。深入落实城区PM10和PM2.5“双控双减”，加强重污染天气应对措施，深入推进农用地土壤污染防治和安全利用，有效管控建设用地土壤污染风险，深入打好污染防治攻坚战。切实推动城市生态修复提升，提高生态脆弱区和工业园区生态韧性与基础支撑能力，全面改善彩虹城市的人居环境。</w:t>
      </w:r>
    </w:p>
    <w:p>
      <w:pPr>
        <w:pStyle w:val="2"/>
        <w:adjustRightInd w:val="0"/>
        <w:snapToGrid w:val="0"/>
        <w:spacing w:line="600" w:lineRule="exact"/>
        <w:ind w:left="0" w:leftChars="0"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——合理调控核心城区房价，保障健康住房供给。</w:t>
      </w:r>
      <w:r>
        <w:rPr>
          <w:rFonts w:hint="eastAsia" w:ascii="仿宋_GB2312" w:hAnsi="仿宋_GB2312" w:eastAsia="仿宋_GB2312" w:cs="仿宋_GB2312"/>
          <w:color w:val="000000" w:themeColor="text1"/>
          <w:sz w:val="32"/>
          <w:szCs w:val="32"/>
        </w:rPr>
        <w:t>坚持“房住不炒”，夯实房地产市场调控主体责任，切实把稳地价、稳房价、稳预期的责任落到实处。健全基本住房保障制度，坚持租购并举，加快发展长租房市场，推进保障性租赁住房建设，支持商品房市场更好满足购房者合理住房需求，以“住有所居”为目标，以解决新市民住房困难为主要出发点，加快完善住房市场体系和住房保障体系，提高住房品质，提升人居环境质量，提高物业服务质量，解决城镇居民基本住房问题和农村困难群众住房安全问题，建设美丽宜居的现代人居环境，提高人民群众生活质量，不断满足人民群众的获得感、幸福感和安全感。</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202" w:name="_Toc678511087"/>
      <w:bookmarkStart w:id="203" w:name="_Toc19336"/>
      <w:bookmarkStart w:id="204" w:name="_Toc169"/>
      <w:bookmarkStart w:id="205" w:name="_Toc9800"/>
      <w:bookmarkStart w:id="206" w:name="_Toc27751"/>
      <w:r>
        <w:rPr>
          <w:rFonts w:hint="eastAsia" w:ascii="楷体_GB2312" w:hAnsi="楷体_GB2312" w:eastAsia="楷体_GB2312" w:cs="楷体_GB2312"/>
          <w:b/>
          <w:bCs/>
          <w:color w:val="000000" w:themeColor="text1"/>
          <w:sz w:val="32"/>
          <w:szCs w:val="32"/>
        </w:rPr>
        <w:t>第二节  筑牢生态屏障，打造山清水秀的森林城市</w:t>
      </w:r>
      <w:bookmarkEnd w:id="202"/>
      <w:bookmarkEnd w:id="203"/>
      <w:bookmarkEnd w:id="204"/>
      <w:bookmarkEnd w:id="205"/>
      <w:bookmarkEnd w:id="206"/>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——深入打好污染防治攻坚战，努力改善生态环境质量。</w:t>
      </w:r>
      <w:r>
        <w:rPr>
          <w:rFonts w:hint="eastAsia" w:ascii="仿宋_GB2312" w:hAnsi="仿宋_GB2312" w:eastAsia="仿宋_GB2312" w:cs="仿宋_GB2312"/>
          <w:color w:val="000000" w:themeColor="text1"/>
          <w:sz w:val="32"/>
          <w:szCs w:val="32"/>
        </w:rPr>
        <w:t>深入打赢蓝天保卫战，扎实推进柴油货车治理、挥发性有机污染物治理和非道路移动机械工作，强化移动源废气联合防控，协同控制PM2.5和臭氧污染，积极配合全市黑烟抓拍体系建设，组织开展大气监控系统工程建设，精细化扬尘污染综合管控，加强重污染天气应急应对，持续改善空气环境质量；深入打好碧水保卫战，巩固提升饮用水安全保障水平，加快推进城市水源地规范化建设，加强农村水源地保护。开展入河排污口排查整治及规范化建设，强化污水处理设施第三方运营管理措施，确保稳定达标运行，加快城区污水处理三期工程建设，加强畜禽养殖污染防治；深入打好净土保卫战，强化建设用地环境准入关口和土壤风险管控，加强农村面源污染治理，积极开展重点企业用地调查、省级工业园区地下水环境状况调查评估和环</w:t>
      </w:r>
      <w:r>
        <w:rPr>
          <w:rFonts w:hint="eastAsia" w:ascii="仿宋_GB2312" w:hAnsi="仿宋_GB2312" w:eastAsia="仿宋_GB2312" w:cs="仿宋_GB2312"/>
          <w:color w:val="000000" w:themeColor="text1"/>
          <w:spacing w:val="4"/>
          <w:sz w:val="32"/>
          <w:szCs w:val="32"/>
        </w:rPr>
        <w:t>境监测井建设，实施黑河流域农村生活尾水人工湿地净化工程和2022年省级农村环境整治项目，着力解决群众身边突出环境问题，持续改善生态环境质量，巩固和提升“两山”基地创建成果。</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——构建全流程环境管理，强化生态安全水平。</w:t>
      </w:r>
      <w:r>
        <w:rPr>
          <w:rFonts w:hint="eastAsia" w:ascii="仿宋_GB2312" w:hAnsi="仿宋_GB2312" w:eastAsia="仿宋_GB2312" w:cs="仿宋_GB2312"/>
          <w:color w:val="000000" w:themeColor="text1"/>
          <w:sz w:val="32"/>
          <w:szCs w:val="32"/>
        </w:rPr>
        <w:t>加快构建全流程环境管理基本框架，加强46家排污许可证企业后监管，严格落实监督执法正面清单制度，坚持“防”与“控”并重，加强重点领域环境风险管理，推动环境风险防控由应急管理向全过程管控转变，构建事前严防，事中严管，事后追责的多层次风险防范体系。不断优化执法方式，强化非现场监管能力和事中事后监管，进一步加强“执法+普法”工作机制落实，持续保持打击环境违法行为“零容忍”态度，持续开展生态环境问题大排查大整治，全面做好新一轮省级环保督察各项工作。</w:t>
      </w:r>
    </w:p>
    <w:p>
      <w:pPr>
        <w:adjustRightInd w:val="0"/>
        <w:snapToGrid w:val="0"/>
        <w:spacing w:line="59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——加强黑河流域湿地保护，提升全域水源涵养能力。</w:t>
      </w:r>
      <w:r>
        <w:rPr>
          <w:rFonts w:hint="eastAsia" w:ascii="仿宋_GB2312" w:hAnsi="仿宋_GB2312" w:eastAsia="仿宋_GB2312" w:cs="仿宋_GB2312"/>
          <w:color w:val="000000" w:themeColor="text1"/>
          <w:sz w:val="32"/>
          <w:szCs w:val="32"/>
        </w:rPr>
        <w:t>纵深推进黑河湿地保护区临泽段生态保护修复，巩固提升山水林田湖草沙冰综合治理水平，以临泽县双泉湖湿地修复示范提升工程为重点，加大退化湿地修复，着力构建县镇村三级管护体系，加大生态文明建设目标评价考核和责任追究，全面落实生态保护治理成效机制，切实保护好湿地资源，有序推进生物多样性本底调查，系统评估珍稀濒危物种、保护物种、外来入侵物种的分布、数量和丰富度等状况，建立生物多样性保护基础数据库。加大以黑鹳为代表的珍稀水鸟栖息地保护和修复，加强濒危野生动植物抢救性保护力度，维护生态系统稳定和生物多样性。严格落实湿地用途管控制度，严守生态保护红线。切实推动黑河湿地保护区临泽段生态保护与修复、黄河流域生态保护和高质量发展工程项目和2035年中长期生态修复项目，为经济社会高质量发展提供重要保障，实现人居环境提质增效。</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207" w:name="_Toc18238"/>
      <w:bookmarkStart w:id="208" w:name="_Toc20493"/>
      <w:bookmarkStart w:id="209" w:name="_Toc24790"/>
      <w:bookmarkStart w:id="210" w:name="_Toc11977"/>
      <w:bookmarkStart w:id="211" w:name="_Toc1153756739"/>
      <w:bookmarkStart w:id="212" w:name="_Toc58062968"/>
      <w:bookmarkStart w:id="213" w:name="_Toc59009248"/>
      <w:bookmarkStart w:id="214" w:name="_Toc58063039"/>
      <w:bookmarkStart w:id="215" w:name="_Toc58849964"/>
      <w:r>
        <w:rPr>
          <w:rFonts w:hint="eastAsia" w:ascii="楷体_GB2312" w:hAnsi="楷体_GB2312" w:eastAsia="楷体_GB2312" w:cs="楷体_GB2312"/>
          <w:b/>
          <w:bCs/>
          <w:color w:val="000000" w:themeColor="text1"/>
          <w:sz w:val="32"/>
          <w:szCs w:val="32"/>
        </w:rPr>
        <w:t>第三节  加快城市更新，打造平安稳定的韧性城市</w:t>
      </w:r>
      <w:bookmarkEnd w:id="207"/>
      <w:bookmarkEnd w:id="208"/>
      <w:bookmarkEnd w:id="209"/>
      <w:bookmarkEnd w:id="210"/>
      <w:bookmarkEnd w:id="211"/>
    </w:p>
    <w:p>
      <w:pPr>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——改建城市基础设施，优化基础服务能力。</w:t>
      </w:r>
      <w:r>
        <w:rPr>
          <w:rFonts w:hint="eastAsia" w:ascii="仿宋_GB2312" w:hAnsi="仿宋_GB2312" w:eastAsia="仿宋_GB2312" w:cs="仿宋_GB2312"/>
          <w:color w:val="000000" w:themeColor="text1"/>
          <w:sz w:val="32"/>
          <w:szCs w:val="32"/>
        </w:rPr>
        <w:t>综合优化城市基础设施管网设备，完善城市道路网络系统，进一步加强各级道路衔接水平。着力实施城区主要街区精品化改造，持续推进城区道路建设、绿化亮化工程。加快形成立体化交通网络，智能交通系统，以及慢行交通系统。逐步改造城区雨污合流管网，建设调蓄设施，增大截流倍数等措施，控制雨污合流引起的溢流污染。补齐供热能力短板，持续推进集中供热工程建设，积极推进老旧供热设施改造，进一步提升供热保障能力。</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——持续推动小区改造，改善建筑设施质量。</w:t>
      </w:r>
      <w:r>
        <w:rPr>
          <w:rFonts w:hint="eastAsia" w:ascii="仿宋_GB2312" w:hAnsi="仿宋_GB2312" w:eastAsia="仿宋_GB2312" w:cs="仿宋_GB2312"/>
          <w:color w:val="000000" w:themeColor="text1"/>
          <w:sz w:val="32"/>
          <w:szCs w:val="32"/>
        </w:rPr>
        <w:t>实施城区棚户区（城中村）改造、保障性租赁住房建设项目，改善各类建筑设施质量，围绕市民消费升级，提升商业步行街、文化街、古城古街服务能力，因地制宜发展新型文旅商业消费聚集区。大力实施城市更新行动，植入韧性城市理念，加快改造老旧小区、主要街区和背街小巷，推进地下空间开发利用，配套完善市政基础设施，提升城市宜居度、舒适度、便捷度。新城区强化规划约束，做好“留白”“填绿”“增业”文章，推动城市从外延扩张向内涵提升转变。</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——增强城市产业结构，抵御竞争风险。</w:t>
      </w:r>
      <w:r>
        <w:rPr>
          <w:rFonts w:hint="eastAsia" w:ascii="仿宋_GB2312" w:hAnsi="仿宋_GB2312" w:eastAsia="仿宋_GB2312" w:cs="仿宋_GB2312"/>
          <w:color w:val="000000" w:themeColor="text1"/>
          <w:sz w:val="32"/>
          <w:szCs w:val="32"/>
        </w:rPr>
        <w:t>提高城市产业链、供应链的安全性和可靠性，有效防范化解企业融资风险，避免因单一支柱性企业发生危机而影响城市整体的经济和社会稳定。制定弹性应对措施，对农业、工业、服务业提供各种不同情境应急策略与改造方案，提高城市整体抵抗意外的运营能力和经济创新能力。着眼通航产业园、凹凸棒石产业园等新兴产业提高城市经济创新活力，发展龙头型经济和块状经济，进一步推动经济发展与产业韧性。</w:t>
      </w:r>
    </w:p>
    <w:p>
      <w:pPr>
        <w:adjustRightInd w:val="0"/>
        <w:snapToGrid w:val="0"/>
        <w:spacing w:line="580" w:lineRule="exact"/>
        <w:ind w:firstLine="644" w:firstLineChars="200"/>
        <w:rPr>
          <w:rFonts w:ascii="仿宋_GB2312" w:hAnsi="仿宋_GB2312" w:eastAsia="仿宋_GB2312" w:cs="仿宋_GB2312"/>
          <w:color w:val="000000" w:themeColor="text1"/>
          <w:spacing w:val="-4"/>
          <w:sz w:val="32"/>
          <w:szCs w:val="32"/>
        </w:rPr>
      </w:pPr>
      <w:r>
        <w:rPr>
          <w:rFonts w:hint="eastAsia" w:ascii="仿宋_GB2312" w:hAnsi="仿宋_GB2312" w:eastAsia="仿宋_GB2312" w:cs="仿宋_GB2312"/>
          <w:b/>
          <w:color w:val="000000" w:themeColor="text1"/>
          <w:sz w:val="32"/>
          <w:szCs w:val="32"/>
        </w:rPr>
        <w:t>——构建多元治理网络，完善韧性城市应急管理体制。</w:t>
      </w:r>
      <w:r>
        <w:rPr>
          <w:rFonts w:hint="eastAsia" w:ascii="仿宋_GB2312" w:hAnsi="仿宋_GB2312" w:eastAsia="仿宋_GB2312" w:cs="仿宋_GB2312"/>
          <w:color w:val="000000" w:themeColor="text1"/>
          <w:sz w:val="32"/>
          <w:szCs w:val="32"/>
        </w:rPr>
        <w:t>提高政府统一指挥、整体应对、协同作战的应对处置效率，形成政府统一指挥、社会共同参与、各部门协调运转的应急联动管理机制，成立城市应急联动指挥中心。整合110、119、120等各类报警电话和政务服务热线等各类社会服务电话，受理全县范围内报警和突发事件信息；对于中小型突发事件，直接组织、</w:t>
      </w:r>
      <w:r>
        <w:rPr>
          <w:rFonts w:hint="eastAsia" w:ascii="仿宋_GB2312" w:hAnsi="仿宋_GB2312" w:eastAsia="仿宋_GB2312" w:cs="仿宋_GB2312"/>
          <w:color w:val="000000" w:themeColor="text1"/>
          <w:spacing w:val="-4"/>
          <w:sz w:val="32"/>
          <w:szCs w:val="32"/>
        </w:rPr>
        <w:t>协调、调度、指挥有关单位开展应急联动处置；对于重特大突发事件进行先期应急处置，并协助同级政府组织实施紧急处置，加大对应急储备资源的整合力度，建立应急物资统筹管理调度机制。</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216" w:name="_Toc5231"/>
      <w:bookmarkStart w:id="217" w:name="_Toc1057"/>
      <w:bookmarkStart w:id="218" w:name="_Toc7277"/>
      <w:bookmarkStart w:id="219" w:name="_Toc395280436"/>
      <w:bookmarkStart w:id="220" w:name="_Toc25919"/>
      <w:r>
        <w:rPr>
          <w:rFonts w:hint="eastAsia" w:ascii="楷体_GB2312" w:hAnsi="楷体_GB2312" w:eastAsia="楷体_GB2312" w:cs="楷体_GB2312"/>
          <w:b/>
          <w:bCs/>
          <w:color w:val="000000" w:themeColor="text1"/>
          <w:sz w:val="32"/>
          <w:szCs w:val="32"/>
        </w:rPr>
        <w:t>第四节  加快创新发展，创建开放融合的智慧城市</w:t>
      </w:r>
      <w:bookmarkEnd w:id="216"/>
      <w:bookmarkEnd w:id="217"/>
      <w:bookmarkEnd w:id="218"/>
      <w:bookmarkEnd w:id="219"/>
      <w:bookmarkEnd w:id="220"/>
    </w:p>
    <w:p>
      <w:pPr>
        <w:adjustRightInd w:val="0"/>
        <w:snapToGrid w:val="0"/>
        <w:spacing w:line="576"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完善信息基础设施建设、智慧城建与宜居、智慧管理与服务、智慧产业与经济四大重点领域建设和多个云计算数据中心和公共信息平台，运营服务平台和应用支撑平台及应用。</w:t>
      </w:r>
    </w:p>
    <w:p>
      <w:pPr>
        <w:pStyle w:val="4"/>
        <w:numPr>
          <w:ilvl w:val="0"/>
          <w:numId w:val="0"/>
        </w:numPr>
        <w:adjustRightInd w:val="0"/>
        <w:snapToGrid w:val="0"/>
        <w:spacing w:beforeLines="0" w:afterLines="0" w:line="576" w:lineRule="exact"/>
        <w:ind w:firstLine="644" w:firstLineChars="200"/>
        <w:rPr>
          <w:rFonts w:ascii="仿宋_GB2312" w:hAnsi="仿宋_GB2312" w:eastAsia="仿宋_GB2312" w:cs="仿宋_GB2312"/>
          <w:b w:val="0"/>
          <w:color w:val="000000" w:themeColor="text1"/>
          <w:sz w:val="32"/>
        </w:rPr>
      </w:pPr>
      <w:bookmarkStart w:id="221" w:name="_Toc17834"/>
      <w:r>
        <w:rPr>
          <w:rFonts w:hint="eastAsia" w:ascii="仿宋_GB2312" w:hAnsi="仿宋_GB2312" w:eastAsia="仿宋_GB2312" w:cs="仿宋_GB2312"/>
          <w:color w:val="000000" w:themeColor="text1"/>
          <w:sz w:val="32"/>
        </w:rPr>
        <w:t>——加快新型基础设施建设</w:t>
      </w:r>
      <w:bookmarkStart w:id="222" w:name="_Hlk55509247"/>
      <w:r>
        <w:rPr>
          <w:rFonts w:hint="eastAsia" w:ascii="仿宋_GB2312" w:hAnsi="仿宋_GB2312" w:eastAsia="仿宋_GB2312" w:cs="仿宋_GB2312"/>
          <w:color w:val="000000" w:themeColor="text1"/>
          <w:sz w:val="32"/>
        </w:rPr>
        <w:t>。</w:t>
      </w:r>
      <w:r>
        <w:rPr>
          <w:rFonts w:hint="eastAsia" w:ascii="仿宋_GB2312" w:hAnsi="仿宋_GB2312" w:eastAsia="仿宋_GB2312" w:cs="仿宋_GB2312"/>
          <w:b w:val="0"/>
          <w:color w:val="000000" w:themeColor="text1"/>
          <w:sz w:val="32"/>
        </w:rPr>
        <w:t>围绕强化数字转型、智能升级、融合创新支撑，布局建设信息基础设施、融合基础设施、创新基础设施等新型基础设施。实施“互联网+”行动，推进5G技术与经济社会各领域深度融合，加快5G网络、光缆、机房、基站、铁塔、管道线路等信息基础设施建设，实现5G网络全覆盖，打造高端化智能化智慧城市。推进工业互联网建设。实施公共信息平台、公共基础数据库、智慧社区、智慧政务、智慧应急、智慧城管、智慧市政、智慧教育、智慧医疗、智慧养老、智慧交通、智慧旅游、智慧园区、智慧物流、智慧电网、智慧农业等一批重点项目。</w:t>
      </w:r>
      <w:bookmarkEnd w:id="222"/>
      <w:r>
        <w:rPr>
          <w:rFonts w:hint="eastAsia" w:ascii="仿宋_GB2312" w:hAnsi="仿宋_GB2312" w:eastAsia="仿宋_GB2312" w:cs="仿宋_GB2312"/>
          <w:b w:val="0"/>
          <w:color w:val="000000" w:themeColor="text1"/>
          <w:sz w:val="32"/>
        </w:rPr>
        <w:t>建设电动汽车充电基础设施，构建公用充电设施服务网络，融入新型基础设施标准体系建设。</w:t>
      </w:r>
      <w:bookmarkEnd w:id="221"/>
    </w:p>
    <w:p>
      <w:pPr>
        <w:adjustRightInd w:val="0"/>
        <w:snapToGrid w:val="0"/>
        <w:spacing w:line="576"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——做大数字服务业。</w:t>
      </w:r>
      <w:r>
        <w:rPr>
          <w:rFonts w:hint="eastAsia" w:ascii="仿宋_GB2312" w:hAnsi="仿宋_GB2312" w:eastAsia="仿宋_GB2312" w:cs="仿宋_GB2312"/>
          <w:color w:val="000000" w:themeColor="text1"/>
          <w:sz w:val="32"/>
          <w:szCs w:val="32"/>
        </w:rPr>
        <w:t>实施“上云用数赋智”行动，全面推进“百兆城市”和“高水平全光网城市”建设，提升城乡光纤网络接入能力和城域网传输交换能力，推动政府部门和企业、社会组织信息基础设施集约化建设和信息资源互联互通、开放共享。推进城市运行“一网统管”，推进市政公用设施、建筑等物联网应用和智能化改造。加速信息基础设施与市政、公路、铁路、机场等的衔接；加快产业园区数字化改造、企业办公系统和业务流程系统信息化建设；推动大数据、云计算、人工智能、区块链、供应链等信息技术广泛应用，促进数字经济和实体经济深度融合发展。加强数字社会、数字政府建设，全面推进政府运行方式、业务流程和服务模式数字化智能化。</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223" w:name="_Toc18586"/>
      <w:bookmarkStart w:id="224" w:name="_Toc22876"/>
      <w:bookmarkStart w:id="225" w:name="_Toc6724"/>
      <w:bookmarkStart w:id="226" w:name="_Toc14523"/>
      <w:bookmarkStart w:id="227" w:name="_Toc313610594"/>
      <w:r>
        <w:rPr>
          <w:rFonts w:hint="eastAsia" w:ascii="楷体_GB2312" w:hAnsi="楷体_GB2312" w:eastAsia="楷体_GB2312" w:cs="楷体_GB2312"/>
          <w:b/>
          <w:bCs/>
          <w:color w:val="000000" w:themeColor="text1"/>
          <w:sz w:val="32"/>
          <w:szCs w:val="32"/>
        </w:rPr>
        <w:t>第五节  提高治理水平，创建人民满意的文明城市</w:t>
      </w:r>
      <w:bookmarkEnd w:id="223"/>
      <w:bookmarkEnd w:id="224"/>
      <w:bookmarkEnd w:id="225"/>
      <w:bookmarkEnd w:id="226"/>
      <w:bookmarkEnd w:id="227"/>
    </w:p>
    <w:bookmarkEnd w:id="212"/>
    <w:bookmarkEnd w:id="213"/>
    <w:bookmarkEnd w:id="214"/>
    <w:bookmarkEnd w:id="215"/>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bookmarkStart w:id="228" w:name="_Toc232855369"/>
      <w:bookmarkStart w:id="229" w:name="_Toc59009257"/>
      <w:bookmarkStart w:id="230" w:name="_Toc475632283"/>
      <w:r>
        <w:rPr>
          <w:rFonts w:hint="eastAsia" w:ascii="仿宋_GB2312" w:hAnsi="仿宋_GB2312" w:eastAsia="仿宋_GB2312" w:cs="仿宋_GB2312"/>
          <w:color w:val="000000" w:themeColor="text1"/>
          <w:sz w:val="32"/>
          <w:szCs w:val="32"/>
        </w:rPr>
        <w:t>牢固树立“人民城市人民建、人民城市为人民”的理念，围绕“一核四廊多点”空间布局和“一城五县”奋斗目标，将文明城市创建与“彩虹家园”建设、深化拓展新时代文明实践中心有机融合，不断加强城市基础设施建设，全力优化社会环境，着力提高城市治理现代化水平，全面加强全民文明教育，持续提升社会文明程度，不断丰润城市灵魂，建设“崇德向善、文化厚重、和谐宜居、人民满意”的文明城市。</w:t>
      </w:r>
    </w:p>
    <w:p>
      <w:pPr>
        <w:autoSpaceDE w:val="0"/>
        <w:autoSpaceDN w:val="0"/>
        <w:adjustRightInd w:val="0"/>
        <w:snapToGrid w:val="0"/>
        <w:spacing w:line="580" w:lineRule="exact"/>
        <w:rPr>
          <w:rFonts w:ascii="黑体" w:hAnsi="黑体" w:eastAsia="黑体" w:cs="黑体"/>
          <w:color w:val="000000" w:themeColor="text1"/>
          <w:sz w:val="32"/>
          <w:szCs w:val="32"/>
        </w:rPr>
      </w:pPr>
      <w:bookmarkStart w:id="231" w:name="_Toc32525"/>
      <w:bookmarkStart w:id="232" w:name="_Toc26801"/>
    </w:p>
    <w:p>
      <w:pPr>
        <w:autoSpaceDE w:val="0"/>
        <w:autoSpaceDN w:val="0"/>
        <w:adjustRightInd w:val="0"/>
        <w:snapToGrid w:val="0"/>
        <w:spacing w:line="580" w:lineRule="exact"/>
        <w:jc w:val="center"/>
        <w:outlineLvl w:val="0"/>
        <w:rPr>
          <w:rFonts w:ascii="黑体" w:hAnsi="黑体" w:eastAsia="黑体" w:cs="黑体"/>
          <w:color w:val="000000" w:themeColor="text1"/>
          <w:sz w:val="32"/>
          <w:szCs w:val="32"/>
        </w:rPr>
      </w:pPr>
      <w:bookmarkStart w:id="233" w:name="_Toc31047"/>
      <w:bookmarkStart w:id="234" w:name="_Toc16812"/>
      <w:r>
        <w:rPr>
          <w:rFonts w:hint="eastAsia" w:ascii="黑体" w:hAnsi="黑体" w:eastAsia="黑体" w:cs="黑体"/>
          <w:color w:val="000000" w:themeColor="text1"/>
          <w:sz w:val="32"/>
          <w:szCs w:val="32"/>
        </w:rPr>
        <w:t>第九章  环境影响评价</w:t>
      </w:r>
      <w:bookmarkEnd w:id="228"/>
      <w:bookmarkEnd w:id="231"/>
      <w:bookmarkEnd w:id="232"/>
      <w:bookmarkEnd w:id="233"/>
      <w:bookmarkEnd w:id="234"/>
    </w:p>
    <w:p>
      <w:pPr>
        <w:pStyle w:val="6"/>
        <w:adjustRightInd w:val="0"/>
        <w:snapToGrid w:val="0"/>
        <w:spacing w:line="580" w:lineRule="exact"/>
        <w:ind w:left="426"/>
        <w:rPr>
          <w:color w:val="000000" w:themeColor="text1"/>
        </w:rPr>
      </w:pP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着眼加快完善自然生态保护监管体系的目标，筑牢国家西部生态安全屏障，不断提高生态保护红线、自然保护地、生物多样性保护监管能力和水平，推动形成更加健全环境保护机制，在加快新型城镇化步伐的同时，同步推进生态环境保护与城镇化协调发展。</w:t>
      </w:r>
    </w:p>
    <w:p>
      <w:pPr>
        <w:adjustRightInd w:val="0"/>
        <w:snapToGrid w:val="0"/>
        <w:spacing w:beforeLines="50" w:afterLines="50" w:line="580" w:lineRule="exact"/>
        <w:jc w:val="center"/>
        <w:outlineLvl w:val="1"/>
        <w:rPr>
          <w:rFonts w:ascii="楷体_GB2312" w:hAnsi="楷体_GB2312" w:eastAsia="楷体_GB2312" w:cs="楷体_GB2312"/>
          <w:b/>
          <w:bCs/>
          <w:color w:val="000000" w:themeColor="text1"/>
          <w:sz w:val="32"/>
          <w:szCs w:val="32"/>
        </w:rPr>
      </w:pPr>
      <w:bookmarkStart w:id="235" w:name="_Toc1133766236"/>
      <w:bookmarkStart w:id="236" w:name="_Toc27657"/>
      <w:bookmarkStart w:id="237" w:name="_Toc17590"/>
      <w:bookmarkStart w:id="238" w:name="_Toc691"/>
      <w:bookmarkStart w:id="239" w:name="_Toc3401"/>
      <w:r>
        <w:rPr>
          <w:rFonts w:hint="eastAsia" w:ascii="楷体_GB2312" w:hAnsi="楷体_GB2312" w:eastAsia="楷体_GB2312" w:cs="楷体_GB2312"/>
          <w:b/>
          <w:bCs/>
          <w:color w:val="000000" w:themeColor="text1"/>
          <w:sz w:val="32"/>
          <w:szCs w:val="32"/>
        </w:rPr>
        <w:t>第一节  区位资源与环境特征</w:t>
      </w:r>
      <w:bookmarkEnd w:id="235"/>
      <w:bookmarkEnd w:id="236"/>
      <w:bookmarkEnd w:id="237"/>
      <w:bookmarkEnd w:id="238"/>
      <w:bookmarkEnd w:id="239"/>
      <w:bookmarkStart w:id="240" w:name="_Toc494293980"/>
    </w:p>
    <w:p>
      <w:pPr>
        <w:pStyle w:val="4"/>
        <w:numPr>
          <w:ilvl w:val="0"/>
          <w:numId w:val="0"/>
        </w:numPr>
        <w:autoSpaceDE w:val="0"/>
        <w:adjustRightInd w:val="0"/>
        <w:snapToGrid w:val="0"/>
        <w:spacing w:beforeLines="0" w:afterLines="0" w:line="580" w:lineRule="exact"/>
        <w:ind w:firstLine="644" w:firstLineChars="200"/>
        <w:rPr>
          <w:rFonts w:ascii="仿宋_GB2312" w:hAnsi="仿宋_GB2312" w:eastAsia="仿宋_GB2312" w:cs="仿宋_GB2312"/>
          <w:b w:val="0"/>
          <w:color w:val="000000" w:themeColor="text1"/>
          <w:sz w:val="32"/>
        </w:rPr>
      </w:pPr>
      <w:bookmarkStart w:id="241" w:name="_Toc27700"/>
      <w:r>
        <w:rPr>
          <w:rFonts w:hint="eastAsia" w:ascii="仿宋_GB2312" w:hAnsi="仿宋_GB2312" w:eastAsia="仿宋_GB2312" w:cs="仿宋_GB2312"/>
          <w:bCs/>
          <w:color w:val="000000" w:themeColor="text1"/>
          <w:sz w:val="32"/>
        </w:rPr>
        <w:t>——区</w:t>
      </w:r>
      <w:r>
        <w:rPr>
          <w:rFonts w:hint="eastAsia" w:ascii="仿宋_GB2312" w:hAnsi="仿宋_GB2312" w:eastAsia="仿宋_GB2312" w:cs="仿宋_GB2312"/>
          <w:bCs/>
          <w:color w:val="000000" w:themeColor="text1"/>
          <w:spacing w:val="-10"/>
          <w:sz w:val="32"/>
        </w:rPr>
        <w:t>位资源。</w:t>
      </w:r>
      <w:r>
        <w:rPr>
          <w:rFonts w:hint="eastAsia" w:ascii="仿宋_GB2312" w:hAnsi="仿宋_GB2312" w:eastAsia="仿宋_GB2312" w:cs="仿宋_GB2312"/>
          <w:b w:val="0"/>
          <w:color w:val="000000" w:themeColor="text1"/>
          <w:spacing w:val="-10"/>
          <w:sz w:val="32"/>
        </w:rPr>
        <w:t>临泽县地处甘肃河西走廊中部，东经99°51′</w:t>
      </w:r>
      <w:r>
        <w:rPr>
          <w:rFonts w:hint="eastAsia" w:ascii="仿宋_GB2312" w:hAnsi="仿宋_GB2312" w:eastAsia="仿宋_GB2312" w:cs="仿宋_GB2312"/>
          <w:b w:val="0"/>
          <w:color w:val="000000" w:themeColor="text1"/>
          <w:sz w:val="32"/>
        </w:rPr>
        <w:t>-100°31′，北纬38°57′-39°42′之间。东连甘州区，西接高台县，南与肃南裕固族自治县为邻，北毗内蒙古自治区阿拉善右旗。全县面积2729平方公里，耕地面积51万亩，县境地势平坦，全国第二大内陆河黑河及其支流流沙河纵横流经，丰富的祁连山雪水滋养灌溉，是历史悠久的灌耕农业区，八十年代就是“全国一熟制地区粮食单产冠军县”。矿产资源丰富，已探明的矿种主要有锰、铁、铜、金、煤、凹凸棒、海泡石、石膏、石英石、矿泉水等，其中，凹凸棒石探明储量13.6亿</w:t>
      </w:r>
      <w:r>
        <w:rPr>
          <w:rFonts w:hint="eastAsia" w:ascii="仿宋_GB2312" w:hAnsi="仿宋_GB2312" w:eastAsia="仿宋_GB2312" w:cs="仿宋_GB2312"/>
          <w:b w:val="0"/>
          <w:color w:val="000000" w:themeColor="text1"/>
          <w:spacing w:val="-4"/>
          <w:sz w:val="32"/>
        </w:rPr>
        <w:t>吨，储量全球第一，极具开发价值。国家重要交通线密集，兰新铁路、兰新客运专线、高速公路G30线、国道312线横贯全境，2016年建成全省首家通用航空机场，拥有立体化的交通网络。</w:t>
      </w:r>
      <w:bookmarkEnd w:id="241"/>
    </w:p>
    <w:p>
      <w:pPr>
        <w:pStyle w:val="4"/>
        <w:numPr>
          <w:ilvl w:val="0"/>
          <w:numId w:val="0"/>
        </w:numPr>
        <w:autoSpaceDE w:val="0"/>
        <w:adjustRightInd w:val="0"/>
        <w:snapToGrid w:val="0"/>
        <w:spacing w:beforeLines="0" w:afterLines="0" w:line="580" w:lineRule="exact"/>
        <w:ind w:firstLine="644" w:firstLineChars="200"/>
        <w:rPr>
          <w:rFonts w:ascii="仿宋_GB2312" w:hAnsi="仿宋_GB2312" w:eastAsia="仿宋_GB2312" w:cs="仿宋_GB2312"/>
          <w:b w:val="0"/>
          <w:color w:val="000000" w:themeColor="text1"/>
          <w:sz w:val="32"/>
        </w:rPr>
      </w:pPr>
      <w:bookmarkStart w:id="242" w:name="_Toc20169"/>
      <w:r>
        <w:rPr>
          <w:rFonts w:hint="eastAsia" w:ascii="仿宋_GB2312" w:hAnsi="仿宋_GB2312" w:eastAsia="仿宋_GB2312" w:cs="仿宋_GB2312"/>
          <w:bCs/>
          <w:color w:val="000000" w:themeColor="text1"/>
          <w:sz w:val="32"/>
        </w:rPr>
        <w:t>——环境特征。</w:t>
      </w:r>
      <w:r>
        <w:rPr>
          <w:rFonts w:hint="eastAsia" w:ascii="仿宋_GB2312" w:hAnsi="仿宋_GB2312" w:eastAsia="仿宋_GB2312" w:cs="仿宋_GB2312"/>
          <w:b w:val="0"/>
          <w:color w:val="000000" w:themeColor="text1"/>
          <w:sz w:val="32"/>
        </w:rPr>
        <w:t>临泽县属大陆性温带干旱气候，其特点是夏季短而酷热，冬季长而严寒，干旱少雨，且降水分布不均，昼夜温差大，风能、太阳能资源丰富，平均气温8.3℃，全年日照时数为2350.86h，年降水量113.5毫米，年蒸发量2073.7毫米，平均海拔1380—2278米。全县全年总用水量4.172亿立方米，其中：生活用水0.063亿立方米，工业用水0.036亿立方米，农业用水4.026亿立方米，生态环境补水0.046亿立方米。全县有大中型灌区6个，水库10座，总库容5326万立方米。有水电站10座，总装机2.76万千瓦，年发电量7705万千瓦时。全年城区空气质量优良天数296天，优良比例86.3%，扣除沙尘天气后，可吸入颗粒物（PM10）浓度值72微克/立方米，细颗粒物（PM2.5）浓度值31微克/立方米，空气质量综合指数3.81。城镇集中式饮用水源水质达标率100%，县内2个地表水监测断面中，达到或优于Ⅲ类断面比例为100%。全县回收废旧地膜3</w:t>
      </w:r>
      <w:r>
        <w:rPr>
          <w:rFonts w:hint="eastAsia" w:ascii="仿宋_GB2312" w:hAnsi="仿宋_GB2312" w:eastAsia="仿宋_GB2312" w:cs="仿宋_GB2312"/>
          <w:b w:val="0"/>
          <w:color w:val="000000" w:themeColor="text1"/>
          <w:spacing w:val="-4"/>
          <w:sz w:val="32"/>
        </w:rPr>
        <w:t>015.3吨，废旧地膜回收率达84.35%，农作物秸秆综合利用率达87.5%，尾菜处理利用率达81.02%。全县创建清洁村庄37个，农村卫生厕所覆盖率达74%，首批17个清洁村庄已通过市级验收。</w:t>
      </w:r>
      <w:bookmarkEnd w:id="242"/>
      <w:r>
        <w:rPr>
          <w:rFonts w:hint="eastAsia" w:ascii="仿宋_GB2312" w:hAnsi="仿宋_GB2312" w:eastAsia="仿宋_GB2312" w:cs="仿宋_GB2312"/>
          <w:b w:val="0"/>
          <w:color w:val="000000" w:themeColor="text1"/>
          <w:sz w:val="32"/>
        </w:rPr>
        <w:t xml:space="preserve">                       </w:t>
      </w:r>
      <w:bookmarkStart w:id="243" w:name="_Toc31703"/>
    </w:p>
    <w:p>
      <w:pPr>
        <w:pStyle w:val="4"/>
        <w:numPr>
          <w:ilvl w:val="0"/>
          <w:numId w:val="0"/>
        </w:numPr>
        <w:autoSpaceDE w:val="0"/>
        <w:adjustRightInd w:val="0"/>
        <w:snapToGrid w:val="0"/>
        <w:spacing w:before="156" w:after="156" w:line="580" w:lineRule="exact"/>
        <w:ind w:left="421" w:hanging="418" w:hangingChars="130"/>
        <w:jc w:val="center"/>
        <w:rPr>
          <w:rFonts w:ascii="仿宋_GB2312" w:hAnsi="仿宋_GB2312" w:eastAsia="仿宋_GB2312" w:cs="仿宋_GB2312"/>
          <w:b w:val="0"/>
          <w:color w:val="000000" w:themeColor="text1"/>
          <w:sz w:val="32"/>
        </w:rPr>
      </w:pPr>
      <w:bookmarkStart w:id="244" w:name="_Toc30861"/>
      <w:bookmarkStart w:id="245" w:name="_Toc12559"/>
      <w:bookmarkStart w:id="246" w:name="_Toc15109"/>
      <w:r>
        <w:rPr>
          <w:rFonts w:hint="eastAsia" w:ascii="楷体_GB2312" w:hAnsi="楷体_GB2312" w:eastAsia="楷体_GB2312" w:cs="楷体_GB2312"/>
          <w:bCs/>
          <w:color w:val="000000" w:themeColor="text1"/>
          <w:sz w:val="32"/>
        </w:rPr>
        <w:t>第二节  资源环境影响分析和预测</w:t>
      </w:r>
      <w:bookmarkEnd w:id="240"/>
      <w:bookmarkEnd w:id="243"/>
      <w:bookmarkEnd w:id="244"/>
      <w:bookmarkEnd w:id="245"/>
      <w:bookmarkEnd w:id="246"/>
    </w:p>
    <w:p>
      <w:pPr>
        <w:pStyle w:val="4"/>
        <w:numPr>
          <w:ilvl w:val="0"/>
          <w:numId w:val="0"/>
        </w:numPr>
        <w:autoSpaceDE w:val="0"/>
        <w:adjustRightInd w:val="0"/>
        <w:snapToGrid w:val="0"/>
        <w:spacing w:beforeLines="0" w:afterLines="0" w:line="600" w:lineRule="exact"/>
        <w:rPr>
          <w:rFonts w:ascii="仿宋_GB2312" w:hAnsi="仿宋_GB2312" w:eastAsia="仿宋_GB2312" w:cs="仿宋_GB2312"/>
          <w:b w:val="0"/>
          <w:color w:val="000000" w:themeColor="text1"/>
          <w:sz w:val="32"/>
        </w:rPr>
      </w:pPr>
      <w:r>
        <w:rPr>
          <w:rFonts w:hint="eastAsia" w:ascii="仿宋_GB2312" w:hAnsi="仿宋_GB2312" w:eastAsia="仿宋_GB2312" w:cs="仿宋_GB2312"/>
          <w:b w:val="0"/>
          <w:color w:val="000000" w:themeColor="text1"/>
          <w:sz w:val="32"/>
        </w:rPr>
        <w:t xml:space="preserve">    </w:t>
      </w:r>
      <w:bookmarkStart w:id="247" w:name="_Toc12460"/>
      <w:r>
        <w:rPr>
          <w:rFonts w:hint="eastAsia" w:ascii="仿宋_GB2312" w:hAnsi="仿宋_GB2312" w:eastAsia="仿宋_GB2312" w:cs="仿宋_GB2312"/>
          <w:b w:val="0"/>
          <w:color w:val="000000" w:themeColor="text1"/>
          <w:sz w:val="32"/>
        </w:rPr>
        <w:t>生态环境敏感性和重要性较为突出和典型，是国家西部生态安全重要屏障，近年来城镇化的发展在一定程度上造成不良的环境影响，主要呈现沙漠化突出、水资源短缺的特点。在如何守住“发展”和“生态”两条底线中，面临着生态环境破碎、环境空间格局风险、资源环境超载、复合型环境污染治理难度大等突出问题与压力。</w:t>
      </w:r>
      <w:bookmarkEnd w:id="247"/>
      <w:bookmarkStart w:id="248" w:name="_Toc460310318"/>
    </w:p>
    <w:p>
      <w:pPr>
        <w:pStyle w:val="4"/>
        <w:numPr>
          <w:ilvl w:val="0"/>
          <w:numId w:val="0"/>
        </w:numPr>
        <w:autoSpaceDE w:val="0"/>
        <w:adjustRightInd w:val="0"/>
        <w:snapToGrid w:val="0"/>
        <w:spacing w:beforeLines="0" w:afterLines="0" w:line="600" w:lineRule="exact"/>
        <w:ind w:firstLine="644" w:firstLineChars="200"/>
        <w:rPr>
          <w:rFonts w:ascii="仿宋_GB2312" w:hAnsi="仿宋_GB2312" w:eastAsia="仿宋_GB2312" w:cs="仿宋_GB2312"/>
          <w:b w:val="0"/>
          <w:color w:val="000000" w:themeColor="text1"/>
          <w:sz w:val="32"/>
        </w:rPr>
      </w:pPr>
      <w:bookmarkStart w:id="249" w:name="_Toc10814"/>
      <w:r>
        <w:rPr>
          <w:rFonts w:hint="eastAsia" w:ascii="仿宋_GB2312" w:hAnsi="仿宋_GB2312" w:eastAsia="仿宋_GB2312" w:cs="仿宋_GB2312"/>
          <w:bCs/>
          <w:color w:val="000000" w:themeColor="text1"/>
          <w:sz w:val="32"/>
        </w:rPr>
        <w:t>——土地资源影响分析。</w:t>
      </w:r>
      <w:r>
        <w:rPr>
          <w:rFonts w:hint="eastAsia" w:ascii="仿宋_GB2312" w:hAnsi="仿宋_GB2312" w:eastAsia="仿宋_GB2312" w:cs="仿宋_GB2312"/>
          <w:b w:val="0"/>
          <w:color w:val="000000" w:themeColor="text1"/>
          <w:sz w:val="32"/>
        </w:rPr>
        <w:t>土地是“十四五”时期新型城镇化发展的重要战略资源，在加快城镇化发展步伐的同时，要警惕土地资源的浪费，集约高效地推进城乡建设绿色发展，完善城市功能、美化城市景观。促进城市集约高效和绿色转型发展，提高城市综合承载能力和城镇化发展质量，拉动社会资本投入、打造经济发展新动力。但是城乡建设过程中，可能会占用宝贵的土地资源，以及粗犷式建设发展。因此，要集约节约高效使用各类土地，恪守生态保护红线，禁止占用永久基本农田等保障用地。</w:t>
      </w:r>
      <w:bookmarkEnd w:id="249"/>
    </w:p>
    <w:p>
      <w:pPr>
        <w:pStyle w:val="4"/>
        <w:numPr>
          <w:ilvl w:val="0"/>
          <w:numId w:val="0"/>
        </w:numPr>
        <w:autoSpaceDE w:val="0"/>
        <w:adjustRightInd w:val="0"/>
        <w:snapToGrid w:val="0"/>
        <w:spacing w:beforeLines="0" w:afterLines="0" w:line="610" w:lineRule="exact"/>
        <w:ind w:firstLine="644" w:firstLineChars="200"/>
        <w:rPr>
          <w:rFonts w:ascii="仿宋_GB2312" w:hAnsi="仿宋_GB2312" w:eastAsia="仿宋_GB2312" w:cs="仿宋_GB2312"/>
          <w:b w:val="0"/>
          <w:color w:val="000000" w:themeColor="text1"/>
          <w:sz w:val="32"/>
        </w:rPr>
      </w:pPr>
      <w:bookmarkStart w:id="250" w:name="_Toc20777"/>
      <w:r>
        <w:rPr>
          <w:rFonts w:hint="eastAsia" w:ascii="仿宋_GB2312" w:hAnsi="仿宋_GB2312" w:eastAsia="仿宋_GB2312" w:cs="仿宋_GB2312"/>
          <w:bCs/>
          <w:color w:val="000000" w:themeColor="text1"/>
          <w:sz w:val="32"/>
        </w:rPr>
        <w:t>——水环境影响分析。</w:t>
      </w:r>
      <w:r>
        <w:rPr>
          <w:rFonts w:hint="eastAsia" w:ascii="仿宋_GB2312" w:hAnsi="仿宋_GB2312" w:eastAsia="仿宋_GB2312" w:cs="仿宋_GB2312"/>
          <w:b w:val="0"/>
          <w:color w:val="000000" w:themeColor="text1"/>
          <w:sz w:val="32"/>
        </w:rPr>
        <w:t>近年来，通过积极提升水生态环境，统筹水资源、水生态、水环境“三水”治理，地表水国控断面水质优良比例达到100%。但城市排水体制不够完善，城区雨污合流仍然大范围存在，城镇污水处理厂长期稳定达标排放工作仍然不容乐观，地表水污染风险依然存在。同时城镇化相关工程在施工期间均会产生大量的泥沙及粉尘，如临时排水不畅或清扫不彻底，污水有可能会流至附近地表水体，污染水体水质。同时，施工机械设备及车辆冲洗会产生一定量的废水，施工人员也将产生一定量的生活污水。</w:t>
      </w:r>
      <w:bookmarkEnd w:id="250"/>
    </w:p>
    <w:p>
      <w:pPr>
        <w:pStyle w:val="4"/>
        <w:numPr>
          <w:ilvl w:val="0"/>
          <w:numId w:val="0"/>
        </w:numPr>
        <w:autoSpaceDE w:val="0"/>
        <w:adjustRightInd w:val="0"/>
        <w:snapToGrid w:val="0"/>
        <w:spacing w:beforeLines="0" w:afterLines="0" w:line="610" w:lineRule="exact"/>
        <w:ind w:firstLine="644" w:firstLineChars="200"/>
        <w:rPr>
          <w:rFonts w:ascii="仿宋_GB2312" w:hAnsi="仿宋_GB2312" w:eastAsia="仿宋_GB2312" w:cs="仿宋_GB2312"/>
          <w:b w:val="0"/>
          <w:color w:val="000000" w:themeColor="text1"/>
          <w:sz w:val="32"/>
        </w:rPr>
      </w:pPr>
      <w:bookmarkStart w:id="251" w:name="_Toc30006"/>
      <w:r>
        <w:rPr>
          <w:rFonts w:hint="eastAsia" w:ascii="仿宋_GB2312" w:hAnsi="仿宋_GB2312" w:eastAsia="仿宋_GB2312" w:cs="仿宋_GB2312"/>
          <w:bCs/>
          <w:color w:val="000000" w:themeColor="text1"/>
          <w:sz w:val="32"/>
        </w:rPr>
        <w:t>——大气环境影响分析。</w:t>
      </w:r>
      <w:r>
        <w:rPr>
          <w:rFonts w:hint="eastAsia" w:ascii="仿宋_GB2312" w:hAnsi="仿宋_GB2312" w:eastAsia="仿宋_GB2312" w:cs="仿宋_GB2312"/>
          <w:b w:val="0"/>
          <w:color w:val="000000" w:themeColor="text1"/>
          <w:sz w:val="32"/>
        </w:rPr>
        <w:t>在新型城镇建设的施工期，大气环境影响主要表现在城镇交通基础设施建设、市政基础设施建设、水利工程建设等过程中伴随着大量扬尘产生，其影响时间较长。同时，项目施工期间车辆运输活动会导致二次扬尘产生，施工过程中因材料搅拌、装卸等活动也将产生扬尘。项目建设完成后，机动车废气排放会对周边环境空气质量造成影响。若环卫处置设施中包含焚烧系统或者填埋系统，则焚烧尾气或填埋尾气会对环境空气质量造成影响。</w:t>
      </w:r>
      <w:bookmarkEnd w:id="251"/>
    </w:p>
    <w:p>
      <w:pPr>
        <w:pStyle w:val="4"/>
        <w:numPr>
          <w:ilvl w:val="0"/>
          <w:numId w:val="0"/>
        </w:numPr>
        <w:autoSpaceDE w:val="0"/>
        <w:adjustRightInd w:val="0"/>
        <w:snapToGrid w:val="0"/>
        <w:spacing w:beforeLines="0" w:afterLines="0" w:line="610" w:lineRule="exact"/>
        <w:ind w:firstLine="644" w:firstLineChars="200"/>
        <w:rPr>
          <w:rFonts w:ascii="仿宋_GB2312" w:hAnsi="仿宋_GB2312" w:eastAsia="仿宋_GB2312" w:cs="仿宋_GB2312"/>
          <w:b w:val="0"/>
          <w:color w:val="000000" w:themeColor="text1"/>
          <w:sz w:val="32"/>
        </w:rPr>
      </w:pPr>
      <w:bookmarkStart w:id="252" w:name="_Toc921"/>
      <w:r>
        <w:rPr>
          <w:rFonts w:hint="eastAsia" w:ascii="仿宋_GB2312" w:hAnsi="仿宋_GB2312" w:eastAsia="仿宋_GB2312" w:cs="仿宋_GB2312"/>
          <w:bCs/>
          <w:color w:val="000000" w:themeColor="text1"/>
          <w:sz w:val="32"/>
        </w:rPr>
        <w:t>——生态环境影响分析。</w:t>
      </w:r>
      <w:r>
        <w:rPr>
          <w:rFonts w:hint="eastAsia" w:ascii="仿宋_GB2312" w:hAnsi="仿宋_GB2312" w:eastAsia="仿宋_GB2312" w:cs="仿宋_GB2312"/>
          <w:b w:val="0"/>
          <w:color w:val="000000" w:themeColor="text1"/>
          <w:sz w:val="32"/>
        </w:rPr>
        <w:t>随着新型城镇化进程的不断推进，城市人口不断增加，城市建设面积不断扩大，将会侵占部分绿地、农田、水域等，植被将会受到不同程度的损坏，从而导致各类生态系统类型、面积、空间分布格局的变化，会对生态环境造成暂时的影响，但是长期的发展是为生态文明城市服务的。</w:t>
      </w:r>
      <w:bookmarkEnd w:id="252"/>
    </w:p>
    <w:p>
      <w:pPr>
        <w:pStyle w:val="4"/>
        <w:numPr>
          <w:ilvl w:val="0"/>
          <w:numId w:val="0"/>
        </w:numPr>
        <w:autoSpaceDE w:val="0"/>
        <w:adjustRightInd w:val="0"/>
        <w:snapToGrid w:val="0"/>
        <w:spacing w:beforeLines="0" w:afterLines="0" w:line="580" w:lineRule="exact"/>
        <w:ind w:firstLine="644" w:firstLineChars="200"/>
        <w:rPr>
          <w:rFonts w:ascii="仿宋_GB2312" w:hAnsi="仿宋_GB2312" w:eastAsia="仿宋_GB2312" w:cs="仿宋_GB2312"/>
          <w:b w:val="0"/>
          <w:color w:val="000000" w:themeColor="text1"/>
          <w:spacing w:val="-4"/>
          <w:sz w:val="32"/>
        </w:rPr>
      </w:pPr>
      <w:bookmarkStart w:id="253" w:name="_Toc23040"/>
      <w:r>
        <w:rPr>
          <w:rFonts w:hint="eastAsia" w:ascii="仿宋_GB2312" w:hAnsi="仿宋_GB2312" w:eastAsia="仿宋_GB2312" w:cs="仿宋_GB2312"/>
          <w:bCs/>
          <w:color w:val="000000" w:themeColor="text1"/>
          <w:sz w:val="32"/>
        </w:rPr>
        <w:t>——声环境和固体废物影响分析。</w:t>
      </w:r>
      <w:r>
        <w:rPr>
          <w:rFonts w:hint="eastAsia" w:ascii="仿宋_GB2312" w:hAnsi="仿宋_GB2312" w:eastAsia="仿宋_GB2312" w:cs="仿宋_GB2312"/>
          <w:b w:val="0"/>
          <w:color w:val="000000" w:themeColor="text1"/>
          <w:sz w:val="32"/>
        </w:rPr>
        <w:t>新型城镇化建设实施过</w:t>
      </w:r>
      <w:r>
        <w:rPr>
          <w:rFonts w:hint="eastAsia" w:ascii="仿宋_GB2312" w:hAnsi="仿宋_GB2312" w:eastAsia="仿宋_GB2312" w:cs="仿宋_GB2312"/>
          <w:b w:val="0"/>
          <w:color w:val="000000" w:themeColor="text1"/>
          <w:spacing w:val="4"/>
          <w:sz w:val="32"/>
        </w:rPr>
        <w:t>程交通噪声、社会生活噪声及施工造成的噪声将对声环境敏</w:t>
      </w:r>
      <w:r>
        <w:rPr>
          <w:rFonts w:hint="eastAsia" w:ascii="仿宋_GB2312" w:hAnsi="仿宋_GB2312" w:eastAsia="仿宋_GB2312" w:cs="仿宋_GB2312"/>
          <w:b w:val="0"/>
          <w:color w:val="000000" w:themeColor="text1"/>
          <w:sz w:val="32"/>
        </w:rPr>
        <w:t>感目标造成短暂和局部的影响。施工过程中各类装载机、挖掘机、打桩机等施工机械是产生施工噪声的主</w:t>
      </w:r>
      <w:r>
        <w:rPr>
          <w:rFonts w:hint="eastAsia" w:ascii="仿宋_GB2312" w:hAnsi="仿宋_GB2312" w:eastAsia="仿宋_GB2312" w:cs="仿宋_GB2312"/>
          <w:b w:val="0"/>
          <w:color w:val="000000" w:themeColor="text1"/>
          <w:spacing w:val="4"/>
          <w:sz w:val="32"/>
        </w:rPr>
        <w:t>要原因，对周</w:t>
      </w:r>
      <w:r>
        <w:rPr>
          <w:rFonts w:hint="eastAsia" w:ascii="仿宋_GB2312" w:hAnsi="仿宋_GB2312" w:eastAsia="仿宋_GB2312" w:cs="仿宋_GB2312"/>
          <w:b w:val="0"/>
          <w:color w:val="000000" w:themeColor="text1"/>
          <w:sz w:val="32"/>
        </w:rPr>
        <w:t>围居民声环境影响较大，白天最大影响范围达50—100m，夜间则可</w:t>
      </w:r>
      <w:r>
        <w:rPr>
          <w:rFonts w:hint="eastAsia" w:ascii="仿宋_GB2312" w:hAnsi="仿宋_GB2312" w:eastAsia="仿宋_GB2312" w:cs="仿宋_GB2312"/>
          <w:b w:val="0"/>
          <w:color w:val="000000" w:themeColor="text1"/>
          <w:spacing w:val="-4"/>
          <w:sz w:val="32"/>
        </w:rPr>
        <w:t>达100—200m。运输车辆特别是重载汽车噪声辐射强度较高，对</w:t>
      </w:r>
      <w:r>
        <w:rPr>
          <w:rFonts w:hint="eastAsia" w:ascii="仿宋_GB2312" w:hAnsi="仿宋_GB2312" w:eastAsia="仿宋_GB2312" w:cs="仿宋_GB2312"/>
          <w:b w:val="0"/>
          <w:color w:val="000000" w:themeColor="text1"/>
          <w:sz w:val="32"/>
        </w:rPr>
        <w:t>其频繁行驶经过的施工现场、施工便道和既有道路周围环境将</w:t>
      </w:r>
      <w:r>
        <w:rPr>
          <w:rFonts w:hint="eastAsia" w:ascii="仿宋_GB2312" w:hAnsi="仿宋_GB2312" w:eastAsia="仿宋_GB2312" w:cs="仿宋_GB2312"/>
          <w:b w:val="0"/>
          <w:color w:val="000000" w:themeColor="text1"/>
          <w:spacing w:val="-4"/>
          <w:sz w:val="32"/>
        </w:rPr>
        <w:t>产生较大干扰。城市建设施工期间基础开挖中的土石方、场地平整、各类旧建筑物的拆迁等均会产生大量废弃垃圾（建筑垃圾），如处理或保护措施不当，极易造成环境污染。固废中颗粒较小的细粒、粉末等受到风吹日晒，产生扬尘，同样会污染大气环境。</w:t>
      </w:r>
      <w:bookmarkEnd w:id="253"/>
      <w:bookmarkStart w:id="254" w:name="_Toc6748"/>
    </w:p>
    <w:p>
      <w:pPr>
        <w:pStyle w:val="4"/>
        <w:numPr>
          <w:ilvl w:val="0"/>
          <w:numId w:val="0"/>
        </w:numPr>
        <w:autoSpaceDE w:val="0"/>
        <w:adjustRightInd w:val="0"/>
        <w:snapToGrid w:val="0"/>
        <w:spacing w:before="156" w:after="156" w:line="610" w:lineRule="exact"/>
        <w:ind w:left="421" w:hanging="418" w:hangingChars="130"/>
        <w:jc w:val="center"/>
        <w:rPr>
          <w:rFonts w:ascii="仿宋_GB2312" w:hAnsi="仿宋_GB2312" w:eastAsia="仿宋_GB2312" w:cs="仿宋_GB2312"/>
          <w:color w:val="000000" w:themeColor="text1"/>
          <w:sz w:val="32"/>
        </w:rPr>
      </w:pPr>
      <w:bookmarkStart w:id="255" w:name="_Toc16009"/>
      <w:bookmarkStart w:id="256" w:name="_Toc6809"/>
      <w:bookmarkStart w:id="257" w:name="_Toc9205"/>
      <w:r>
        <w:rPr>
          <w:rFonts w:hint="eastAsia" w:ascii="楷体_GB2312" w:hAnsi="楷体_GB2312" w:eastAsia="楷体_GB2312" w:cs="楷体_GB2312"/>
          <w:bCs/>
          <w:color w:val="000000" w:themeColor="text1"/>
          <w:sz w:val="32"/>
        </w:rPr>
        <w:t>第三节  新型城镇化环境影响防治措施</w:t>
      </w:r>
      <w:bookmarkEnd w:id="248"/>
      <w:bookmarkEnd w:id="254"/>
      <w:bookmarkEnd w:id="255"/>
      <w:bookmarkEnd w:id="256"/>
      <w:bookmarkEnd w:id="257"/>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毫不动摇地践行“绿水青山就是金山银山”理论，守好筑牢国家西部生态安全屏障，恪守生态保护红线不动摇，保护永久基本农田面积不减少。对黑河等水源涵养区，强化生态管控，严格保护范围，积极开展湿地生态系统修复工程、农业污染控制工程和城镇生活、工业污染治理工程。将防—治—保有机结合起来，通过人工造林、封山育林、退耕还林等植被恢复措施，增加森林资源总量，提高城市森林覆盖率。</w:t>
      </w:r>
      <w:bookmarkStart w:id="258" w:name="_Toc991380019"/>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——生态环境影响预防措施。</w:t>
      </w:r>
      <w:r>
        <w:rPr>
          <w:rFonts w:hint="eastAsia" w:ascii="仿宋_GB2312" w:hAnsi="仿宋_GB2312" w:eastAsia="仿宋_GB2312" w:cs="仿宋_GB2312"/>
          <w:color w:val="000000" w:themeColor="text1"/>
          <w:sz w:val="32"/>
          <w:szCs w:val="32"/>
        </w:rPr>
        <w:t>树立绿色可持续发展理念，坚持生态优先、绿色发展，实现经济高质量发展和生态环境高水平保护协同共进；尊重自然山水格局，将环境治理与空间规划相结合，建立严格的空间环境管控制度，形成人口、经济、资源环境相协调的国土开发格局和城镇发展格局。在新型城镇化建设实施过程中严格贯彻落实相关法律法规，生态建设坚持保护优先、自然恢复为主，大力实施山水林田湖草沙生态保护和修复工程，推进城市绿色生态廊道建设。城乡人居环境持续改善，加强重点生态空间保护监管，强化自然保护地、生态保护红线等监管，由侧重增加森林、湿地等重要生态系统“面积”向“面积与质量并重”转变，主要生态系统步入良性循环。</w:t>
      </w:r>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——水资源污染预防措施。</w:t>
      </w:r>
      <w:r>
        <w:rPr>
          <w:rFonts w:hint="eastAsia" w:ascii="仿宋_GB2312" w:hAnsi="仿宋_GB2312" w:eastAsia="仿宋_GB2312" w:cs="仿宋_GB2312"/>
          <w:color w:val="000000" w:themeColor="text1"/>
          <w:sz w:val="32"/>
          <w:szCs w:val="32"/>
        </w:rPr>
        <w:t>强化水陆管控力度，构建完善水生态环境监管模式，全面推进工业废水、生活污水治理，分区推进水生态环境保护和污染治理，确保黑河流域水环境质量持续改善。加强统筹协调，分类提高重点领域污染治理水平，加强饮用水水源地保护和黑臭水体整治，开展生态流量保障和水生态保护修复。同时强化水资源开发利用控制、用水效率控制、水功能区限制纳污管理，建立水资源环境承载能力监测预警机制。</w:t>
      </w:r>
    </w:p>
    <w:p>
      <w:pPr>
        <w:adjustRightInd w:val="0"/>
        <w:snapToGrid w:val="0"/>
        <w:spacing w:line="61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——大气环境污染预防措施。</w:t>
      </w:r>
      <w:r>
        <w:rPr>
          <w:rFonts w:hint="eastAsia" w:ascii="仿宋_GB2312" w:hAnsi="仿宋_GB2312" w:eastAsia="仿宋_GB2312" w:cs="仿宋_GB2312"/>
          <w:color w:val="000000" w:themeColor="text1"/>
          <w:sz w:val="32"/>
          <w:szCs w:val="32"/>
        </w:rPr>
        <w:t>加强源头防控，推进PM10和PM2.5“双控双减”，继续狠抓工业、生活、农业农村等重点领域空气污染防治。加强城镇化进程中燃煤、工业面源、机动车和扬尘污染防治，加强重污染天气应对措施，全力推进建筑工地和道路扬尘整治、柴油货车污染治理、工业窑炉整治等专项行动。持续开展中心城区环境综合整治行动，针对餐饮行业开展油烟专项治理，严禁尾气检测不达标车辆进入中心城区主干道路，增加道路清扫频次，强化洒水降尘措施，有效改善城区环境空气质量。施工场地必须采取围挡、覆盖、地面硬化、定期洒水、简易绿化等有效措施防止扬尘，易起尘的物料必须加盖覆盖物。建立大气预警机制，加强空气质量监测，采取有力措施加强空气质量管控，确保大气环境质量稳定达标。</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——声环境和固体废物污染预防措施。</w:t>
      </w:r>
      <w:r>
        <w:rPr>
          <w:rFonts w:hint="eastAsia" w:ascii="仿宋_GB2312" w:hAnsi="仿宋_GB2312" w:eastAsia="仿宋_GB2312" w:cs="仿宋_GB2312"/>
          <w:color w:val="000000" w:themeColor="text1"/>
          <w:sz w:val="32"/>
          <w:szCs w:val="32"/>
        </w:rPr>
        <w:t>对城镇化项目施工过程中，加强噪声污染整治，合理安排施工时段，尽可能选用低噪音设备，对噪声超标设备采用隔声、消声、减振等降噪措施。严厉打击各类噪声污染违法行为，加强建筑施工场地噪声管理，在重要和敏感道路实行车辆禁鸣管制。建筑材料采用“绿色建材”，实现资源化、减量化和无害化处置。施工阶段应设立指定的渣土堆放点，由专人管理，设置专车每天收集施工人员的生活垃圾，集中密闭外运，严禁就地抛洒，无组织排放。</w:t>
      </w:r>
    </w:p>
    <w:p>
      <w:pPr>
        <w:autoSpaceDE w:val="0"/>
        <w:autoSpaceDN w:val="0"/>
        <w:adjustRightInd w:val="0"/>
        <w:snapToGrid w:val="0"/>
        <w:spacing w:line="580" w:lineRule="exact"/>
        <w:rPr>
          <w:rFonts w:ascii="黑体" w:hAnsi="黑体" w:eastAsia="黑体" w:cs="黑体"/>
          <w:color w:val="000000" w:themeColor="text1"/>
          <w:sz w:val="32"/>
          <w:szCs w:val="32"/>
        </w:rPr>
      </w:pPr>
      <w:bookmarkStart w:id="259" w:name="_Toc17075"/>
    </w:p>
    <w:p>
      <w:pPr>
        <w:autoSpaceDE w:val="0"/>
        <w:autoSpaceDN w:val="0"/>
        <w:adjustRightInd w:val="0"/>
        <w:snapToGrid w:val="0"/>
        <w:spacing w:line="580" w:lineRule="exact"/>
        <w:jc w:val="center"/>
        <w:outlineLvl w:val="0"/>
        <w:rPr>
          <w:color w:val="000000" w:themeColor="text1"/>
        </w:rPr>
      </w:pPr>
      <w:bookmarkStart w:id="260" w:name="_Toc21600"/>
      <w:bookmarkStart w:id="261" w:name="_Toc24672"/>
      <w:bookmarkStart w:id="262" w:name="_Toc25947"/>
      <w:r>
        <w:rPr>
          <w:rFonts w:hint="eastAsia" w:ascii="黑体" w:hAnsi="黑体" w:eastAsia="黑体" w:cs="黑体"/>
          <w:color w:val="000000" w:themeColor="text1"/>
          <w:sz w:val="32"/>
          <w:szCs w:val="32"/>
        </w:rPr>
        <w:t>第十章  完善城镇化发展体制机制</w:t>
      </w:r>
      <w:bookmarkEnd w:id="229"/>
      <w:bookmarkEnd w:id="230"/>
      <w:bookmarkEnd w:id="258"/>
      <w:bookmarkEnd w:id="259"/>
      <w:bookmarkEnd w:id="260"/>
      <w:bookmarkEnd w:id="261"/>
      <w:bookmarkEnd w:id="262"/>
      <w:bookmarkStart w:id="263" w:name="_Toc13994"/>
      <w:bookmarkStart w:id="264" w:name="_Toc990589582"/>
    </w:p>
    <w:p>
      <w:pPr>
        <w:autoSpaceDE w:val="0"/>
        <w:autoSpaceDN w:val="0"/>
        <w:adjustRightInd w:val="0"/>
        <w:snapToGrid w:val="0"/>
        <w:spacing w:afterLines="50" w:line="580" w:lineRule="exact"/>
        <w:jc w:val="center"/>
        <w:outlineLvl w:val="1"/>
        <w:rPr>
          <w:rFonts w:ascii="楷体_GB2312" w:hAnsi="楷体_GB2312" w:eastAsia="楷体_GB2312" w:cs="楷体_GB2312"/>
          <w:b/>
          <w:bCs/>
          <w:color w:val="000000" w:themeColor="text1"/>
          <w:sz w:val="32"/>
          <w:szCs w:val="32"/>
        </w:rPr>
      </w:pPr>
      <w:bookmarkStart w:id="265" w:name="_Toc6258"/>
      <w:bookmarkStart w:id="266" w:name="_Toc7013"/>
      <w:bookmarkStart w:id="267" w:name="_Toc32411"/>
    </w:p>
    <w:p>
      <w:pPr>
        <w:autoSpaceDE w:val="0"/>
        <w:autoSpaceDN w:val="0"/>
        <w:adjustRightInd w:val="0"/>
        <w:snapToGrid w:val="0"/>
        <w:spacing w:afterLines="50" w:line="580" w:lineRule="exact"/>
        <w:jc w:val="center"/>
        <w:outlineLvl w:val="1"/>
        <w:rPr>
          <w:rFonts w:ascii="黑体" w:hAnsi="黑体" w:eastAsia="黑体" w:cs="黑体"/>
          <w:color w:val="000000" w:themeColor="text1"/>
          <w:sz w:val="32"/>
          <w:szCs w:val="32"/>
        </w:rPr>
      </w:pPr>
      <w:r>
        <w:rPr>
          <w:rFonts w:hint="eastAsia" w:ascii="楷体_GB2312" w:hAnsi="楷体_GB2312" w:eastAsia="楷体_GB2312" w:cs="楷体_GB2312"/>
          <w:b/>
          <w:bCs/>
          <w:color w:val="000000" w:themeColor="text1"/>
          <w:sz w:val="32"/>
          <w:szCs w:val="32"/>
        </w:rPr>
        <w:t>第一节  提升空间规划管理水平</w:t>
      </w:r>
      <w:bookmarkEnd w:id="263"/>
      <w:bookmarkEnd w:id="264"/>
      <w:bookmarkEnd w:id="265"/>
      <w:bookmarkEnd w:id="266"/>
      <w:bookmarkEnd w:id="267"/>
    </w:p>
    <w:p>
      <w:pPr>
        <w:pStyle w:val="4"/>
        <w:numPr>
          <w:ilvl w:val="0"/>
          <w:numId w:val="0"/>
        </w:numPr>
        <w:adjustRightInd w:val="0"/>
        <w:snapToGrid w:val="0"/>
        <w:spacing w:beforeLines="0" w:afterLines="0" w:line="580" w:lineRule="exact"/>
        <w:ind w:firstLine="644" w:firstLineChars="200"/>
        <w:rPr>
          <w:rFonts w:ascii="仿宋_GB2312" w:hAnsi="仿宋_GB2312" w:eastAsia="仿宋_GB2312" w:cs="仿宋_GB2312"/>
          <w:color w:val="000000" w:themeColor="text1"/>
          <w:sz w:val="32"/>
        </w:rPr>
      </w:pPr>
      <w:bookmarkStart w:id="268" w:name="_Toc2987"/>
      <w:r>
        <w:rPr>
          <w:rFonts w:hint="eastAsia" w:ascii="仿宋_GB2312" w:hAnsi="仿宋_GB2312" w:eastAsia="仿宋_GB2312" w:cs="仿宋_GB2312"/>
          <w:bCs/>
          <w:color w:val="000000" w:themeColor="text1"/>
          <w:sz w:val="32"/>
        </w:rPr>
        <w:t>——构建国土空间开发保护新格局。</w:t>
      </w:r>
      <w:r>
        <w:rPr>
          <w:rFonts w:hint="eastAsia" w:ascii="仿宋_GB2312" w:hAnsi="仿宋_GB2312" w:eastAsia="仿宋_GB2312" w:cs="仿宋_GB2312"/>
          <w:b w:val="0"/>
          <w:bCs/>
          <w:color w:val="000000" w:themeColor="text1"/>
          <w:sz w:val="32"/>
        </w:rPr>
        <w:t>充分发挥规划龙头作用，高标准编制国土空间规划，进一步优化国土空间开发格局。精心编制中心城区控制性详细规划，强化城市“五线”管控。定期开展城市体检评估，分析评价城市发展特征及规划实施效果，不断完善国土空间规划编制和实施机制，提高城市空间治理现代化水平。科学划定生态保护红线、永久基本农田、城镇开发边界三条控制线。建立全县国土空间规划编制、实施、监督全链条管控体系，发挥“多规合一”业务协同平台作用，对耕地、林地、草地、河流、沙漠、湿地等国土空间统一进行分区分类用途管制。</w:t>
      </w:r>
      <w:bookmarkEnd w:id="268"/>
      <w:r>
        <w:rPr>
          <w:rFonts w:hint="eastAsia" w:ascii="仿宋_GB2312" w:hAnsi="仿宋_GB2312" w:eastAsia="仿宋_GB2312" w:cs="仿宋_GB2312"/>
          <w:b w:val="0"/>
          <w:bCs/>
          <w:color w:val="000000" w:themeColor="text1"/>
          <w:sz w:val="32"/>
        </w:rPr>
        <w:t xml:space="preserve">  </w:t>
      </w:r>
    </w:p>
    <w:p>
      <w:pPr>
        <w:adjustRightInd w:val="0"/>
        <w:snapToGrid w:val="0"/>
        <w:spacing w:line="580" w:lineRule="exact"/>
        <w:ind w:firstLine="646"/>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
          <w:color w:val="000000" w:themeColor="text1"/>
          <w:sz w:val="32"/>
        </w:rPr>
        <w:t>——</w:t>
      </w:r>
      <w:r>
        <w:rPr>
          <w:rFonts w:hint="eastAsia" w:ascii="仿宋_GB2312" w:hAnsi="仿宋_GB2312" w:eastAsia="仿宋_GB2312" w:cs="仿宋_GB2312"/>
          <w:b/>
          <w:color w:val="000000" w:themeColor="text1"/>
          <w:sz w:val="32"/>
          <w:szCs w:val="32"/>
        </w:rPr>
        <w:t>推动城市更新。</w:t>
      </w:r>
      <w:r>
        <w:rPr>
          <w:rFonts w:hint="eastAsia" w:ascii="仿宋_GB2312" w:hAnsi="仿宋_GB2312" w:eastAsia="仿宋_GB2312" w:cs="仿宋_GB2312"/>
          <w:bCs/>
          <w:color w:val="000000" w:themeColor="text1"/>
          <w:sz w:val="32"/>
          <w:szCs w:val="32"/>
        </w:rPr>
        <w:t>坚持新城区做“加法”，持续完善公共服务设施，提升城市品质；老城区做“减法”，持续推进改造更新，实现新老城区“互补融通”。注重因地制宜、分类施策，有序推进“城中村”改造。实施城市海绵化改造、城关广场地下停车场等项目，推进“口袋”公园建设，改造老旧小区住宅2859户，新增停车位199个，实现天然气管网配套全覆盖，提升城市承载能力和宜居程度。</w:t>
      </w:r>
    </w:p>
    <w:p>
      <w:pPr>
        <w:adjustRightInd w:val="0"/>
        <w:snapToGrid w:val="0"/>
        <w:spacing w:line="580" w:lineRule="exact"/>
        <w:ind w:firstLine="646"/>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——加强规划实施管理。</w:t>
      </w:r>
      <w:r>
        <w:rPr>
          <w:rFonts w:hint="eastAsia" w:ascii="仿宋_GB2312" w:hAnsi="仿宋_GB2312" w:eastAsia="仿宋_GB2312" w:cs="仿宋_GB2312"/>
          <w:color w:val="000000" w:themeColor="text1"/>
          <w:sz w:val="32"/>
          <w:szCs w:val="32"/>
        </w:rPr>
        <w:t>维护规划权威性、严肃性和连续性，坚持“一本规划、一张蓝图”，持之以恒，加以落实。加大对规划实施技术指导，加强规划实施全过程监管，确保依规划进行开发建设。完善规划监督实施体系，建立巡查检查、违法违纪行为约谈、规划实施责任追究等制度，加强规划实施管理。</w:t>
      </w:r>
    </w:p>
    <w:p>
      <w:pPr>
        <w:pStyle w:val="4"/>
        <w:numPr>
          <w:ilvl w:val="0"/>
          <w:numId w:val="0"/>
        </w:numPr>
        <w:autoSpaceDE w:val="0"/>
        <w:adjustRightInd w:val="0"/>
        <w:snapToGrid w:val="0"/>
        <w:spacing w:before="156" w:after="156" w:line="610" w:lineRule="exact"/>
        <w:jc w:val="center"/>
        <w:rPr>
          <w:rFonts w:ascii="楷体_GB2312" w:hAnsi="楷体_GB2312" w:eastAsia="楷体_GB2312" w:cs="楷体_GB2312"/>
          <w:bCs/>
          <w:color w:val="000000" w:themeColor="text1"/>
          <w:sz w:val="32"/>
        </w:rPr>
      </w:pPr>
      <w:bookmarkStart w:id="269" w:name="_Toc475632285"/>
      <w:bookmarkStart w:id="270" w:name="_Toc28937"/>
      <w:bookmarkStart w:id="271" w:name="_Toc2119648603"/>
      <w:bookmarkStart w:id="272" w:name="_Toc27071"/>
      <w:bookmarkStart w:id="273" w:name="_Toc15851"/>
      <w:bookmarkStart w:id="274" w:name="_Toc17192"/>
      <w:bookmarkStart w:id="275" w:name="_Toc59009259"/>
      <w:r>
        <w:rPr>
          <w:rFonts w:hint="eastAsia" w:ascii="楷体_GB2312" w:hAnsi="楷体_GB2312" w:eastAsia="楷体_GB2312" w:cs="楷体_GB2312"/>
          <w:bCs/>
          <w:color w:val="000000" w:themeColor="text1"/>
          <w:sz w:val="32"/>
        </w:rPr>
        <w:t>第二节  理顺城乡建设管理体制</w:t>
      </w:r>
      <w:bookmarkEnd w:id="269"/>
      <w:bookmarkEnd w:id="270"/>
      <w:bookmarkEnd w:id="271"/>
      <w:bookmarkEnd w:id="272"/>
      <w:bookmarkEnd w:id="273"/>
      <w:bookmarkEnd w:id="274"/>
      <w:bookmarkEnd w:id="275"/>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——健全城乡融合发展机制。</w:t>
      </w:r>
      <w:r>
        <w:rPr>
          <w:rFonts w:hint="eastAsia" w:ascii="仿宋_GB2312" w:hAnsi="仿宋_GB2312" w:eastAsia="仿宋_GB2312" w:cs="仿宋_GB2312"/>
          <w:color w:val="000000" w:themeColor="text1"/>
          <w:sz w:val="32"/>
          <w:szCs w:val="32"/>
        </w:rPr>
        <w:t>按照“全域规划、产业支撑、设施延伸、服务覆盖、生态文明、治理创新”的城乡融合发展思路，优化城镇空间布局，健全城乡融合发展体制机制，加快以县城为重点的城镇化建设，增强县城产业聚集力、人口承载力、就业吸纳力。建设产业特而强、功能聚而合、形态新而美的宜居城镇，发挥镇村社联结节点作用，完善城市人才、工商资本、科技成果进村镇促进机制，吸引更多要素向乡村流动。加快城乡基础设施建设一体化步伐，推动公共服务向农村延伸、社会事业向农村覆盖，逐步实现城乡并轨、标准统一。</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——探索推进共同富裕路径。</w:t>
      </w:r>
      <w:r>
        <w:rPr>
          <w:rFonts w:hint="eastAsia" w:ascii="仿宋_GB2312" w:hAnsi="仿宋_GB2312" w:eastAsia="仿宋_GB2312" w:cs="仿宋_GB2312"/>
          <w:color w:val="000000" w:themeColor="text1"/>
          <w:sz w:val="32"/>
          <w:szCs w:val="32"/>
        </w:rPr>
        <w:t>选择1个乡镇、2个村开展共富乡村试点建设，探索共同富裕实践路径。开展“百企联百村”活动，引导社会资本助力共富乡村试点建设，持续缩小收入差距、城乡差距、乡镇差距。实施就业创业质量提升工程和城乡居民增收计划行动，促进各类社会群体增收致富，扩大中等收入群体规模，大力发展公益慈善事业，建立激励和保障措施，发挥三次分配在推进共同富裕中的积极作用。</w:t>
      </w:r>
    </w:p>
    <w:p>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60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——健全防灾减灾救灾体制。</w:t>
      </w:r>
      <w:r>
        <w:rPr>
          <w:rFonts w:hint="eastAsia" w:ascii="仿宋_GB2312" w:hAnsi="仿宋_GB2312" w:eastAsia="仿宋_GB2312" w:cs="仿宋_GB2312"/>
          <w:color w:val="000000" w:themeColor="text1"/>
          <w:sz w:val="32"/>
          <w:szCs w:val="32"/>
        </w:rPr>
        <w:t>着眼抵御洪涝、冰雪、干旱等自然灾害，加强消防、防洪排涝、抗旱抗震等设施及救援救助能力建设，提高城镇建筑灾害设防标准，合理规划布局和建设应急避难场所，强化公共建筑物和设施应急避难功能。完善突发公共事件应急预案和应急管理保障体系，建立巨灾保险制度，加强灾害分析和信息公开，强化行政问责制和责任追究制，发挥社会力量在应急管理中的作用。</w:t>
      </w:r>
    </w:p>
    <w:p>
      <w:pPr>
        <w:pStyle w:val="4"/>
        <w:numPr>
          <w:ilvl w:val="0"/>
          <w:numId w:val="0"/>
        </w:numPr>
        <w:autoSpaceDE w:val="0"/>
        <w:adjustRightInd w:val="0"/>
        <w:snapToGrid w:val="0"/>
        <w:spacing w:before="156" w:after="156" w:line="600" w:lineRule="exact"/>
        <w:jc w:val="center"/>
        <w:rPr>
          <w:rFonts w:ascii="楷体_GB2312" w:hAnsi="楷体_GB2312" w:eastAsia="楷体_GB2312" w:cs="楷体_GB2312"/>
          <w:bCs/>
          <w:color w:val="000000" w:themeColor="text1"/>
          <w:sz w:val="32"/>
        </w:rPr>
      </w:pPr>
      <w:bookmarkStart w:id="276" w:name="_Toc15077"/>
      <w:bookmarkStart w:id="277" w:name="_Toc25027"/>
      <w:bookmarkStart w:id="278" w:name="_Toc59009260"/>
      <w:bookmarkStart w:id="279" w:name="_Toc475632286"/>
      <w:bookmarkStart w:id="280" w:name="_Toc6338"/>
      <w:bookmarkStart w:id="281" w:name="_Toc405215684"/>
      <w:bookmarkStart w:id="282" w:name="_Toc13479"/>
      <w:bookmarkStart w:id="283" w:name="_Toc1848999648"/>
      <w:r>
        <w:rPr>
          <w:rFonts w:hint="eastAsia" w:ascii="楷体_GB2312" w:hAnsi="楷体_GB2312" w:eastAsia="楷体_GB2312" w:cs="楷体_GB2312"/>
          <w:bCs/>
          <w:color w:val="000000" w:themeColor="text1"/>
          <w:sz w:val="32"/>
        </w:rPr>
        <w:t>第三节  推进人口管理制度改革</w:t>
      </w:r>
      <w:bookmarkEnd w:id="276"/>
      <w:bookmarkEnd w:id="277"/>
      <w:bookmarkEnd w:id="278"/>
      <w:bookmarkEnd w:id="279"/>
      <w:bookmarkEnd w:id="280"/>
      <w:bookmarkEnd w:id="281"/>
      <w:bookmarkEnd w:id="282"/>
      <w:bookmarkEnd w:id="283"/>
    </w:p>
    <w:p>
      <w:pPr>
        <w:pStyle w:val="4"/>
        <w:numPr>
          <w:ilvl w:val="0"/>
          <w:numId w:val="0"/>
        </w:numPr>
        <w:autoSpaceDE w:val="0"/>
        <w:adjustRightInd w:val="0"/>
        <w:snapToGrid w:val="0"/>
        <w:spacing w:beforeLines="0" w:afterLines="0" w:line="580" w:lineRule="exact"/>
        <w:ind w:firstLine="644" w:firstLineChars="200"/>
        <w:rPr>
          <w:rFonts w:ascii="仿宋_GB2312" w:hAnsi="仿宋_GB2312" w:eastAsia="仿宋_GB2312" w:cs="仿宋_GB2312"/>
          <w:b w:val="0"/>
          <w:color w:val="000000" w:themeColor="text1"/>
          <w:sz w:val="32"/>
        </w:rPr>
      </w:pPr>
      <w:bookmarkStart w:id="284" w:name="_Toc17405"/>
      <w:r>
        <w:rPr>
          <w:rFonts w:hint="eastAsia" w:ascii="仿宋_GB2312" w:hAnsi="仿宋_GB2312" w:eastAsia="仿宋_GB2312" w:cs="仿宋_GB2312"/>
          <w:bCs/>
          <w:color w:val="000000" w:themeColor="text1"/>
          <w:sz w:val="32"/>
        </w:rPr>
        <w:t>——推动人口制度改革，保障城市居民权利。</w:t>
      </w:r>
      <w:r>
        <w:rPr>
          <w:rFonts w:hint="eastAsia" w:ascii="仿宋_GB2312" w:hAnsi="仿宋_GB2312" w:eastAsia="仿宋_GB2312" w:cs="仿宋_GB2312"/>
          <w:b w:val="0"/>
          <w:color w:val="000000" w:themeColor="text1"/>
          <w:sz w:val="32"/>
        </w:rPr>
        <w:t>加快改革户籍制度同时，创新和完善人口服务与管理制度，逐步消除城乡区域间户籍壁垒，还原户籍人口登记管理功能，促进人口有序流动、合理分布和社会融合。全面推行流动人口居住证制度，建立健全与居住年限等条件相挂钩的基本公共服务提供机制，并作为申请登记居住地常住户口的重要依据。健全人口信息管理制度、加强完善人口统计制度，进一步改进人口普查方法，健全人口变动调查制度，保障城乡居民权利。</w:t>
      </w:r>
      <w:bookmarkEnd w:id="284"/>
    </w:p>
    <w:p>
      <w:pPr>
        <w:adjustRightInd w:val="0"/>
        <w:snapToGrid w:val="0"/>
        <w:spacing w:line="580" w:lineRule="exact"/>
        <w:ind w:firstLine="644"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——实现常住人员动态管理，强化社区管理能力。</w:t>
      </w:r>
      <w:r>
        <w:rPr>
          <w:rFonts w:hint="eastAsia" w:ascii="仿宋_GB2312" w:hAnsi="仿宋_GB2312" w:eastAsia="仿宋_GB2312" w:cs="仿宋_GB2312"/>
          <w:color w:val="000000" w:themeColor="text1"/>
          <w:sz w:val="32"/>
          <w:szCs w:val="32"/>
        </w:rPr>
        <w:t>健全社区党组织领导的基层群众自治制度，加强流动人口服务管理，推进社区居民依法管理社区公共事务和公益事业，保障城市新居民各项基本权利。加快公共服务向社区延伸，整合人口、劳动就业、社保、民政、卫生计生、文化以及综治、维稳、信访等管理职能和服务资源，加快社区信息化建设，构建以社区为基本单位的动态人口管理制度。</w:t>
      </w:r>
    </w:p>
    <w:p>
      <w:pPr>
        <w:pStyle w:val="4"/>
        <w:numPr>
          <w:ilvl w:val="0"/>
          <w:numId w:val="0"/>
        </w:numPr>
        <w:autoSpaceDE w:val="0"/>
        <w:adjustRightInd w:val="0"/>
        <w:snapToGrid w:val="0"/>
        <w:spacing w:before="156" w:after="156" w:line="610" w:lineRule="exact"/>
        <w:jc w:val="center"/>
        <w:rPr>
          <w:rFonts w:ascii="楷体_GB2312" w:hAnsi="楷体_GB2312" w:eastAsia="楷体_GB2312" w:cs="楷体_GB2312"/>
          <w:bCs/>
          <w:color w:val="000000" w:themeColor="text1"/>
          <w:sz w:val="32"/>
        </w:rPr>
      </w:pPr>
      <w:bookmarkStart w:id="285" w:name="_Toc19295"/>
      <w:bookmarkStart w:id="286" w:name="_Toc475632287"/>
      <w:bookmarkStart w:id="287" w:name="_Toc405215685"/>
      <w:bookmarkStart w:id="288" w:name="_Toc27227"/>
      <w:bookmarkStart w:id="289" w:name="_Toc18261896"/>
      <w:bookmarkStart w:id="290" w:name="_Toc59009261"/>
      <w:bookmarkStart w:id="291" w:name="_Toc14293"/>
      <w:bookmarkStart w:id="292" w:name="_Toc14076"/>
      <w:r>
        <w:rPr>
          <w:rFonts w:hint="eastAsia" w:ascii="楷体_GB2312" w:hAnsi="楷体_GB2312" w:eastAsia="楷体_GB2312" w:cs="楷体_GB2312"/>
          <w:bCs/>
          <w:color w:val="000000" w:themeColor="text1"/>
          <w:sz w:val="32"/>
        </w:rPr>
        <w:t>第四节  深化土地管理制度改革</w:t>
      </w:r>
      <w:bookmarkEnd w:id="285"/>
      <w:bookmarkEnd w:id="286"/>
      <w:bookmarkEnd w:id="287"/>
      <w:bookmarkEnd w:id="288"/>
      <w:bookmarkEnd w:id="289"/>
      <w:bookmarkEnd w:id="290"/>
      <w:bookmarkEnd w:id="291"/>
      <w:bookmarkEnd w:id="292"/>
    </w:p>
    <w:p>
      <w:pPr>
        <w:adjustRightInd w:val="0"/>
        <w:snapToGrid w:val="0"/>
        <w:spacing w:line="580" w:lineRule="exact"/>
        <w:ind w:firstLine="644" w:firstLineChars="200"/>
        <w:rPr>
          <w:rFonts w:ascii="仿宋_GB2312" w:hAnsi="仿宋_GB2312" w:eastAsia="仿宋_GB2312" w:cs="仿宋_GB2312"/>
          <w:color w:val="000000" w:themeColor="text1"/>
          <w:sz w:val="32"/>
          <w:szCs w:val="32"/>
          <w:shd w:val="clear" w:color="auto" w:fill="FFFFFF"/>
        </w:rPr>
      </w:pPr>
      <w:bookmarkStart w:id="293" w:name="_Toc475632288"/>
      <w:r>
        <w:rPr>
          <w:rFonts w:hint="eastAsia" w:ascii="仿宋_GB2312" w:hAnsi="仿宋_GB2312" w:eastAsia="仿宋_GB2312" w:cs="仿宋_GB2312"/>
          <w:b/>
          <w:bCs/>
          <w:color w:val="000000" w:themeColor="text1"/>
          <w:sz w:val="32"/>
          <w:szCs w:val="32"/>
        </w:rPr>
        <w:t>——严格土地用途管制，推进土地管理制度改革。</w:t>
      </w:r>
      <w:r>
        <w:rPr>
          <w:rFonts w:hint="eastAsia" w:ascii="仿宋_GB2312" w:hAnsi="仿宋_GB2312" w:eastAsia="仿宋_GB2312" w:cs="仿宋_GB2312"/>
          <w:color w:val="000000" w:themeColor="text1"/>
          <w:sz w:val="32"/>
          <w:szCs w:val="32"/>
        </w:rPr>
        <w:t>严格控制新增城镇建设用地规模，严格执行城市用地分类与规划用地标准，坚持建设用地增存挂钩政策，加大批而未供、供而未用闲置土地处置力度，提高城镇建设使用存量土地的比例。巩固提升农村土地确权登记颁证工作成果，依法维护农民土地承包经营权，赋予农民对承包地占有、使用、收益、流转及承包经营权抵押、担保职能。</w:t>
      </w:r>
      <w:r>
        <w:rPr>
          <w:rFonts w:hint="eastAsia" w:ascii="仿宋_GB2312" w:hAnsi="仿宋_GB2312" w:eastAsia="仿宋_GB2312" w:cs="仿宋_GB2312"/>
          <w:color w:val="000000" w:themeColor="text1"/>
          <w:sz w:val="32"/>
          <w:szCs w:val="32"/>
          <w:shd w:val="clear" w:color="auto" w:fill="FFFFFF"/>
        </w:rPr>
        <w:t>积极争取并通过实施全域土地综合整治、城乡建设用地增减挂钩等方式，盘活农村存量建设用地，在符合规划和用途管制的前提下，探索农村集体经营性建设用地出让、租赁、入股，推进农村集体经营性建设用地入市工作。</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rPr>
        <w:t>——深化征地制度改革，严格落实最严格的耕地保护制度。</w:t>
      </w:r>
      <w:r>
        <w:rPr>
          <w:rFonts w:hint="eastAsia" w:ascii="仿宋_GB2312" w:hAnsi="仿宋_GB2312" w:eastAsia="仿宋_GB2312" w:cs="仿宋_GB2312"/>
          <w:color w:val="000000" w:themeColor="text1"/>
          <w:sz w:val="32"/>
          <w:szCs w:val="32"/>
          <w:shd w:val="clear" w:color="auto" w:fill="FFFFFF"/>
        </w:rPr>
        <w:t>规范征地程序，完善对被征地农民合理、规范、多元保障机制。严格按照《土地管理法》《土地管理法实施条例》等相关法律法规，规范集体土地征收程序，保障被征地农民长远发展生计。严格落实最严格的耕地保护制度，坚持土地用途管制，加强土地整理力度，统筹耕地数量、质量管控和生态管护，建立健全耕地保护激励约束机制，落实县、镇、村耕地保护目标责任考核，强化建设用地报批与耕地占补平衡挂钩，加大对土地整理、土地复垦监督管理。</w:t>
      </w:r>
    </w:p>
    <w:p>
      <w:pPr>
        <w:pStyle w:val="4"/>
        <w:numPr>
          <w:ilvl w:val="0"/>
          <w:numId w:val="0"/>
        </w:numPr>
        <w:autoSpaceDE w:val="0"/>
        <w:adjustRightInd w:val="0"/>
        <w:snapToGrid w:val="0"/>
        <w:spacing w:before="156" w:after="156" w:line="610" w:lineRule="exact"/>
        <w:jc w:val="center"/>
        <w:rPr>
          <w:rFonts w:ascii="楷体_GB2312" w:hAnsi="楷体_GB2312" w:eastAsia="楷体_GB2312" w:cs="楷体_GB2312"/>
          <w:bCs/>
          <w:color w:val="000000" w:themeColor="text1"/>
          <w:sz w:val="32"/>
        </w:rPr>
      </w:pPr>
      <w:bookmarkStart w:id="294" w:name="_Toc59009262"/>
      <w:bookmarkStart w:id="295" w:name="_Toc18755"/>
      <w:bookmarkStart w:id="296" w:name="_Toc21918"/>
      <w:bookmarkStart w:id="297" w:name="_Toc5045"/>
      <w:bookmarkStart w:id="298" w:name="_Toc10070"/>
      <w:bookmarkStart w:id="299" w:name="_Toc573313033"/>
      <w:r>
        <w:rPr>
          <w:rFonts w:hint="eastAsia" w:ascii="楷体_GB2312" w:hAnsi="楷体_GB2312" w:eastAsia="楷体_GB2312" w:cs="楷体_GB2312"/>
          <w:bCs/>
          <w:color w:val="000000" w:themeColor="text1"/>
          <w:sz w:val="32"/>
        </w:rPr>
        <w:t>第五节  完善</w:t>
      </w:r>
      <w:bookmarkEnd w:id="293"/>
      <w:bookmarkEnd w:id="294"/>
      <w:r>
        <w:rPr>
          <w:rFonts w:hint="eastAsia" w:ascii="楷体_GB2312" w:hAnsi="楷体_GB2312" w:eastAsia="楷体_GB2312" w:cs="楷体_GB2312"/>
          <w:bCs/>
          <w:color w:val="000000" w:themeColor="text1"/>
          <w:sz w:val="32"/>
        </w:rPr>
        <w:t>发展融资综合机制</w:t>
      </w:r>
      <w:bookmarkEnd w:id="295"/>
      <w:bookmarkEnd w:id="296"/>
      <w:bookmarkEnd w:id="297"/>
      <w:bookmarkEnd w:id="298"/>
      <w:bookmarkEnd w:id="299"/>
    </w:p>
    <w:p>
      <w:pPr>
        <w:adjustRightInd w:val="0"/>
        <w:snapToGrid w:val="0"/>
        <w:spacing w:line="61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rPr>
        <w:t>——创新城镇化建设融资方式。</w:t>
      </w:r>
      <w:r>
        <w:rPr>
          <w:rFonts w:hint="eastAsia" w:ascii="仿宋_GB2312" w:hAnsi="仿宋_GB2312" w:eastAsia="仿宋_GB2312" w:cs="仿宋_GB2312"/>
          <w:color w:val="000000" w:themeColor="text1"/>
          <w:sz w:val="32"/>
          <w:szCs w:val="32"/>
          <w:shd w:val="clear" w:color="auto" w:fill="FFFFFF"/>
        </w:rPr>
        <w:t>发挥投资对优化供给结构的关键作用，创新构建适合新型城镇化发展的投（融）资体制和服务模式。积极拓宽融资渠道，推动地方政府融资平台拓展直接债务融资，多措并举为保障性安居工程建设和新型城镇化建设提供资金保障。</w:t>
      </w:r>
    </w:p>
    <w:p>
      <w:pPr>
        <w:adjustRightInd w:val="0"/>
        <w:snapToGrid w:val="0"/>
        <w:spacing w:line="59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rPr>
        <w:t>——持续扩大有效投资。</w:t>
      </w:r>
      <w:r>
        <w:rPr>
          <w:rFonts w:hint="eastAsia" w:ascii="仿宋_GB2312" w:hAnsi="仿宋_GB2312" w:eastAsia="仿宋_GB2312" w:cs="仿宋_GB2312"/>
          <w:color w:val="000000" w:themeColor="text1"/>
          <w:sz w:val="32"/>
          <w:szCs w:val="32"/>
          <w:shd w:val="clear" w:color="auto" w:fill="FFFFFF"/>
        </w:rPr>
        <w:t>引导资金投向新型城镇化相关领域，扩大投资规模，优化投资结构，提高投资质量和效益。实施重大城镇项目突破行动，加强对重大科创平台、高新技术产业和园区投资，扩大战略性新兴产业投资，力促企业设备更新和技术改造力度，带动经济高质量发展。深度对接国家政策，</w:t>
      </w:r>
      <w:r>
        <w:rPr>
          <w:rFonts w:hint="eastAsia" w:ascii="仿宋_GB2312" w:eastAsia="仿宋_GB2312" w:cs="仿宋_GB2312"/>
          <w:color w:val="000000" w:themeColor="text1"/>
          <w:sz w:val="32"/>
          <w:szCs w:val="32"/>
        </w:rPr>
        <w:t>围绕</w:t>
      </w:r>
      <w:r>
        <w:rPr>
          <w:rFonts w:hint="eastAsia" w:ascii="仿宋_GB2312" w:hAnsi="仿宋_GB2312" w:eastAsia="仿宋_GB2312" w:cs="仿宋_GB2312"/>
          <w:color w:val="000000" w:themeColor="text1"/>
          <w:sz w:val="32"/>
          <w:szCs w:val="32"/>
        </w:rPr>
        <w:t>交通、能源、水利、信息、科技、物流、地下综合管廊、城市防洪排涝、污水和垃圾收集处理、农田水利设施、国家安全基础设施建设等领域，</w:t>
      </w:r>
      <w:r>
        <w:rPr>
          <w:rFonts w:hint="eastAsia" w:ascii="仿宋_GB2312" w:hAnsi="仿宋_GB2312" w:eastAsia="仿宋_GB2312" w:cs="仿宋_GB2312"/>
          <w:color w:val="000000" w:themeColor="text1"/>
          <w:sz w:val="32"/>
          <w:szCs w:val="32"/>
          <w:shd w:val="clear" w:color="auto" w:fill="FFFFFF"/>
        </w:rPr>
        <w:t>重点建设一批具有标志性、带动性的重大工程，形成谋划一批、储备一批、建设一批、投产运营一批的梯次滚动格局。</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rPr>
        <w:t>——整合城镇化项目资金。</w:t>
      </w:r>
      <w:r>
        <w:rPr>
          <w:rFonts w:hint="eastAsia" w:ascii="仿宋_GB2312" w:hAnsi="仿宋_GB2312" w:eastAsia="仿宋_GB2312" w:cs="仿宋_GB2312"/>
          <w:color w:val="000000" w:themeColor="text1"/>
          <w:sz w:val="32"/>
          <w:szCs w:val="32"/>
          <w:shd w:val="clear" w:color="auto" w:fill="FFFFFF"/>
        </w:rPr>
        <w:t>采取激励机制、以奖代补、财政贴息等多种措施，引导企业、民间等社会资金投入城镇化建设的关键领域和薄弱环节，将性质相同、用途相近的资金捆绑使用，充分发挥财政资金引导作用。继续强化财政投资评审、动态监控和绩效评价工作，实现对重大城镇基础设施项目建设全过程管理，提高资金使用绩效，确保建设资金专款专用。</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rPr>
        <w:t>——大力优化营商环境。</w:t>
      </w:r>
      <w:r>
        <w:rPr>
          <w:rFonts w:hint="eastAsia" w:ascii="仿宋_GB2312" w:hAnsi="仿宋_GB2312" w:eastAsia="仿宋_GB2312" w:cs="仿宋_GB2312"/>
          <w:color w:val="000000" w:themeColor="text1"/>
          <w:sz w:val="32"/>
          <w:szCs w:val="32"/>
          <w:shd w:val="clear" w:color="auto" w:fill="FFFFFF"/>
        </w:rPr>
        <w:t>坚持一切模式都可以探索、一切机制都可以建立的理念建设一流营商环境，推动形成居民增收、企业增利、财政增收的良好发展环境。对标国内一流标准，持续推动营商环境大提升，以诚信高效、公平竞争、开放合作、透明安全的营商环境吸引企业聚集。实施稳企行动，建立全方位服务机制。</w:t>
      </w:r>
    </w:p>
    <w:p>
      <w:pPr>
        <w:adjustRightInd w:val="0"/>
        <w:snapToGrid w:val="0"/>
        <w:spacing w:line="58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rPr>
        <w:t>——健全监管约束机制。</w:t>
      </w:r>
      <w:r>
        <w:rPr>
          <w:rFonts w:hint="eastAsia" w:ascii="仿宋_GB2312" w:hAnsi="仿宋_GB2312" w:eastAsia="仿宋_GB2312" w:cs="仿宋_GB2312"/>
          <w:color w:val="000000" w:themeColor="text1"/>
          <w:sz w:val="32"/>
          <w:szCs w:val="32"/>
          <w:shd w:val="clear" w:color="auto" w:fill="FFFFFF"/>
        </w:rPr>
        <w:t>按照谁审批谁监管、谁主管谁监管原则，明确监管责任，注重发挥投资主管部门综合监管职能、地方政府就近就便监管作用和行业管理部门专业优势，整合监管力量、共享监管信息、实现协同监管。依托投资项目在线审批监管平台，加强项目建设全过程监管，确保项目合法开工、建设过程合规有序。</w:t>
      </w:r>
      <w:bookmarkStart w:id="300" w:name="_Toc59009264"/>
      <w:bookmarkStart w:id="301" w:name="_Toc475632290"/>
      <w:bookmarkStart w:id="302" w:name="_Toc29969373"/>
    </w:p>
    <w:p>
      <w:pPr>
        <w:adjustRightInd w:val="0"/>
        <w:snapToGrid w:val="0"/>
        <w:spacing w:line="580" w:lineRule="exact"/>
        <w:ind w:firstLine="2576" w:firstLineChars="800"/>
        <w:rPr>
          <w:rFonts w:ascii="黑体" w:hAnsi="黑体" w:eastAsia="黑体" w:cs="黑体"/>
          <w:bCs/>
          <w:color w:val="000000" w:themeColor="text1"/>
          <w:sz w:val="32"/>
          <w:szCs w:val="32"/>
        </w:rPr>
      </w:pPr>
      <w:bookmarkStart w:id="303" w:name="_Toc20577"/>
      <w:bookmarkStart w:id="304" w:name="_Toc12212"/>
    </w:p>
    <w:p>
      <w:pPr>
        <w:adjustRightInd w:val="0"/>
        <w:snapToGrid w:val="0"/>
        <w:spacing w:line="580" w:lineRule="exact"/>
        <w:ind w:firstLine="2576" w:firstLineChars="800"/>
        <w:outlineLvl w:val="0"/>
        <w:rPr>
          <w:rFonts w:ascii="黑体" w:hAnsi="黑体" w:eastAsia="黑体" w:cs="黑体"/>
          <w:bCs/>
          <w:color w:val="000000" w:themeColor="text1"/>
          <w:sz w:val="32"/>
          <w:szCs w:val="32"/>
        </w:rPr>
      </w:pPr>
      <w:bookmarkStart w:id="305" w:name="_Toc1113"/>
      <w:bookmarkStart w:id="306" w:name="_Toc27531"/>
      <w:r>
        <w:rPr>
          <w:rFonts w:hint="eastAsia" w:ascii="黑体" w:hAnsi="黑体" w:eastAsia="黑体" w:cs="黑体"/>
          <w:bCs/>
          <w:color w:val="000000" w:themeColor="text1"/>
          <w:sz w:val="32"/>
          <w:szCs w:val="32"/>
        </w:rPr>
        <w:t>第十一章  保障措施</w:t>
      </w:r>
      <w:bookmarkEnd w:id="300"/>
      <w:bookmarkEnd w:id="301"/>
      <w:bookmarkEnd w:id="302"/>
      <w:bookmarkEnd w:id="303"/>
      <w:bookmarkEnd w:id="304"/>
      <w:bookmarkEnd w:id="305"/>
      <w:bookmarkEnd w:id="306"/>
      <w:bookmarkStart w:id="307" w:name="_Toc93442638"/>
      <w:bookmarkStart w:id="308" w:name="_Toc26073"/>
      <w:bookmarkStart w:id="309" w:name="_Toc58849983"/>
      <w:bookmarkStart w:id="310" w:name="_Toc59009268"/>
      <w:bookmarkStart w:id="311" w:name="_Toc475632294"/>
      <w:bookmarkStart w:id="312" w:name="_Toc178626638"/>
    </w:p>
    <w:p>
      <w:pPr>
        <w:pStyle w:val="2"/>
        <w:adjustRightInd w:val="0"/>
        <w:snapToGrid w:val="0"/>
        <w:ind w:left="2130"/>
      </w:pPr>
    </w:p>
    <w:p>
      <w:pPr>
        <w:pStyle w:val="4"/>
        <w:numPr>
          <w:ilvl w:val="0"/>
          <w:numId w:val="0"/>
        </w:numPr>
        <w:autoSpaceDE w:val="0"/>
        <w:adjustRightInd w:val="0"/>
        <w:snapToGrid w:val="0"/>
        <w:spacing w:before="156" w:after="156" w:line="580" w:lineRule="exact"/>
        <w:jc w:val="center"/>
        <w:rPr>
          <w:rFonts w:ascii="楷体_GB2312" w:hAnsi="楷体_GB2312" w:eastAsia="楷体_GB2312" w:cs="楷体_GB2312"/>
          <w:bCs/>
          <w:color w:val="000000" w:themeColor="text1"/>
          <w:sz w:val="32"/>
        </w:rPr>
      </w:pPr>
      <w:bookmarkStart w:id="313" w:name="_Toc27975"/>
      <w:bookmarkStart w:id="314" w:name="_Toc2614"/>
      <w:bookmarkStart w:id="315" w:name="_Toc30125"/>
      <w:r>
        <w:rPr>
          <w:rFonts w:hint="eastAsia" w:ascii="楷体_GB2312" w:hAnsi="楷体_GB2312" w:eastAsia="楷体_GB2312" w:cs="楷体_GB2312"/>
          <w:bCs/>
          <w:color w:val="000000" w:themeColor="text1"/>
          <w:sz w:val="32"/>
        </w:rPr>
        <w:t>第一节  加强组织协调，强化执行能力</w:t>
      </w:r>
      <w:bookmarkEnd w:id="307"/>
      <w:bookmarkEnd w:id="308"/>
      <w:bookmarkEnd w:id="309"/>
      <w:bookmarkEnd w:id="313"/>
      <w:bookmarkEnd w:id="314"/>
      <w:bookmarkEnd w:id="315"/>
    </w:p>
    <w:p>
      <w:pPr>
        <w:adjustRightInd w:val="0"/>
        <w:snapToGrid w:val="0"/>
        <w:spacing w:line="61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建</w:t>
      </w:r>
      <w:r>
        <w:rPr>
          <w:rFonts w:hint="eastAsia" w:ascii="仿宋_GB2312" w:hAnsi="仿宋_GB2312" w:eastAsia="仿宋_GB2312" w:cs="仿宋_GB2312"/>
          <w:color w:val="000000" w:themeColor="text1"/>
          <w:sz w:val="32"/>
          <w:szCs w:val="32"/>
        </w:rPr>
        <w:t>立健全新型城镇化工作协调机制，统筹研究和制定相关政策，切实解决城镇化发展中的重大问题。加强规划实施考核问责制度，坚决防止随意修改、违规变更规划现象。各镇、相关部门要全面贯彻落实本规划，研究制定</w:t>
      </w:r>
      <w:r>
        <w:rPr>
          <w:rFonts w:hint="eastAsia" w:ascii="仿宋_GB2312" w:hAnsi="仿宋_GB2312" w:eastAsia="仿宋_GB2312" w:cs="仿宋_GB2312"/>
          <w:color w:val="000000" w:themeColor="text1"/>
          <w:sz w:val="32"/>
          <w:szCs w:val="32"/>
          <w:shd w:val="clear" w:color="auto" w:fill="FFFFFF"/>
        </w:rPr>
        <w:t>符合本地实际的城镇化规划和具体政策措施，明确任务重点，细化工作措施，确保各项目标如期实现。</w:t>
      </w:r>
      <w:r>
        <w:rPr>
          <w:rFonts w:hint="eastAsia" w:ascii="仿宋_GB2312" w:hAnsi="仿宋_GB2312" w:eastAsia="仿宋_GB2312" w:cs="仿宋_GB2312"/>
          <w:color w:val="000000" w:themeColor="text1"/>
          <w:sz w:val="32"/>
          <w:szCs w:val="32"/>
        </w:rPr>
        <w:t>强化对新型城镇化业务知识培训，提高驾驭新型城镇化工作的能力和水平，用科学态度、先进理念、专业知识去规划、建设和管理城市，推动新型城镇化高质量发展。</w:t>
      </w:r>
    </w:p>
    <w:bookmarkEnd w:id="310"/>
    <w:bookmarkEnd w:id="311"/>
    <w:bookmarkEnd w:id="312"/>
    <w:p>
      <w:pPr>
        <w:pStyle w:val="4"/>
        <w:numPr>
          <w:ilvl w:val="0"/>
          <w:numId w:val="0"/>
        </w:numPr>
        <w:autoSpaceDE w:val="0"/>
        <w:adjustRightInd w:val="0"/>
        <w:snapToGrid w:val="0"/>
        <w:spacing w:before="156" w:after="156" w:line="600" w:lineRule="exact"/>
        <w:jc w:val="center"/>
        <w:rPr>
          <w:rFonts w:ascii="楷体_GB2312" w:hAnsi="楷体_GB2312" w:eastAsia="楷体_GB2312" w:cs="楷体_GB2312"/>
          <w:bCs/>
          <w:color w:val="000000" w:themeColor="text1"/>
          <w:sz w:val="32"/>
        </w:rPr>
      </w:pPr>
      <w:bookmarkStart w:id="316" w:name="_Toc93442639"/>
      <w:bookmarkStart w:id="317" w:name="_Toc11024"/>
      <w:bookmarkStart w:id="318" w:name="_Toc13004"/>
      <w:bookmarkStart w:id="319" w:name="_Toc24996"/>
      <w:bookmarkStart w:id="320" w:name="_Toc23911"/>
      <w:r>
        <w:rPr>
          <w:rFonts w:hint="eastAsia" w:ascii="楷体_GB2312" w:hAnsi="楷体_GB2312" w:eastAsia="楷体_GB2312" w:cs="楷体_GB2312"/>
          <w:bCs/>
          <w:color w:val="000000" w:themeColor="text1"/>
          <w:sz w:val="32"/>
        </w:rPr>
        <w:t>第二节  重视人才培养，完善资金保障</w:t>
      </w:r>
      <w:bookmarkEnd w:id="316"/>
      <w:bookmarkEnd w:id="317"/>
      <w:bookmarkEnd w:id="318"/>
      <w:bookmarkEnd w:id="319"/>
      <w:bookmarkEnd w:id="320"/>
    </w:p>
    <w:p>
      <w:pPr>
        <w:adjustRightInd w:val="0"/>
        <w:snapToGrid w:val="0"/>
        <w:spacing w:line="58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实施重点产业组团引才、高端人才柔性引进、临泽籍优秀人才回流“三大计划”，加强人才队伍建设，着重培养一批专家型城市管理干部，提高城镇化管理水平；加强财政资源统筹，积极争取中央预算内资金、地方政府专项债券、城镇化基金、银行融资、政府和社会资本合作等多种方式筹措资金，增强对科技创新、产业发展、基础设施、乡村振兴、生态环保、民生改善等重点领域、重大项目的财力保障。健全完善金融风险预防、预警、处置工作机制，切实维护金融安全，守住不发生系统性风险底线。</w:t>
      </w:r>
    </w:p>
    <w:p>
      <w:pPr>
        <w:pStyle w:val="4"/>
        <w:numPr>
          <w:ilvl w:val="0"/>
          <w:numId w:val="0"/>
        </w:numPr>
        <w:autoSpaceDE w:val="0"/>
        <w:adjustRightInd w:val="0"/>
        <w:snapToGrid w:val="0"/>
        <w:spacing w:beforeLines="0" w:afterLines="0" w:line="590" w:lineRule="exact"/>
        <w:jc w:val="center"/>
        <w:rPr>
          <w:rFonts w:ascii="楷体_GB2312" w:hAnsi="楷体_GB2312" w:eastAsia="楷体_GB2312" w:cs="楷体_GB2312"/>
          <w:bCs/>
          <w:color w:val="000000" w:themeColor="text1"/>
          <w:sz w:val="32"/>
        </w:rPr>
      </w:pPr>
      <w:bookmarkStart w:id="321" w:name="_Toc93442640"/>
      <w:bookmarkStart w:id="322" w:name="_Toc23605"/>
      <w:bookmarkStart w:id="323" w:name="_Toc3756"/>
      <w:bookmarkStart w:id="324" w:name="_Toc25994"/>
      <w:bookmarkStart w:id="325" w:name="_Toc14178"/>
      <w:bookmarkStart w:id="326" w:name="_Toc2044867045"/>
      <w:bookmarkStart w:id="327" w:name="_Toc59009266"/>
      <w:bookmarkStart w:id="328" w:name="_Toc475632292"/>
      <w:r>
        <w:rPr>
          <w:rFonts w:hint="eastAsia" w:ascii="楷体_GB2312" w:hAnsi="楷体_GB2312" w:eastAsia="楷体_GB2312" w:cs="楷体_GB2312"/>
          <w:bCs/>
          <w:color w:val="000000" w:themeColor="text1"/>
          <w:sz w:val="32"/>
        </w:rPr>
        <w:t>第三节  严格规划管控，分类试点引导</w:t>
      </w:r>
      <w:bookmarkEnd w:id="321"/>
      <w:bookmarkEnd w:id="322"/>
      <w:bookmarkEnd w:id="323"/>
      <w:bookmarkEnd w:id="324"/>
      <w:bookmarkEnd w:id="325"/>
    </w:p>
    <w:p>
      <w:pPr>
        <w:adjustRightInd w:val="0"/>
        <w:snapToGrid w:val="0"/>
        <w:spacing w:line="59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加强同全县国民经济和社会发展规划、国土空间规划的衔接，保持城镇化建设管控边界的一致性。加强规划实施全过程监管，确保依规划开发建设。谋划实施一批支撑新型城镇化建设的重大项目，努力将规划任务落到实处。坚持政府主导和市场化运作，系统推进城镇化试点引导，探索特色新型城镇化有效途径。选择不同区域、不同规模、不同功能定位且具有一定代表性的镇村及城镇领域，积极开展示范试点，加快推进示范城镇建设，积极为西部现代化城市建设探索可行路径。</w:t>
      </w:r>
    </w:p>
    <w:bookmarkEnd w:id="326"/>
    <w:bookmarkEnd w:id="327"/>
    <w:bookmarkEnd w:id="328"/>
    <w:p>
      <w:pPr>
        <w:pStyle w:val="4"/>
        <w:numPr>
          <w:ilvl w:val="0"/>
          <w:numId w:val="0"/>
        </w:numPr>
        <w:autoSpaceDE w:val="0"/>
        <w:adjustRightInd w:val="0"/>
        <w:snapToGrid w:val="0"/>
        <w:spacing w:beforeLines="0" w:afterLines="0" w:line="590" w:lineRule="exact"/>
        <w:jc w:val="center"/>
        <w:rPr>
          <w:rFonts w:ascii="楷体_GB2312" w:hAnsi="楷体_GB2312" w:eastAsia="楷体_GB2312" w:cs="楷体_GB2312"/>
          <w:bCs/>
          <w:color w:val="000000" w:themeColor="text1"/>
          <w:sz w:val="32"/>
        </w:rPr>
      </w:pPr>
      <w:bookmarkStart w:id="329" w:name="_Toc16429"/>
      <w:bookmarkStart w:id="330" w:name="_Toc21883"/>
      <w:bookmarkStart w:id="331" w:name="_Toc27140"/>
      <w:bookmarkStart w:id="332" w:name="_Toc59009269"/>
      <w:bookmarkStart w:id="333" w:name="_Toc475632295"/>
      <w:bookmarkStart w:id="334" w:name="_Toc93442641"/>
      <w:bookmarkStart w:id="335" w:name="_Toc31911"/>
      <w:r>
        <w:rPr>
          <w:rFonts w:hint="eastAsia" w:ascii="楷体_GB2312" w:hAnsi="楷体_GB2312" w:eastAsia="楷体_GB2312" w:cs="楷体_GB2312"/>
          <w:bCs/>
          <w:color w:val="000000" w:themeColor="text1"/>
          <w:sz w:val="32"/>
        </w:rPr>
        <w:t>第四节  强化项目支撑，厚植发展动能</w:t>
      </w:r>
      <w:bookmarkEnd w:id="329"/>
      <w:bookmarkEnd w:id="330"/>
      <w:bookmarkEnd w:id="331"/>
    </w:p>
    <w:p>
      <w:pPr>
        <w:adjustRightInd w:val="0"/>
        <w:snapToGrid w:val="0"/>
        <w:spacing w:line="59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认真落实指挥长负责制和“五个一”工作机制，按照“竣工一批、开工一批、储备一批、谋划一批”的工作思路，围绕项目招引、开工、建设、投产、达效“全周期”，对照“时间表”、盯住“施工图”、当好“店小二”，以项目建设带动经济转型、积蓄发展后劲。建立健全抓项目奖励机制，增强各级各部门跑项目、争资金、促投资的积极性和主动性，形成领导牵头挂帅、</w:t>
      </w:r>
      <w:r>
        <w:rPr>
          <w:rFonts w:hint="eastAsia" w:ascii="仿宋_GB2312" w:hAnsi="仿宋_GB2312" w:eastAsia="仿宋_GB2312" w:cs="仿宋_GB2312"/>
          <w:color w:val="000000" w:themeColor="text1"/>
          <w:spacing w:val="-4"/>
          <w:sz w:val="32"/>
          <w:szCs w:val="32"/>
          <w:shd w:val="clear" w:color="auto" w:fill="FFFFFF"/>
        </w:rPr>
        <w:t>部门协同配合、干部全员参与的良好氛围。深化“放管服”改革，坚持把优化营商环境作为赶超跨越的“先导工程”，为项目建设提供“保姆式”“代办制”服务，持之以恒打造营商环境新高地。</w:t>
      </w:r>
    </w:p>
    <w:p>
      <w:pPr>
        <w:pStyle w:val="4"/>
        <w:numPr>
          <w:ilvl w:val="0"/>
          <w:numId w:val="0"/>
        </w:numPr>
        <w:autoSpaceDE w:val="0"/>
        <w:adjustRightInd w:val="0"/>
        <w:snapToGrid w:val="0"/>
        <w:spacing w:before="156" w:after="156" w:line="590" w:lineRule="exact"/>
        <w:jc w:val="center"/>
        <w:rPr>
          <w:rFonts w:ascii="楷体_GB2312" w:hAnsi="楷体_GB2312" w:eastAsia="楷体_GB2312" w:cs="楷体_GB2312"/>
          <w:bCs/>
          <w:color w:val="000000" w:themeColor="text1"/>
          <w:sz w:val="32"/>
        </w:rPr>
      </w:pPr>
      <w:bookmarkStart w:id="336" w:name="_Toc17138"/>
      <w:bookmarkStart w:id="337" w:name="_Toc15611"/>
      <w:bookmarkStart w:id="338" w:name="_Toc9794"/>
      <w:r>
        <w:rPr>
          <w:rFonts w:hint="eastAsia" w:ascii="楷体_GB2312" w:hAnsi="楷体_GB2312" w:eastAsia="楷体_GB2312" w:cs="楷体_GB2312"/>
          <w:bCs/>
          <w:color w:val="000000" w:themeColor="text1"/>
          <w:sz w:val="32"/>
        </w:rPr>
        <w:t>第五节  严格目标考核</w:t>
      </w:r>
      <w:bookmarkEnd w:id="332"/>
      <w:bookmarkEnd w:id="333"/>
      <w:r>
        <w:rPr>
          <w:rFonts w:hint="eastAsia" w:ascii="楷体_GB2312" w:hAnsi="楷体_GB2312" w:eastAsia="楷体_GB2312" w:cs="楷体_GB2312"/>
          <w:bCs/>
          <w:color w:val="000000" w:themeColor="text1"/>
          <w:sz w:val="32"/>
        </w:rPr>
        <w:t>，凝聚工作合力</w:t>
      </w:r>
      <w:bookmarkEnd w:id="334"/>
      <w:bookmarkEnd w:id="335"/>
      <w:bookmarkEnd w:id="336"/>
      <w:bookmarkEnd w:id="337"/>
      <w:bookmarkEnd w:id="338"/>
    </w:p>
    <w:p>
      <w:pPr>
        <w:adjustRightInd w:val="0"/>
        <w:snapToGrid w:val="0"/>
        <w:spacing w:line="590" w:lineRule="exact"/>
        <w:ind w:firstLine="644"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建立新型城镇化工作考核指标体系，把推进新型城镇化目标纳入考核领导班子实绩的重要内容，强化责任、严格考核。加强对新型城镇化推进的监测和跟踪分析，动态监测和综合评估各镇城镇化发展水平和质量，健全监督检查制度，激发全县参与规划实施的积极性，凝聚各部门工作合力，充分发挥民主党派、工商联和无党派人士作用，广泛听取社会各界意见和建议，营造全社会共同推动新型城镇化建设的良好氛围，助推本规划顺利落实。</w:t>
      </w:r>
    </w:p>
    <w:p>
      <w:pPr>
        <w:pStyle w:val="6"/>
        <w:adjustRightInd w:val="0"/>
        <w:snapToGrid w:val="0"/>
        <w:spacing w:line="580" w:lineRule="exact"/>
        <w:ind w:left="0" w:leftChars="0" w:firstLine="644" w:firstLineChars="200"/>
        <w:rPr>
          <w:rFonts w:ascii="仿宋_GB2312" w:hAnsi="仿宋_GB2312" w:eastAsia="仿宋_GB2312" w:cs="仿宋_GB2312"/>
          <w:color w:val="000000" w:themeColor="text1"/>
          <w:kern w:val="2"/>
          <w:sz w:val="32"/>
          <w:szCs w:val="32"/>
          <w:shd w:val="clear" w:color="auto" w:fill="FFFFFF"/>
        </w:rPr>
      </w:pPr>
    </w:p>
    <w:p>
      <w:pPr>
        <w:pStyle w:val="6"/>
        <w:adjustRightInd w:val="0"/>
        <w:snapToGrid w:val="0"/>
        <w:spacing w:line="580" w:lineRule="exact"/>
        <w:ind w:left="0" w:leftChars="0" w:firstLine="644" w:firstLineChars="200"/>
        <w:rPr>
          <w:rFonts w:ascii="仿宋_GB2312" w:hAnsi="仿宋_GB2312" w:eastAsia="仿宋_GB2312" w:cs="仿宋_GB2312"/>
          <w:color w:val="000000" w:themeColor="text1"/>
          <w:kern w:val="2"/>
          <w:sz w:val="32"/>
          <w:szCs w:val="32"/>
          <w:shd w:val="clear" w:color="auto" w:fill="FFFFFF"/>
        </w:rPr>
      </w:pPr>
      <w:r>
        <w:rPr>
          <w:rFonts w:hint="eastAsia" w:ascii="仿宋_GB2312" w:hAnsi="仿宋_GB2312" w:eastAsia="仿宋_GB2312" w:cs="仿宋_GB2312"/>
          <w:color w:val="000000" w:themeColor="text1"/>
          <w:kern w:val="2"/>
          <w:sz w:val="32"/>
          <w:szCs w:val="32"/>
          <w:shd w:val="clear" w:color="auto" w:fill="FFFFFF"/>
        </w:rPr>
        <w:t>附件：</w:t>
      </w:r>
      <w:r>
        <w:rPr>
          <w:rFonts w:hint="eastAsia" w:ascii="仿宋_GB2312" w:hAnsi="仿宋_GB2312" w:eastAsia="仿宋_GB2312" w:cs="仿宋_GB2312"/>
          <w:bCs/>
          <w:color w:val="000000" w:themeColor="text1"/>
          <w:kern w:val="2"/>
          <w:sz w:val="32"/>
          <w:szCs w:val="32"/>
          <w:shd w:val="clear" w:color="auto" w:fill="FFFFFF"/>
        </w:rPr>
        <w:t>临泽县“十四五”新型城镇化发展规划项目表</w:t>
      </w:r>
    </w:p>
    <w:p>
      <w:pPr>
        <w:pStyle w:val="2"/>
        <w:adjustRightInd w:val="0"/>
        <w:snapToGrid w:val="0"/>
        <w:ind w:left="2130"/>
        <w:rPr>
          <w:rFonts w:hint="eastAsia"/>
        </w:rPr>
      </w:pPr>
    </w:p>
    <w:p>
      <w:pPr>
        <w:rPr>
          <w:rFonts w:hint="eastAsia"/>
        </w:rPr>
      </w:pPr>
    </w:p>
    <w:p>
      <w:pPr>
        <w:pStyle w:val="2"/>
        <w:ind w:left="2130"/>
        <w:rPr>
          <w:rFonts w:hint="eastAsia"/>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hint="eastAsia" w:ascii="仿宋_GB2312" w:eastAsia="仿宋_GB2312"/>
          <w:sz w:val="28"/>
          <w:szCs w:val="28"/>
        </w:rPr>
      </w:pPr>
    </w:p>
    <w:p>
      <w:pPr>
        <w:pStyle w:val="2"/>
        <w:ind w:left="2130"/>
        <w:rPr>
          <w:rFonts w:hint="eastAsia"/>
        </w:rPr>
      </w:pPr>
    </w:p>
    <w:p>
      <w:pPr>
        <w:rPr>
          <w:rFonts w:hint="eastAsia"/>
        </w:rPr>
      </w:pPr>
    </w:p>
    <w:p>
      <w:pPr>
        <w:pStyle w:val="2"/>
        <w:ind w:left="2130"/>
      </w:pPr>
    </w:p>
    <w:p>
      <w:pPr>
        <w:rPr>
          <w:rFonts w:ascii="仿宋_GB2312" w:eastAsia="仿宋_GB2312"/>
          <w:sz w:val="28"/>
          <w:szCs w:val="28"/>
        </w:rPr>
      </w:pPr>
    </w:p>
    <w:p>
      <w:pPr>
        <w:ind w:firstLine="141" w:firstLineChars="50"/>
        <w:rPr>
          <w:rFonts w:ascii="仿宋_GB2312" w:eastAsia="仿宋_GB2312"/>
          <w:sz w:val="28"/>
          <w:szCs w:val="28"/>
        </w:rPr>
      </w:pPr>
      <w:r>
        <w:rPr>
          <w:rFonts w:hint="eastAsia" w:ascii="仿宋_GB2312" w:eastAsia="仿宋_GB2312"/>
          <w:sz w:val="28"/>
          <w:szCs w:val="28"/>
        </w:rPr>
        <w:t>抄送：县委办公室，县人大常委会办公室，县政协办公室。</w:t>
      </w:r>
    </w:p>
    <w:p>
      <w:pPr>
        <w:pStyle w:val="2"/>
        <w:ind w:left="0" w:leftChars="0" w:firstLine="141" w:firstLineChars="50"/>
        <w:rPr>
          <w:rFonts w:hint="eastAsia"/>
        </w:rPr>
      </w:pPr>
      <w:r>
        <w:rPr>
          <w:rFonts w:hint="eastAsia" w:ascii="仿宋_GB2312" w:eastAsia="仿宋_GB2312"/>
          <w:sz w:val="28"/>
          <w:szCs w:val="28"/>
        </w:rPr>
        <w:t>公开属性：主动公开</w:t>
      </w:r>
    </w:p>
    <w:p>
      <w:pPr>
        <w:pStyle w:val="2"/>
        <w:ind w:left="2130"/>
        <w:sectPr>
          <w:footerReference r:id="rId7" w:type="first"/>
          <w:footerReference r:id="rId5" w:type="default"/>
          <w:footerReference r:id="rId6" w:type="even"/>
          <w:pgSz w:w="11906" w:h="16838"/>
          <w:pgMar w:top="1701" w:right="1588" w:bottom="1701" w:left="1588" w:header="851" w:footer="992" w:gutter="0"/>
          <w:cols w:space="0" w:num="1"/>
          <w:titlePg/>
          <w:docGrid w:type="linesAndChars" w:linePitch="312" w:charSpace="609"/>
        </w:sectPr>
      </w:pPr>
    </w:p>
    <w:p>
      <w:pPr>
        <w:pStyle w:val="2"/>
        <w:adjustRightInd w:val="0"/>
        <w:snapToGrid w:val="0"/>
        <w:spacing w:line="400" w:lineRule="exact"/>
        <w:ind w:left="0" w:leftChars="0"/>
        <w:rPr>
          <w:rFonts w:ascii="黑体" w:hAnsi="黑体" w:eastAsia="黑体"/>
          <w:sz w:val="32"/>
          <w:szCs w:val="32"/>
        </w:rPr>
      </w:pPr>
      <w:r>
        <w:rPr>
          <w:rFonts w:hint="eastAsia" w:ascii="黑体" w:hAnsi="黑体" w:eastAsia="黑体"/>
          <w:sz w:val="32"/>
          <w:szCs w:val="32"/>
        </w:rPr>
        <w:t>附件</w:t>
      </w:r>
    </w:p>
    <w:tbl>
      <w:tblPr>
        <w:tblStyle w:val="14"/>
        <w:tblW w:w="13851" w:type="dxa"/>
        <w:tblInd w:w="78" w:type="dxa"/>
        <w:tblLayout w:type="autofit"/>
        <w:tblCellMar>
          <w:top w:w="0" w:type="dxa"/>
          <w:left w:w="57" w:type="dxa"/>
          <w:bottom w:w="0" w:type="dxa"/>
          <w:right w:w="57" w:type="dxa"/>
        </w:tblCellMar>
      </w:tblPr>
      <w:tblGrid>
        <w:gridCol w:w="744"/>
        <w:gridCol w:w="2070"/>
        <w:gridCol w:w="1104"/>
        <w:gridCol w:w="1164"/>
        <w:gridCol w:w="1259"/>
        <w:gridCol w:w="703"/>
        <w:gridCol w:w="1218"/>
        <w:gridCol w:w="1043"/>
        <w:gridCol w:w="1365"/>
        <w:gridCol w:w="813"/>
        <w:gridCol w:w="1367"/>
        <w:gridCol w:w="1001"/>
      </w:tblGrid>
      <w:tr>
        <w:tblPrEx>
          <w:tblCellMar>
            <w:top w:w="0" w:type="dxa"/>
            <w:left w:w="57" w:type="dxa"/>
            <w:bottom w:w="0" w:type="dxa"/>
            <w:right w:w="57" w:type="dxa"/>
          </w:tblCellMar>
        </w:tblPrEx>
        <w:trPr>
          <w:trHeight w:val="734" w:hRule="atLeast"/>
        </w:trPr>
        <w:tc>
          <w:tcPr>
            <w:tcW w:w="13851" w:type="dxa"/>
            <w:gridSpan w:val="12"/>
            <w:tcBorders>
              <w:top w:val="nil"/>
              <w:left w:val="nil"/>
              <w:bottom w:val="nil"/>
              <w:right w:val="nil"/>
            </w:tcBorders>
            <w:shd w:val="clear" w:color="auto" w:fill="auto"/>
            <w:noWrap/>
            <w:vAlign w:val="center"/>
          </w:tcPr>
          <w:p>
            <w:pPr>
              <w:widowControl/>
              <w:adjustRightInd w:val="0"/>
              <w:snapToGrid w:val="0"/>
              <w:jc w:val="center"/>
              <w:rPr>
                <w:rFonts w:ascii="方正小标宋简体" w:hAnsi="黑体" w:eastAsia="方正小标宋简体" w:cs="宋体"/>
                <w:bCs/>
                <w:color w:val="000000"/>
                <w:kern w:val="0"/>
                <w:sz w:val="44"/>
                <w:szCs w:val="44"/>
              </w:rPr>
            </w:pPr>
            <w:r>
              <w:rPr>
                <w:rFonts w:hint="eastAsia" w:ascii="方正小标宋简体" w:hAnsi="黑体" w:eastAsia="方正小标宋简体" w:cs="宋体"/>
                <w:bCs/>
                <w:color w:val="000000"/>
                <w:kern w:val="0"/>
                <w:sz w:val="44"/>
                <w:szCs w:val="44"/>
              </w:rPr>
              <w:t>临泽县“十四五”新型城镇化发展规划项目表</w:t>
            </w:r>
          </w:p>
        </w:tc>
      </w:tr>
      <w:tr>
        <w:trPr>
          <w:trHeight w:val="444" w:hRule="atLeast"/>
        </w:trPr>
        <w:tc>
          <w:tcPr>
            <w:tcW w:w="744" w:type="dxa"/>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小标宋简体" w:hAnsi="宋体" w:eastAsia="方正小标宋简体" w:cs="宋体"/>
                <w:color w:val="000000"/>
                <w:kern w:val="0"/>
                <w:sz w:val="48"/>
                <w:szCs w:val="48"/>
              </w:rPr>
            </w:pPr>
          </w:p>
        </w:tc>
        <w:tc>
          <w:tcPr>
            <w:tcW w:w="2070" w:type="dxa"/>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小标宋简体" w:hAnsi="宋体" w:eastAsia="方正小标宋简体" w:cs="宋体"/>
                <w:color w:val="000000"/>
                <w:kern w:val="0"/>
                <w:sz w:val="24"/>
              </w:rPr>
            </w:pPr>
          </w:p>
        </w:tc>
        <w:tc>
          <w:tcPr>
            <w:tcW w:w="1104" w:type="dxa"/>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小标宋简体" w:hAnsi="宋体" w:eastAsia="方正小标宋简体" w:cs="宋体"/>
                <w:color w:val="000000"/>
                <w:kern w:val="0"/>
                <w:sz w:val="48"/>
                <w:szCs w:val="48"/>
              </w:rPr>
            </w:pPr>
          </w:p>
        </w:tc>
        <w:tc>
          <w:tcPr>
            <w:tcW w:w="1164" w:type="dxa"/>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小标宋简体" w:hAnsi="宋体" w:eastAsia="方正小标宋简体" w:cs="宋体"/>
                <w:color w:val="000000"/>
                <w:kern w:val="0"/>
                <w:sz w:val="48"/>
                <w:szCs w:val="48"/>
              </w:rPr>
            </w:pPr>
          </w:p>
        </w:tc>
        <w:tc>
          <w:tcPr>
            <w:tcW w:w="1259" w:type="dxa"/>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小标宋简体" w:hAnsi="宋体" w:eastAsia="方正小标宋简体" w:cs="宋体"/>
                <w:color w:val="000000"/>
                <w:kern w:val="0"/>
                <w:sz w:val="48"/>
                <w:szCs w:val="48"/>
              </w:rPr>
            </w:pPr>
          </w:p>
        </w:tc>
        <w:tc>
          <w:tcPr>
            <w:tcW w:w="703" w:type="dxa"/>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小标宋简体" w:hAnsi="宋体" w:eastAsia="方正小标宋简体" w:cs="宋体"/>
                <w:color w:val="000000"/>
                <w:kern w:val="0"/>
                <w:sz w:val="48"/>
                <w:szCs w:val="48"/>
              </w:rPr>
            </w:pPr>
          </w:p>
        </w:tc>
        <w:tc>
          <w:tcPr>
            <w:tcW w:w="1218" w:type="dxa"/>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小标宋简体" w:hAnsi="宋体" w:eastAsia="方正小标宋简体" w:cs="宋体"/>
                <w:color w:val="000000"/>
                <w:kern w:val="0"/>
                <w:sz w:val="48"/>
                <w:szCs w:val="48"/>
              </w:rPr>
            </w:pPr>
          </w:p>
        </w:tc>
        <w:tc>
          <w:tcPr>
            <w:tcW w:w="1043" w:type="dxa"/>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小标宋简体" w:hAnsi="宋体" w:eastAsia="方正小标宋简体" w:cs="宋体"/>
                <w:color w:val="000000"/>
                <w:kern w:val="0"/>
                <w:sz w:val="48"/>
                <w:szCs w:val="48"/>
              </w:rPr>
            </w:pPr>
          </w:p>
        </w:tc>
        <w:tc>
          <w:tcPr>
            <w:tcW w:w="1365" w:type="dxa"/>
            <w:tcBorders>
              <w:top w:val="nil"/>
              <w:left w:val="nil"/>
              <w:bottom w:val="nil"/>
              <w:right w:val="nil"/>
            </w:tcBorders>
            <w:shd w:val="clear" w:color="auto" w:fill="auto"/>
            <w:noWrap/>
            <w:vAlign w:val="center"/>
          </w:tcPr>
          <w:p>
            <w:pPr>
              <w:widowControl/>
              <w:adjustRightInd w:val="0"/>
              <w:snapToGrid w:val="0"/>
              <w:spacing w:line="400" w:lineRule="exact"/>
              <w:jc w:val="center"/>
              <w:rPr>
                <w:rFonts w:ascii="方正小标宋简体" w:hAnsi="宋体" w:eastAsia="方正小标宋简体" w:cs="宋体"/>
                <w:color w:val="000000"/>
                <w:kern w:val="0"/>
                <w:sz w:val="48"/>
                <w:szCs w:val="48"/>
              </w:rPr>
            </w:pPr>
          </w:p>
        </w:tc>
        <w:tc>
          <w:tcPr>
            <w:tcW w:w="3181" w:type="dxa"/>
            <w:gridSpan w:val="3"/>
            <w:tcBorders>
              <w:top w:val="nil"/>
              <w:left w:val="nil"/>
              <w:bottom w:val="nil"/>
              <w:right w:val="nil"/>
            </w:tcBorders>
            <w:shd w:val="clear" w:color="auto" w:fill="auto"/>
            <w:noWrap/>
            <w:vAlign w:val="center"/>
          </w:tcPr>
          <w:p>
            <w:pPr>
              <w:widowControl/>
              <w:adjustRightInd w:val="0"/>
              <w:snapToGrid w:val="0"/>
              <w:spacing w:line="400" w:lineRule="exact"/>
              <w:jc w:val="center"/>
              <w:rPr>
                <w:rFonts w:ascii="宋体" w:hAnsi="宋体" w:cs="宋体"/>
                <w:color w:val="000000"/>
                <w:kern w:val="0"/>
                <w:sz w:val="28"/>
                <w:szCs w:val="28"/>
              </w:rPr>
            </w:pPr>
          </w:p>
        </w:tc>
      </w:tr>
      <w:tr>
        <w:tblPrEx>
          <w:tblCellMar>
            <w:top w:w="0" w:type="dxa"/>
            <w:left w:w="57" w:type="dxa"/>
            <w:bottom w:w="0" w:type="dxa"/>
            <w:right w:w="57" w:type="dxa"/>
          </w:tblCellMar>
        </w:tblPrEx>
        <w:trPr>
          <w:trHeight w:val="50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序号</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名称</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项目</w:t>
            </w:r>
            <w:r>
              <w:rPr>
                <w:rFonts w:hint="eastAsia" w:ascii="黑体" w:hAnsi="黑体" w:eastAsia="黑体" w:cs="宋体"/>
                <w:b/>
                <w:bCs/>
                <w:color w:val="000000"/>
                <w:kern w:val="0"/>
                <w:sz w:val="22"/>
                <w:szCs w:val="22"/>
              </w:rPr>
              <w:br w:type="textWrapping"/>
            </w:r>
            <w:r>
              <w:rPr>
                <w:rFonts w:hint="eastAsia" w:ascii="黑体" w:hAnsi="黑体" w:eastAsia="黑体" w:cs="宋体"/>
                <w:b/>
                <w:bCs/>
                <w:color w:val="000000"/>
                <w:kern w:val="0"/>
                <w:sz w:val="22"/>
                <w:szCs w:val="22"/>
              </w:rPr>
              <w:t>个数</w:t>
            </w:r>
            <w:r>
              <w:rPr>
                <w:rFonts w:hint="eastAsia" w:ascii="黑体" w:hAnsi="黑体" w:eastAsia="黑体" w:cs="宋体"/>
                <w:b/>
                <w:bCs/>
                <w:color w:val="000000"/>
                <w:kern w:val="0"/>
                <w:sz w:val="22"/>
                <w:szCs w:val="22"/>
              </w:rPr>
              <w:br w:type="textWrapping"/>
            </w:r>
            <w:r>
              <w:rPr>
                <w:rFonts w:hint="eastAsia" w:ascii="黑体" w:hAnsi="黑体" w:eastAsia="黑体" w:cs="宋体"/>
                <w:b/>
                <w:bCs/>
                <w:color w:val="000000"/>
                <w:kern w:val="0"/>
                <w:sz w:val="22"/>
                <w:szCs w:val="22"/>
              </w:rPr>
              <w:t>（项）</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总投资</w:t>
            </w:r>
            <w:r>
              <w:rPr>
                <w:rFonts w:hint="eastAsia" w:ascii="黑体" w:hAnsi="黑体" w:eastAsia="黑体" w:cs="宋体"/>
                <w:b/>
                <w:bCs/>
                <w:color w:val="000000"/>
                <w:kern w:val="0"/>
                <w:sz w:val="22"/>
                <w:szCs w:val="22"/>
              </w:rPr>
              <w:br w:type="textWrapping"/>
            </w:r>
            <w:r>
              <w:rPr>
                <w:rFonts w:hint="eastAsia" w:ascii="黑体" w:hAnsi="黑体" w:eastAsia="黑体" w:cs="宋体"/>
                <w:b/>
                <w:bCs/>
                <w:color w:val="000000"/>
                <w:kern w:val="0"/>
                <w:sz w:val="22"/>
                <w:szCs w:val="22"/>
              </w:rPr>
              <w:t>（万元）</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“十四五”计划完成投资（万元）</w:t>
            </w:r>
          </w:p>
        </w:tc>
        <w:tc>
          <w:tcPr>
            <w:tcW w:w="65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按投资规模</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备注</w:t>
            </w:r>
          </w:p>
        </w:tc>
      </w:tr>
      <w:tr>
        <w:trPr>
          <w:trHeight w:val="588" w:hRule="atLeast"/>
        </w:trPr>
        <w:tc>
          <w:tcPr>
            <w:tcW w:w="74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亿元以上</w:t>
            </w:r>
          </w:p>
        </w:tc>
        <w:tc>
          <w:tcPr>
            <w:tcW w:w="2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亿元到5000万元</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黑体" w:hAnsi="黑体" w:eastAsia="黑体" w:cs="宋体"/>
                <w:b/>
                <w:bCs/>
                <w:color w:val="000000"/>
                <w:kern w:val="0"/>
                <w:sz w:val="22"/>
                <w:szCs w:val="22"/>
              </w:rPr>
            </w:pPr>
            <w:r>
              <w:rPr>
                <w:rFonts w:hint="eastAsia" w:ascii="黑体" w:hAnsi="黑体" w:eastAsia="黑体" w:cs="宋体"/>
                <w:b/>
                <w:bCs/>
                <w:color w:val="000000"/>
                <w:kern w:val="0"/>
                <w:sz w:val="22"/>
                <w:szCs w:val="22"/>
              </w:rPr>
              <w:t>5000万元以下</w:t>
            </w:r>
          </w:p>
        </w:tc>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r>
      <w:tr>
        <w:tblPrEx>
          <w:tblCellMar>
            <w:top w:w="0" w:type="dxa"/>
            <w:left w:w="57" w:type="dxa"/>
            <w:bottom w:w="0" w:type="dxa"/>
            <w:right w:w="57" w:type="dxa"/>
          </w:tblCellMar>
        </w:tblPrEx>
        <w:trPr>
          <w:trHeight w:val="750" w:hRule="atLeast"/>
        </w:trPr>
        <w:tc>
          <w:tcPr>
            <w:tcW w:w="74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1164"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1259"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项目</w:t>
            </w:r>
            <w:r>
              <w:rPr>
                <w:rFonts w:hint="eastAsia" w:ascii="黑体" w:hAnsi="黑体" w:eastAsia="黑体" w:cs="宋体"/>
                <w:b/>
                <w:bCs/>
                <w:color w:val="000000"/>
                <w:kern w:val="0"/>
                <w:sz w:val="20"/>
                <w:szCs w:val="20"/>
              </w:rPr>
              <w:br w:type="textWrapping"/>
            </w:r>
            <w:r>
              <w:rPr>
                <w:rFonts w:hint="eastAsia" w:ascii="黑体" w:hAnsi="黑体" w:eastAsia="黑体" w:cs="宋体"/>
                <w:b/>
                <w:bCs/>
                <w:color w:val="000000"/>
                <w:kern w:val="0"/>
                <w:sz w:val="20"/>
                <w:szCs w:val="20"/>
              </w:rPr>
              <w:t>个数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年度计</w:t>
            </w:r>
            <w:r>
              <w:rPr>
                <w:rFonts w:hint="eastAsia" w:ascii="黑体" w:hAnsi="黑体" w:eastAsia="黑体" w:cs="宋体"/>
                <w:b/>
                <w:bCs/>
                <w:color w:val="000000"/>
                <w:kern w:val="0"/>
                <w:sz w:val="20"/>
                <w:szCs w:val="20"/>
              </w:rPr>
              <w:br w:type="textWrapping"/>
            </w:r>
            <w:r>
              <w:rPr>
                <w:rFonts w:hint="eastAsia" w:ascii="黑体" w:hAnsi="黑体" w:eastAsia="黑体" w:cs="宋体"/>
                <w:b/>
                <w:bCs/>
                <w:color w:val="000000"/>
                <w:kern w:val="0"/>
                <w:sz w:val="20"/>
                <w:szCs w:val="20"/>
              </w:rPr>
              <w:t>划投资</w:t>
            </w:r>
            <w:r>
              <w:rPr>
                <w:rFonts w:hint="eastAsia" w:ascii="黑体" w:hAnsi="黑体" w:eastAsia="黑体" w:cs="宋体"/>
                <w:b/>
                <w:bCs/>
                <w:color w:val="000000"/>
                <w:kern w:val="0"/>
                <w:sz w:val="20"/>
                <w:szCs w:val="20"/>
              </w:rPr>
              <w:br w:type="textWrapping"/>
            </w:r>
            <w:r>
              <w:rPr>
                <w:rFonts w:hint="eastAsia" w:ascii="黑体" w:hAnsi="黑体" w:eastAsia="黑体" w:cs="宋体"/>
                <w:b/>
                <w:bCs/>
                <w:color w:val="000000"/>
                <w:kern w:val="0"/>
                <w:sz w:val="20"/>
                <w:szCs w:val="20"/>
              </w:rPr>
              <w:t>（万元）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项目</w:t>
            </w:r>
            <w:r>
              <w:rPr>
                <w:rFonts w:hint="eastAsia" w:ascii="黑体" w:hAnsi="黑体" w:eastAsia="黑体" w:cs="宋体"/>
                <w:b/>
                <w:bCs/>
                <w:color w:val="000000"/>
                <w:kern w:val="0"/>
                <w:sz w:val="20"/>
                <w:szCs w:val="20"/>
              </w:rPr>
              <w:br w:type="textWrapping"/>
            </w:r>
            <w:r>
              <w:rPr>
                <w:rFonts w:hint="eastAsia" w:ascii="黑体" w:hAnsi="黑体" w:eastAsia="黑体" w:cs="宋体"/>
                <w:b/>
                <w:bCs/>
                <w:color w:val="000000"/>
                <w:kern w:val="0"/>
                <w:sz w:val="20"/>
                <w:szCs w:val="20"/>
              </w:rPr>
              <w:t>个数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年度计</w:t>
            </w:r>
            <w:r>
              <w:rPr>
                <w:rFonts w:hint="eastAsia" w:ascii="黑体" w:hAnsi="黑体" w:eastAsia="黑体" w:cs="宋体"/>
                <w:b/>
                <w:bCs/>
                <w:color w:val="000000"/>
                <w:kern w:val="0"/>
                <w:sz w:val="20"/>
                <w:szCs w:val="20"/>
              </w:rPr>
              <w:br w:type="textWrapping"/>
            </w:r>
            <w:r>
              <w:rPr>
                <w:rFonts w:hint="eastAsia" w:ascii="黑体" w:hAnsi="黑体" w:eastAsia="黑体" w:cs="宋体"/>
                <w:b/>
                <w:bCs/>
                <w:color w:val="000000"/>
                <w:kern w:val="0"/>
                <w:sz w:val="20"/>
                <w:szCs w:val="20"/>
              </w:rPr>
              <w:t>划投资</w:t>
            </w:r>
            <w:r>
              <w:rPr>
                <w:rFonts w:hint="eastAsia" w:ascii="黑体" w:hAnsi="黑体" w:eastAsia="黑体" w:cs="宋体"/>
                <w:b/>
                <w:bCs/>
                <w:color w:val="000000"/>
                <w:kern w:val="0"/>
                <w:sz w:val="20"/>
                <w:szCs w:val="20"/>
              </w:rPr>
              <w:br w:type="textWrapping"/>
            </w:r>
            <w:r>
              <w:rPr>
                <w:rFonts w:hint="eastAsia" w:ascii="黑体" w:hAnsi="黑体" w:eastAsia="黑体" w:cs="宋体"/>
                <w:b/>
                <w:bCs/>
                <w:color w:val="000000"/>
                <w:kern w:val="0"/>
                <w:sz w:val="20"/>
                <w:szCs w:val="20"/>
              </w:rPr>
              <w:t>（万元）</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项目</w:t>
            </w:r>
            <w:r>
              <w:rPr>
                <w:rFonts w:hint="eastAsia" w:ascii="黑体" w:hAnsi="黑体" w:eastAsia="黑体" w:cs="宋体"/>
                <w:b/>
                <w:bCs/>
                <w:color w:val="000000"/>
                <w:kern w:val="0"/>
                <w:sz w:val="20"/>
                <w:szCs w:val="20"/>
              </w:rPr>
              <w:br w:type="textWrapping"/>
            </w:r>
            <w:r>
              <w:rPr>
                <w:rFonts w:hint="eastAsia" w:ascii="黑体" w:hAnsi="黑体" w:eastAsia="黑体" w:cs="宋体"/>
                <w:b/>
                <w:bCs/>
                <w:color w:val="000000"/>
                <w:kern w:val="0"/>
                <w:sz w:val="20"/>
                <w:szCs w:val="20"/>
              </w:rPr>
              <w:t>个数</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年度计</w:t>
            </w:r>
            <w:r>
              <w:rPr>
                <w:rFonts w:hint="eastAsia" w:ascii="黑体" w:hAnsi="黑体" w:eastAsia="黑体" w:cs="宋体"/>
                <w:b/>
                <w:bCs/>
                <w:color w:val="000000"/>
                <w:kern w:val="0"/>
                <w:sz w:val="20"/>
                <w:szCs w:val="20"/>
              </w:rPr>
              <w:br w:type="textWrapping"/>
            </w:r>
            <w:r>
              <w:rPr>
                <w:rFonts w:hint="eastAsia" w:ascii="黑体" w:hAnsi="黑体" w:eastAsia="黑体" w:cs="宋体"/>
                <w:b/>
                <w:bCs/>
                <w:color w:val="000000"/>
                <w:kern w:val="0"/>
                <w:sz w:val="20"/>
                <w:szCs w:val="20"/>
              </w:rPr>
              <w:t>划投资</w:t>
            </w:r>
            <w:r>
              <w:rPr>
                <w:rFonts w:hint="eastAsia" w:ascii="黑体" w:hAnsi="黑体" w:eastAsia="黑体" w:cs="宋体"/>
                <w:b/>
                <w:bCs/>
                <w:color w:val="000000"/>
                <w:kern w:val="0"/>
                <w:sz w:val="20"/>
                <w:szCs w:val="20"/>
              </w:rPr>
              <w:br w:type="textWrapping"/>
            </w:r>
            <w:r>
              <w:rPr>
                <w:rFonts w:hint="eastAsia" w:ascii="黑体" w:hAnsi="黑体" w:eastAsia="黑体" w:cs="宋体"/>
                <w:b/>
                <w:bCs/>
                <w:color w:val="000000"/>
                <w:kern w:val="0"/>
                <w:sz w:val="20"/>
                <w:szCs w:val="20"/>
              </w:rPr>
              <w:t>（万元）</w:t>
            </w:r>
          </w:p>
        </w:tc>
        <w:tc>
          <w:tcPr>
            <w:tcW w:w="10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left"/>
              <w:rPr>
                <w:rFonts w:ascii="黑体" w:hAnsi="黑体" w:eastAsia="黑体" w:cs="宋体"/>
                <w:b/>
                <w:bCs/>
                <w:color w:val="000000"/>
                <w:kern w:val="0"/>
                <w:sz w:val="22"/>
                <w:szCs w:val="22"/>
              </w:rPr>
            </w:pPr>
          </w:p>
        </w:tc>
      </w:tr>
      <w:tr>
        <w:trPr>
          <w:trHeight w:val="62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合   计</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123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2067030 </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2066693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42 </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1796416 </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21 </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143995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60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126619 </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p>
        </w:tc>
      </w:tr>
      <w:tr>
        <w:tblPrEx>
          <w:tblCellMar>
            <w:top w:w="0" w:type="dxa"/>
            <w:left w:w="57" w:type="dxa"/>
            <w:bottom w:w="0" w:type="dxa"/>
            <w:right w:w="57" w:type="dxa"/>
          </w:tblCellMar>
        </w:tblPrEx>
        <w:trPr>
          <w:trHeight w:val="62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一</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交通基础设施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宋体" w:eastAsia="方正楷体_GBK" w:cs="宋体"/>
                <w:b/>
                <w:bCs/>
                <w:color w:val="000000"/>
                <w:kern w:val="0"/>
                <w:sz w:val="22"/>
                <w:szCs w:val="22"/>
              </w:rPr>
            </w:pPr>
            <w:r>
              <w:rPr>
                <w:rFonts w:hint="eastAsia" w:ascii="方正楷体_GBK" w:hAnsi="宋体" w:eastAsia="方正楷体_GBK" w:cs="宋体"/>
                <w:b/>
                <w:bCs/>
                <w:color w:val="000000"/>
                <w:kern w:val="0"/>
                <w:sz w:val="22"/>
                <w:szCs w:val="22"/>
              </w:rPr>
              <w:t>16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534745</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535015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505538</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19354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9853</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left"/>
              <w:rPr>
                <w:rFonts w:ascii="宋体" w:hAnsi="宋体" w:cs="宋体"/>
                <w:b/>
                <w:bCs/>
                <w:color w:val="000000"/>
                <w:kern w:val="0"/>
                <w:sz w:val="22"/>
                <w:szCs w:val="22"/>
              </w:rPr>
            </w:pPr>
          </w:p>
        </w:tc>
      </w:tr>
      <w:tr>
        <w:trPr>
          <w:trHeight w:val="62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二</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新能源基建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方正楷体_GBK" w:hAnsi="宋体" w:eastAsia="方正楷体_GBK" w:cs="宋体"/>
                <w:b/>
                <w:bCs/>
                <w:color w:val="000000"/>
                <w:kern w:val="0"/>
                <w:sz w:val="22"/>
                <w:szCs w:val="22"/>
              </w:rPr>
            </w:pPr>
            <w:r>
              <w:rPr>
                <w:rFonts w:hint="eastAsia" w:ascii="方正楷体_GBK" w:hAnsi="宋体" w:eastAsia="方正楷体_GBK" w:cs="宋体"/>
                <w:b/>
                <w:bCs/>
                <w:color w:val="000000"/>
                <w:kern w:val="0"/>
                <w:sz w:val="22"/>
                <w:szCs w:val="22"/>
              </w:rPr>
              <w:t>8</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426376</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426376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410000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12458</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3918</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left"/>
              <w:rPr>
                <w:rFonts w:ascii="宋体" w:hAnsi="宋体" w:cs="宋体"/>
                <w:b/>
                <w:bCs/>
                <w:color w:val="000000"/>
                <w:kern w:val="0"/>
                <w:sz w:val="22"/>
                <w:szCs w:val="22"/>
              </w:rPr>
            </w:pPr>
          </w:p>
        </w:tc>
      </w:tr>
      <w:tr>
        <w:tblPrEx>
          <w:tblCellMar>
            <w:top w:w="0" w:type="dxa"/>
            <w:left w:w="57" w:type="dxa"/>
            <w:bottom w:w="0" w:type="dxa"/>
            <w:right w:w="57" w:type="dxa"/>
          </w:tblCellMar>
        </w:tblPrEx>
        <w:trPr>
          <w:trHeight w:val="62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三</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产业升级基础设施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446622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446622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419916</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 xml:space="preserve">16000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10706</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left"/>
              <w:rPr>
                <w:rFonts w:ascii="宋体" w:hAnsi="宋体" w:cs="宋体"/>
                <w:b/>
                <w:bCs/>
                <w:color w:val="000000"/>
                <w:kern w:val="0"/>
                <w:sz w:val="22"/>
                <w:szCs w:val="22"/>
              </w:rPr>
            </w:pPr>
          </w:p>
        </w:tc>
      </w:tr>
      <w:tr>
        <w:trPr>
          <w:trHeight w:val="62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四</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农业及生态建设</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344376</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343796</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259780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46392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17</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38204</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left"/>
              <w:rPr>
                <w:rFonts w:ascii="宋体" w:hAnsi="宋体" w:cs="宋体"/>
                <w:b/>
                <w:bCs/>
                <w:color w:val="000000"/>
                <w:kern w:val="0"/>
                <w:sz w:val="22"/>
                <w:szCs w:val="22"/>
              </w:rPr>
            </w:pPr>
          </w:p>
        </w:tc>
      </w:tr>
      <w:tr>
        <w:tblPrEx>
          <w:tblCellMar>
            <w:top w:w="0" w:type="dxa"/>
            <w:left w:w="57" w:type="dxa"/>
            <w:bottom w:w="0" w:type="dxa"/>
            <w:right w:w="57" w:type="dxa"/>
          </w:tblCellMar>
        </w:tblPrEx>
        <w:trPr>
          <w:trHeight w:val="62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五</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城建基础设施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212636</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212609</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155564</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30491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14</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26581</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left"/>
              <w:rPr>
                <w:rFonts w:ascii="宋体" w:hAnsi="宋体" w:cs="宋体"/>
                <w:b/>
                <w:bCs/>
                <w:color w:val="000000"/>
                <w:kern w:val="0"/>
                <w:sz w:val="22"/>
                <w:szCs w:val="22"/>
              </w:rPr>
            </w:pPr>
          </w:p>
        </w:tc>
      </w:tr>
      <w:tr>
        <w:tblPrEx>
          <w:tblCellMar>
            <w:top w:w="0" w:type="dxa"/>
            <w:left w:w="57" w:type="dxa"/>
            <w:bottom w:w="0" w:type="dxa"/>
            <w:right w:w="57" w:type="dxa"/>
          </w:tblCellMar>
        </w:tblPrEx>
        <w:trPr>
          <w:trHeight w:val="62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六</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智慧平台基础设施</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9</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31318</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31318</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13018</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5400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7</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12900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left"/>
              <w:rPr>
                <w:rFonts w:ascii="宋体" w:hAnsi="宋体" w:cs="宋体"/>
                <w:b/>
                <w:bCs/>
                <w:color w:val="000000"/>
                <w:kern w:val="0"/>
                <w:sz w:val="22"/>
                <w:szCs w:val="22"/>
              </w:rPr>
            </w:pPr>
          </w:p>
        </w:tc>
      </w:tr>
      <w:tr>
        <w:trPr>
          <w:trHeight w:val="624" w:hRule="exact"/>
        </w:trPr>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rPr>
                <w:rFonts w:cs="宋体" w:asciiTheme="minorEastAsia" w:hAnsiTheme="minorEastAsia" w:eastAsiaTheme="minorEastAsia"/>
                <w:b/>
                <w:bCs/>
                <w:color w:val="000000"/>
                <w:kern w:val="0"/>
                <w:sz w:val="22"/>
                <w:szCs w:val="22"/>
              </w:rPr>
            </w:pPr>
            <w:r>
              <w:rPr>
                <w:rFonts w:hint="eastAsia" w:cs="宋体" w:asciiTheme="minorEastAsia" w:hAnsiTheme="minorEastAsia" w:eastAsiaTheme="minorEastAsia"/>
                <w:b/>
                <w:bCs/>
                <w:color w:val="000000"/>
                <w:kern w:val="0"/>
                <w:sz w:val="22"/>
                <w:szCs w:val="22"/>
              </w:rPr>
              <w:t>社会事业</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70957</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70957</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32600</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13900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center"/>
              <w:rPr>
                <w:rFonts w:ascii="宋体" w:hAnsi="宋体" w:cs="宋体"/>
                <w:b/>
                <w:bCs/>
                <w:color w:val="000000"/>
                <w:kern w:val="0"/>
                <w:sz w:val="22"/>
                <w:szCs w:val="22"/>
              </w:rPr>
            </w:pPr>
            <w:r>
              <w:rPr>
                <w:rFonts w:hint="eastAsia" w:ascii="宋体" w:hAnsi="宋体" w:cs="宋体"/>
                <w:b/>
                <w:bCs/>
                <w:color w:val="000000"/>
                <w:kern w:val="0"/>
                <w:sz w:val="22"/>
                <w:szCs w:val="22"/>
              </w:rPr>
              <w:t>24457</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jc w:val="left"/>
              <w:rPr>
                <w:rFonts w:ascii="宋体" w:hAnsi="宋体" w:cs="宋体"/>
                <w:b/>
                <w:bCs/>
                <w:color w:val="000000"/>
                <w:kern w:val="0"/>
                <w:sz w:val="22"/>
                <w:szCs w:val="22"/>
              </w:rPr>
            </w:pPr>
          </w:p>
        </w:tc>
      </w:tr>
    </w:tbl>
    <w:p>
      <w:pPr>
        <w:pStyle w:val="2"/>
        <w:spacing w:line="20" w:lineRule="exact"/>
        <w:ind w:left="2100"/>
      </w:pPr>
    </w:p>
    <w:sectPr>
      <w:footerReference r:id="rId8" w:type="first"/>
      <w:pgSz w:w="16838" w:h="11906" w:orient="landscape"/>
      <w:pgMar w:top="1588" w:right="1418" w:bottom="1588"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script"/>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5072420"/>
      <w:docPartObj>
        <w:docPartGallery w:val="autotext"/>
      </w:docPartObj>
    </w:sdtPr>
    <w:sdtEndPr>
      <w:rPr>
        <w:rFonts w:asciiTheme="minorEastAsia" w:hAnsiTheme="minorEastAsia" w:eastAsiaTheme="minorEastAsia"/>
        <w:sz w:val="28"/>
        <w:szCs w:val="28"/>
      </w:rPr>
    </w:sdtEndPr>
    <w:sdtContent>
      <w:p>
        <w:pPr>
          <w:pStyle w:val="8"/>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5072414"/>
      <w:docPartObj>
        <w:docPartGallery w:val="autotext"/>
      </w:docPartObj>
    </w:sdtPr>
    <w:sdtEndPr>
      <w:rPr>
        <w:rFonts w:asciiTheme="minorEastAsia" w:hAnsiTheme="minorEastAsia" w:eastAsiaTheme="minorEastAsia"/>
        <w:sz w:val="28"/>
        <w:szCs w:val="28"/>
      </w:rPr>
    </w:sdtEndPr>
    <w:sdtContent>
      <w:p>
        <w:pPr>
          <w:pStyle w:val="8"/>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5072399"/>
      </w:sdtPr>
      <w:sdtEndPr>
        <w:rPr>
          <w:rFonts w:ascii="Calibri" w:hAnsi="Calibri" w:eastAsia="宋体"/>
          <w:sz w:val="18"/>
          <w:szCs w:val="21"/>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55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72398"/>
    </w:sdtPr>
    <w:sdtEndPr>
      <w:rPr>
        <w:rFonts w:asciiTheme="minorEastAsia" w:hAnsiTheme="minorEastAsia" w:eastAsiaTheme="minorEastAsia"/>
        <w:sz w:val="28"/>
        <w:szCs w:val="28"/>
      </w:rPr>
    </w:sdtEndPr>
    <w:sdtContent>
      <w:p>
        <w:pPr>
          <w:pStyle w:val="8"/>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56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72400"/>
    </w:sdtPr>
    <w:sdtContent>
      <w:p>
        <w:pPr>
          <w:pStyle w:val="8"/>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72396"/>
    </w:sdtPr>
    <w:sdtContent>
      <w:p>
        <w:pPr>
          <w:pStyle w:val="8"/>
          <w:jc w:val="cente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57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3487A"/>
    <w:multiLevelType w:val="multilevel"/>
    <w:tmpl w:val="42D3487A"/>
    <w:lvl w:ilvl="0" w:tentative="0">
      <w:start w:val="1"/>
      <w:numFmt w:val="chineseCountingThousand"/>
      <w:pStyle w:val="4"/>
      <w:lvlText w:val="第%1节、"/>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Njk4OGYwODY3ODYzOTViOTExY2ViMGNhNzY4NDcifQ=="/>
  </w:docVars>
  <w:rsids>
    <w:rsidRoot w:val="004A1650"/>
    <w:rsid w:val="00276413"/>
    <w:rsid w:val="00492599"/>
    <w:rsid w:val="004A1650"/>
    <w:rsid w:val="005C138C"/>
    <w:rsid w:val="009F2C29"/>
    <w:rsid w:val="00A72A19"/>
    <w:rsid w:val="00B67D13"/>
    <w:rsid w:val="00BF20E1"/>
    <w:rsid w:val="04C901D4"/>
    <w:rsid w:val="370D40A1"/>
    <w:rsid w:val="B6672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8"/>
    <w:qFormat/>
    <w:uiPriority w:val="9"/>
    <w:pPr>
      <w:spacing w:line="360" w:lineRule="auto"/>
      <w:outlineLvl w:val="1"/>
    </w:pPr>
    <w:rPr>
      <w:rFonts w:ascii="Times New Roman" w:hAnsi="Times New Roman" w:eastAsia="黑体" w:cs="Calibri"/>
      <w:sz w:val="36"/>
      <w:szCs w:val="32"/>
    </w:rPr>
  </w:style>
  <w:style w:type="paragraph" w:styleId="4">
    <w:name w:val="heading 3"/>
    <w:basedOn w:val="1"/>
    <w:next w:val="1"/>
    <w:link w:val="19"/>
    <w:unhideWhenUsed/>
    <w:qFormat/>
    <w:uiPriority w:val="9"/>
    <w:pPr>
      <w:numPr>
        <w:ilvl w:val="0"/>
        <w:numId w:val="1"/>
      </w:numPr>
      <w:spacing w:beforeLines="50" w:afterLines="50" w:line="560" w:lineRule="exact"/>
      <w:outlineLvl w:val="2"/>
    </w:pPr>
    <w:rPr>
      <w:rFonts w:ascii="Times New Roman" w:hAnsi="Times New Roman"/>
      <w:b/>
      <w:sz w:val="30"/>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unhideWhenUsed/>
    <w:qFormat/>
    <w:uiPriority w:val="99"/>
    <w:pPr>
      <w:ind w:left="1000" w:leftChars="1000"/>
    </w:pPr>
  </w:style>
  <w:style w:type="paragraph" w:styleId="5">
    <w:name w:val="Date"/>
    <w:basedOn w:val="1"/>
    <w:next w:val="1"/>
    <w:link w:val="17"/>
    <w:semiHidden/>
    <w:unhideWhenUsed/>
    <w:qFormat/>
    <w:uiPriority w:val="99"/>
    <w:pPr>
      <w:ind w:left="100" w:leftChars="2500"/>
    </w:pPr>
  </w:style>
  <w:style w:type="paragraph" w:styleId="6">
    <w:name w:val="Body Text Indent 2"/>
    <w:basedOn w:val="1"/>
    <w:next w:val="1"/>
    <w:link w:val="20"/>
    <w:qFormat/>
    <w:uiPriority w:val="0"/>
    <w:pPr>
      <w:spacing w:line="480" w:lineRule="auto"/>
      <w:ind w:left="420" w:leftChars="200"/>
    </w:pPr>
    <w:rPr>
      <w:rFonts w:cs="Calibri"/>
      <w:kern w:val="0"/>
      <w:sz w:val="20"/>
      <w:szCs w:val="21"/>
    </w:rPr>
  </w:style>
  <w:style w:type="paragraph" w:styleId="7">
    <w:name w:val="Balloon Text"/>
    <w:basedOn w:val="1"/>
    <w:link w:val="21"/>
    <w:qFormat/>
    <w:uiPriority w:val="0"/>
    <w:rPr>
      <w:rFonts w:cs="Calibri"/>
      <w:sz w:val="18"/>
      <w:szCs w:val="18"/>
    </w:rPr>
  </w:style>
  <w:style w:type="paragraph" w:styleId="8">
    <w:name w:val="footer"/>
    <w:basedOn w:val="1"/>
    <w:link w:val="22"/>
    <w:qFormat/>
    <w:uiPriority w:val="99"/>
    <w:pPr>
      <w:tabs>
        <w:tab w:val="center" w:pos="4153"/>
        <w:tab w:val="right" w:pos="8306"/>
      </w:tabs>
      <w:snapToGrid w:val="0"/>
      <w:jc w:val="left"/>
    </w:pPr>
    <w:rPr>
      <w:rFonts w:cs="Calibri"/>
      <w:sz w:val="18"/>
      <w:szCs w:val="21"/>
    </w:rPr>
  </w:style>
  <w:style w:type="paragraph" w:styleId="9">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cs="Calibri"/>
      <w:sz w:val="18"/>
      <w:szCs w:val="21"/>
    </w:rPr>
  </w:style>
  <w:style w:type="paragraph" w:styleId="10">
    <w:name w:val="toc 1"/>
    <w:basedOn w:val="1"/>
    <w:next w:val="1"/>
    <w:qFormat/>
    <w:uiPriority w:val="0"/>
    <w:rPr>
      <w:rFonts w:cs="Calibri"/>
      <w:szCs w:val="21"/>
    </w:rPr>
  </w:style>
  <w:style w:type="paragraph" w:styleId="11">
    <w:name w:val="toc 2"/>
    <w:basedOn w:val="1"/>
    <w:next w:val="1"/>
    <w:qFormat/>
    <w:uiPriority w:val="0"/>
    <w:pPr>
      <w:ind w:left="420" w:leftChars="200"/>
    </w:pPr>
    <w:rPr>
      <w:rFonts w:cs="Calibri"/>
      <w:szCs w:val="21"/>
    </w:rPr>
  </w:style>
  <w:style w:type="paragraph" w:styleId="12">
    <w:name w:val="HTML Preformatted"/>
    <w:basedOn w:val="1"/>
    <w:link w:val="24"/>
    <w:semiHidden/>
    <w:unhideWhenUsed/>
    <w:qFormat/>
    <w:uiPriority w:val="99"/>
    <w:rPr>
      <w:rFonts w:ascii="Courier New" w:hAnsi="Courier New" w:cs="Courier New"/>
      <w:sz w:val="20"/>
      <w:szCs w:val="20"/>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Hyperlink"/>
    <w:basedOn w:val="15"/>
    <w:qFormat/>
    <w:uiPriority w:val="0"/>
    <w:rPr>
      <w:color w:val="0000FF" w:themeColor="hyperlink"/>
      <w:u w:val="single"/>
    </w:rPr>
  </w:style>
  <w:style w:type="character" w:customStyle="1" w:styleId="17">
    <w:name w:val="日期 Char"/>
    <w:basedOn w:val="15"/>
    <w:link w:val="5"/>
    <w:semiHidden/>
    <w:qFormat/>
    <w:uiPriority w:val="99"/>
    <w:rPr>
      <w:rFonts w:ascii="Calibri" w:hAnsi="Calibri" w:eastAsia="宋体" w:cs="Times New Roman"/>
      <w:szCs w:val="24"/>
    </w:rPr>
  </w:style>
  <w:style w:type="character" w:customStyle="1" w:styleId="18">
    <w:name w:val="标题 2 Char"/>
    <w:basedOn w:val="15"/>
    <w:link w:val="3"/>
    <w:qFormat/>
    <w:uiPriority w:val="9"/>
    <w:rPr>
      <w:rFonts w:ascii="Times New Roman" w:hAnsi="Times New Roman" w:eastAsia="黑体" w:cs="Calibri"/>
      <w:sz w:val="36"/>
      <w:szCs w:val="32"/>
    </w:rPr>
  </w:style>
  <w:style w:type="character" w:customStyle="1" w:styleId="19">
    <w:name w:val="标题 3 Char"/>
    <w:basedOn w:val="15"/>
    <w:link w:val="4"/>
    <w:qFormat/>
    <w:uiPriority w:val="9"/>
    <w:rPr>
      <w:rFonts w:ascii="Times New Roman" w:hAnsi="Times New Roman" w:eastAsia="宋体" w:cs="Times New Roman"/>
      <w:b/>
      <w:sz w:val="30"/>
      <w:szCs w:val="32"/>
    </w:rPr>
  </w:style>
  <w:style w:type="character" w:customStyle="1" w:styleId="20">
    <w:name w:val="正文文本缩进 2 Char"/>
    <w:basedOn w:val="15"/>
    <w:link w:val="6"/>
    <w:qFormat/>
    <w:uiPriority w:val="0"/>
    <w:rPr>
      <w:rFonts w:ascii="Calibri" w:hAnsi="Calibri" w:eastAsia="宋体" w:cs="Calibri"/>
      <w:kern w:val="0"/>
      <w:sz w:val="20"/>
      <w:szCs w:val="21"/>
    </w:rPr>
  </w:style>
  <w:style w:type="character" w:customStyle="1" w:styleId="21">
    <w:name w:val="批注框文本 Char"/>
    <w:basedOn w:val="15"/>
    <w:link w:val="7"/>
    <w:qFormat/>
    <w:uiPriority w:val="0"/>
    <w:rPr>
      <w:rFonts w:ascii="Calibri" w:hAnsi="Calibri" w:eastAsia="宋体" w:cs="Calibri"/>
      <w:sz w:val="18"/>
      <w:szCs w:val="18"/>
    </w:rPr>
  </w:style>
  <w:style w:type="character" w:customStyle="1" w:styleId="22">
    <w:name w:val="页脚 Char"/>
    <w:basedOn w:val="15"/>
    <w:link w:val="8"/>
    <w:qFormat/>
    <w:uiPriority w:val="99"/>
    <w:rPr>
      <w:rFonts w:ascii="Calibri" w:hAnsi="Calibri" w:eastAsia="宋体" w:cs="Calibri"/>
      <w:sz w:val="18"/>
      <w:szCs w:val="21"/>
    </w:rPr>
  </w:style>
  <w:style w:type="character" w:customStyle="1" w:styleId="23">
    <w:name w:val="页眉 Char"/>
    <w:basedOn w:val="15"/>
    <w:link w:val="9"/>
    <w:qFormat/>
    <w:uiPriority w:val="0"/>
    <w:rPr>
      <w:rFonts w:ascii="Calibri" w:hAnsi="Calibri" w:eastAsia="宋体" w:cs="Calibri"/>
      <w:sz w:val="18"/>
      <w:szCs w:val="21"/>
    </w:rPr>
  </w:style>
  <w:style w:type="character" w:customStyle="1" w:styleId="24">
    <w:name w:val="HTML 预设格式 Char"/>
    <w:basedOn w:val="15"/>
    <w:link w:val="12"/>
    <w:semiHidden/>
    <w:qFormat/>
    <w:uiPriority w:val="99"/>
    <w:rPr>
      <w:rFonts w:ascii="Courier New" w:hAnsi="Courier New" w:eastAsia="宋体" w:cs="Courier New"/>
      <w:sz w:val="20"/>
      <w:szCs w:val="20"/>
    </w:rPr>
  </w:style>
  <w:style w:type="paragraph" w:customStyle="1" w:styleId="25">
    <w:name w:val="列出段落1"/>
    <w:basedOn w:val="1"/>
    <w:qFormat/>
    <w:uiPriority w:val="99"/>
    <w:pPr>
      <w:ind w:firstLine="420" w:firstLineChars="200"/>
    </w:pPr>
    <w:rPr>
      <w:rFonts w:cs="Calibri"/>
      <w:szCs w:val="21"/>
    </w:rPr>
  </w:style>
  <w:style w:type="paragraph" w:styleId="26">
    <w:name w:val="List Paragraph"/>
    <w:basedOn w:val="1"/>
    <w:qFormat/>
    <w:uiPriority w:val="1"/>
    <w:pPr>
      <w:ind w:firstLine="420" w:firstLineChars="200"/>
    </w:pPr>
    <w:rPr>
      <w:rFonts w:cs="Calibri"/>
      <w:szCs w:val="21"/>
    </w:rPr>
  </w:style>
  <w:style w:type="paragraph" w:customStyle="1" w:styleId="27">
    <w:name w:val="0三级标题"/>
    <w:basedOn w:val="1"/>
    <w:qFormat/>
    <w:uiPriority w:val="0"/>
    <w:pPr>
      <w:snapToGrid w:val="0"/>
      <w:spacing w:line="560" w:lineRule="exact"/>
      <w:jc w:val="left"/>
      <w:outlineLvl w:val="2"/>
    </w:pPr>
    <w:rPr>
      <w:rFonts w:ascii="黑体" w:hAnsi="黑体" w:eastAsia="仿宋_GB2312" w:cs="Calibri"/>
      <w:b/>
      <w:kern w:val="44"/>
      <w:szCs w:val="44"/>
    </w:rPr>
  </w:style>
  <w:style w:type="character" w:customStyle="1" w:styleId="28">
    <w:name w:val="NormalCharacter"/>
    <w:semiHidden/>
    <w:qFormat/>
    <w:uiPriority w:val="0"/>
  </w:style>
  <w:style w:type="paragraph" w:customStyle="1" w:styleId="29">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30">
    <w:name w:val="WPSOffice手动目录 2"/>
    <w:qFormat/>
    <w:uiPriority w:val="0"/>
    <w:pPr>
      <w:ind w:left="200" w:leftChars="200"/>
    </w:pPr>
    <w:rPr>
      <w:rFonts w:asciiTheme="minorHAnsi" w:hAnsiTheme="minorHAnsi" w:eastAsiaTheme="minorEastAsia" w:cstheme="minorBidi"/>
      <w:kern w:val="0"/>
      <w:sz w:val="20"/>
      <w:szCs w:val="20"/>
      <w:lang w:val="en-US" w:eastAsia="zh-CN" w:bidi="ar-SA"/>
    </w:rPr>
  </w:style>
  <w:style w:type="paragraph" w:customStyle="1" w:styleId="31">
    <w:name w:val="WPSOffice手动目录 3"/>
    <w:qFormat/>
    <w:uiPriority w:val="0"/>
    <w:pPr>
      <w:ind w:left="400" w:leftChars="400"/>
    </w:pPr>
    <w:rPr>
      <w:rFonts w:asciiTheme="minorHAnsi" w:hAnsiTheme="minorHAnsi" w:eastAsiaTheme="minorEastAsia" w:cstheme="minorBidi"/>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29674</Words>
  <Characters>30401</Characters>
  <Lines>242</Lines>
  <Paragraphs>68</Paragraphs>
  <TotalTime>0</TotalTime>
  <ScaleCrop>false</ScaleCrop>
  <LinksUpToDate>false</LinksUpToDate>
  <CharactersWithSpaces>30881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2022-09-21T09:07:00Z</dcterms:created>
  <dc:creator>Administrator</dc:creator>
  <cp:lastModifiedBy>user</cp:lastModifiedBy>
  <cp:lastPrinted>2022-09-21T09:58:00Z</cp:lastPrinted>
  <dcterms:modified xsi:type="dcterms:W3CDTF">2025-01-10T11:03:47Z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6E95170FFCAA0971138E8067D8E62938_43</vt:lpwstr>
  </property>
</Properties>
</file>