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940" w:lineRule="exact"/>
        <w:jc w:val="center"/>
        <w:rPr>
          <w:rFonts w:ascii="方正小标宋简体" w:hAnsi="方正小标宋简体" w:eastAsia="方正小标宋简体" w:cs="方正小标宋简体"/>
          <w:sz w:val="44"/>
          <w:szCs w:val="44"/>
        </w:rPr>
      </w:pPr>
      <w:bookmarkStart w:id="0" w:name="_Hlk51601969"/>
    </w:p>
    <w:p>
      <w:pPr>
        <w:autoSpaceDE w:val="0"/>
        <w:spacing w:line="580" w:lineRule="exact"/>
        <w:ind w:right="-199" w:rightChars="-95"/>
        <w:jc w:val="center"/>
        <w:rPr>
          <w:rFonts w:ascii="仿宋_GB2312" w:eastAsia="仿宋_GB2312" w:cs="仿宋_GB2312"/>
          <w:sz w:val="32"/>
          <w:szCs w:val="32"/>
        </w:rPr>
      </w:pPr>
      <w:r>
        <w:rPr>
          <w:rFonts w:hint="eastAsia" w:ascii="仿宋_GB2312" w:hAnsi="Calibri" w:eastAsia="仿宋_GB2312" w:cs="仿宋_GB2312"/>
          <w:sz w:val="32"/>
          <w:szCs w:val="32"/>
        </w:rPr>
        <w:t xml:space="preserve">                                </w:t>
      </w:r>
      <w:bookmarkStart w:id="34" w:name="_GoBack"/>
      <w:r>
        <w:rPr>
          <w:rFonts w:hint="eastAsia" w:ascii="仿宋_GB2312" w:hAnsi="Calibri" w:eastAsia="仿宋_GB2312" w:cs="仿宋_GB2312"/>
          <w:sz w:val="32"/>
          <w:szCs w:val="32"/>
        </w:rPr>
        <w:t xml:space="preserve">  临政办函〔2022〕72号</w:t>
      </w:r>
    </w:p>
    <w:p>
      <w:pPr>
        <w:pStyle w:val="32"/>
        <w:widowControl w:val="0"/>
        <w:autoSpaceDE w:val="0"/>
        <w:spacing w:before="0" w:beforeAutospacing="0" w:after="0" w:afterAutospacing="0" w:line="800" w:lineRule="exact"/>
        <w:jc w:val="both"/>
        <w:rPr>
          <w:rFonts w:ascii="Calibri" w:hAnsi="Calibri" w:cs="Times New Roman"/>
          <w:kern w:val="2"/>
          <w:sz w:val="21"/>
          <w:szCs w:val="21"/>
        </w:rPr>
      </w:pPr>
      <w:r>
        <w:rPr>
          <w:rFonts w:hint="eastAsia" w:ascii="仿宋_GB2312" w:hAnsi="Calibri" w:eastAsia="仿宋_GB2312" w:cs="仿宋_GB2312"/>
          <w:kern w:val="2"/>
          <w:sz w:val="32"/>
          <w:szCs w:val="32"/>
        </w:rPr>
        <w:t xml:space="preserve"> </w:t>
      </w:r>
      <w:r>
        <w:rPr>
          <w:rFonts w:hint="eastAsia" w:ascii="Calibri" w:hAnsi="Calibri" w:cs="Times New Roman"/>
          <w:kern w:val="2"/>
          <w:sz w:val="21"/>
          <w:szCs w:val="21"/>
        </w:rPr>
        <w:t xml:space="preserve"> </w:t>
      </w:r>
    </w:p>
    <w:p>
      <w:pPr>
        <w:pStyle w:val="32"/>
        <w:widowControl w:val="0"/>
        <w:autoSpaceDE w:val="0"/>
        <w:spacing w:before="0" w:beforeAutospacing="0" w:after="0" w:afterAutospacing="0" w:line="580" w:lineRule="exact"/>
        <w:jc w:val="center"/>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临泽县人民政府办公室</w:t>
      </w:r>
    </w:p>
    <w:p>
      <w:pPr>
        <w:pStyle w:val="32"/>
        <w:widowControl w:val="0"/>
        <w:autoSpaceDE w:val="0"/>
        <w:spacing w:before="0" w:beforeAutospacing="0" w:after="0" w:afterAutospacing="0" w:line="580" w:lineRule="exact"/>
        <w:jc w:val="center"/>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关于印发临泽县“十四五”</w:t>
      </w:r>
    </w:p>
    <w:p>
      <w:pPr>
        <w:pStyle w:val="32"/>
        <w:widowControl w:val="0"/>
        <w:autoSpaceDE w:val="0"/>
        <w:spacing w:before="0" w:beforeAutospacing="0" w:after="0" w:afterAutospacing="0" w:line="580" w:lineRule="exact"/>
        <w:jc w:val="center"/>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枢纽型冷链物流体系发展规划的通知</w:t>
      </w:r>
    </w:p>
    <w:bookmarkEnd w:id="34"/>
    <w:p>
      <w:pPr>
        <w:pStyle w:val="32"/>
        <w:widowControl w:val="0"/>
        <w:autoSpaceDE w:val="0"/>
        <w:spacing w:before="0" w:beforeAutospacing="0" w:after="0" w:afterAutospacing="0" w:line="580" w:lineRule="exact"/>
        <w:jc w:val="both"/>
        <w:rPr>
          <w:rFonts w:ascii="方正小标宋简体" w:hAnsi="方正小标宋简体" w:eastAsia="方正小标宋简体" w:cs="方正小标宋简体"/>
          <w:kern w:val="2"/>
          <w:sz w:val="40"/>
          <w:szCs w:val="40"/>
        </w:rPr>
      </w:pPr>
      <w:r>
        <w:rPr>
          <w:rFonts w:hint="eastAsia" w:ascii="方正小标宋简体" w:hAnsi="方正小标宋简体" w:eastAsia="方正小标宋简体" w:cs="方正小标宋简体"/>
          <w:kern w:val="2"/>
          <w:sz w:val="40"/>
          <w:szCs w:val="40"/>
        </w:rPr>
        <w:t xml:space="preserve"> </w:t>
      </w:r>
    </w:p>
    <w:p>
      <w:pPr>
        <w:pStyle w:val="32"/>
        <w:widowControl w:val="0"/>
        <w:autoSpaceDE w:val="0"/>
        <w:spacing w:before="0" w:beforeAutospacing="0" w:after="0" w:afterAutospacing="0" w:line="580" w:lineRule="exact"/>
        <w:jc w:val="both"/>
        <w:rPr>
          <w:rFonts w:ascii="方正小标宋简体" w:hAnsi="方正小标宋简体" w:eastAsia="方正小标宋简体" w:cs="方正小标宋简体"/>
          <w:kern w:val="2"/>
          <w:sz w:val="40"/>
          <w:szCs w:val="40"/>
        </w:rPr>
      </w:pPr>
      <w:r>
        <w:rPr>
          <w:rFonts w:hint="eastAsia" w:ascii="仿宋_GB2312" w:hAnsi="Calibri" w:eastAsia="仿宋_GB2312" w:cs="仿宋_GB2312"/>
          <w:kern w:val="2"/>
          <w:sz w:val="32"/>
          <w:szCs w:val="32"/>
        </w:rPr>
        <w:t>各镇人民政府，县政府有关部门，县属及省市驻临有关单位：</w:t>
      </w:r>
    </w:p>
    <w:p>
      <w:pPr>
        <w:pStyle w:val="32"/>
        <w:widowControl w:val="0"/>
        <w:autoSpaceDE w:val="0"/>
        <w:spacing w:before="0" w:beforeAutospacing="0" w:after="0" w:afterAutospacing="0" w:line="580" w:lineRule="exact"/>
        <w:ind w:firstLine="640" w:firstLineChars="200"/>
        <w:jc w:val="both"/>
        <w:rPr>
          <w:rFonts w:ascii="仿宋_GB2312" w:eastAsia="仿宋_GB2312" w:cs="仿宋_GB2312"/>
          <w:kern w:val="2"/>
          <w:sz w:val="32"/>
          <w:szCs w:val="32"/>
        </w:rPr>
      </w:pPr>
      <w:r>
        <w:rPr>
          <w:rFonts w:hint="eastAsia" w:ascii="仿宋_GB2312" w:hAnsi="Calibri" w:eastAsia="仿宋_GB2312" w:cs="仿宋_GB2312"/>
          <w:kern w:val="2"/>
          <w:sz w:val="32"/>
          <w:szCs w:val="32"/>
        </w:rPr>
        <w:t>现将《临泽县“十四五”枢纽型冷链物流体系发展规划》印发你们，请结合工作实际，抓好贯彻落实。</w:t>
      </w:r>
    </w:p>
    <w:p>
      <w:pPr>
        <w:pStyle w:val="32"/>
        <w:widowControl w:val="0"/>
        <w:autoSpaceDE w:val="0"/>
        <w:spacing w:before="0" w:beforeAutospacing="0" w:after="0" w:afterAutospacing="0" w:line="580" w:lineRule="exact"/>
        <w:jc w:val="both"/>
        <w:rPr>
          <w:rFonts w:ascii="仿宋_GB2312" w:eastAsia="仿宋_GB2312" w:cs="仿宋_GB2312"/>
          <w:kern w:val="2"/>
          <w:sz w:val="32"/>
          <w:szCs w:val="32"/>
        </w:rPr>
      </w:pPr>
      <w:r>
        <w:rPr>
          <w:rFonts w:hint="eastAsia" w:ascii="仿宋_GB2312" w:hAnsi="Calibri" w:eastAsia="仿宋_GB2312" w:cs="仿宋_GB2312"/>
          <w:kern w:val="2"/>
          <w:sz w:val="32"/>
          <w:szCs w:val="32"/>
        </w:rPr>
        <w:t xml:space="preserve"> </w:t>
      </w:r>
    </w:p>
    <w:p>
      <w:pPr>
        <w:pStyle w:val="32"/>
        <w:widowControl w:val="0"/>
        <w:autoSpaceDE w:val="0"/>
        <w:spacing w:before="0" w:beforeAutospacing="0" w:after="0" w:afterAutospacing="0" w:line="580" w:lineRule="exact"/>
        <w:ind w:firstLine="4480" w:firstLineChars="1400"/>
        <w:jc w:val="both"/>
        <w:rPr>
          <w:rFonts w:ascii="仿宋_GB2312" w:eastAsia="仿宋_GB2312" w:cs="仿宋_GB2312"/>
          <w:kern w:val="2"/>
          <w:sz w:val="32"/>
          <w:szCs w:val="32"/>
        </w:rPr>
      </w:pPr>
      <w:r>
        <w:rPr>
          <w:rFonts w:hint="eastAsia" w:ascii="仿宋_GB2312" w:hAnsi="Calibri" w:eastAsia="仿宋_GB2312" w:cs="仿宋_GB2312"/>
          <w:kern w:val="2"/>
          <w:sz w:val="32"/>
          <w:szCs w:val="32"/>
        </w:rPr>
        <w:t xml:space="preserve"> </w:t>
      </w:r>
    </w:p>
    <w:p>
      <w:pPr>
        <w:pStyle w:val="32"/>
        <w:widowControl w:val="0"/>
        <w:autoSpaceDE w:val="0"/>
        <w:spacing w:before="0" w:beforeAutospacing="0" w:after="0" w:afterAutospacing="0" w:line="580" w:lineRule="exact"/>
        <w:ind w:firstLine="4480" w:firstLineChars="1400"/>
        <w:jc w:val="both"/>
        <w:rPr>
          <w:rFonts w:ascii="仿宋_GB2312" w:eastAsia="仿宋_GB2312" w:cs="仿宋_GB2312"/>
          <w:kern w:val="2"/>
          <w:sz w:val="32"/>
          <w:szCs w:val="32"/>
        </w:rPr>
      </w:pPr>
      <w:r>
        <w:rPr>
          <w:rFonts w:hint="eastAsia" w:ascii="仿宋_GB2312" w:hAnsi="Calibri" w:eastAsia="仿宋_GB2312" w:cs="仿宋_GB2312"/>
          <w:kern w:val="2"/>
          <w:sz w:val="32"/>
          <w:szCs w:val="32"/>
        </w:rPr>
        <w:t xml:space="preserve"> </w:t>
      </w:r>
    </w:p>
    <w:p>
      <w:pPr>
        <w:pStyle w:val="32"/>
        <w:widowControl w:val="0"/>
        <w:autoSpaceDE w:val="0"/>
        <w:spacing w:before="0" w:beforeAutospacing="0" w:after="0" w:afterAutospacing="0" w:line="580" w:lineRule="exact"/>
        <w:ind w:firstLine="4640" w:firstLineChars="1450"/>
        <w:jc w:val="both"/>
        <w:rPr>
          <w:rFonts w:ascii="仿宋_GB2312" w:eastAsia="仿宋_GB2312" w:cs="仿宋_GB2312"/>
          <w:kern w:val="2"/>
          <w:sz w:val="32"/>
          <w:szCs w:val="32"/>
        </w:rPr>
      </w:pPr>
      <w:r>
        <w:rPr>
          <w:rFonts w:hint="eastAsia" w:ascii="仿宋_GB2312" w:hAnsi="Calibri" w:eastAsia="仿宋_GB2312" w:cs="仿宋_GB2312"/>
          <w:kern w:val="2"/>
          <w:sz w:val="32"/>
          <w:szCs w:val="32"/>
        </w:rPr>
        <w:t>临泽县人民政府办公室</w:t>
      </w:r>
    </w:p>
    <w:p>
      <w:pPr>
        <w:pStyle w:val="32"/>
        <w:widowControl w:val="0"/>
        <w:autoSpaceDE w:val="0"/>
        <w:spacing w:before="0" w:beforeAutospacing="0" w:after="0" w:afterAutospacing="0" w:line="580" w:lineRule="exact"/>
        <w:ind w:firstLine="5052" w:firstLineChars="1579"/>
        <w:jc w:val="both"/>
        <w:rPr>
          <w:rFonts w:ascii="仿宋_GB2312" w:eastAsia="仿宋_GB2312" w:cs="仿宋_GB2312"/>
          <w:kern w:val="2"/>
          <w:sz w:val="32"/>
          <w:szCs w:val="32"/>
        </w:rPr>
      </w:pPr>
      <w:r>
        <w:rPr>
          <w:rFonts w:hint="eastAsia" w:ascii="仿宋_GB2312" w:hAnsi="Calibri" w:eastAsia="仿宋_GB2312" w:cs="仿宋_GB2312"/>
          <w:kern w:val="2"/>
          <w:sz w:val="32"/>
          <w:szCs w:val="32"/>
        </w:rPr>
        <w:t>2022年10月9日</w:t>
      </w:r>
    </w:p>
    <w:p>
      <w:pPr>
        <w:autoSpaceDE w:val="0"/>
        <w:spacing w:line="580" w:lineRule="exact"/>
        <w:jc w:val="center"/>
        <w:rPr>
          <w:rFonts w:ascii="方正小标宋简体" w:hAnsi="方正小标宋简体" w:eastAsia="方正小标宋简体" w:cs="方正小标宋简体"/>
          <w:sz w:val="44"/>
          <w:szCs w:val="44"/>
        </w:rPr>
      </w:pPr>
    </w:p>
    <w:p>
      <w:pPr>
        <w:autoSpaceDE w:val="0"/>
        <w:spacing w:line="580" w:lineRule="exact"/>
        <w:jc w:val="center"/>
        <w:rPr>
          <w:rFonts w:ascii="方正小标宋简体" w:hAnsi="方正小标宋简体" w:eastAsia="方正小标宋简体" w:cs="方正小标宋简体"/>
          <w:sz w:val="44"/>
          <w:szCs w:val="44"/>
        </w:rPr>
      </w:pPr>
    </w:p>
    <w:p>
      <w:pPr>
        <w:spacing w:line="580" w:lineRule="exact"/>
        <w:rPr>
          <w:rFonts w:ascii="方正小标宋简体" w:hAnsi="方正小标宋简体" w:eastAsia="方正小标宋简体" w:cs="方正小标宋简体"/>
          <w:sz w:val="44"/>
          <w:szCs w:val="44"/>
        </w:rPr>
      </w:pPr>
    </w:p>
    <w:p>
      <w:pPr>
        <w:pStyle w:val="2"/>
      </w:pPr>
    </w:p>
    <w:p>
      <w:pPr>
        <w:pStyle w:val="3"/>
        <w:rPr>
          <w:lang w:val="en-US" w:bidi="ar-SA"/>
        </w:rPr>
      </w:pPr>
    </w:p>
    <w:p>
      <w:pPr>
        <w:spacing w:line="580" w:lineRule="exact"/>
        <w:jc w:val="center"/>
        <w:rPr>
          <w:rFonts w:ascii="方正小标宋简体" w:hAnsi="方正小标宋简体" w:eastAsia="方正小标宋简体" w:cs="方正小标宋简体"/>
          <w:sz w:val="44"/>
          <w:szCs w:val="44"/>
        </w:rPr>
      </w:pPr>
    </w:p>
    <w:p>
      <w:pPr>
        <w:spacing w:line="580" w:lineRule="exact"/>
        <w:jc w:val="center"/>
        <w:rPr>
          <w:rFonts w:ascii="方正小标宋简体" w:hAnsi="方正小标宋简体" w:eastAsia="方正小标宋简体" w:cs="方正小标宋简体"/>
          <w:sz w:val="44"/>
          <w:szCs w:val="44"/>
        </w:rPr>
      </w:pPr>
    </w:p>
    <w:p>
      <w:pPr>
        <w:spacing w:line="580" w:lineRule="exact"/>
        <w:jc w:val="center"/>
        <w:rPr>
          <w:rFonts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pacing w:val="-10"/>
          <w:sz w:val="44"/>
          <w:szCs w:val="44"/>
        </w:rPr>
        <w:t>临泽县“十四五”枢纽型冷链物流体系发展规划</w:t>
      </w:r>
      <w:bookmarkEnd w:id="0"/>
    </w:p>
    <w:p>
      <w:pPr>
        <w:spacing w:line="580" w:lineRule="exact"/>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（2022-2025年）</w:t>
      </w:r>
    </w:p>
    <w:p>
      <w:pPr>
        <w:pStyle w:val="5"/>
        <w:shd w:val="clear" w:color="auto" w:fill="FFFFFF"/>
        <w:spacing w:before="0" w:after="0" w:line="400" w:lineRule="exact"/>
        <w:jc w:val="center"/>
        <w:rPr>
          <w:rFonts w:ascii="黑体" w:hAnsi="黑体" w:eastAsia="黑体" w:cs="黑体"/>
          <w:b w:val="0"/>
          <w:bCs w:val="0"/>
          <w:kern w:val="0"/>
        </w:rPr>
      </w:pPr>
      <w:bookmarkStart w:id="1" w:name="_Toc4794"/>
      <w:bookmarkStart w:id="2" w:name="_Toc17795"/>
    </w:p>
    <w:p>
      <w:pPr>
        <w:pStyle w:val="5"/>
        <w:shd w:val="clear" w:color="auto" w:fill="FFFFFF"/>
        <w:spacing w:before="0" w:after="0" w:line="400" w:lineRule="exact"/>
        <w:jc w:val="center"/>
        <w:rPr>
          <w:rFonts w:ascii="黑体" w:hAnsi="黑体" w:eastAsia="黑体" w:cs="黑体"/>
          <w:b w:val="0"/>
          <w:bCs w:val="0"/>
          <w:kern w:val="0"/>
        </w:rPr>
      </w:pPr>
      <w:r>
        <w:rPr>
          <w:rFonts w:hint="eastAsia" w:ascii="黑体" w:hAnsi="黑体" w:eastAsia="黑体" w:cs="黑体"/>
          <w:b w:val="0"/>
          <w:bCs w:val="0"/>
          <w:kern w:val="0"/>
        </w:rPr>
        <w:t>第一章  规划背景</w:t>
      </w:r>
    </w:p>
    <w:p>
      <w:pPr>
        <w:pStyle w:val="6"/>
        <w:widowControl w:val="0"/>
        <w:spacing w:afterLines="0" w:line="400" w:lineRule="exact"/>
      </w:pPr>
    </w:p>
    <w:p>
      <w:pPr>
        <w:pStyle w:val="6"/>
        <w:widowControl w:val="0"/>
        <w:spacing w:afterLines="0" w:line="580" w:lineRule="exact"/>
        <w:ind w:firstLine="643"/>
        <w:rPr>
          <w:rFonts w:ascii="楷体_GB2312" w:hAnsi="楷体_GB2312" w:eastAsia="楷体_GB2312" w:cs="楷体_GB2312"/>
          <w:sz w:val="32"/>
          <w:szCs w:val="32"/>
        </w:rPr>
      </w:pPr>
      <w:r>
        <w:rPr>
          <w:rFonts w:hint="eastAsia" w:ascii="楷体_GB2312" w:hAnsi="楷体_GB2312" w:eastAsia="楷体_GB2312" w:cs="楷体_GB2312"/>
          <w:b/>
          <w:bCs/>
          <w:sz w:val="32"/>
          <w:szCs w:val="32"/>
        </w:rPr>
        <w:t>（一）区位概况</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1.地</w:t>
      </w:r>
      <w:r>
        <w:rPr>
          <w:rFonts w:hint="eastAsia" w:ascii="仿宋_GB2312" w:hAnsi="仿宋_GB2312" w:eastAsia="仿宋_GB2312" w:cs="仿宋_GB2312"/>
          <w:b/>
          <w:bCs/>
          <w:spacing w:val="-6"/>
          <w:sz w:val="32"/>
          <w:szCs w:val="32"/>
        </w:rPr>
        <w:t>理位置</w:t>
      </w:r>
      <w:r>
        <w:rPr>
          <w:rFonts w:hint="eastAsia" w:ascii="仿宋_GB2312" w:hAnsi="仿宋_GB2312" w:eastAsia="仿宋_GB2312" w:cs="仿宋_GB2312"/>
          <w:spacing w:val="-6"/>
          <w:sz w:val="32"/>
          <w:szCs w:val="32"/>
        </w:rPr>
        <w:t>。临泽县位于甘肃省河西走廊中部，是张掖盆地的重要组成部分，地处东经99°51'—100°30'、北纬38°57'—</w:t>
      </w:r>
      <w:r>
        <w:rPr>
          <w:rFonts w:hint="eastAsia" w:ascii="仿宋_GB2312" w:hAnsi="仿宋_GB2312" w:eastAsia="仿宋_GB2312" w:cs="仿宋_GB2312"/>
          <w:sz w:val="32"/>
          <w:szCs w:val="32"/>
        </w:rPr>
        <w:t>39°42'之间。东邻张掖市甘州区，西接高台县，南依祁连山与肃南裕固族自治县接壤，北毗内蒙古自治区阿拉善右旗，总面积2727平方公里。地形特征是“两山夹一川”。南屏祁连峻峰，北蔽合黎峰峦，中部是平坦的走廊平原。地势南北高、中间低，由东南向西北逐渐倾斜。分三个类型：南部祁连山区，中部是黑河水系冲积形成的走廊平原区，北部合黎山剥蚀残山区。海拔1380—2278米，海拔最高为2278米，最低1380米。县境内祁连山区为祁连山脉的浅山区，四周山峰环绕，中间为一小盆地，覆盖有厚层黄土，黑河最大支流黎园河从中流经，河南、北阶地为耕地，山坡为牧场。北部合黎山又名北大山，属天山余脉，山势不高，地势平缓，山峰海拔在1500—2000米之间，相对高差只有200—300米，是干旱剥蚀的低山区，植被稀少，属荒漠草原。中部走廊平原地势呈东、南、北三面高，西北低，海拔在1600—1380米之间。南北山前戈壁和荒漠相拥，沃野绿洲像一块绿宝石镶嵌于其中，地势平坦，土地肥沃，水草茂盛，物产丰富，是临泽精华地带。</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临泽县历史悠久，地处河西走廊中部，是古丝绸之路要塞。南出梨园口，可达青藏高原；北越合黎，可抵蒙古大漠；西过嘉峪关通新疆；东经武威、兰州，与内地相连。地理位置十分重要，是丝绸之路商贾重镇和咽喉要道，是“一带一路”上的重要节点城市，也是重要的商贸流通枢纽，以及甘肃省农副产品加工和能源基地。</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2.交通基础</w:t>
      </w:r>
      <w:r>
        <w:rPr>
          <w:rFonts w:hint="eastAsia" w:ascii="仿宋_GB2312" w:hAnsi="仿宋_GB2312" w:eastAsia="仿宋_GB2312" w:cs="仿宋_GB2312"/>
          <w:sz w:val="32"/>
          <w:szCs w:val="32"/>
        </w:rPr>
        <w:t>。国家重要交通线密集，兰新铁路、兰新客运专线、高速公路G30线、国道312线横贯全境，2016年建成全省首家通用航空机场，拥有立体化的交通网络。至2020年末，全县共有公路1501公里，其中：高速公路32公里，一级公路48公里，二级公路91公里，三级公路179公里，四级公路1151公里，基本形成以临泽县城为中心、高速公路为骨架、普通国省干线为辐射、农村公路为脉络的内外便捷公路网络。</w:t>
      </w:r>
    </w:p>
    <w:p>
      <w:pPr>
        <w:pStyle w:val="6"/>
        <w:widowControl w:val="0"/>
        <w:spacing w:afterLines="0" w:line="580" w:lineRule="exact"/>
        <w:ind w:firstLine="643"/>
        <w:rPr>
          <w:rFonts w:ascii="仿宋_GB2312" w:hAnsi="仿宋_GB2312" w:eastAsia="仿宋_GB2312" w:cs="仿宋_GB2312"/>
          <w:spacing w:val="4"/>
          <w:sz w:val="32"/>
          <w:szCs w:val="32"/>
        </w:rPr>
      </w:pPr>
      <w:r>
        <w:rPr>
          <w:rFonts w:hint="eastAsia" w:ascii="仿宋_GB2312" w:hAnsi="仿宋_GB2312" w:eastAsia="仿宋_GB2312" w:cs="仿宋_GB2312"/>
          <w:b/>
          <w:bCs/>
          <w:sz w:val="32"/>
          <w:szCs w:val="32"/>
        </w:rPr>
        <w:t>3.冷链物流支撑产业。</w:t>
      </w:r>
      <w:r>
        <w:rPr>
          <w:rFonts w:hint="eastAsia" w:ascii="仿宋_GB2312" w:hAnsi="仿宋_GB2312" w:eastAsia="仿宋_GB2312" w:cs="仿宋_GB2312"/>
          <w:sz w:val="32"/>
          <w:szCs w:val="32"/>
        </w:rPr>
        <w:t>临泽县自然条件得天独厚、农业资源丰富，市场优势明显，是国家重要的商品粮、瓜果蔬菜生产基地，是久负盛名的“中国枣乡”、全国无公害蔬菜示范基地县、绿色无公害畜产品生产基地、国家级玉米制种基地、乡村振兴百佳示范县和全省首批现代农业示范区、牛羊产业大县，被列为国家农村产业融合发展示范园创建试点县。全县农作物种植面积48.48万亩，总产量165681吨；制种玉米24.75万亩，建成全程机械化生产示范点7个1.4万亩，产值达6.6亿元，玉</w:t>
      </w:r>
      <w:r>
        <w:rPr>
          <w:rFonts w:hint="eastAsia" w:ascii="仿宋_GB2312" w:hAnsi="仿宋_GB2312" w:eastAsia="仿宋_GB2312" w:cs="仿宋_GB2312"/>
          <w:spacing w:val="-4"/>
          <w:sz w:val="32"/>
          <w:szCs w:val="32"/>
        </w:rPr>
        <w:t>米</w:t>
      </w:r>
      <w:r>
        <w:rPr>
          <w:rFonts w:hint="eastAsia" w:ascii="仿宋_GB2312" w:hAnsi="仿宋_GB2312" w:eastAsia="仿宋_GB2312" w:cs="仿宋_GB2312"/>
          <w:spacing w:val="4"/>
          <w:sz w:val="32"/>
          <w:szCs w:val="32"/>
        </w:rPr>
        <w:t>种子产量占全国大田玉米用种量的13%；在非常丰富的秸秆和饲料支撑下，畜牧养殖业发展迅速，肉牛饲养量达到25万头以上、肉羊饲养量21.1万只以上、生猪饲养量达到5.43万头以上、禽饲养量29.84只以上。高原夏菜已成为名副其实的绿色有机蔬菜，种植面积近10万亩，80%以上向外运到东南亚、中西亚、华北、珠三角、长三角等地。现代丝路寒旱农业产业园跻身省级现代农业产业园行列，实现产值2.1亿元；发展以葡萄、红枣为主的特色林果6025亩，甜叶菊、辣椒等特色产业发展势头强劲。以现代种子、畜禽养殖、有机蔬菜、特色林果、水产养殖等主要特色农产品迅速增长，已成为催生张掖冷链物流产业快速发展的主要内因，也是临泽冷链物流业发展的主要支撑。</w:t>
      </w:r>
    </w:p>
    <w:p>
      <w:pPr>
        <w:pStyle w:val="6"/>
        <w:widowControl w:val="0"/>
        <w:spacing w:afterLines="0" w:line="580" w:lineRule="exact"/>
        <w:ind w:firstLine="643"/>
        <w:rPr>
          <w:rFonts w:ascii="楷体_GB2312" w:hAnsi="楷体_GB2312" w:eastAsia="楷体_GB2312" w:cs="楷体_GB2312"/>
          <w:sz w:val="32"/>
          <w:szCs w:val="32"/>
        </w:rPr>
      </w:pPr>
      <w:r>
        <w:rPr>
          <w:rFonts w:hint="eastAsia" w:ascii="楷体_GB2312" w:hAnsi="楷体_GB2312" w:eastAsia="楷体_GB2312" w:cs="楷体_GB2312"/>
          <w:b/>
          <w:bCs/>
          <w:sz w:val="32"/>
          <w:szCs w:val="32"/>
        </w:rPr>
        <w:t>（二）规划意义</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1.有利于加快临泽绿色转型高质量发展。</w:t>
      </w:r>
      <w:r>
        <w:rPr>
          <w:rFonts w:hint="eastAsia" w:ascii="仿宋_GB2312" w:hAnsi="仿宋_GB2312" w:eastAsia="仿宋_GB2312" w:cs="仿宋_GB2312"/>
          <w:sz w:val="32"/>
          <w:szCs w:val="32"/>
        </w:rPr>
        <w:t>“坚持筑牢守好国家西部生态安全屏障，推动绿色转型高质量发展，持续加强生态文明建设，加快构建生态经济体系”是2019年8月习近平总书记视察甘肃时，为张掖发展定的调、把的航。冷链物流是国家鼓励发展的新兴产业，在国家构建双循环的新发展格局中，冷链物流发展将成为重要发力点。因此，建设临泽冷链物流体系、占领现代农业发展新高地是临泽深入贯彻落实习近平总书记重要讲话精神的具体行动，是稳住临泽特色农产品种植面积、稳住已有的有机蔬菜、畜禽养殖、特色林果国内畅销市场，扩大对外开放的重要引擎。</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2.有利于衔接国家乡村振兴战略。</w:t>
      </w:r>
      <w:r>
        <w:rPr>
          <w:rFonts w:hint="eastAsia" w:ascii="仿宋_GB2312" w:hAnsi="仿宋_GB2312" w:eastAsia="仿宋_GB2312" w:cs="仿宋_GB2312"/>
          <w:sz w:val="32"/>
          <w:szCs w:val="32"/>
        </w:rPr>
        <w:t>近年来，农产品冷链物流产业被列入国家振兴产业，农业农村部、国家发改委、财政部、商务部联合发文，明确提出“加强冷链物流集散中心建设，构建覆盖农产品生产、加工、运输、储存、销售等环节的全程冷链物流体系”。2020年中央1号文件更是重点提出“启动农产品仓储保鲜冷链物流设施建设工程”。可见，农产品冷链物流在农业流通和物流产业中的重要地位。发展现代农业是临泽经过几代人不懈努力，探索出来的一条适合本县发展的新路径，发展冷链物流产业又是助推临泽农产品经济高质量发展重要保障，因此，规划农产品冷链物流产业是本市巩固脱贫攻坚成果、有效衔接乡村振兴、促进消费升级的迫切要求。</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3.有利</w:t>
      </w:r>
      <w:r>
        <w:rPr>
          <w:rFonts w:hint="eastAsia" w:ascii="仿宋_GB2312" w:hAnsi="仿宋_GB2312" w:eastAsia="仿宋_GB2312" w:cs="仿宋_GB2312"/>
          <w:b/>
          <w:bCs/>
          <w:spacing w:val="4"/>
          <w:sz w:val="32"/>
          <w:szCs w:val="32"/>
        </w:rPr>
        <w:t>于充分发挥区位和物流节点城市优势。</w:t>
      </w:r>
      <w:r>
        <w:rPr>
          <w:rFonts w:hint="eastAsia" w:ascii="仿宋_GB2312" w:hAnsi="仿宋_GB2312" w:eastAsia="仿宋_GB2312" w:cs="仿宋_GB2312"/>
          <w:spacing w:val="4"/>
          <w:sz w:val="32"/>
          <w:szCs w:val="32"/>
        </w:rPr>
        <w:t>深度融入“一带一路”建设，放大其区位优势，是临泽错位、差异化发展的主要途径。以临泽综合交通体系为依托，推动临泽枢纽型冷链物流的建设对其实施国家</w:t>
      </w:r>
      <w:r>
        <w:rPr>
          <w:rFonts w:hint="eastAsia" w:ascii="仿宋_GB2312" w:hAnsi="仿宋_GB2312" w:eastAsia="仿宋_GB2312" w:cs="仿宋_GB2312"/>
          <w:spacing w:val="4"/>
          <w:sz w:val="32"/>
          <w:szCs w:val="32"/>
          <w:lang w:eastAsia="zh-CN"/>
        </w:rPr>
        <w:t>“一带一路”倡议</w:t>
      </w:r>
      <w:r>
        <w:rPr>
          <w:rFonts w:hint="eastAsia" w:ascii="仿宋_GB2312" w:hAnsi="仿宋_GB2312" w:eastAsia="仿宋_GB2312" w:cs="仿宋_GB2312"/>
          <w:spacing w:val="4"/>
          <w:sz w:val="32"/>
          <w:szCs w:val="32"/>
        </w:rPr>
        <w:t>、构建节点物流体系具有重要现实意义，将有力带动临泽乃至河西片区物流网络体系构建</w:t>
      </w:r>
      <w:r>
        <w:rPr>
          <w:rFonts w:hint="eastAsia" w:ascii="仿宋_GB2312" w:hAnsi="仿宋_GB2312" w:eastAsia="仿宋_GB2312" w:cs="仿宋_GB2312"/>
          <w:sz w:val="32"/>
          <w:szCs w:val="32"/>
        </w:rPr>
        <w:t>。</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4.有利于加快补齐冷链物流短板。</w:t>
      </w:r>
      <w:r>
        <w:rPr>
          <w:rFonts w:hint="eastAsia" w:ascii="仿宋_GB2312" w:hAnsi="仿宋_GB2312" w:eastAsia="仿宋_GB2312" w:cs="仿宋_GB2312"/>
          <w:sz w:val="32"/>
          <w:szCs w:val="32"/>
        </w:rPr>
        <w:t>科学规划冷链物流基地布局，补齐本市新冠肺炎疫情后冷链物流短板，将有助于提高冷链物流规模化、集约化、组织化、网络化水平，倒逼张掖加快冷链物流节点建设，打通冷链物流发展瓶颈，将国家冷链物流各项战略部署真正落到实处。</w:t>
      </w: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（三）规划范围。</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1.规划范围：</w:t>
      </w:r>
      <w:r>
        <w:rPr>
          <w:rFonts w:hint="eastAsia" w:ascii="仿宋_GB2312" w:hAnsi="仿宋_GB2312" w:eastAsia="仿宋_GB2312" w:cs="仿宋_GB2312"/>
          <w:sz w:val="32"/>
          <w:szCs w:val="32"/>
        </w:rPr>
        <w:t>包括临泽县所辖沙河镇、新华镇、平川镇、板桥镇、蓼泉镇、鸭暖镇、倪家营镇7个镇。</w:t>
      </w: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仿宋_GB2312" w:hAnsi="仿宋_GB2312" w:eastAsia="仿宋_GB2312" w:cs="仿宋_GB2312"/>
          <w:b/>
          <w:bCs/>
          <w:sz w:val="32"/>
          <w:szCs w:val="32"/>
        </w:rPr>
        <w:t>2.规划期限。</w:t>
      </w:r>
      <w:r>
        <w:rPr>
          <w:rFonts w:hint="eastAsia" w:ascii="仿宋_GB2312" w:hAnsi="仿宋_GB2312" w:eastAsia="仿宋_GB2312" w:cs="仿宋_GB2312"/>
          <w:sz w:val="32"/>
          <w:szCs w:val="32"/>
        </w:rPr>
        <w:t>规划期限：2021-2025年；规划基年：2020年，远期展望到2035年。</w:t>
      </w:r>
    </w:p>
    <w:p>
      <w:pPr>
        <w:pStyle w:val="6"/>
        <w:widowControl w:val="0"/>
        <w:spacing w:afterLines="0" w:line="56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（四）规划依据</w:t>
      </w:r>
    </w:p>
    <w:tbl>
      <w:tblPr>
        <w:tblStyle w:val="79"/>
        <w:tblW w:w="87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832"/>
        <w:gridCol w:w="5698"/>
        <w:gridCol w:w="16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568" w:type="dxa"/>
            <w:vAlign w:val="center"/>
          </w:tcPr>
          <w:p>
            <w:pPr>
              <w:spacing w:line="340" w:lineRule="exact"/>
              <w:jc w:val="center"/>
              <w:rPr>
                <w:rFonts w:ascii="黑体" w:hAnsi="黑体" w:eastAsia="黑体" w:cs="黑体"/>
                <w:sz w:val="20"/>
                <w:szCs w:val="20"/>
              </w:rPr>
            </w:pPr>
            <w:r>
              <w:rPr>
                <w:rFonts w:ascii="黑体" w:hAnsi="黑体" w:eastAsia="黑体" w:cs="黑体"/>
                <w:spacing w:val="2"/>
                <w:sz w:val="20"/>
                <w:szCs w:val="20"/>
              </w:rPr>
              <w:t>分类</w:t>
            </w:r>
          </w:p>
        </w:tc>
        <w:tc>
          <w:tcPr>
            <w:tcW w:w="832" w:type="dxa"/>
            <w:vAlign w:val="center"/>
          </w:tcPr>
          <w:p>
            <w:pPr>
              <w:spacing w:line="340" w:lineRule="exact"/>
              <w:jc w:val="center"/>
              <w:rPr>
                <w:rFonts w:ascii="黑体" w:hAnsi="黑体" w:eastAsia="黑体" w:cs="黑体"/>
                <w:sz w:val="20"/>
                <w:szCs w:val="20"/>
              </w:rPr>
            </w:pPr>
            <w:r>
              <w:rPr>
                <w:rFonts w:ascii="黑体" w:hAnsi="黑体" w:eastAsia="黑体" w:cs="黑体"/>
                <w:spacing w:val="1"/>
                <w:sz w:val="20"/>
                <w:szCs w:val="20"/>
              </w:rPr>
              <w:t>时间</w:t>
            </w:r>
          </w:p>
        </w:tc>
        <w:tc>
          <w:tcPr>
            <w:tcW w:w="5698" w:type="dxa"/>
            <w:vAlign w:val="center"/>
          </w:tcPr>
          <w:p>
            <w:pPr>
              <w:spacing w:line="340" w:lineRule="exact"/>
              <w:jc w:val="center"/>
              <w:rPr>
                <w:rFonts w:ascii="黑体" w:hAnsi="黑体" w:eastAsia="黑体" w:cs="黑体"/>
                <w:sz w:val="20"/>
                <w:szCs w:val="20"/>
              </w:rPr>
            </w:pPr>
            <w:r>
              <w:rPr>
                <w:rFonts w:ascii="黑体" w:hAnsi="黑体" w:eastAsia="黑体" w:cs="黑体"/>
                <w:spacing w:val="8"/>
                <w:sz w:val="20"/>
                <w:szCs w:val="20"/>
              </w:rPr>
              <w:t>政</w:t>
            </w:r>
            <w:r>
              <w:rPr>
                <w:rFonts w:ascii="黑体" w:hAnsi="黑体" w:eastAsia="黑体" w:cs="黑体"/>
                <w:spacing w:val="5"/>
                <w:sz w:val="20"/>
                <w:szCs w:val="20"/>
              </w:rPr>
              <w:t xml:space="preserve">            策</w:t>
            </w:r>
          </w:p>
        </w:tc>
        <w:tc>
          <w:tcPr>
            <w:tcW w:w="1650" w:type="dxa"/>
            <w:vAlign w:val="center"/>
          </w:tcPr>
          <w:p>
            <w:pPr>
              <w:spacing w:line="340" w:lineRule="exact"/>
              <w:jc w:val="center"/>
              <w:rPr>
                <w:rFonts w:ascii="黑体" w:hAnsi="黑体" w:eastAsia="黑体" w:cs="黑体"/>
                <w:sz w:val="20"/>
                <w:szCs w:val="20"/>
              </w:rPr>
            </w:pPr>
            <w:r>
              <w:rPr>
                <w:rFonts w:ascii="黑体" w:hAnsi="黑体" w:eastAsia="黑体" w:cs="黑体"/>
                <w:spacing w:val="7"/>
                <w:sz w:val="20"/>
                <w:szCs w:val="20"/>
              </w:rPr>
              <w:t>发布机构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restart"/>
            <w:tcBorders>
              <w:bottom w:val="nil"/>
            </w:tcBorders>
            <w:textDirection w:val="tbRlV"/>
          </w:tcPr>
          <w:p>
            <w:pPr>
              <w:spacing w:line="460" w:lineRule="exact"/>
              <w:ind w:firstLine="436" w:firstLineChars="200"/>
              <w:jc w:val="center"/>
              <w:rPr>
                <w:rFonts w:ascii="黑体" w:hAnsi="黑体" w:eastAsia="黑体" w:cs="黑体"/>
                <w:sz w:val="20"/>
                <w:szCs w:val="20"/>
              </w:rPr>
            </w:pPr>
            <w:r>
              <w:rPr>
                <w:rFonts w:ascii="黑体" w:hAnsi="黑体" w:eastAsia="黑体" w:cs="黑体"/>
                <w:spacing w:val="9"/>
                <w:sz w:val="20"/>
                <w:szCs w:val="20"/>
              </w:rPr>
              <w:t>规</w:t>
            </w:r>
            <w:r>
              <w:rPr>
                <w:rFonts w:ascii="黑体" w:hAnsi="黑体" w:eastAsia="黑体" w:cs="黑体"/>
                <w:spacing w:val="7"/>
                <w:sz w:val="20"/>
                <w:szCs w:val="20"/>
              </w:rPr>
              <w:t xml:space="preserve">  划  方  案</w:t>
            </w:r>
          </w:p>
        </w:tc>
        <w:tc>
          <w:tcPr>
            <w:tcW w:w="832"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2010</w:t>
            </w:r>
          </w:p>
        </w:tc>
        <w:tc>
          <w:tcPr>
            <w:tcW w:w="5698" w:type="dxa"/>
            <w:vAlign w:val="center"/>
          </w:tcPr>
          <w:p>
            <w:pPr>
              <w:spacing w:line="340" w:lineRule="exact"/>
              <w:rPr>
                <w:rFonts w:ascii="仿宋_GB2312" w:hAnsi="仿宋" w:eastAsia="仿宋_GB2312" w:cs="仿宋"/>
                <w:sz w:val="20"/>
                <w:szCs w:val="20"/>
              </w:rPr>
            </w:pPr>
            <w:r>
              <w:rPr>
                <w:rFonts w:hint="eastAsia" w:ascii="仿宋_GB2312" w:hAnsi="仿宋" w:eastAsia="仿宋_GB2312" w:cs="仿宋"/>
                <w:sz w:val="20"/>
                <w:szCs w:val="20"/>
              </w:rPr>
              <w:t>农产品冷链物流发展规划</w:t>
            </w:r>
          </w:p>
        </w:tc>
        <w:tc>
          <w:tcPr>
            <w:tcW w:w="1650"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国家发改委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continue"/>
            <w:tcBorders>
              <w:top w:val="nil"/>
              <w:bottom w:val="nil"/>
            </w:tcBorders>
            <w:textDirection w:val="tbRlV"/>
          </w:tcPr>
          <w:p>
            <w:pPr>
              <w:spacing w:line="460" w:lineRule="exact"/>
              <w:ind w:firstLine="420" w:firstLineChars="200"/>
              <w:jc w:val="center"/>
              <w:rPr>
                <w:rFonts w:ascii="Arial"/>
              </w:rPr>
            </w:pPr>
          </w:p>
        </w:tc>
        <w:tc>
          <w:tcPr>
            <w:tcW w:w="832"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2014</w:t>
            </w:r>
          </w:p>
        </w:tc>
        <w:tc>
          <w:tcPr>
            <w:tcW w:w="5698" w:type="dxa"/>
            <w:vAlign w:val="center"/>
          </w:tcPr>
          <w:p>
            <w:pPr>
              <w:tabs>
                <w:tab w:val="left" w:pos="924"/>
              </w:tabs>
              <w:spacing w:line="340" w:lineRule="exact"/>
              <w:rPr>
                <w:rFonts w:ascii="仿宋_GB2312" w:hAnsi="仿宋" w:eastAsia="仿宋_GB2312" w:cs="仿宋"/>
                <w:sz w:val="20"/>
                <w:szCs w:val="20"/>
              </w:rPr>
            </w:pPr>
            <w:r>
              <w:rPr>
                <w:rFonts w:hint="eastAsia" w:ascii="仿宋_GB2312" w:hAnsi="仿宋" w:eastAsia="仿宋_GB2312" w:cs="仿宋"/>
                <w:sz w:val="20"/>
                <w:szCs w:val="20"/>
              </w:rPr>
              <w:t>物流业发展中长期规划(2014-2020年)</w:t>
            </w:r>
          </w:p>
        </w:tc>
        <w:tc>
          <w:tcPr>
            <w:tcW w:w="1650"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国务院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continue"/>
            <w:tcBorders>
              <w:top w:val="nil"/>
              <w:bottom w:val="nil"/>
            </w:tcBorders>
            <w:textDirection w:val="tbRlV"/>
          </w:tcPr>
          <w:p>
            <w:pPr>
              <w:spacing w:line="460" w:lineRule="exact"/>
              <w:ind w:firstLine="420" w:firstLineChars="200"/>
              <w:jc w:val="center"/>
              <w:rPr>
                <w:rFonts w:ascii="Arial"/>
              </w:rPr>
            </w:pPr>
          </w:p>
        </w:tc>
        <w:tc>
          <w:tcPr>
            <w:tcW w:w="832"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2015</w:t>
            </w:r>
          </w:p>
        </w:tc>
        <w:tc>
          <w:tcPr>
            <w:tcW w:w="5698" w:type="dxa"/>
            <w:vAlign w:val="center"/>
          </w:tcPr>
          <w:p>
            <w:pPr>
              <w:tabs>
                <w:tab w:val="left" w:pos="924"/>
              </w:tabs>
              <w:spacing w:line="340" w:lineRule="exact"/>
              <w:rPr>
                <w:rFonts w:ascii="仿宋_GB2312" w:hAnsi="仿宋" w:eastAsia="仿宋_GB2312" w:cs="仿宋"/>
                <w:sz w:val="20"/>
                <w:szCs w:val="20"/>
              </w:rPr>
            </w:pPr>
            <w:r>
              <w:rPr>
                <w:rFonts w:hint="eastAsia" w:ascii="仿宋_GB2312" w:hAnsi="仿宋" w:eastAsia="仿宋_GB2312" w:cs="仿宋"/>
                <w:sz w:val="20"/>
                <w:szCs w:val="20"/>
              </w:rPr>
              <w:t>张掖市商贸物流业发展专项规划(2016-2020)</w:t>
            </w:r>
          </w:p>
        </w:tc>
        <w:tc>
          <w:tcPr>
            <w:tcW w:w="1650"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张掖市政府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continue"/>
            <w:tcBorders>
              <w:top w:val="nil"/>
              <w:bottom w:val="nil"/>
            </w:tcBorders>
            <w:textDirection w:val="tbRlV"/>
          </w:tcPr>
          <w:p>
            <w:pPr>
              <w:spacing w:line="460" w:lineRule="exact"/>
              <w:ind w:firstLine="420" w:firstLineChars="200"/>
              <w:jc w:val="center"/>
              <w:rPr>
                <w:rFonts w:ascii="Arial"/>
              </w:rPr>
            </w:pPr>
          </w:p>
        </w:tc>
        <w:tc>
          <w:tcPr>
            <w:tcW w:w="832"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2017</w:t>
            </w:r>
          </w:p>
        </w:tc>
        <w:tc>
          <w:tcPr>
            <w:tcW w:w="5698" w:type="dxa"/>
            <w:vAlign w:val="center"/>
          </w:tcPr>
          <w:p>
            <w:pPr>
              <w:spacing w:line="340" w:lineRule="exact"/>
              <w:rPr>
                <w:rFonts w:ascii="仿宋_GB2312" w:hAnsi="仿宋" w:eastAsia="仿宋_GB2312" w:cs="仿宋"/>
                <w:sz w:val="20"/>
                <w:szCs w:val="20"/>
              </w:rPr>
            </w:pPr>
            <w:r>
              <w:rPr>
                <w:rFonts w:hint="eastAsia" w:ascii="仿宋_GB2312" w:hAnsi="仿宋" w:eastAsia="仿宋_GB2312" w:cs="仿宋"/>
                <w:sz w:val="20"/>
                <w:szCs w:val="20"/>
              </w:rPr>
              <w:t>“十三五”现代综合交通运输体系发展规划</w:t>
            </w:r>
          </w:p>
        </w:tc>
        <w:tc>
          <w:tcPr>
            <w:tcW w:w="1650"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国务院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continue"/>
            <w:tcBorders>
              <w:top w:val="nil"/>
              <w:bottom w:val="nil"/>
            </w:tcBorders>
            <w:textDirection w:val="tbRlV"/>
          </w:tcPr>
          <w:p>
            <w:pPr>
              <w:spacing w:line="460" w:lineRule="exact"/>
              <w:ind w:firstLine="420" w:firstLineChars="200"/>
              <w:jc w:val="center"/>
              <w:rPr>
                <w:rFonts w:ascii="Arial"/>
              </w:rPr>
            </w:pPr>
          </w:p>
        </w:tc>
        <w:tc>
          <w:tcPr>
            <w:tcW w:w="832"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2017</w:t>
            </w:r>
          </w:p>
        </w:tc>
        <w:tc>
          <w:tcPr>
            <w:tcW w:w="5698" w:type="dxa"/>
            <w:vAlign w:val="center"/>
          </w:tcPr>
          <w:p>
            <w:pPr>
              <w:spacing w:line="340" w:lineRule="exact"/>
              <w:rPr>
                <w:rFonts w:ascii="仿宋_GB2312" w:hAnsi="仿宋" w:eastAsia="仿宋_GB2312" w:cs="仿宋"/>
                <w:sz w:val="20"/>
                <w:szCs w:val="20"/>
              </w:rPr>
            </w:pPr>
            <w:r>
              <w:rPr>
                <w:rFonts w:hint="eastAsia" w:ascii="仿宋_GB2312" w:hAnsi="仿宋" w:eastAsia="仿宋_GB2312" w:cs="仿宋"/>
                <w:sz w:val="20"/>
                <w:szCs w:val="20"/>
              </w:rPr>
              <w:t>商贸物流发展“十三五”规划</w:t>
            </w:r>
          </w:p>
        </w:tc>
        <w:tc>
          <w:tcPr>
            <w:tcW w:w="1650"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商务部等五部门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continue"/>
            <w:tcBorders>
              <w:top w:val="nil"/>
              <w:bottom w:val="nil"/>
            </w:tcBorders>
            <w:textDirection w:val="tbRlV"/>
          </w:tcPr>
          <w:p>
            <w:pPr>
              <w:spacing w:line="460" w:lineRule="exact"/>
              <w:ind w:firstLine="420" w:firstLineChars="200"/>
              <w:jc w:val="center"/>
              <w:rPr>
                <w:rFonts w:ascii="Arial"/>
              </w:rPr>
            </w:pPr>
          </w:p>
        </w:tc>
        <w:tc>
          <w:tcPr>
            <w:tcW w:w="832"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2017</w:t>
            </w:r>
          </w:p>
        </w:tc>
        <w:tc>
          <w:tcPr>
            <w:tcW w:w="5698" w:type="dxa"/>
            <w:vAlign w:val="center"/>
          </w:tcPr>
          <w:p>
            <w:pPr>
              <w:spacing w:line="340" w:lineRule="exact"/>
              <w:rPr>
                <w:rFonts w:ascii="仿宋_GB2312" w:hAnsi="仿宋" w:eastAsia="仿宋_GB2312" w:cs="仿宋"/>
                <w:sz w:val="20"/>
                <w:szCs w:val="20"/>
              </w:rPr>
            </w:pPr>
            <w:r>
              <w:rPr>
                <w:rFonts w:hint="eastAsia" w:ascii="仿宋_GB2312" w:hAnsi="仿宋" w:eastAsia="仿宋_GB2312" w:cs="仿宋"/>
                <w:sz w:val="20"/>
                <w:szCs w:val="20"/>
              </w:rPr>
              <w:t>甘肃省物流发展规划(2018-2020 年)</w:t>
            </w:r>
          </w:p>
        </w:tc>
        <w:tc>
          <w:tcPr>
            <w:tcW w:w="1650"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甘肃省人民政府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continue"/>
            <w:tcBorders>
              <w:top w:val="nil"/>
              <w:bottom w:val="nil"/>
            </w:tcBorders>
            <w:textDirection w:val="tbRlV"/>
          </w:tcPr>
          <w:p>
            <w:pPr>
              <w:spacing w:line="460" w:lineRule="exact"/>
              <w:ind w:firstLine="420" w:firstLineChars="200"/>
              <w:jc w:val="center"/>
              <w:rPr>
                <w:rFonts w:ascii="Arial"/>
              </w:rPr>
            </w:pPr>
          </w:p>
        </w:tc>
        <w:tc>
          <w:tcPr>
            <w:tcW w:w="832"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2017</w:t>
            </w:r>
          </w:p>
        </w:tc>
        <w:tc>
          <w:tcPr>
            <w:tcW w:w="5698" w:type="dxa"/>
            <w:vAlign w:val="center"/>
          </w:tcPr>
          <w:p>
            <w:pPr>
              <w:spacing w:line="340" w:lineRule="exact"/>
              <w:rPr>
                <w:rFonts w:ascii="仿宋_GB2312" w:hAnsi="仿宋" w:eastAsia="仿宋_GB2312" w:cs="仿宋"/>
                <w:sz w:val="20"/>
                <w:szCs w:val="20"/>
              </w:rPr>
            </w:pPr>
            <w:r>
              <w:rPr>
                <w:rFonts w:hint="eastAsia" w:ascii="仿宋_GB2312" w:hAnsi="仿宋" w:eastAsia="仿宋_GB2312" w:cs="仿宋"/>
                <w:sz w:val="20"/>
                <w:szCs w:val="20"/>
              </w:rPr>
              <w:t>张掖市农产品冷链物流发展规划(2018-2020)</w:t>
            </w:r>
          </w:p>
        </w:tc>
        <w:tc>
          <w:tcPr>
            <w:tcW w:w="1650"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张掖市政府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continue"/>
            <w:tcBorders>
              <w:top w:val="nil"/>
              <w:bottom w:val="nil"/>
            </w:tcBorders>
            <w:textDirection w:val="tbRlV"/>
          </w:tcPr>
          <w:p>
            <w:pPr>
              <w:spacing w:line="460" w:lineRule="exact"/>
              <w:ind w:firstLine="420" w:firstLineChars="200"/>
              <w:jc w:val="center"/>
              <w:rPr>
                <w:rFonts w:ascii="Arial"/>
              </w:rPr>
            </w:pPr>
          </w:p>
        </w:tc>
        <w:tc>
          <w:tcPr>
            <w:tcW w:w="832"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2018</w:t>
            </w:r>
          </w:p>
        </w:tc>
        <w:tc>
          <w:tcPr>
            <w:tcW w:w="5698" w:type="dxa"/>
            <w:vAlign w:val="center"/>
          </w:tcPr>
          <w:p>
            <w:pPr>
              <w:spacing w:line="340" w:lineRule="exact"/>
              <w:rPr>
                <w:rFonts w:ascii="仿宋_GB2312" w:hAnsi="仿宋" w:eastAsia="仿宋_GB2312" w:cs="仿宋"/>
                <w:sz w:val="20"/>
                <w:szCs w:val="20"/>
              </w:rPr>
            </w:pPr>
            <w:r>
              <w:rPr>
                <w:rFonts w:hint="eastAsia" w:ascii="仿宋_GB2312" w:hAnsi="仿宋" w:eastAsia="仿宋_GB2312" w:cs="仿宋"/>
                <w:sz w:val="20"/>
                <w:szCs w:val="20"/>
              </w:rPr>
              <w:t>国家物流枢纽布局和建设规划</w:t>
            </w:r>
          </w:p>
        </w:tc>
        <w:tc>
          <w:tcPr>
            <w:tcW w:w="1650"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国家发改委等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68" w:type="dxa"/>
            <w:vMerge w:val="continue"/>
            <w:tcBorders>
              <w:top w:val="nil"/>
              <w:bottom w:val="nil"/>
            </w:tcBorders>
            <w:textDirection w:val="tbRlV"/>
          </w:tcPr>
          <w:p>
            <w:pPr>
              <w:spacing w:line="460" w:lineRule="exact"/>
              <w:ind w:firstLine="420" w:firstLineChars="200"/>
              <w:jc w:val="center"/>
              <w:rPr>
                <w:rFonts w:ascii="Arial"/>
              </w:rPr>
            </w:pPr>
          </w:p>
        </w:tc>
        <w:tc>
          <w:tcPr>
            <w:tcW w:w="832"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2018</w:t>
            </w:r>
          </w:p>
        </w:tc>
        <w:tc>
          <w:tcPr>
            <w:tcW w:w="5698" w:type="dxa"/>
            <w:vAlign w:val="center"/>
          </w:tcPr>
          <w:p>
            <w:pPr>
              <w:spacing w:line="340" w:lineRule="exact"/>
              <w:rPr>
                <w:rFonts w:ascii="仿宋_GB2312" w:hAnsi="仿宋" w:eastAsia="仿宋_GB2312" w:cs="仿宋"/>
                <w:sz w:val="20"/>
                <w:szCs w:val="20"/>
              </w:rPr>
            </w:pPr>
            <w:r>
              <w:rPr>
                <w:rFonts w:hint="eastAsia" w:ascii="仿宋_GB2312" w:hAnsi="仿宋" w:eastAsia="仿宋_GB2312" w:cs="仿宋"/>
                <w:sz w:val="20"/>
                <w:szCs w:val="20"/>
              </w:rPr>
              <w:t>西部陆海新通道总体规划</w:t>
            </w:r>
          </w:p>
        </w:tc>
        <w:tc>
          <w:tcPr>
            <w:tcW w:w="1650" w:type="dxa"/>
            <w:vAlign w:val="center"/>
          </w:tcPr>
          <w:p>
            <w:pPr>
              <w:spacing w:line="240" w:lineRule="exact"/>
              <w:jc w:val="center"/>
              <w:rPr>
                <w:rFonts w:ascii="仿宋_GB2312" w:hAnsi="仿宋" w:eastAsia="仿宋_GB2312" w:cs="仿宋"/>
                <w:sz w:val="20"/>
                <w:szCs w:val="20"/>
              </w:rPr>
            </w:pPr>
            <w:r>
              <w:rPr>
                <w:rFonts w:hint="eastAsia" w:ascii="仿宋_GB2312" w:hAnsi="仿宋" w:eastAsia="仿宋_GB2312" w:cs="仿宋"/>
                <w:sz w:val="20"/>
                <w:szCs w:val="20"/>
              </w:rPr>
              <w:t>国家发改委</w:t>
            </w:r>
          </w:p>
          <w:p>
            <w:pPr>
              <w:spacing w:line="240" w:lineRule="exact"/>
              <w:jc w:val="center"/>
              <w:rPr>
                <w:rFonts w:ascii="仿宋_GB2312" w:hAnsi="仿宋" w:eastAsia="仿宋_GB2312" w:cs="仿宋"/>
                <w:sz w:val="20"/>
                <w:szCs w:val="20"/>
              </w:rPr>
            </w:pPr>
            <w:r>
              <w:rPr>
                <w:rFonts w:hint="eastAsia" w:ascii="仿宋_GB2312" w:hAnsi="仿宋" w:eastAsia="仿宋_GB2312" w:cs="仿宋"/>
                <w:sz w:val="20"/>
                <w:szCs w:val="20"/>
              </w:rPr>
              <w:t>交通运输部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continue"/>
            <w:tcBorders>
              <w:top w:val="nil"/>
              <w:bottom w:val="nil"/>
            </w:tcBorders>
            <w:textDirection w:val="tbRlV"/>
          </w:tcPr>
          <w:p>
            <w:pPr>
              <w:spacing w:line="460" w:lineRule="exact"/>
              <w:ind w:firstLine="420" w:firstLineChars="200"/>
              <w:jc w:val="center"/>
              <w:rPr>
                <w:rFonts w:ascii="Arial"/>
              </w:rPr>
            </w:pPr>
          </w:p>
        </w:tc>
        <w:tc>
          <w:tcPr>
            <w:tcW w:w="832"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2021</w:t>
            </w:r>
          </w:p>
        </w:tc>
        <w:tc>
          <w:tcPr>
            <w:tcW w:w="5698" w:type="dxa"/>
            <w:vAlign w:val="center"/>
          </w:tcPr>
          <w:p>
            <w:pPr>
              <w:spacing w:line="340" w:lineRule="exact"/>
              <w:rPr>
                <w:rFonts w:ascii="仿宋_GB2312" w:hAnsi="仿宋" w:eastAsia="仿宋_GB2312" w:cs="仿宋"/>
                <w:sz w:val="20"/>
                <w:szCs w:val="20"/>
              </w:rPr>
            </w:pPr>
            <w:r>
              <w:rPr>
                <w:rFonts w:hint="eastAsia" w:ascii="仿宋_GB2312" w:hAnsi="仿宋" w:eastAsia="仿宋_GB2312" w:cs="仿宋"/>
                <w:sz w:val="20"/>
                <w:szCs w:val="20"/>
              </w:rPr>
              <w:t>“十四五”冷链物流发展规划</w:t>
            </w:r>
          </w:p>
        </w:tc>
        <w:tc>
          <w:tcPr>
            <w:tcW w:w="1650"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国务院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continue"/>
            <w:tcBorders>
              <w:top w:val="nil"/>
              <w:bottom w:val="nil"/>
            </w:tcBorders>
            <w:textDirection w:val="tbRlV"/>
          </w:tcPr>
          <w:p>
            <w:pPr>
              <w:spacing w:line="460" w:lineRule="exact"/>
              <w:ind w:firstLine="420" w:firstLineChars="200"/>
              <w:jc w:val="center"/>
              <w:rPr>
                <w:rFonts w:ascii="Arial"/>
              </w:rPr>
            </w:pPr>
          </w:p>
        </w:tc>
        <w:tc>
          <w:tcPr>
            <w:tcW w:w="832"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2021</w:t>
            </w:r>
          </w:p>
        </w:tc>
        <w:tc>
          <w:tcPr>
            <w:tcW w:w="5698" w:type="dxa"/>
            <w:vAlign w:val="center"/>
          </w:tcPr>
          <w:p>
            <w:pPr>
              <w:spacing w:line="340" w:lineRule="exact"/>
              <w:rPr>
                <w:rFonts w:ascii="仿宋_GB2312" w:hAnsi="仿宋" w:eastAsia="仿宋_GB2312" w:cs="仿宋"/>
                <w:sz w:val="20"/>
                <w:szCs w:val="20"/>
              </w:rPr>
            </w:pPr>
            <w:r>
              <w:rPr>
                <w:rFonts w:hint="eastAsia" w:ascii="仿宋_GB2312" w:hAnsi="仿宋" w:eastAsia="仿宋_GB2312" w:cs="仿宋"/>
                <w:sz w:val="20"/>
                <w:szCs w:val="20"/>
              </w:rPr>
              <w:t>甘肃省“十四五”现代物流业发展规划</w:t>
            </w:r>
          </w:p>
        </w:tc>
        <w:tc>
          <w:tcPr>
            <w:tcW w:w="1650"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甘肃省发改委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restart"/>
            <w:tcBorders>
              <w:bottom w:val="nil"/>
            </w:tcBorders>
            <w:textDirection w:val="tbRlV"/>
          </w:tcPr>
          <w:p>
            <w:pPr>
              <w:spacing w:line="460" w:lineRule="exact"/>
              <w:ind w:firstLine="436" w:firstLineChars="200"/>
              <w:jc w:val="center"/>
              <w:rPr>
                <w:rFonts w:ascii="黑体" w:hAnsi="黑体" w:eastAsia="黑体" w:cs="黑体"/>
                <w:sz w:val="20"/>
                <w:szCs w:val="20"/>
              </w:rPr>
            </w:pPr>
            <w:r>
              <w:rPr>
                <w:rFonts w:ascii="黑体" w:hAnsi="黑体" w:eastAsia="黑体" w:cs="黑体"/>
                <w:spacing w:val="9"/>
                <w:sz w:val="20"/>
                <w:szCs w:val="20"/>
              </w:rPr>
              <w:t>政</w:t>
            </w:r>
            <w:r>
              <w:rPr>
                <w:rFonts w:ascii="黑体" w:hAnsi="黑体" w:eastAsia="黑体" w:cs="黑体"/>
                <w:spacing w:val="7"/>
                <w:sz w:val="20"/>
                <w:szCs w:val="20"/>
              </w:rPr>
              <w:t xml:space="preserve">  策  支  持</w:t>
            </w:r>
          </w:p>
        </w:tc>
        <w:tc>
          <w:tcPr>
            <w:tcW w:w="832" w:type="dxa"/>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2014</w:t>
            </w:r>
          </w:p>
        </w:tc>
        <w:tc>
          <w:tcPr>
            <w:tcW w:w="5698" w:type="dxa"/>
          </w:tcPr>
          <w:p>
            <w:pPr>
              <w:spacing w:line="340" w:lineRule="exact"/>
              <w:jc w:val="left"/>
              <w:rPr>
                <w:rFonts w:ascii="仿宋_GB2312" w:hAnsi="仿宋" w:eastAsia="仿宋_GB2312" w:cs="仿宋"/>
                <w:sz w:val="20"/>
                <w:szCs w:val="20"/>
              </w:rPr>
            </w:pPr>
            <w:r>
              <w:rPr>
                <w:rFonts w:hint="eastAsia" w:ascii="仿宋_GB2312" w:hAnsi="仿宋" w:eastAsia="仿宋_GB2312" w:cs="仿宋"/>
                <w:sz w:val="20"/>
                <w:szCs w:val="20"/>
              </w:rPr>
              <w:t>关于进一步促进冷链运输物流企业健康发展的指导意见</w:t>
            </w:r>
          </w:p>
        </w:tc>
        <w:tc>
          <w:tcPr>
            <w:tcW w:w="1650" w:type="dxa"/>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国家发改委等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continue"/>
            <w:tcBorders>
              <w:top w:val="nil"/>
              <w:bottom w:val="nil"/>
            </w:tcBorders>
            <w:textDirection w:val="tbRlV"/>
          </w:tcPr>
          <w:p>
            <w:pPr>
              <w:spacing w:line="340" w:lineRule="exact"/>
              <w:ind w:firstLine="420" w:firstLineChars="200"/>
              <w:jc w:val="center"/>
              <w:rPr>
                <w:rFonts w:ascii="Arial"/>
              </w:rPr>
            </w:pPr>
          </w:p>
        </w:tc>
        <w:tc>
          <w:tcPr>
            <w:tcW w:w="832" w:type="dxa"/>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2016</w:t>
            </w:r>
          </w:p>
        </w:tc>
        <w:tc>
          <w:tcPr>
            <w:tcW w:w="5698" w:type="dxa"/>
          </w:tcPr>
          <w:p>
            <w:pPr>
              <w:spacing w:line="340" w:lineRule="exact"/>
              <w:jc w:val="left"/>
              <w:rPr>
                <w:rFonts w:ascii="仿宋_GB2312" w:hAnsi="仿宋" w:eastAsia="仿宋_GB2312" w:cs="仿宋"/>
                <w:sz w:val="20"/>
                <w:szCs w:val="20"/>
              </w:rPr>
            </w:pPr>
            <w:r>
              <w:rPr>
                <w:rFonts w:hint="eastAsia" w:ascii="仿宋_GB2312" w:hAnsi="仿宋" w:eastAsia="仿宋_GB2312" w:cs="仿宋"/>
                <w:sz w:val="20"/>
                <w:szCs w:val="20"/>
              </w:rPr>
              <w:t>关于中央财政支持冷链物流发展的工作通知</w:t>
            </w:r>
          </w:p>
        </w:tc>
        <w:tc>
          <w:tcPr>
            <w:tcW w:w="1650" w:type="dxa"/>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财政部、商务部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continue"/>
            <w:tcBorders>
              <w:top w:val="nil"/>
              <w:bottom w:val="nil"/>
            </w:tcBorders>
            <w:textDirection w:val="tbRlV"/>
          </w:tcPr>
          <w:p>
            <w:pPr>
              <w:spacing w:line="340" w:lineRule="exact"/>
              <w:ind w:firstLine="420" w:firstLineChars="200"/>
              <w:jc w:val="center"/>
              <w:rPr>
                <w:rFonts w:ascii="Arial"/>
              </w:rPr>
            </w:pPr>
          </w:p>
        </w:tc>
        <w:tc>
          <w:tcPr>
            <w:tcW w:w="832" w:type="dxa"/>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2017</w:t>
            </w:r>
          </w:p>
        </w:tc>
        <w:tc>
          <w:tcPr>
            <w:tcW w:w="5698" w:type="dxa"/>
          </w:tcPr>
          <w:p>
            <w:pPr>
              <w:spacing w:line="340" w:lineRule="exact"/>
              <w:jc w:val="left"/>
              <w:rPr>
                <w:rFonts w:ascii="仿宋_GB2312" w:hAnsi="仿宋" w:eastAsia="仿宋_GB2312" w:cs="仿宋"/>
                <w:sz w:val="20"/>
                <w:szCs w:val="20"/>
              </w:rPr>
            </w:pPr>
            <w:r>
              <w:rPr>
                <w:rFonts w:hint="eastAsia" w:ascii="仿宋_GB2312" w:hAnsi="仿宋" w:eastAsia="仿宋_GB2312" w:cs="仿宋"/>
                <w:sz w:val="20"/>
                <w:szCs w:val="20"/>
              </w:rPr>
              <w:t>加快发展冷链物流保障食品安全促进消费升级的意见</w:t>
            </w:r>
          </w:p>
        </w:tc>
        <w:tc>
          <w:tcPr>
            <w:tcW w:w="1650" w:type="dxa"/>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国务院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continue"/>
            <w:tcBorders>
              <w:top w:val="nil"/>
              <w:bottom w:val="nil"/>
            </w:tcBorders>
            <w:textDirection w:val="tbRlV"/>
          </w:tcPr>
          <w:p>
            <w:pPr>
              <w:spacing w:line="340" w:lineRule="exact"/>
              <w:ind w:firstLine="420" w:firstLineChars="200"/>
              <w:jc w:val="center"/>
              <w:rPr>
                <w:rFonts w:ascii="Arial"/>
              </w:rPr>
            </w:pPr>
          </w:p>
        </w:tc>
        <w:tc>
          <w:tcPr>
            <w:tcW w:w="832" w:type="dxa"/>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2017</w:t>
            </w:r>
          </w:p>
        </w:tc>
        <w:tc>
          <w:tcPr>
            <w:tcW w:w="5698" w:type="dxa"/>
          </w:tcPr>
          <w:p>
            <w:pPr>
              <w:spacing w:line="340" w:lineRule="exact"/>
              <w:jc w:val="left"/>
              <w:rPr>
                <w:rFonts w:ascii="仿宋_GB2312" w:hAnsi="仿宋" w:eastAsia="仿宋_GB2312" w:cs="仿宋"/>
                <w:sz w:val="20"/>
                <w:szCs w:val="20"/>
              </w:rPr>
            </w:pPr>
            <w:r>
              <w:rPr>
                <w:rFonts w:hint="eastAsia" w:ascii="仿宋_GB2312" w:hAnsi="仿宋" w:eastAsia="仿宋_GB2312" w:cs="仿宋"/>
                <w:sz w:val="20"/>
                <w:szCs w:val="20"/>
              </w:rPr>
              <w:t>关于积极推进供应链创新与应用的指导意见</w:t>
            </w:r>
          </w:p>
        </w:tc>
        <w:tc>
          <w:tcPr>
            <w:tcW w:w="1650" w:type="dxa"/>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国务院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continue"/>
            <w:tcBorders>
              <w:top w:val="nil"/>
              <w:bottom w:val="nil"/>
            </w:tcBorders>
            <w:textDirection w:val="tbRlV"/>
          </w:tcPr>
          <w:p>
            <w:pPr>
              <w:spacing w:line="340" w:lineRule="exact"/>
              <w:ind w:firstLine="420" w:firstLineChars="200"/>
              <w:jc w:val="center"/>
              <w:rPr>
                <w:rFonts w:ascii="Arial"/>
              </w:rPr>
            </w:pPr>
          </w:p>
        </w:tc>
        <w:tc>
          <w:tcPr>
            <w:tcW w:w="832" w:type="dxa"/>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2017</w:t>
            </w:r>
          </w:p>
        </w:tc>
        <w:tc>
          <w:tcPr>
            <w:tcW w:w="5698" w:type="dxa"/>
          </w:tcPr>
          <w:p>
            <w:pPr>
              <w:spacing w:line="340" w:lineRule="exact"/>
              <w:jc w:val="left"/>
              <w:rPr>
                <w:rFonts w:ascii="仿宋_GB2312" w:hAnsi="仿宋" w:eastAsia="仿宋_GB2312" w:cs="仿宋"/>
                <w:sz w:val="20"/>
                <w:szCs w:val="20"/>
              </w:rPr>
            </w:pPr>
            <w:r>
              <w:rPr>
                <w:rFonts w:hint="eastAsia" w:ascii="仿宋_GB2312" w:hAnsi="仿宋" w:eastAsia="仿宋_GB2312" w:cs="仿宋"/>
                <w:sz w:val="20"/>
                <w:szCs w:val="20"/>
              </w:rPr>
              <w:t>加快发展冷链物流保障食品安全促进消费升级的意见</w:t>
            </w:r>
          </w:p>
        </w:tc>
        <w:tc>
          <w:tcPr>
            <w:tcW w:w="1650" w:type="dxa"/>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交通运输部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continue"/>
            <w:tcBorders>
              <w:top w:val="nil"/>
              <w:bottom w:val="nil"/>
            </w:tcBorders>
            <w:textDirection w:val="tbRlV"/>
          </w:tcPr>
          <w:p>
            <w:pPr>
              <w:spacing w:line="340" w:lineRule="exact"/>
              <w:ind w:firstLine="420" w:firstLineChars="200"/>
              <w:jc w:val="center"/>
              <w:rPr>
                <w:rFonts w:ascii="Arial"/>
              </w:rPr>
            </w:pPr>
          </w:p>
        </w:tc>
        <w:tc>
          <w:tcPr>
            <w:tcW w:w="832" w:type="dxa"/>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2018</w:t>
            </w:r>
          </w:p>
        </w:tc>
        <w:tc>
          <w:tcPr>
            <w:tcW w:w="5698" w:type="dxa"/>
          </w:tcPr>
          <w:p>
            <w:pPr>
              <w:spacing w:line="340" w:lineRule="exact"/>
              <w:jc w:val="left"/>
              <w:rPr>
                <w:rFonts w:ascii="仿宋_GB2312" w:hAnsi="仿宋" w:eastAsia="仿宋_GB2312" w:cs="仿宋"/>
                <w:sz w:val="20"/>
                <w:szCs w:val="20"/>
              </w:rPr>
            </w:pPr>
            <w:r>
              <w:rPr>
                <w:rFonts w:hint="eastAsia" w:ascii="仿宋_GB2312" w:hAnsi="仿宋" w:eastAsia="仿宋_GB2312" w:cs="仿宋"/>
                <w:sz w:val="20"/>
                <w:szCs w:val="20"/>
              </w:rPr>
              <w:t>关于开展首批国家骨干冷链物流基地建设工作的通知</w:t>
            </w:r>
          </w:p>
        </w:tc>
        <w:tc>
          <w:tcPr>
            <w:tcW w:w="1650" w:type="dxa"/>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国家发改委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continue"/>
            <w:tcBorders>
              <w:top w:val="nil"/>
              <w:bottom w:val="nil"/>
            </w:tcBorders>
            <w:textDirection w:val="tbRlV"/>
          </w:tcPr>
          <w:p>
            <w:pPr>
              <w:spacing w:line="340" w:lineRule="exact"/>
              <w:ind w:firstLine="420" w:firstLineChars="200"/>
              <w:jc w:val="center"/>
              <w:rPr>
                <w:rFonts w:ascii="Arial"/>
              </w:rPr>
            </w:pPr>
          </w:p>
        </w:tc>
        <w:tc>
          <w:tcPr>
            <w:tcW w:w="832" w:type="dxa"/>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2018</w:t>
            </w:r>
          </w:p>
        </w:tc>
        <w:tc>
          <w:tcPr>
            <w:tcW w:w="5698" w:type="dxa"/>
          </w:tcPr>
          <w:p>
            <w:pPr>
              <w:spacing w:line="340" w:lineRule="exact"/>
              <w:jc w:val="left"/>
              <w:rPr>
                <w:rFonts w:ascii="仿宋_GB2312" w:hAnsi="仿宋" w:eastAsia="仿宋_GB2312" w:cs="仿宋"/>
                <w:sz w:val="20"/>
                <w:szCs w:val="20"/>
              </w:rPr>
            </w:pPr>
            <w:r>
              <w:rPr>
                <w:rFonts w:hint="eastAsia" w:ascii="仿宋_GB2312" w:hAnsi="仿宋" w:eastAsia="仿宋_GB2312" w:cs="仿宋"/>
                <w:sz w:val="20"/>
                <w:szCs w:val="20"/>
              </w:rPr>
              <w:t>甘肃省特色农产品冷链物流体系建设实施方案</w:t>
            </w:r>
          </w:p>
        </w:tc>
        <w:tc>
          <w:tcPr>
            <w:tcW w:w="1650" w:type="dxa"/>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甘肃省政府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continue"/>
            <w:tcBorders>
              <w:top w:val="nil"/>
              <w:bottom w:val="nil"/>
            </w:tcBorders>
            <w:textDirection w:val="tbRlV"/>
          </w:tcPr>
          <w:p>
            <w:pPr>
              <w:spacing w:line="340" w:lineRule="exact"/>
              <w:ind w:firstLine="420" w:firstLineChars="200"/>
              <w:jc w:val="center"/>
              <w:rPr>
                <w:rFonts w:ascii="Arial"/>
              </w:rPr>
            </w:pPr>
          </w:p>
        </w:tc>
        <w:tc>
          <w:tcPr>
            <w:tcW w:w="832" w:type="dxa"/>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2020</w:t>
            </w:r>
          </w:p>
        </w:tc>
        <w:tc>
          <w:tcPr>
            <w:tcW w:w="5698" w:type="dxa"/>
          </w:tcPr>
          <w:p>
            <w:pPr>
              <w:spacing w:line="340" w:lineRule="exact"/>
              <w:jc w:val="left"/>
              <w:rPr>
                <w:rFonts w:ascii="仿宋_GB2312" w:hAnsi="仿宋" w:eastAsia="仿宋_GB2312" w:cs="仿宋"/>
                <w:sz w:val="20"/>
                <w:szCs w:val="20"/>
              </w:rPr>
            </w:pPr>
            <w:r>
              <w:rPr>
                <w:rFonts w:hint="eastAsia" w:ascii="仿宋_GB2312" w:hAnsi="仿宋" w:eastAsia="仿宋_GB2312" w:cs="仿宋"/>
                <w:sz w:val="20"/>
                <w:szCs w:val="20"/>
              </w:rPr>
              <w:t>张掖市市县乡农产品物流体系建设落实方案</w:t>
            </w:r>
          </w:p>
        </w:tc>
        <w:tc>
          <w:tcPr>
            <w:tcW w:w="1650" w:type="dxa"/>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张掖市政府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continue"/>
            <w:tcBorders>
              <w:top w:val="nil"/>
              <w:bottom w:val="nil"/>
            </w:tcBorders>
            <w:textDirection w:val="tbRlV"/>
          </w:tcPr>
          <w:p>
            <w:pPr>
              <w:spacing w:line="340" w:lineRule="exact"/>
              <w:ind w:firstLine="420" w:firstLineChars="200"/>
              <w:jc w:val="center"/>
              <w:rPr>
                <w:rFonts w:ascii="Arial"/>
              </w:rPr>
            </w:pPr>
          </w:p>
        </w:tc>
        <w:tc>
          <w:tcPr>
            <w:tcW w:w="832" w:type="dxa"/>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2021</w:t>
            </w:r>
          </w:p>
        </w:tc>
        <w:tc>
          <w:tcPr>
            <w:tcW w:w="5698" w:type="dxa"/>
          </w:tcPr>
          <w:p>
            <w:pPr>
              <w:spacing w:line="340" w:lineRule="exact"/>
              <w:jc w:val="left"/>
              <w:rPr>
                <w:rFonts w:ascii="仿宋_GB2312" w:hAnsi="仿宋" w:eastAsia="仿宋_GB2312" w:cs="仿宋"/>
                <w:sz w:val="20"/>
                <w:szCs w:val="20"/>
              </w:rPr>
            </w:pPr>
            <w:r>
              <w:rPr>
                <w:rFonts w:hint="eastAsia" w:ascii="仿宋_GB2312" w:hAnsi="仿宋" w:eastAsia="仿宋_GB2312" w:cs="仿宋"/>
                <w:sz w:val="20"/>
                <w:szCs w:val="20"/>
              </w:rPr>
              <w:t>国家骨干冷链物流基地建设实施方案</w:t>
            </w:r>
          </w:p>
        </w:tc>
        <w:tc>
          <w:tcPr>
            <w:tcW w:w="1650"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国家发改委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continue"/>
            <w:tcBorders>
              <w:top w:val="nil"/>
              <w:bottom w:val="nil"/>
            </w:tcBorders>
            <w:textDirection w:val="tbRlV"/>
          </w:tcPr>
          <w:p>
            <w:pPr>
              <w:spacing w:line="340" w:lineRule="exact"/>
              <w:ind w:firstLine="420" w:firstLineChars="200"/>
              <w:jc w:val="center"/>
              <w:rPr>
                <w:rFonts w:ascii="Arial"/>
              </w:rPr>
            </w:pPr>
          </w:p>
        </w:tc>
        <w:tc>
          <w:tcPr>
            <w:tcW w:w="832"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2021</w:t>
            </w:r>
          </w:p>
        </w:tc>
        <w:tc>
          <w:tcPr>
            <w:tcW w:w="5698" w:type="dxa"/>
            <w:vAlign w:val="center"/>
          </w:tcPr>
          <w:p>
            <w:pPr>
              <w:spacing w:line="340" w:lineRule="exact"/>
              <w:rPr>
                <w:rFonts w:ascii="仿宋_GB2312" w:hAnsi="仿宋" w:eastAsia="仿宋_GB2312" w:cs="仿宋"/>
                <w:sz w:val="20"/>
                <w:szCs w:val="20"/>
              </w:rPr>
            </w:pPr>
            <w:r>
              <w:rPr>
                <w:rFonts w:hint="eastAsia" w:ascii="仿宋_GB2312" w:hAnsi="仿宋" w:eastAsia="仿宋_GB2312" w:cs="仿宋"/>
                <w:sz w:val="20"/>
                <w:szCs w:val="20"/>
              </w:rPr>
              <w:t>完善农产品市场网络 加快补齐冷链设施短板</w:t>
            </w:r>
          </w:p>
        </w:tc>
        <w:tc>
          <w:tcPr>
            <w:tcW w:w="1650"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17部委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continue"/>
            <w:tcBorders>
              <w:top w:val="nil"/>
              <w:bottom w:val="nil"/>
            </w:tcBorders>
            <w:textDirection w:val="tbRlV"/>
          </w:tcPr>
          <w:p>
            <w:pPr>
              <w:spacing w:line="340" w:lineRule="exact"/>
              <w:ind w:firstLine="420" w:firstLineChars="200"/>
              <w:jc w:val="center"/>
              <w:rPr>
                <w:rFonts w:ascii="Arial"/>
              </w:rPr>
            </w:pPr>
          </w:p>
        </w:tc>
        <w:tc>
          <w:tcPr>
            <w:tcW w:w="832"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2021</w:t>
            </w:r>
          </w:p>
        </w:tc>
        <w:tc>
          <w:tcPr>
            <w:tcW w:w="5698" w:type="dxa"/>
            <w:vAlign w:val="center"/>
          </w:tcPr>
          <w:p>
            <w:pPr>
              <w:spacing w:line="340" w:lineRule="exact"/>
              <w:rPr>
                <w:rFonts w:ascii="仿宋_GB2312" w:hAnsi="仿宋" w:eastAsia="仿宋_GB2312" w:cs="仿宋"/>
                <w:sz w:val="20"/>
                <w:szCs w:val="20"/>
              </w:rPr>
            </w:pPr>
            <w:r>
              <w:rPr>
                <w:rFonts w:hint="eastAsia" w:ascii="仿宋_GB2312" w:hAnsi="仿宋" w:eastAsia="仿宋_GB2312" w:cs="仿宋"/>
                <w:sz w:val="20"/>
                <w:szCs w:val="20"/>
              </w:rPr>
              <w:t>城乡冷链和国家物流枢纽建设中央预算内投资专项管理办法</w:t>
            </w:r>
          </w:p>
        </w:tc>
        <w:tc>
          <w:tcPr>
            <w:tcW w:w="1650"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国家发改委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continue"/>
            <w:tcBorders>
              <w:top w:val="nil"/>
              <w:bottom w:val="nil"/>
            </w:tcBorders>
            <w:textDirection w:val="tbRlV"/>
          </w:tcPr>
          <w:p>
            <w:pPr>
              <w:spacing w:line="340" w:lineRule="exact"/>
              <w:ind w:firstLine="420" w:firstLineChars="200"/>
              <w:jc w:val="center"/>
              <w:rPr>
                <w:rFonts w:ascii="Arial"/>
              </w:rPr>
            </w:pPr>
          </w:p>
        </w:tc>
        <w:tc>
          <w:tcPr>
            <w:tcW w:w="832"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2021</w:t>
            </w:r>
          </w:p>
        </w:tc>
        <w:tc>
          <w:tcPr>
            <w:tcW w:w="5698" w:type="dxa"/>
            <w:vAlign w:val="center"/>
          </w:tcPr>
          <w:p>
            <w:pPr>
              <w:spacing w:line="340" w:lineRule="exact"/>
              <w:rPr>
                <w:rFonts w:ascii="仿宋_GB2312" w:hAnsi="仿宋" w:eastAsia="仿宋_GB2312" w:cs="仿宋"/>
                <w:sz w:val="20"/>
                <w:szCs w:val="20"/>
              </w:rPr>
            </w:pPr>
            <w:r>
              <w:rPr>
                <w:rFonts w:hint="eastAsia" w:ascii="仿宋_GB2312" w:hAnsi="仿宋" w:eastAsia="仿宋_GB2312" w:cs="仿宋"/>
                <w:sz w:val="20"/>
                <w:szCs w:val="20"/>
              </w:rPr>
              <w:t>张掖市支持冷链物流企业发展行动计划</w:t>
            </w:r>
          </w:p>
        </w:tc>
        <w:tc>
          <w:tcPr>
            <w:tcW w:w="1650"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张掖市政府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vMerge w:val="continue"/>
            <w:tcBorders>
              <w:top w:val="nil"/>
              <w:bottom w:val="nil"/>
            </w:tcBorders>
            <w:textDirection w:val="tbRlV"/>
          </w:tcPr>
          <w:p>
            <w:pPr>
              <w:spacing w:line="340" w:lineRule="exact"/>
              <w:ind w:firstLine="420" w:firstLineChars="200"/>
              <w:jc w:val="center"/>
              <w:rPr>
                <w:rFonts w:ascii="Arial"/>
              </w:rPr>
            </w:pPr>
          </w:p>
        </w:tc>
        <w:tc>
          <w:tcPr>
            <w:tcW w:w="832"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2021</w:t>
            </w:r>
          </w:p>
        </w:tc>
        <w:tc>
          <w:tcPr>
            <w:tcW w:w="5698" w:type="dxa"/>
            <w:vAlign w:val="center"/>
          </w:tcPr>
          <w:p>
            <w:pPr>
              <w:spacing w:line="340" w:lineRule="exact"/>
              <w:rPr>
                <w:rFonts w:ascii="仿宋_GB2312" w:hAnsi="仿宋" w:eastAsia="仿宋_GB2312" w:cs="仿宋"/>
                <w:spacing w:val="-8"/>
                <w:sz w:val="20"/>
                <w:szCs w:val="20"/>
              </w:rPr>
            </w:pPr>
            <w:r>
              <w:rPr>
                <w:rFonts w:hint="eastAsia" w:ascii="仿宋_GB2312" w:hAnsi="仿宋" w:eastAsia="仿宋_GB2312" w:cs="仿宋"/>
                <w:spacing w:val="-8"/>
                <w:sz w:val="20"/>
                <w:szCs w:val="20"/>
              </w:rPr>
              <w:t>张掖市国民经济和社会发展第十四个五年规划和2035年远景目标纲要</w:t>
            </w:r>
          </w:p>
        </w:tc>
        <w:tc>
          <w:tcPr>
            <w:tcW w:w="1650" w:type="dxa"/>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张掖市政府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exact"/>
        </w:trPr>
        <w:tc>
          <w:tcPr>
            <w:tcW w:w="568" w:type="dxa"/>
            <w:tcBorders>
              <w:top w:val="nil"/>
              <w:bottom w:val="single" w:color="auto" w:sz="4" w:space="0"/>
            </w:tcBorders>
            <w:textDirection w:val="tbRlV"/>
          </w:tcPr>
          <w:p>
            <w:pPr>
              <w:spacing w:line="340" w:lineRule="exact"/>
              <w:ind w:firstLine="420" w:firstLineChars="200"/>
              <w:jc w:val="center"/>
              <w:rPr>
                <w:rFonts w:ascii="Arial"/>
              </w:rPr>
            </w:pPr>
          </w:p>
        </w:tc>
        <w:tc>
          <w:tcPr>
            <w:tcW w:w="832" w:type="dxa"/>
            <w:tcBorders>
              <w:bottom w:val="single" w:color="auto" w:sz="4" w:space="0"/>
            </w:tcBorders>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2021</w:t>
            </w:r>
          </w:p>
        </w:tc>
        <w:tc>
          <w:tcPr>
            <w:tcW w:w="5698" w:type="dxa"/>
            <w:tcBorders>
              <w:bottom w:val="single" w:color="auto" w:sz="4" w:space="0"/>
            </w:tcBorders>
            <w:vAlign w:val="center"/>
          </w:tcPr>
          <w:p>
            <w:pPr>
              <w:spacing w:line="340" w:lineRule="exact"/>
              <w:rPr>
                <w:rFonts w:ascii="仿宋_GB2312" w:hAnsi="仿宋" w:eastAsia="仿宋_GB2312" w:cs="仿宋"/>
                <w:spacing w:val="-8"/>
                <w:sz w:val="20"/>
                <w:szCs w:val="20"/>
              </w:rPr>
            </w:pPr>
            <w:r>
              <w:rPr>
                <w:rFonts w:hint="eastAsia" w:ascii="仿宋_GB2312" w:hAnsi="仿宋" w:eastAsia="仿宋_GB2312" w:cs="仿宋"/>
                <w:spacing w:val="-8"/>
                <w:sz w:val="20"/>
                <w:szCs w:val="20"/>
              </w:rPr>
              <w:t>临泽县国民经济和社会发展第十四个五年规划和2035年远景目标纲要</w:t>
            </w:r>
          </w:p>
        </w:tc>
        <w:tc>
          <w:tcPr>
            <w:tcW w:w="1650" w:type="dxa"/>
            <w:tcBorders>
              <w:bottom w:val="single" w:color="auto" w:sz="4" w:space="0"/>
            </w:tcBorders>
            <w:vAlign w:val="center"/>
          </w:tcPr>
          <w:p>
            <w:pPr>
              <w:spacing w:line="340" w:lineRule="exact"/>
              <w:jc w:val="center"/>
              <w:rPr>
                <w:rFonts w:ascii="仿宋_GB2312" w:hAnsi="仿宋" w:eastAsia="仿宋_GB2312" w:cs="仿宋"/>
                <w:sz w:val="20"/>
                <w:szCs w:val="20"/>
              </w:rPr>
            </w:pPr>
            <w:r>
              <w:rPr>
                <w:rFonts w:hint="eastAsia" w:ascii="仿宋_GB2312" w:hAnsi="仿宋" w:eastAsia="仿宋_GB2312" w:cs="仿宋"/>
                <w:sz w:val="20"/>
                <w:szCs w:val="20"/>
              </w:rPr>
              <w:t>临泽县政府</w:t>
            </w:r>
          </w:p>
        </w:tc>
      </w:tr>
    </w:tbl>
    <w:p>
      <w:pPr>
        <w:pStyle w:val="5"/>
        <w:shd w:val="clear" w:color="auto" w:fill="FFFFFF"/>
        <w:spacing w:before="0" w:after="0" w:line="400" w:lineRule="exact"/>
        <w:jc w:val="center"/>
        <w:rPr>
          <w:rFonts w:ascii="黑体" w:hAnsi="黑体" w:eastAsia="黑体" w:cs="黑体"/>
          <w:b w:val="0"/>
          <w:bCs w:val="0"/>
          <w:kern w:val="0"/>
        </w:rPr>
      </w:pPr>
      <w:r>
        <w:rPr>
          <w:rFonts w:hint="eastAsia" w:ascii="黑体" w:hAnsi="黑体" w:eastAsia="黑体" w:cs="黑体"/>
          <w:b w:val="0"/>
          <w:bCs w:val="0"/>
          <w:kern w:val="0"/>
        </w:rPr>
        <w:t>第二章  规划基础</w:t>
      </w:r>
    </w:p>
    <w:p>
      <w:pPr>
        <w:pStyle w:val="6"/>
        <w:spacing w:afterLines="0" w:line="400" w:lineRule="exact"/>
      </w:pPr>
    </w:p>
    <w:p>
      <w:pPr>
        <w:pStyle w:val="6"/>
        <w:widowControl w:val="0"/>
        <w:spacing w:afterLines="0" w:line="60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（一）发展现状</w:t>
      </w:r>
    </w:p>
    <w:p>
      <w:pPr>
        <w:pStyle w:val="6"/>
        <w:widowControl w:val="0"/>
        <w:spacing w:afterLines="0" w:line="60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1.临泽县冷链物流相关产业发展现状</w:t>
      </w:r>
    </w:p>
    <w:p>
      <w:pPr>
        <w:pStyle w:val="6"/>
        <w:widowControl w:val="0"/>
        <w:spacing w:afterLines="0"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综合经济实力稳步提升。2020年全县地区生产总值57.45亿元，比上年增长3.7%。其中，第一产业增加值20.81亿元，增长5.43%，占生产总值比重为36.2%；第二产业增加值8.45亿元，增长1.9%，占生产总值比重为14.7%；第三产业增加值28.19亿元，增长3.2%，占生产总值比重为49.1%。全县十大生态产业年增加值17.94亿元，占地区生产总值的30.7%，比重比上年提升1.55个百分点。</w:t>
      </w:r>
    </w:p>
    <w:p>
      <w:pPr>
        <w:pStyle w:val="6"/>
        <w:widowControl w:val="0"/>
        <w:spacing w:afterLines="0"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（2）农业产业发展后劲强势。2020年全县蔬菜种植面积</w:t>
      </w:r>
      <w:r>
        <w:rPr>
          <w:rFonts w:hint="eastAsia" w:ascii="仿宋_GB2312" w:hAnsi="仿宋_GB2312" w:eastAsia="仿宋_GB2312" w:cs="仿宋_GB2312"/>
          <w:spacing w:val="-4"/>
          <w:sz w:val="32"/>
          <w:szCs w:val="32"/>
        </w:rPr>
        <w:t>6.02万亩，增加2183亩。中药材种植面积18195.6亩，新发展</w:t>
      </w:r>
      <w:r>
        <w:rPr>
          <w:rFonts w:hint="eastAsia" w:ascii="仿宋_GB2312" w:hAnsi="仿宋_GB2312" w:eastAsia="仿宋_GB2312" w:cs="仿宋_GB2312"/>
          <w:spacing w:val="-6"/>
          <w:sz w:val="32"/>
          <w:szCs w:val="32"/>
        </w:rPr>
        <w:t>特色经济林面积6024.8亩，完成经济林提质增</w:t>
      </w:r>
      <w:r>
        <w:rPr>
          <w:rFonts w:hint="eastAsia" w:ascii="仿宋_GB2312" w:hAnsi="仿宋_GB2312" w:eastAsia="仿宋_GB2312" w:cs="仿宋_GB2312"/>
          <w:spacing w:val="-6"/>
          <w:sz w:val="32"/>
          <w:szCs w:val="32"/>
          <w:lang w:eastAsia="zh-CN"/>
        </w:rPr>
        <w:t>效</w:t>
      </w:r>
      <w:r>
        <w:rPr>
          <w:rFonts w:hint="eastAsia" w:ascii="仿宋_GB2312" w:hAnsi="仿宋_GB2312" w:eastAsia="仿宋_GB2312" w:cs="仿宋_GB2312"/>
          <w:spacing w:val="-6"/>
          <w:sz w:val="32"/>
          <w:szCs w:val="32"/>
        </w:rPr>
        <w:t>1万亩。全年蔬菜产量20.97万吨，比上年增长2.16%。园林水果产量2.6万吨，中药材产量7628万吨；全年肉类产量1.9万吨，比上年增长8.78%；禽蛋产量0.10万吨，增长23.99%；牛奶产量1.54万吨。</w:t>
      </w:r>
    </w:p>
    <w:p>
      <w:pPr>
        <w:pStyle w:val="6"/>
        <w:widowControl w:val="0"/>
        <w:spacing w:afterLines="0" w:line="580" w:lineRule="exact"/>
        <w:ind w:firstLine="64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（3）现代物流业规模保持较快增长。2020年，全县交通运输、仓储和邮政业增加值2.67亿元，比上年增长4.8%；批发和零售业增加值3.49亿元，增长3.4%；全年公路货运量354万吨，增</w:t>
      </w:r>
      <w:r>
        <w:rPr>
          <w:rFonts w:hint="eastAsia" w:ascii="仿宋_GB2312" w:hAnsi="仿宋_GB2312" w:eastAsia="仿宋_GB2312" w:cs="仿宋_GB2312"/>
          <w:spacing w:val="-6"/>
          <w:sz w:val="32"/>
          <w:szCs w:val="32"/>
        </w:rPr>
        <w:t>长5.67；货物运输周转量13762万吨公里，比上年增长11.7%；完成公路客运量354.2万人次，比上年增长33.76%；全年共接待游客730.81万人次，实现旅游综合收入52.02亿元，同比恢复86.75%和87.97%。其中，丹霞景区接待人数160.48万人次，同比恢复61.95%。乡村旅游接待人数211.71万人次，同比恢复95.07%。</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国内贸易和对外经济进一步扩大。2020年，全县实现社会消费品零售总额19.33亿元，增长0.3%。按经营地统计，城镇消费品零售额12.20亿元，增长1.05%，乡村消费品零售额7.13亿元，下降1.08%。全县有对外贸易备案登记证的企业37家;有出口业绩的2家，全年出口额2030万元，同比增长22.1%。</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2.临泽县物流通道发展情况</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临泽县的交通主要依靠铁路和公路，铁路现有兰新铁路和兰新高铁，公路干线现有高速公路G30和国道G312，省道S301、S313，全县公路通车总里程达到1501公里。基本形成以兰新铁路、兰新高铁、G30高速公路为主框架，国道312线、省道张罗公路、张肃公路为辐射，县、乡、村三级公路纵横交错、四通八达、城乡一体的公路路网架构。全县共有道路客货运输企业11家，汽车客运站（首发站）3个，公交停靠亭（站）355个；县际客运线路6条，城乡公交线路19条，旅游线路3条；县际客车6辆、城乡公交73辆、旅游客车115辆、出租车70辆；营运性货车1016辆；机动车维修企业87家；快递物流企业14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从业人员3428人。全县镇、村硬化路和班线客车“双通率”达100%。</w:t>
      </w:r>
    </w:p>
    <w:p>
      <w:pPr>
        <w:pStyle w:val="6"/>
        <w:widowControl w:val="0"/>
        <w:spacing w:afterLines="0" w:line="58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3.“十三五”临泽县冷链物流发展情况</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冷链物流体系构建势头良好。临泽县委、县政府高度重视冷链物流产业发展，研究制定《临泽县现代物流产业链高质量发展及重点任务落实方案》，明确现代物流产业链发展的目标，推动本市冷链物流业，取得巨大进步。通过《张掖通道物流产业发展专项行动计划落实方案》和《张掖市支持冷链物流企业发展行动计划》的实施，市县乡农产品物流体系得到较大发展，金沙现代物流园、新合作百惠物流园、城关农贸市场和东关农贸市场等已成全县冷链物流体系的重要基地；临泽丝路绿洲、绿园康、奇苗育农农产品原产地市场等基地已成为我县农产品分拣、加工、包装、运输集散中心和冷链物流中转站；与此同时，大宗农产品产销对接体系建设有效推进，组织开展“天津市临泽县东西部扶贫协作农产品产销对接会”，县西域食品有限公司等4家企业分别与天津劝宝超市、天津宁海区家乐超市等企业签订农产品意向协议，推动“临”字号农产品走出去在津京地区落户，销售果蔬产品8万吨；物流配送和电子商务产业快速发展，2020年全县通过电商平台销售临泽果蔬产品，实现销售额1001万元，电子商务收入12.79万元，快递企业11家，配送服务点182个，电商从业就业人数达1500多人；线上线下融合发展体系已基本形成，通过淘宝、阿里巴巴、京东、工行融e购等国内大型电商在临泽开展网络营销，国内主要重</w:t>
      </w:r>
      <w:r>
        <w:rPr>
          <w:rFonts w:hint="eastAsia" w:ascii="仿宋_GB2312" w:hAnsi="仿宋_GB2312" w:eastAsia="仿宋_GB2312" w:cs="仿宋_GB2312"/>
          <w:spacing w:val="-4"/>
          <w:sz w:val="32"/>
          <w:szCs w:val="32"/>
        </w:rPr>
        <w:t>点城市均建有临泽农特产品直营店体验店；全县农副产品收购、交易、冷藏、加工、运输、配送能力显著提升，特色优质农产品出口规模不断扩大，天润江丰、金穗农业等外贸出口企业市场不断开拓，外贸出口不断增长，2020年全县完成出口额2000万元。</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（2）冷链物流需求规模不断扩大。“十三五”期间，随着临泽县高原夏菜、林果业、畜牧业快速发展，冷链物流产业已成为促进农业增效、农民增收、现代农业产业发展的有力支撑。“十三五”期间，</w:t>
      </w:r>
      <w:r>
        <w:rPr>
          <w:rFonts w:hint="eastAsia" w:ascii="仿宋_GB2312" w:hAnsi="仿宋" w:eastAsia="仿宋_GB2312"/>
          <w:sz w:val="32"/>
          <w:szCs w:val="32"/>
        </w:rPr>
        <w:t>建成“一园三带四基地”果蔬示范带，</w:t>
      </w:r>
      <w:r>
        <w:rPr>
          <w:rFonts w:hint="eastAsia" w:ascii="仿宋_GB2312" w:hAnsi="仿宋" w:eastAsia="仿宋_GB2312" w:cs="仿宋_GB2312"/>
          <w:sz w:val="32"/>
          <w:szCs w:val="32"/>
        </w:rPr>
        <w:t>全县蔬菜生产面积达到10.55万亩，蔬菜产量27.54万吨。全县建成畜禽规模养殖场区143个，奶肉牛养殖场区68个，规模养殖大户6500户。全县牛饲养量达26.0万头，肉牛出栏7.86万头，肉、蛋、奶、水产品的产量分别达到1.74万吨、840吨、3.1万吨、600吨，</w:t>
      </w:r>
      <w:r>
        <w:rPr>
          <w:rFonts w:hint="eastAsia" w:ascii="仿宋_GB2312" w:hAnsi="微软雅黑" w:eastAsia="仿宋_GB2312"/>
          <w:kern w:val="0"/>
          <w:sz w:val="32"/>
          <w:szCs w:val="32"/>
        </w:rPr>
        <w:t>实现农业增加值19.96亿元，</w:t>
      </w:r>
      <w:r>
        <w:rPr>
          <w:rFonts w:hint="eastAsia" w:ascii="仿宋_GB2312" w:hAnsi="微软雅黑" w:eastAsia="仿宋_GB2312"/>
          <w:kern w:val="0"/>
          <w:sz w:val="32"/>
          <w:szCs w:val="32"/>
          <w:lang w:eastAsia="zh-CN"/>
        </w:rPr>
        <w:t>同比</w:t>
      </w:r>
      <w:r>
        <w:rPr>
          <w:rFonts w:hint="eastAsia" w:ascii="仿宋_GB2312" w:hAnsi="微软雅黑" w:eastAsia="仿宋_GB2312"/>
          <w:kern w:val="0"/>
          <w:sz w:val="32"/>
          <w:szCs w:val="32"/>
        </w:rPr>
        <w:t>增长5.92%。</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2020年，临泽县种植各类蔬菜9.8万亩（温室蔬菜0.38万亩，钢架拱棚蔬菜2.2万亩），其中，高原夏菜6.5万亩（含复种），其他蔬菜3.3万亩。新发展设施农业1532亩，共建成高原夏菜千亩村示范点8个,新建丝路寒旱农业示范点4个5023亩。新（改扩）建畜禽标准化规模养殖场区12个，全县畜禽饲养量达214万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，同比增长2%，其中：猪、牛、羊、鸡的饲养量分别达到15.3万头、23万头、54.6万只和120.9万只。出栏畜禽126.1万头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，同比增长11.4%，畜产品产量达6.2万吨。进一步完善鲜活农产品直供直销体系，在福建彰州、深圳海吉星市场、浙江宁波市场、上海江桥市场等地设立蔬菜营销窗口10个。</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冷链物流集聚效应显现。“十三五”期间，临泽县通过支持现代物流体系建设，有力地推动枢纽物流园区、农产品仓储物流配送中心、冷链信息平台、冷链物流集散中心等建设，临泽县5万吨冷链物流基地、深圳丝路绿洲有机农业有限责任公司24万吨恒温库、临泽县新合作百惠商贸有限公司5万吨恒温库、临泽县百信商贸有限公司5万吨恒温库、临泽丝路绿洲有机农业有限责任公司3万吨气调恒温库、甘肃倚天生态农林科技有限公司2万吨气调库建设、临泽瑞丰农民开发有限公司2万吨小杂粮加工厂气调库建设、张掖市三分地农牧科技有限公司1.7万吨气调库建设、临泽县奇苗有农精品果蔬专业合作社1万吨气调恒温库、临泽县花园蔬菜专业合作社1万吨气调恒温库、甘肃金沙食品有限公司1万吨气调恒温库、临泽县海泓农林科技开发有限公司0.5万吨气调恒温库等16个冷链物流项目建成启用或正在加快建设，使得物流集聚区作用更加明显，有力地推动冷链物流绿色产业集群发展。</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冷链物流龙头企业不断扩大。先后涌现出金沙、新合作百惠、丝路绿洲、倚天生态等34家农产品冷链物流骨干企业。截至2020年底，临泽县有冷链物流企业34家，万吨以上冷链物流企业12户。部分物流企业已从只提供单一的运输仓储服务向提供全方位、多层次、一体化服务转变，从简单的承揽物流业务，向根据客户需要开发专业物流服务转变，从传统的自营业态向专业化的第三方物流转变，对临泽社会经济发展的贡献率显著提高。</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冷链物流信息水平大大提升。“十三五”期间，张掖市大力推进物流业公共信息平台建设，物流企业、制造企业、商贸企业的信息逐渐实现互通对接，推动了数据共享和业务联动，初步实现了物流资源的整合和物流信息的共享，推动物流效率提升。冷链物流企业</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加快现代信息技术在冷链物流装卸搬运、分拣包装、加工配送、仓储、跟踪追溯等环节的应用，尤其是条码技术、无线射频技术、地理信息系统、北斗导航系统、仓储管理系统等的加速应用，有力地推动了蔬菜新品种、新技术的普及率和蔬菜检测合格率，品牌效应显现。全县128个专业合作社、82家农（兽）药经营、畜禽屠宰、饲料生产企业和1家农贸批发市场全部纳入监管名录。临泽县新合作百惠果蔬专业合作社、临泽县佳鑫农民种植专业合作社申报的甘蓝、娃娃菜等4个产品获得无公害农产品认证证书。临泽县倚天生态农林科技有限公司申报的香脆枣片、临泽小枣、鸡心脆枣等3个产品获得绿色食品认证证书。2020年甘肃红桥庄园葡萄酒有限公司的红葡萄酒、甘肃红桥庄园葡萄酒有限公司的葡萄、临泽县红沟武林葡萄技术服务有限公司的葡萄类、临泽祁连红枣业开发有限公司的枣、临泽县兴华农林开发有限公司的苁蓉等五个企业的五个产品通过农业农村部有机产品认证评审，全县“三品一标”认证数达到92个。</w:t>
      </w: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（二）存在的主要问题</w:t>
      </w:r>
    </w:p>
    <w:p>
      <w:pPr>
        <w:pStyle w:val="6"/>
        <w:widowControl w:val="0"/>
        <w:spacing w:afterLines="0" w:line="580" w:lineRule="exact"/>
        <w:ind w:firstLine="643"/>
        <w:rPr>
          <w:rFonts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1.“枢纽+通道+网络”的冷链物流基础设施发展格局尚未形成。</w:t>
      </w:r>
      <w:r>
        <w:rPr>
          <w:rFonts w:hint="eastAsia" w:ascii="仿宋_GB2312" w:hAnsi="仿宋_GB2312" w:eastAsia="仿宋_GB2312" w:cs="仿宋_GB2312"/>
          <w:spacing w:val="0"/>
          <w:sz w:val="32"/>
          <w:szCs w:val="32"/>
        </w:rPr>
        <w:t>在已建成的市县乡</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村</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三级物流网络体系中，大部分冷链物流节点运作相对独立</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节点间信息联通</w:t>
      </w:r>
      <w:r>
        <w:rPr>
          <w:rFonts w:hint="eastAsia" w:ascii="仿宋_GB2312" w:hAnsi="仿宋_GB2312" w:eastAsia="仿宋_GB2312" w:cs="仿宋_GB2312"/>
          <w:spacing w:val="0"/>
          <w:sz w:val="32"/>
          <w:szCs w:val="32"/>
          <w:lang w:eastAsia="zh-CN"/>
        </w:rPr>
        <w:t>，还存在</w:t>
      </w:r>
      <w:r>
        <w:rPr>
          <w:rFonts w:hint="eastAsia" w:ascii="仿宋_GB2312" w:hAnsi="仿宋_GB2312" w:eastAsia="仿宋_GB2312" w:cs="仿宋_GB2312"/>
          <w:spacing w:val="0"/>
          <w:sz w:val="32"/>
          <w:szCs w:val="32"/>
        </w:rPr>
        <w:t>业务衔接不足</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干线网络不健全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干支衔接不顺畅</w:t>
      </w:r>
      <w:r>
        <w:rPr>
          <w:rFonts w:hint="eastAsia" w:ascii="仿宋_GB2312" w:hAnsi="仿宋_GB2312" w:eastAsia="仿宋_GB2312" w:cs="仿宋_GB2312"/>
          <w:spacing w:val="0"/>
          <w:sz w:val="32"/>
          <w:szCs w:val="32"/>
          <w:lang w:eastAsia="zh-CN"/>
        </w:rPr>
        <w:t>等问题</w:t>
      </w:r>
      <w:r>
        <w:rPr>
          <w:rFonts w:hint="eastAsia" w:ascii="仿宋_GB2312" w:hAnsi="仿宋_GB2312" w:eastAsia="仿宋_GB2312" w:cs="仿宋_GB2312"/>
          <w:spacing w:val="0"/>
          <w:sz w:val="32"/>
          <w:szCs w:val="32"/>
        </w:rPr>
        <w:t>；已运营的一些冷链物流园区、冷链物流中心等基础设施功能较为单一，信息化基础薄弱，尚未实现网络化和组织化，未能形成物流枢纽联动发展的格局。同时，全县尚未建成完善的物流网络体系</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总体上尚未形成“枢纽+通道+网络”的发展格局，冷链物流枢纽辐射带动作用不明显。</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pacing w:val="0"/>
          <w:sz w:val="32"/>
          <w:szCs w:val="32"/>
        </w:rPr>
        <w:t>2.区域冷链物流枢纽与综合交通枢纽未能协同发展。</w:t>
      </w:r>
      <w:r>
        <w:rPr>
          <w:rFonts w:hint="eastAsia" w:ascii="仿宋_GB2312" w:hAnsi="仿宋_GB2312" w:eastAsia="仿宋_GB2312" w:cs="仿宋_GB2312"/>
          <w:spacing w:val="0"/>
          <w:sz w:val="32"/>
          <w:szCs w:val="32"/>
        </w:rPr>
        <w:t>近年来，张掖已初步建成以铁路为主干、高等级公路为骨架、低等级公路为补充的区域综合交通运输网络，但目前</w:t>
      </w:r>
      <w:r>
        <w:rPr>
          <w:rFonts w:hint="eastAsia" w:ascii="仿宋_GB2312" w:hAnsi="仿宋_GB2312" w:eastAsia="仿宋_GB2312" w:cs="仿宋_GB2312"/>
          <w:sz w:val="32"/>
          <w:szCs w:val="32"/>
        </w:rPr>
        <w:t>对外通道连通度不足、快递网点和货运枢纽网点空间布局不均衡。虽已实现高级公路互联互通，但物流枢纽节点布局与综合交通规划缺乏系统衔接。区域冷链物流枢纽由于缺乏统一建设规划，功能不齐全；已建成运营的大部分冷链物流枢纽节点缺乏集疏运设施整体性配套，干支衔接能力和转运分拨效率较低，存在微循环“最后一公里”梗阻，不能适应现代物流发展需要。物流体系与综合交通运输体系未能有效实现的顺畅衔接、融合发展。</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3.冷链物流枢纽和产业融合度不高。</w:t>
      </w:r>
      <w:r>
        <w:rPr>
          <w:rFonts w:hint="eastAsia" w:ascii="仿宋_GB2312" w:hAnsi="仿宋_GB2312" w:eastAsia="仿宋_GB2312" w:cs="仿宋_GB2312"/>
          <w:sz w:val="32"/>
          <w:szCs w:val="32"/>
        </w:rPr>
        <w:t>由于全县物流资源和物流要素集聚程度较低、物流资源利用率较低、物流信息服务平台不完善、物流枢纽资金流和人才流及技术流融合不够，致使全县冷链物流枢纽与商贸服务业、特色现代农业等重点产业融合度不高，冷链物流枢纽仍以简单仓储、运输等配套服务为主，未能主动支撑产业发展，与产业融合形成商贸物流、农产品物流、冷链物流、工业物流等发展较为缓慢，无法有效满足主要产业发展所需的冷链物流配套服务。</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4.冷链物流枢纽的支撑项目建设进展缓慢。</w:t>
      </w:r>
      <w:r>
        <w:rPr>
          <w:rFonts w:hint="eastAsia" w:ascii="仿宋_GB2312" w:hAnsi="仿宋_GB2312" w:eastAsia="仿宋_GB2312" w:cs="仿宋_GB2312"/>
          <w:sz w:val="32"/>
          <w:szCs w:val="32"/>
        </w:rPr>
        <w:t>“十三五”期间，为加快构建临泽县冷链物流枢纽，谋划了一些冷链物流枢纽支撑项目，并开展了前期规划和产业项目策划，但由于经济大环境影响资金不足、建设用地落实缓慢等多种原因，导致一些冷链物流枢纽项目虽然开工很早，但是建设进展缓慢、短期内难以形成规模，同时，全县实际运营的重点物流园区偏少，总体运行效果未达到预期目标，一些冷链物流项目布局还存在不均衡的问题，缺乏功能完善的冷链物流基地，难以满足生产生活冷链物流需求。</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5.冷链物流信息化建设滞后。</w:t>
      </w:r>
      <w:r>
        <w:rPr>
          <w:rFonts w:hint="eastAsia" w:ascii="仿宋_GB2312" w:hAnsi="仿宋_GB2312" w:eastAsia="仿宋_GB2312" w:cs="仿宋_GB2312"/>
          <w:sz w:val="32"/>
          <w:szCs w:val="32"/>
        </w:rPr>
        <w:t>我县总体冷链的设施建设在“十三五”期间有一定的发展，但整体物流信息化水平较低，大多数企业仍依靠电话、邮件接单开展业务；与此同时，全县冷库建设过于分散，对冷库由规范化向信息化转变意识不强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渠道不</w:t>
      </w:r>
      <w:r>
        <w:rPr>
          <w:rFonts w:hint="eastAsia" w:ascii="仿宋_GB2312" w:hAnsi="仿宋_GB2312" w:eastAsia="仿宋_GB2312" w:cs="仿宋_GB2312"/>
          <w:sz w:val="32"/>
          <w:szCs w:val="32"/>
          <w:lang w:eastAsia="zh-CN"/>
        </w:rPr>
        <w:t>畅</w:t>
      </w:r>
      <w:r>
        <w:rPr>
          <w:rFonts w:hint="eastAsia" w:ascii="仿宋_GB2312" w:hAnsi="仿宋_GB2312" w:eastAsia="仿宋_GB2312" w:cs="仿宋_GB2312"/>
          <w:sz w:val="32"/>
          <w:szCs w:val="32"/>
        </w:rPr>
        <w:t>通，在信息化路线布局和设备密封性方面达不到要求，造成一系列的先天缺陷和安全隐患，导致全县冷库信息化建设进程一直滞后。数字信息技术应用不足，尚无统一的冷链物流公共信息平台、交易平台和监管平台，难以进行高效、科学化决策运营。冷链物流信息平台、可溯源系统、电商终端等信息系统建设与冷链物流枢纽建设要求存在较大短板，5G、大数据、人工智能等现代信息技术运用不够，对推动产品创新数字化、运营管理智能化难度较大。</w:t>
      </w:r>
    </w:p>
    <w:p>
      <w:pPr>
        <w:pStyle w:val="6"/>
        <w:widowControl w:val="0"/>
        <w:spacing w:afterLines="0" w:line="580" w:lineRule="exact"/>
        <w:ind w:firstLine="643"/>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6.冷链物流技术力量薄弱。</w:t>
      </w:r>
      <w:r>
        <w:rPr>
          <w:rFonts w:hint="eastAsia" w:ascii="仿宋_GB2312" w:hAnsi="仿宋_GB2312" w:eastAsia="仿宋_GB2312" w:cs="仿宋_GB2312"/>
          <w:sz w:val="32"/>
          <w:szCs w:val="32"/>
        </w:rPr>
        <w:t>由于存在物流技术基础研究力量薄弱、冷链物流专业人才缺乏等问题，使得全县冷链物流枢纽发展方式较为粗放，技术手段落后，科技利用率不高，技术型和管理型冷链物流人才的需求缺口巨大。与此同时，人才供给与冷链物流枢纽信息化、自动化、智能化、专业化、集成化发展的现实需求不相匹配，不仅制约冷链物流枢纽的发展，也制约全县现代物流业高质量发展</w:t>
      </w:r>
      <w:r>
        <w:rPr>
          <w:rFonts w:hint="eastAsia" w:ascii="仿宋_GB2312" w:hAnsi="仿宋_GB2312" w:eastAsia="仿宋_GB2312" w:cs="仿宋_GB2312"/>
          <w:sz w:val="32"/>
          <w:szCs w:val="32"/>
          <w:lang w:eastAsia="zh-CN"/>
        </w:rPr>
        <w:t>。</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7.冷链全链条运作不协调。</w:t>
      </w:r>
      <w:r>
        <w:rPr>
          <w:rFonts w:hint="eastAsia" w:ascii="仿宋_GB2312" w:hAnsi="仿宋_GB2312" w:eastAsia="仿宋_GB2312" w:cs="仿宋_GB2312"/>
          <w:sz w:val="32"/>
          <w:szCs w:val="32"/>
        </w:rPr>
        <w:t>部分农民的冷链意识薄弱，产地缺少专业冷链物流公司及人才，冷链物流冷藏运输率低，“断链”现象普遍，无法实现供应链一体化运作，冷储、运输等环节与生产规模不匹配，产品可溯源覆盖率低。</w:t>
      </w: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（三）冷链物流发展预测</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1.全国主要冷链产品人均消费量预测。</w:t>
      </w:r>
      <w:r>
        <w:rPr>
          <w:rFonts w:hint="eastAsia" w:ascii="仿宋_GB2312" w:hAnsi="仿宋_GB2312" w:eastAsia="仿宋_GB2312" w:cs="仿宋_GB2312"/>
          <w:sz w:val="32"/>
          <w:szCs w:val="32"/>
        </w:rPr>
        <w:t>根据农业部预测，2020年全国主要冷链产品人均消费水平将达355千克/年，2025年将达399千克/年，如下表所示。</w:t>
      </w:r>
    </w:p>
    <w:p>
      <w:pPr>
        <w:spacing w:line="600" w:lineRule="exact"/>
        <w:jc w:val="center"/>
      </w:pPr>
      <w:r>
        <w:rPr>
          <w:rFonts w:ascii="黑体" w:hAnsi="黑体" w:eastAsia="黑体" w:cs="黑体"/>
          <w:sz w:val="23"/>
          <w:szCs w:val="23"/>
        </w:rPr>
        <w:t>表 2-1 主要冷链产品每年人均消费量预测(千克)</w:t>
      </w:r>
    </w:p>
    <w:tbl>
      <w:tblPr>
        <w:tblStyle w:val="79"/>
        <w:tblW w:w="85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1919"/>
        <w:gridCol w:w="1294"/>
        <w:gridCol w:w="2393"/>
        <w:gridCol w:w="29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564" w:hRule="atLeast"/>
          <w:jc w:val="center"/>
        </w:trPr>
        <w:tc>
          <w:tcPr>
            <w:tcW w:w="1919" w:type="dxa"/>
            <w:vAlign w:val="center"/>
          </w:tcPr>
          <w:p>
            <w:pPr>
              <w:spacing w:line="400" w:lineRule="exact"/>
              <w:jc w:val="center"/>
              <w:rPr>
                <w:rFonts w:ascii="黑体" w:hAnsi="黑体" w:eastAsia="黑体" w:cs="黑体"/>
                <w:sz w:val="22"/>
              </w:rPr>
            </w:pPr>
            <w:r>
              <w:rPr>
                <w:rFonts w:ascii="黑体" w:hAnsi="黑体" w:eastAsia="黑体" w:cs="黑体"/>
                <w:sz w:val="22"/>
              </w:rPr>
              <w:t>主要冷链产品</w:t>
            </w:r>
          </w:p>
        </w:tc>
        <w:tc>
          <w:tcPr>
            <w:tcW w:w="1294" w:type="dxa"/>
            <w:vAlign w:val="center"/>
          </w:tcPr>
          <w:p>
            <w:pPr>
              <w:spacing w:line="400" w:lineRule="exact"/>
              <w:jc w:val="center"/>
              <w:rPr>
                <w:rFonts w:ascii="黑体" w:hAnsi="黑体" w:eastAsia="黑体" w:cs="黑体"/>
                <w:sz w:val="22"/>
              </w:rPr>
            </w:pPr>
            <w:r>
              <w:rPr>
                <w:rFonts w:ascii="黑体" w:hAnsi="黑体" w:eastAsia="黑体" w:cs="黑体"/>
                <w:sz w:val="22"/>
              </w:rPr>
              <w:t>2020年</w:t>
            </w:r>
          </w:p>
        </w:tc>
        <w:tc>
          <w:tcPr>
            <w:tcW w:w="2393" w:type="dxa"/>
            <w:vAlign w:val="center"/>
          </w:tcPr>
          <w:p>
            <w:pPr>
              <w:spacing w:line="400" w:lineRule="exact"/>
              <w:jc w:val="center"/>
              <w:rPr>
                <w:rFonts w:ascii="黑体" w:hAnsi="黑体" w:eastAsia="黑体" w:cs="黑体"/>
                <w:sz w:val="22"/>
              </w:rPr>
            </w:pPr>
            <w:r>
              <w:rPr>
                <w:rFonts w:ascii="黑体" w:hAnsi="黑体" w:eastAsia="黑体" w:cs="黑体"/>
                <w:sz w:val="22"/>
              </w:rPr>
              <w:t>2025年</w:t>
            </w:r>
          </w:p>
        </w:tc>
        <w:tc>
          <w:tcPr>
            <w:tcW w:w="2921" w:type="dxa"/>
            <w:vAlign w:val="center"/>
          </w:tcPr>
          <w:p>
            <w:pPr>
              <w:spacing w:line="400" w:lineRule="exact"/>
              <w:jc w:val="center"/>
              <w:rPr>
                <w:rFonts w:ascii="黑体" w:hAnsi="黑体" w:eastAsia="黑体" w:cs="黑体"/>
                <w:sz w:val="22"/>
              </w:rPr>
            </w:pPr>
            <w:r>
              <w:rPr>
                <w:rFonts w:ascii="黑体" w:hAnsi="黑体" w:eastAsia="黑体" w:cs="黑体"/>
                <w:sz w:val="22"/>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72" w:hRule="atLeast"/>
          <w:jc w:val="center"/>
        </w:trPr>
        <w:tc>
          <w:tcPr>
            <w:tcW w:w="1919"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水产品</w:t>
            </w:r>
          </w:p>
        </w:tc>
        <w:tc>
          <w:tcPr>
            <w:tcW w:w="1294"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22.00</w:t>
            </w:r>
          </w:p>
        </w:tc>
        <w:tc>
          <w:tcPr>
            <w:tcW w:w="2393"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24.40</w:t>
            </w:r>
          </w:p>
        </w:tc>
        <w:tc>
          <w:tcPr>
            <w:tcW w:w="2921" w:type="dxa"/>
            <w:vMerge w:val="restart"/>
            <w:tcBorders>
              <w:bottom w:val="nil"/>
            </w:tcBorders>
            <w:vAlign w:val="center"/>
          </w:tcPr>
          <w:p>
            <w:pPr>
              <w:spacing w:line="400" w:lineRule="exact"/>
              <w:ind w:firstLine="20"/>
              <w:rPr>
                <w:rFonts w:ascii="仿宋_GB2312" w:hAnsi="仿宋" w:eastAsia="仿宋_GB2312" w:cs="仿宋"/>
                <w:sz w:val="22"/>
              </w:rPr>
            </w:pPr>
            <w:r>
              <w:rPr>
                <w:rFonts w:hint="eastAsia" w:ascii="仿宋_GB2312" w:hAnsi="仿宋" w:eastAsia="仿宋_GB2312" w:cs="仿宋"/>
                <w:sz w:val="22"/>
              </w:rPr>
              <w:t>其中进口冷链产品将占10%—15%，即到2020年人均消费36—53千克。2021—2025年，消费中的进口冷链农产品约占总冷链消费的15%—18%，人均消费600—720千克。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8" w:hRule="atLeast"/>
          <w:jc w:val="center"/>
        </w:trPr>
        <w:tc>
          <w:tcPr>
            <w:tcW w:w="1919"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猪肉</w:t>
            </w:r>
          </w:p>
        </w:tc>
        <w:tc>
          <w:tcPr>
            <w:tcW w:w="1294"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43.57</w:t>
            </w:r>
          </w:p>
        </w:tc>
        <w:tc>
          <w:tcPr>
            <w:tcW w:w="2393"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45.60</w:t>
            </w:r>
          </w:p>
        </w:tc>
        <w:tc>
          <w:tcPr>
            <w:tcW w:w="2921" w:type="dxa"/>
            <w:vMerge w:val="continue"/>
            <w:tcBorders>
              <w:top w:val="nil"/>
              <w:bottom w:val="nil"/>
            </w:tcBorders>
          </w:tcPr>
          <w:p>
            <w:pPr>
              <w:spacing w:line="400" w:lineRule="exact"/>
              <w:jc w:val="center"/>
              <w:rPr>
                <w:rFonts w:ascii="Arial"/>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9" w:hRule="atLeast"/>
          <w:jc w:val="center"/>
        </w:trPr>
        <w:tc>
          <w:tcPr>
            <w:tcW w:w="1919"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牛肉</w:t>
            </w:r>
          </w:p>
        </w:tc>
        <w:tc>
          <w:tcPr>
            <w:tcW w:w="1294"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5.76</w:t>
            </w:r>
          </w:p>
        </w:tc>
        <w:tc>
          <w:tcPr>
            <w:tcW w:w="2393"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6.18</w:t>
            </w:r>
          </w:p>
        </w:tc>
        <w:tc>
          <w:tcPr>
            <w:tcW w:w="2921" w:type="dxa"/>
            <w:vMerge w:val="continue"/>
            <w:tcBorders>
              <w:top w:val="nil"/>
              <w:bottom w:val="nil"/>
            </w:tcBorders>
          </w:tcPr>
          <w:p>
            <w:pPr>
              <w:spacing w:line="400" w:lineRule="exact"/>
              <w:jc w:val="center"/>
              <w:rPr>
                <w:rFonts w:ascii="Arial"/>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9" w:hRule="atLeast"/>
          <w:jc w:val="center"/>
        </w:trPr>
        <w:tc>
          <w:tcPr>
            <w:tcW w:w="1919"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羊肉</w:t>
            </w:r>
          </w:p>
        </w:tc>
        <w:tc>
          <w:tcPr>
            <w:tcW w:w="1294"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3.72</w:t>
            </w:r>
          </w:p>
        </w:tc>
        <w:tc>
          <w:tcPr>
            <w:tcW w:w="2393"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4.09</w:t>
            </w:r>
          </w:p>
        </w:tc>
        <w:tc>
          <w:tcPr>
            <w:tcW w:w="2921" w:type="dxa"/>
            <w:vMerge w:val="continue"/>
            <w:tcBorders>
              <w:top w:val="nil"/>
              <w:bottom w:val="nil"/>
            </w:tcBorders>
          </w:tcPr>
          <w:p>
            <w:pPr>
              <w:spacing w:line="400" w:lineRule="exact"/>
              <w:jc w:val="center"/>
              <w:rPr>
                <w:rFonts w:ascii="Arial"/>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8" w:hRule="atLeast"/>
          <w:jc w:val="center"/>
        </w:trPr>
        <w:tc>
          <w:tcPr>
            <w:tcW w:w="1919"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禽肉</w:t>
            </w:r>
          </w:p>
        </w:tc>
        <w:tc>
          <w:tcPr>
            <w:tcW w:w="1294"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13.86</w:t>
            </w:r>
          </w:p>
        </w:tc>
        <w:tc>
          <w:tcPr>
            <w:tcW w:w="2393"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14.80</w:t>
            </w:r>
          </w:p>
        </w:tc>
        <w:tc>
          <w:tcPr>
            <w:tcW w:w="2921" w:type="dxa"/>
            <w:vMerge w:val="continue"/>
            <w:tcBorders>
              <w:top w:val="nil"/>
              <w:bottom w:val="nil"/>
            </w:tcBorders>
          </w:tcPr>
          <w:p>
            <w:pPr>
              <w:spacing w:line="400" w:lineRule="exact"/>
              <w:jc w:val="center"/>
              <w:rPr>
                <w:rFonts w:ascii="Arial"/>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9" w:hRule="atLeast"/>
          <w:jc w:val="center"/>
        </w:trPr>
        <w:tc>
          <w:tcPr>
            <w:tcW w:w="1919"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禽蛋</w:t>
            </w:r>
          </w:p>
        </w:tc>
        <w:tc>
          <w:tcPr>
            <w:tcW w:w="1294"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21.85</w:t>
            </w:r>
          </w:p>
        </w:tc>
        <w:tc>
          <w:tcPr>
            <w:tcW w:w="2393"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22.30</w:t>
            </w:r>
          </w:p>
        </w:tc>
        <w:tc>
          <w:tcPr>
            <w:tcW w:w="2921" w:type="dxa"/>
            <w:vMerge w:val="continue"/>
            <w:tcBorders>
              <w:top w:val="nil"/>
              <w:bottom w:val="nil"/>
            </w:tcBorders>
          </w:tcPr>
          <w:p>
            <w:pPr>
              <w:spacing w:line="400" w:lineRule="exact"/>
              <w:jc w:val="center"/>
              <w:rPr>
                <w:rFonts w:ascii="Arial"/>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9" w:hRule="atLeast"/>
          <w:jc w:val="center"/>
        </w:trPr>
        <w:tc>
          <w:tcPr>
            <w:tcW w:w="1919"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奶制品</w:t>
            </w:r>
          </w:p>
        </w:tc>
        <w:tc>
          <w:tcPr>
            <w:tcW w:w="1294"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30.00</w:t>
            </w:r>
          </w:p>
        </w:tc>
        <w:tc>
          <w:tcPr>
            <w:tcW w:w="2393"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40.40</w:t>
            </w:r>
          </w:p>
        </w:tc>
        <w:tc>
          <w:tcPr>
            <w:tcW w:w="2921" w:type="dxa"/>
            <w:vMerge w:val="continue"/>
            <w:tcBorders>
              <w:top w:val="nil"/>
              <w:bottom w:val="nil"/>
            </w:tcBorders>
          </w:tcPr>
          <w:p>
            <w:pPr>
              <w:spacing w:line="400" w:lineRule="exact"/>
              <w:jc w:val="center"/>
              <w:rPr>
                <w:rFonts w:ascii="Arial"/>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9" w:hRule="atLeast"/>
          <w:jc w:val="center"/>
        </w:trPr>
        <w:tc>
          <w:tcPr>
            <w:tcW w:w="1919"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蔬菜</w:t>
            </w:r>
          </w:p>
        </w:tc>
        <w:tc>
          <w:tcPr>
            <w:tcW w:w="1294"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153.76</w:t>
            </w:r>
          </w:p>
        </w:tc>
        <w:tc>
          <w:tcPr>
            <w:tcW w:w="2393"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161.60</w:t>
            </w:r>
          </w:p>
        </w:tc>
        <w:tc>
          <w:tcPr>
            <w:tcW w:w="2921" w:type="dxa"/>
            <w:vMerge w:val="continue"/>
            <w:tcBorders>
              <w:top w:val="nil"/>
              <w:bottom w:val="nil"/>
            </w:tcBorders>
          </w:tcPr>
          <w:p>
            <w:pPr>
              <w:spacing w:line="400" w:lineRule="exact"/>
              <w:jc w:val="center"/>
              <w:rPr>
                <w:rFonts w:ascii="Arial"/>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8" w:hRule="atLeast"/>
          <w:jc w:val="center"/>
        </w:trPr>
        <w:tc>
          <w:tcPr>
            <w:tcW w:w="1919"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水果</w:t>
            </w:r>
          </w:p>
        </w:tc>
        <w:tc>
          <w:tcPr>
            <w:tcW w:w="1294"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60.00</w:t>
            </w:r>
          </w:p>
        </w:tc>
        <w:tc>
          <w:tcPr>
            <w:tcW w:w="2393"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80.00</w:t>
            </w:r>
          </w:p>
        </w:tc>
        <w:tc>
          <w:tcPr>
            <w:tcW w:w="2921" w:type="dxa"/>
            <w:vMerge w:val="continue"/>
            <w:tcBorders>
              <w:top w:val="nil"/>
              <w:bottom w:val="nil"/>
            </w:tcBorders>
          </w:tcPr>
          <w:p>
            <w:pPr>
              <w:spacing w:line="400" w:lineRule="exact"/>
              <w:jc w:val="center"/>
              <w:rPr>
                <w:rFonts w:ascii="Arial"/>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63" w:hRule="atLeast"/>
          <w:jc w:val="center"/>
        </w:trPr>
        <w:tc>
          <w:tcPr>
            <w:tcW w:w="1919"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合计</w:t>
            </w:r>
          </w:p>
        </w:tc>
        <w:tc>
          <w:tcPr>
            <w:tcW w:w="1294"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354.52</w:t>
            </w:r>
          </w:p>
        </w:tc>
        <w:tc>
          <w:tcPr>
            <w:tcW w:w="2393" w:type="dxa"/>
          </w:tcPr>
          <w:p>
            <w:pPr>
              <w:spacing w:line="400" w:lineRule="exact"/>
              <w:jc w:val="center"/>
              <w:rPr>
                <w:rFonts w:ascii="仿宋_GB2312" w:hAnsi="仿宋" w:eastAsia="仿宋_GB2312" w:cs="仿宋"/>
                <w:sz w:val="22"/>
              </w:rPr>
            </w:pPr>
            <w:r>
              <w:rPr>
                <w:rFonts w:hint="eastAsia" w:ascii="仿宋_GB2312" w:hAnsi="仿宋" w:eastAsia="仿宋_GB2312" w:cs="仿宋"/>
                <w:sz w:val="22"/>
              </w:rPr>
              <w:t>399.37</w:t>
            </w:r>
          </w:p>
        </w:tc>
        <w:tc>
          <w:tcPr>
            <w:tcW w:w="2921" w:type="dxa"/>
            <w:vMerge w:val="continue"/>
            <w:tcBorders>
              <w:top w:val="nil"/>
            </w:tcBorders>
          </w:tcPr>
          <w:p>
            <w:pPr>
              <w:spacing w:line="400" w:lineRule="exact"/>
              <w:jc w:val="center"/>
              <w:rPr>
                <w:rFonts w:ascii="Arial"/>
                <w:sz w:val="22"/>
              </w:rPr>
            </w:pPr>
          </w:p>
        </w:tc>
      </w:tr>
    </w:tbl>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2.甘肃省主要农产品产量及冷链物流需求预测。</w:t>
      </w:r>
      <w:r>
        <w:rPr>
          <w:rFonts w:hint="eastAsia" w:ascii="仿宋_GB2312" w:hAnsi="仿宋_GB2312" w:eastAsia="仿宋_GB2312" w:cs="仿宋_GB2312"/>
          <w:sz w:val="32"/>
          <w:szCs w:val="32"/>
        </w:rPr>
        <w:t>根据甘肃经济信息网发布数据显示：2020年甘肃省蔬菜产量1478.51万吨，</w:t>
      </w:r>
      <w:r>
        <w:rPr>
          <w:rFonts w:hint="eastAsia" w:ascii="仿宋_GB2312" w:hAnsi="仿宋_GB2312" w:eastAsia="仿宋_GB2312" w:cs="仿宋_GB2312"/>
          <w:sz w:val="32"/>
          <w:szCs w:val="32"/>
          <w:lang w:eastAsia="zh-CN"/>
        </w:rPr>
        <w:t>同比</w:t>
      </w:r>
      <w:r>
        <w:rPr>
          <w:rFonts w:hint="eastAsia" w:ascii="仿宋_GB2312" w:hAnsi="仿宋_GB2312" w:eastAsia="仿宋_GB2312" w:cs="仿宋_GB2312"/>
          <w:sz w:val="32"/>
          <w:szCs w:val="32"/>
        </w:rPr>
        <w:t>增长6.5%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中药材产量123.22万吨，</w:t>
      </w:r>
      <w:r>
        <w:rPr>
          <w:rFonts w:hint="eastAsia" w:ascii="仿宋_GB2312" w:hAnsi="仿宋_GB2312" w:eastAsia="仿宋_GB2312" w:cs="仿宋_GB2312"/>
          <w:sz w:val="32"/>
          <w:szCs w:val="32"/>
          <w:lang w:eastAsia="zh-CN"/>
        </w:rPr>
        <w:t>同比</w:t>
      </w:r>
      <w:r>
        <w:rPr>
          <w:rFonts w:hint="eastAsia" w:ascii="仿宋_GB2312" w:hAnsi="仿宋_GB2312" w:eastAsia="仿宋_GB2312" w:cs="仿宋_GB2312"/>
          <w:sz w:val="32"/>
          <w:szCs w:val="32"/>
        </w:rPr>
        <w:t>增长8.9%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园林水果产量481.07万吨，</w:t>
      </w:r>
      <w:r>
        <w:rPr>
          <w:rFonts w:hint="eastAsia" w:ascii="仿宋_GB2312" w:hAnsi="仿宋_GB2312" w:eastAsia="仿宋_GB2312" w:cs="仿宋_GB2312"/>
          <w:sz w:val="32"/>
          <w:szCs w:val="32"/>
          <w:lang w:eastAsia="zh-CN"/>
        </w:rPr>
        <w:t>同比</w:t>
      </w:r>
      <w:r>
        <w:rPr>
          <w:rFonts w:hint="eastAsia" w:ascii="仿宋_GB2312" w:hAnsi="仿宋_GB2312" w:eastAsia="仿宋_GB2312" w:cs="仿宋_GB2312"/>
          <w:sz w:val="32"/>
          <w:szCs w:val="32"/>
        </w:rPr>
        <w:t>增长9.7%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猪牛羊禽肉产量108.9万吨，</w:t>
      </w:r>
      <w:r>
        <w:rPr>
          <w:rFonts w:hint="eastAsia" w:ascii="仿宋_GB2312" w:hAnsi="仿宋_GB2312" w:eastAsia="仿宋_GB2312" w:cs="仿宋_GB2312"/>
          <w:sz w:val="32"/>
          <w:szCs w:val="32"/>
          <w:lang w:eastAsia="zh-CN"/>
        </w:rPr>
        <w:t>同比</w:t>
      </w:r>
      <w:r>
        <w:rPr>
          <w:rFonts w:hint="eastAsia" w:ascii="仿宋_GB2312" w:hAnsi="仿宋_GB2312" w:eastAsia="仿宋_GB2312" w:cs="仿宋_GB2312"/>
          <w:sz w:val="32"/>
          <w:szCs w:val="32"/>
        </w:rPr>
        <w:t>增长8.3%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牛奶产量57.5万吨，</w:t>
      </w:r>
      <w:r>
        <w:rPr>
          <w:rFonts w:hint="eastAsia" w:ascii="仿宋_GB2312" w:hAnsi="仿宋_GB2312" w:eastAsia="仿宋_GB2312" w:cs="仿宋_GB2312"/>
          <w:sz w:val="32"/>
          <w:szCs w:val="32"/>
          <w:lang w:eastAsia="zh-CN"/>
        </w:rPr>
        <w:t>同比</w:t>
      </w:r>
      <w:r>
        <w:rPr>
          <w:rFonts w:hint="eastAsia" w:ascii="仿宋_GB2312" w:hAnsi="仿宋_GB2312" w:eastAsia="仿宋_GB2312" w:cs="仿宋_GB2312"/>
          <w:sz w:val="32"/>
          <w:szCs w:val="32"/>
        </w:rPr>
        <w:t>增长30.4%。甘肃蔬菜面积和产量排在全国前15位，果蔬、肉类及水产品冷链流通率分别达到5%、15%和23%，冷藏运输率分别达15%、30%和40%。根据马尔科夫模型预测，甘肃冷链物流需求年增幅率在5.6%，冷链物流规模增长迅速，为甘肃农产品冷链物流发展奠定良好的基础。</w:t>
      </w:r>
    </w:p>
    <w:p>
      <w:pPr>
        <w:pStyle w:val="6"/>
        <w:widowControl w:val="0"/>
        <w:spacing w:afterLines="0" w:line="56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3.张掖市冷链物流预测。</w:t>
      </w:r>
      <w:r>
        <w:rPr>
          <w:rFonts w:hint="eastAsia" w:ascii="仿宋_GB2312" w:hAnsi="仿宋_GB2312" w:eastAsia="仿宋_GB2312" w:cs="仿宋_GB2312"/>
          <w:sz w:val="32"/>
          <w:szCs w:val="32"/>
        </w:rPr>
        <w:t>2020年末，张掖市常住人口数量113万人。据初步预测，到2025年张掖市常住人口数量将达到115万人，流动人口将保持持续增加的势头，依据马尔科夫模型和时间序列法预测，主要产品冷链物流需求量将达到274.8万吨，冷链物流总需求量将超过300万吨。</w:t>
      </w:r>
    </w:p>
    <w:p>
      <w:pPr>
        <w:spacing w:line="600" w:lineRule="exact"/>
        <w:jc w:val="center"/>
      </w:pPr>
      <w:r>
        <w:rPr>
          <w:rFonts w:ascii="黑体" w:hAnsi="黑体" w:eastAsia="黑体" w:cs="黑体"/>
          <w:sz w:val="23"/>
          <w:szCs w:val="23"/>
        </w:rPr>
        <w:t>表 2-2  张掖市冷链物流产品需求量估算(万吨)</w:t>
      </w:r>
    </w:p>
    <w:tbl>
      <w:tblPr>
        <w:tblStyle w:val="79"/>
        <w:tblW w:w="8763"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7"/>
        <w:gridCol w:w="1090"/>
        <w:gridCol w:w="1090"/>
        <w:gridCol w:w="1090"/>
        <w:gridCol w:w="1091"/>
        <w:gridCol w:w="1090"/>
        <w:gridCol w:w="16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697" w:type="dxa"/>
            <w:vAlign w:val="center"/>
          </w:tcPr>
          <w:p>
            <w:pPr>
              <w:spacing w:line="400" w:lineRule="exact"/>
              <w:jc w:val="center"/>
              <w:rPr>
                <w:rFonts w:ascii="黑体" w:hAnsi="黑体" w:eastAsia="黑体" w:cs="黑体"/>
                <w:sz w:val="22"/>
              </w:rPr>
            </w:pPr>
            <w:r>
              <w:rPr>
                <w:rFonts w:ascii="黑体" w:hAnsi="黑体" w:eastAsia="黑体" w:cs="黑体"/>
                <w:sz w:val="22"/>
              </w:rPr>
              <w:t>品类</w:t>
            </w:r>
          </w:p>
        </w:tc>
        <w:tc>
          <w:tcPr>
            <w:tcW w:w="1090" w:type="dxa"/>
            <w:vAlign w:val="center"/>
          </w:tcPr>
          <w:p>
            <w:pPr>
              <w:spacing w:line="400" w:lineRule="exact"/>
              <w:jc w:val="center"/>
              <w:rPr>
                <w:rFonts w:ascii="黑体" w:hAnsi="黑体" w:eastAsia="黑体" w:cs="黑体"/>
                <w:sz w:val="22"/>
              </w:rPr>
            </w:pPr>
            <w:r>
              <w:rPr>
                <w:rFonts w:ascii="黑体" w:hAnsi="黑体" w:eastAsia="黑体" w:cs="黑体"/>
                <w:sz w:val="22"/>
              </w:rPr>
              <w:t>肉类</w:t>
            </w:r>
          </w:p>
        </w:tc>
        <w:tc>
          <w:tcPr>
            <w:tcW w:w="1090" w:type="dxa"/>
            <w:vAlign w:val="center"/>
          </w:tcPr>
          <w:p>
            <w:pPr>
              <w:spacing w:line="400" w:lineRule="exact"/>
              <w:jc w:val="center"/>
              <w:rPr>
                <w:rFonts w:ascii="黑体" w:hAnsi="黑体" w:eastAsia="黑体" w:cs="黑体"/>
                <w:sz w:val="22"/>
              </w:rPr>
            </w:pPr>
            <w:r>
              <w:rPr>
                <w:rFonts w:ascii="黑体" w:hAnsi="黑体" w:eastAsia="黑体" w:cs="黑体"/>
                <w:sz w:val="22"/>
              </w:rPr>
              <w:t>禽蛋</w:t>
            </w:r>
          </w:p>
        </w:tc>
        <w:tc>
          <w:tcPr>
            <w:tcW w:w="1090" w:type="dxa"/>
            <w:vAlign w:val="center"/>
          </w:tcPr>
          <w:p>
            <w:pPr>
              <w:spacing w:line="400" w:lineRule="exact"/>
              <w:jc w:val="center"/>
              <w:rPr>
                <w:rFonts w:ascii="黑体" w:hAnsi="黑体" w:eastAsia="黑体" w:cs="黑体"/>
                <w:sz w:val="22"/>
              </w:rPr>
            </w:pPr>
            <w:r>
              <w:rPr>
                <w:rFonts w:ascii="黑体" w:hAnsi="黑体" w:eastAsia="黑体" w:cs="黑体"/>
                <w:sz w:val="22"/>
              </w:rPr>
              <w:t>奶制品</w:t>
            </w:r>
          </w:p>
        </w:tc>
        <w:tc>
          <w:tcPr>
            <w:tcW w:w="1091" w:type="dxa"/>
            <w:vAlign w:val="center"/>
          </w:tcPr>
          <w:p>
            <w:pPr>
              <w:spacing w:line="400" w:lineRule="exact"/>
              <w:jc w:val="center"/>
              <w:rPr>
                <w:rFonts w:ascii="黑体" w:hAnsi="黑体" w:eastAsia="黑体" w:cs="黑体"/>
                <w:sz w:val="22"/>
              </w:rPr>
            </w:pPr>
            <w:r>
              <w:rPr>
                <w:rFonts w:ascii="黑体" w:hAnsi="黑体" w:eastAsia="黑体" w:cs="黑体"/>
                <w:sz w:val="22"/>
              </w:rPr>
              <w:t>蔬菜</w:t>
            </w:r>
          </w:p>
        </w:tc>
        <w:tc>
          <w:tcPr>
            <w:tcW w:w="1090" w:type="dxa"/>
            <w:vAlign w:val="center"/>
          </w:tcPr>
          <w:p>
            <w:pPr>
              <w:spacing w:line="400" w:lineRule="exact"/>
              <w:jc w:val="center"/>
              <w:rPr>
                <w:rFonts w:ascii="黑体" w:hAnsi="黑体" w:eastAsia="黑体" w:cs="黑体"/>
                <w:sz w:val="22"/>
              </w:rPr>
            </w:pPr>
            <w:r>
              <w:rPr>
                <w:rFonts w:ascii="黑体" w:hAnsi="黑体" w:eastAsia="黑体" w:cs="黑体"/>
                <w:sz w:val="22"/>
              </w:rPr>
              <w:t>水果</w:t>
            </w:r>
          </w:p>
        </w:tc>
        <w:tc>
          <w:tcPr>
            <w:tcW w:w="1615" w:type="dxa"/>
            <w:vAlign w:val="center"/>
          </w:tcPr>
          <w:p>
            <w:pPr>
              <w:spacing w:line="400" w:lineRule="exact"/>
              <w:jc w:val="center"/>
              <w:rPr>
                <w:rFonts w:ascii="黑体" w:hAnsi="黑体" w:eastAsia="黑体" w:cs="黑体"/>
                <w:sz w:val="22"/>
              </w:rPr>
            </w:pPr>
            <w:r>
              <w:rPr>
                <w:rFonts w:ascii="黑体" w:hAnsi="黑体" w:eastAsia="黑体" w:cs="黑体"/>
                <w:sz w:val="22"/>
              </w:rPr>
              <w:t>总计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97" w:type="dxa"/>
            <w:vAlign w:val="center"/>
          </w:tcPr>
          <w:p>
            <w:pPr>
              <w:spacing w:line="400" w:lineRule="exact"/>
              <w:jc w:val="center"/>
              <w:rPr>
                <w:rFonts w:ascii="仿宋_GB2312" w:hAnsi="仿宋" w:eastAsia="仿宋_GB2312" w:cs="仿宋"/>
                <w:sz w:val="22"/>
              </w:rPr>
            </w:pPr>
            <w:r>
              <w:rPr>
                <w:rFonts w:hint="eastAsia" w:ascii="仿宋_GB2312" w:hAnsi="仿宋" w:eastAsia="仿宋_GB2312" w:cs="仿宋"/>
                <w:sz w:val="22"/>
              </w:rPr>
              <w:t>2020</w:t>
            </w:r>
          </w:p>
        </w:tc>
        <w:tc>
          <w:tcPr>
            <w:tcW w:w="1090" w:type="dxa"/>
            <w:vAlign w:val="center"/>
          </w:tcPr>
          <w:p>
            <w:pPr>
              <w:spacing w:line="400" w:lineRule="exact"/>
              <w:jc w:val="center"/>
              <w:rPr>
                <w:rFonts w:ascii="仿宋_GB2312" w:hAnsi="仿宋" w:eastAsia="仿宋_GB2312" w:cs="仿宋"/>
                <w:sz w:val="22"/>
              </w:rPr>
            </w:pPr>
            <w:r>
              <w:rPr>
                <w:rFonts w:hint="eastAsia" w:ascii="仿宋_GB2312" w:hAnsi="仿宋" w:eastAsia="仿宋_GB2312" w:cs="仿宋"/>
                <w:sz w:val="22"/>
              </w:rPr>
              <w:t>12.6</w:t>
            </w:r>
          </w:p>
        </w:tc>
        <w:tc>
          <w:tcPr>
            <w:tcW w:w="1090" w:type="dxa"/>
            <w:vAlign w:val="center"/>
          </w:tcPr>
          <w:p>
            <w:pPr>
              <w:spacing w:line="400" w:lineRule="exact"/>
              <w:jc w:val="center"/>
              <w:rPr>
                <w:rFonts w:ascii="仿宋_GB2312" w:hAnsi="仿宋" w:eastAsia="仿宋_GB2312" w:cs="仿宋"/>
                <w:sz w:val="22"/>
              </w:rPr>
            </w:pPr>
            <w:r>
              <w:rPr>
                <w:rFonts w:hint="eastAsia" w:ascii="仿宋_GB2312" w:hAnsi="仿宋" w:eastAsia="仿宋_GB2312" w:cs="仿宋"/>
                <w:sz w:val="22"/>
              </w:rPr>
              <w:t>1.52</w:t>
            </w:r>
          </w:p>
        </w:tc>
        <w:tc>
          <w:tcPr>
            <w:tcW w:w="1090" w:type="dxa"/>
            <w:vAlign w:val="center"/>
          </w:tcPr>
          <w:p>
            <w:pPr>
              <w:spacing w:line="400" w:lineRule="exact"/>
              <w:jc w:val="center"/>
              <w:rPr>
                <w:rFonts w:ascii="仿宋_GB2312" w:hAnsi="仿宋" w:eastAsia="仿宋_GB2312" w:cs="仿宋"/>
                <w:sz w:val="22"/>
              </w:rPr>
            </w:pPr>
            <w:r>
              <w:rPr>
                <w:rFonts w:hint="eastAsia" w:ascii="仿宋_GB2312" w:hAnsi="仿宋" w:eastAsia="仿宋_GB2312" w:cs="仿宋"/>
                <w:sz w:val="22"/>
              </w:rPr>
              <w:t>8.07</w:t>
            </w:r>
          </w:p>
        </w:tc>
        <w:tc>
          <w:tcPr>
            <w:tcW w:w="1091" w:type="dxa"/>
            <w:vAlign w:val="center"/>
          </w:tcPr>
          <w:p>
            <w:pPr>
              <w:spacing w:line="400" w:lineRule="exact"/>
              <w:jc w:val="center"/>
              <w:rPr>
                <w:rFonts w:ascii="仿宋_GB2312" w:hAnsi="仿宋" w:eastAsia="仿宋_GB2312" w:cs="仿宋"/>
                <w:sz w:val="22"/>
              </w:rPr>
            </w:pPr>
            <w:r>
              <w:rPr>
                <w:rFonts w:hint="eastAsia" w:ascii="仿宋_GB2312" w:hAnsi="仿宋" w:eastAsia="仿宋_GB2312" w:cs="仿宋"/>
                <w:sz w:val="22"/>
              </w:rPr>
              <w:t>132.13</w:t>
            </w:r>
          </w:p>
        </w:tc>
        <w:tc>
          <w:tcPr>
            <w:tcW w:w="1090" w:type="dxa"/>
            <w:vAlign w:val="center"/>
          </w:tcPr>
          <w:p>
            <w:pPr>
              <w:spacing w:line="400" w:lineRule="exact"/>
              <w:jc w:val="center"/>
              <w:rPr>
                <w:rFonts w:ascii="仿宋_GB2312" w:hAnsi="仿宋" w:eastAsia="仿宋_GB2312" w:cs="仿宋"/>
                <w:sz w:val="22"/>
              </w:rPr>
            </w:pPr>
            <w:r>
              <w:rPr>
                <w:rFonts w:hint="eastAsia" w:ascii="仿宋_GB2312" w:hAnsi="仿宋" w:eastAsia="仿宋_GB2312" w:cs="仿宋"/>
                <w:sz w:val="22"/>
              </w:rPr>
              <w:t>6.57</w:t>
            </w:r>
          </w:p>
        </w:tc>
        <w:tc>
          <w:tcPr>
            <w:tcW w:w="1615" w:type="dxa"/>
            <w:vAlign w:val="center"/>
          </w:tcPr>
          <w:p>
            <w:pPr>
              <w:spacing w:line="400" w:lineRule="exact"/>
              <w:jc w:val="center"/>
              <w:rPr>
                <w:rFonts w:ascii="仿宋_GB2312" w:hAnsi="仿宋" w:eastAsia="仿宋_GB2312" w:cs="仿宋"/>
                <w:sz w:val="22"/>
              </w:rPr>
            </w:pPr>
            <w:r>
              <w:rPr>
                <w:rFonts w:hint="eastAsia" w:ascii="仿宋_GB2312" w:hAnsi="仿宋" w:eastAsia="仿宋_GB2312" w:cs="仿宋"/>
                <w:sz w:val="22"/>
              </w:rPr>
              <w:t>160.89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97" w:type="dxa"/>
            <w:vAlign w:val="center"/>
          </w:tcPr>
          <w:p>
            <w:pPr>
              <w:spacing w:line="400" w:lineRule="exact"/>
              <w:jc w:val="center"/>
              <w:rPr>
                <w:rFonts w:ascii="仿宋_GB2312" w:hAnsi="仿宋" w:eastAsia="仿宋_GB2312" w:cs="仿宋"/>
                <w:sz w:val="22"/>
              </w:rPr>
            </w:pPr>
            <w:r>
              <w:rPr>
                <w:rFonts w:hint="eastAsia" w:ascii="仿宋_GB2312" w:hAnsi="仿宋" w:eastAsia="仿宋_GB2312" w:cs="仿宋"/>
                <w:sz w:val="22"/>
              </w:rPr>
              <w:t>2025</w:t>
            </w:r>
          </w:p>
        </w:tc>
        <w:tc>
          <w:tcPr>
            <w:tcW w:w="1090" w:type="dxa"/>
            <w:vAlign w:val="center"/>
          </w:tcPr>
          <w:p>
            <w:pPr>
              <w:spacing w:line="400" w:lineRule="exact"/>
              <w:jc w:val="center"/>
              <w:rPr>
                <w:rFonts w:ascii="仿宋_GB2312" w:hAnsi="仿宋" w:eastAsia="仿宋_GB2312" w:cs="仿宋"/>
                <w:sz w:val="22"/>
              </w:rPr>
            </w:pPr>
            <w:r>
              <w:rPr>
                <w:rFonts w:hint="eastAsia" w:ascii="仿宋_GB2312" w:hAnsi="仿宋" w:eastAsia="仿宋_GB2312" w:cs="仿宋"/>
                <w:sz w:val="22"/>
              </w:rPr>
              <w:t>17.64</w:t>
            </w:r>
          </w:p>
        </w:tc>
        <w:tc>
          <w:tcPr>
            <w:tcW w:w="1090" w:type="dxa"/>
            <w:vAlign w:val="center"/>
          </w:tcPr>
          <w:p>
            <w:pPr>
              <w:spacing w:line="400" w:lineRule="exact"/>
              <w:jc w:val="center"/>
              <w:rPr>
                <w:rFonts w:ascii="仿宋_GB2312" w:hAnsi="仿宋" w:eastAsia="仿宋_GB2312" w:cs="仿宋"/>
                <w:sz w:val="22"/>
              </w:rPr>
            </w:pPr>
            <w:r>
              <w:rPr>
                <w:rFonts w:hint="eastAsia" w:ascii="仿宋_GB2312" w:hAnsi="仿宋" w:eastAsia="仿宋_GB2312" w:cs="仿宋"/>
                <w:sz w:val="22"/>
              </w:rPr>
              <w:t>2.91</w:t>
            </w:r>
          </w:p>
        </w:tc>
        <w:tc>
          <w:tcPr>
            <w:tcW w:w="1090" w:type="dxa"/>
            <w:vAlign w:val="center"/>
          </w:tcPr>
          <w:p>
            <w:pPr>
              <w:spacing w:line="400" w:lineRule="exact"/>
              <w:jc w:val="center"/>
              <w:rPr>
                <w:rFonts w:ascii="仿宋_GB2312" w:hAnsi="仿宋" w:eastAsia="仿宋_GB2312" w:cs="仿宋"/>
                <w:sz w:val="22"/>
              </w:rPr>
            </w:pPr>
            <w:r>
              <w:rPr>
                <w:rFonts w:hint="eastAsia" w:ascii="仿宋_GB2312" w:hAnsi="仿宋" w:eastAsia="仿宋_GB2312" w:cs="仿宋"/>
                <w:sz w:val="22"/>
              </w:rPr>
              <w:t>14.12</w:t>
            </w:r>
          </w:p>
        </w:tc>
        <w:tc>
          <w:tcPr>
            <w:tcW w:w="1091" w:type="dxa"/>
            <w:vAlign w:val="center"/>
          </w:tcPr>
          <w:p>
            <w:pPr>
              <w:spacing w:line="400" w:lineRule="exact"/>
              <w:jc w:val="center"/>
              <w:rPr>
                <w:rFonts w:ascii="仿宋_GB2312" w:hAnsi="仿宋" w:eastAsia="仿宋_GB2312" w:cs="仿宋"/>
                <w:sz w:val="22"/>
              </w:rPr>
            </w:pPr>
            <w:r>
              <w:rPr>
                <w:rFonts w:hint="eastAsia" w:ascii="仿宋_GB2312" w:hAnsi="仿宋" w:eastAsia="仿宋_GB2312" w:cs="仿宋"/>
                <w:sz w:val="22"/>
              </w:rPr>
              <w:t>232.5</w:t>
            </w:r>
          </w:p>
        </w:tc>
        <w:tc>
          <w:tcPr>
            <w:tcW w:w="1090" w:type="dxa"/>
            <w:vAlign w:val="center"/>
          </w:tcPr>
          <w:p>
            <w:pPr>
              <w:spacing w:line="400" w:lineRule="exact"/>
              <w:jc w:val="center"/>
              <w:rPr>
                <w:rFonts w:ascii="仿宋_GB2312" w:hAnsi="仿宋" w:eastAsia="仿宋_GB2312" w:cs="仿宋"/>
                <w:sz w:val="22"/>
              </w:rPr>
            </w:pPr>
            <w:r>
              <w:rPr>
                <w:rFonts w:hint="eastAsia" w:ascii="仿宋_GB2312" w:hAnsi="仿宋" w:eastAsia="仿宋_GB2312" w:cs="仿宋"/>
                <w:sz w:val="22"/>
              </w:rPr>
              <w:t>7.55</w:t>
            </w:r>
          </w:p>
        </w:tc>
        <w:tc>
          <w:tcPr>
            <w:tcW w:w="1615" w:type="dxa"/>
            <w:vAlign w:val="center"/>
          </w:tcPr>
          <w:p>
            <w:pPr>
              <w:spacing w:line="400" w:lineRule="exact"/>
              <w:jc w:val="center"/>
              <w:rPr>
                <w:rFonts w:ascii="仿宋_GB2312" w:hAnsi="仿宋" w:eastAsia="仿宋_GB2312" w:cs="仿宋"/>
                <w:sz w:val="22"/>
              </w:rPr>
            </w:pPr>
            <w:r>
              <w:rPr>
                <w:rFonts w:hint="eastAsia" w:ascii="仿宋_GB2312" w:hAnsi="仿宋" w:eastAsia="仿宋_GB2312" w:cs="仿宋"/>
                <w:sz w:val="22"/>
              </w:rPr>
              <w:t>274.8</w:t>
            </w:r>
          </w:p>
        </w:tc>
      </w:tr>
    </w:tbl>
    <w:p>
      <w:pPr>
        <w:spacing w:line="140" w:lineRule="exact"/>
        <w:ind w:firstLine="642" w:firstLineChars="200"/>
        <w:rPr>
          <w:rFonts w:ascii="仿宋_GB2312" w:hAnsi="仿宋_GB2312" w:eastAsia="仿宋_GB2312" w:cs="仿宋_GB2312"/>
          <w:b/>
          <w:bCs/>
          <w:sz w:val="32"/>
          <w:szCs w:val="32"/>
        </w:rPr>
      </w:pPr>
    </w:p>
    <w:p>
      <w:pPr>
        <w:spacing w:line="580" w:lineRule="exact"/>
        <w:ind w:firstLine="642" w:firstLineChars="200"/>
        <w:rPr>
          <w:rFonts w:hint="eastAsia" w:ascii="仿宋_GB2312" w:hAnsi="仿宋_GB2312" w:eastAsia="仿宋_GB2312" w:cs="仿宋_GB2312"/>
          <w:sz w:val="31"/>
          <w:szCs w:val="31"/>
        </w:rPr>
      </w:pPr>
      <w:r>
        <w:rPr>
          <w:rFonts w:hint="eastAsia" w:ascii="仿宋_GB2312" w:hAnsi="仿宋_GB2312" w:eastAsia="仿宋_GB2312" w:cs="仿宋_GB2312"/>
          <w:b/>
          <w:bCs/>
          <w:sz w:val="32"/>
          <w:szCs w:val="32"/>
        </w:rPr>
        <w:t>4.临泽县冷链物流预测。</w:t>
      </w:r>
      <w:r>
        <w:rPr>
          <w:rFonts w:hint="eastAsia" w:ascii="仿宋_GB2312" w:hAnsi="仿宋_GB2312" w:eastAsia="仿宋_GB2312" w:cs="仿宋_GB2312"/>
          <w:spacing w:val="-11"/>
          <w:sz w:val="32"/>
          <w:szCs w:val="32"/>
        </w:rPr>
        <w:t>产业发展态势良好，冷链物流需求将大幅度增长。2020年全县地区生产总值57.45亿元，</w:t>
      </w:r>
      <w:r>
        <w:rPr>
          <w:rFonts w:hint="eastAsia" w:ascii="仿宋_GB2312" w:hAnsi="仿宋_GB2312" w:eastAsia="仿宋_GB2312" w:cs="仿宋_GB2312"/>
          <w:spacing w:val="-11"/>
          <w:sz w:val="32"/>
          <w:szCs w:val="32"/>
          <w:lang w:eastAsia="zh-CN"/>
        </w:rPr>
        <w:t>同比</w:t>
      </w:r>
      <w:r>
        <w:rPr>
          <w:rFonts w:hint="eastAsia" w:ascii="仿宋_GB2312" w:hAnsi="仿宋_GB2312" w:eastAsia="仿宋_GB2312" w:cs="仿宋_GB2312"/>
          <w:spacing w:val="-11"/>
          <w:sz w:val="32"/>
          <w:szCs w:val="32"/>
        </w:rPr>
        <w:t>增长3.7%。其中，第一产业增加值20.81亿元</w:t>
      </w:r>
      <w:r>
        <w:rPr>
          <w:rFonts w:hint="eastAsia" w:ascii="仿宋_GB2312" w:hAnsi="仿宋_GB2312" w:eastAsia="仿宋_GB2312" w:cs="仿宋_GB2312"/>
          <w:spacing w:val="-11"/>
          <w:sz w:val="32"/>
          <w:szCs w:val="32"/>
          <w:lang w:eastAsia="zh-CN"/>
        </w:rPr>
        <w:t>，同比</w:t>
      </w:r>
      <w:r>
        <w:rPr>
          <w:rFonts w:hint="eastAsia" w:ascii="仿宋_GB2312" w:hAnsi="仿宋_GB2312" w:eastAsia="仿宋_GB2312" w:cs="仿宋_GB2312"/>
          <w:spacing w:val="-11"/>
          <w:sz w:val="32"/>
          <w:szCs w:val="32"/>
        </w:rPr>
        <w:t>增长5.43%；第二产业增加值8.45亿元，</w:t>
      </w:r>
      <w:r>
        <w:rPr>
          <w:rFonts w:hint="eastAsia" w:ascii="仿宋_GB2312" w:hAnsi="仿宋_GB2312" w:eastAsia="仿宋_GB2312" w:cs="仿宋_GB2312"/>
          <w:spacing w:val="-11"/>
          <w:sz w:val="32"/>
          <w:szCs w:val="32"/>
          <w:lang w:eastAsia="zh-CN"/>
        </w:rPr>
        <w:t>同比</w:t>
      </w:r>
      <w:r>
        <w:rPr>
          <w:rFonts w:hint="eastAsia" w:ascii="仿宋_GB2312" w:hAnsi="仿宋_GB2312" w:eastAsia="仿宋_GB2312" w:cs="仿宋_GB2312"/>
          <w:spacing w:val="-11"/>
          <w:sz w:val="32"/>
          <w:szCs w:val="32"/>
        </w:rPr>
        <w:t>增长1.9%；第三产业增加值28.19亿元，</w:t>
      </w:r>
      <w:r>
        <w:rPr>
          <w:rFonts w:hint="eastAsia" w:ascii="仿宋_GB2312" w:hAnsi="仿宋_GB2312" w:eastAsia="仿宋_GB2312" w:cs="仿宋_GB2312"/>
          <w:spacing w:val="-11"/>
          <w:sz w:val="32"/>
          <w:szCs w:val="32"/>
          <w:lang w:eastAsia="zh-CN"/>
        </w:rPr>
        <w:t>同比</w:t>
      </w:r>
      <w:r>
        <w:rPr>
          <w:rFonts w:hint="eastAsia" w:ascii="仿宋_GB2312" w:hAnsi="仿宋_GB2312" w:eastAsia="仿宋_GB2312" w:cs="仿宋_GB2312"/>
          <w:spacing w:val="-11"/>
          <w:sz w:val="32"/>
          <w:szCs w:val="32"/>
        </w:rPr>
        <w:t>增长3.2%。一二三产业结构比为34.4:15.3:50.3。蔬菜产量20.97万吨，</w:t>
      </w:r>
      <w:r>
        <w:rPr>
          <w:rFonts w:hint="eastAsia" w:ascii="仿宋_GB2312" w:hAnsi="仿宋_GB2312" w:eastAsia="仿宋_GB2312" w:cs="仿宋_GB2312"/>
          <w:spacing w:val="-11"/>
          <w:sz w:val="32"/>
          <w:szCs w:val="32"/>
          <w:lang w:eastAsia="zh-CN"/>
        </w:rPr>
        <w:t>同比</w:t>
      </w:r>
      <w:r>
        <w:rPr>
          <w:rFonts w:hint="eastAsia" w:ascii="仿宋_GB2312" w:hAnsi="仿宋_GB2312" w:eastAsia="仿宋_GB2312" w:cs="仿宋_GB2312"/>
          <w:spacing w:val="-11"/>
          <w:sz w:val="32"/>
          <w:szCs w:val="32"/>
        </w:rPr>
        <w:t>增长2.16%</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肉类</w:t>
      </w:r>
      <w:r>
        <w:rPr>
          <w:rFonts w:hint="eastAsia" w:ascii="仿宋_GB2312" w:hAnsi="仿宋_GB2312" w:eastAsia="仿宋_GB2312" w:cs="仿宋_GB2312"/>
          <w:sz w:val="32"/>
          <w:szCs w:val="32"/>
        </w:rPr>
        <w:t>产量1.9万吨，</w:t>
      </w:r>
      <w:r>
        <w:rPr>
          <w:rFonts w:hint="eastAsia" w:ascii="仿宋_GB2312" w:hAnsi="仿宋_GB2312" w:eastAsia="仿宋_GB2312" w:cs="仿宋_GB2312"/>
          <w:sz w:val="32"/>
          <w:szCs w:val="32"/>
          <w:lang w:eastAsia="zh-CN"/>
        </w:rPr>
        <w:t>同比</w:t>
      </w:r>
      <w:r>
        <w:rPr>
          <w:rFonts w:hint="eastAsia" w:ascii="仿宋_GB2312" w:hAnsi="仿宋_GB2312" w:eastAsia="仿宋_GB2312" w:cs="仿宋_GB2312"/>
          <w:sz w:val="32"/>
          <w:szCs w:val="32"/>
        </w:rPr>
        <w:t>增长8.78%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禽蛋产量0.10万吨，</w:t>
      </w:r>
      <w:r>
        <w:rPr>
          <w:rFonts w:hint="eastAsia" w:ascii="仿宋_GB2312" w:hAnsi="仿宋_GB2312" w:eastAsia="仿宋_GB2312" w:cs="仿宋_GB2312"/>
          <w:sz w:val="32"/>
          <w:szCs w:val="32"/>
          <w:lang w:eastAsia="zh-CN"/>
        </w:rPr>
        <w:t>同比</w:t>
      </w:r>
      <w:r>
        <w:rPr>
          <w:rFonts w:hint="eastAsia" w:ascii="仿宋_GB2312" w:hAnsi="仿宋_GB2312" w:eastAsia="仿宋_GB2312" w:cs="仿宋_GB2312"/>
          <w:sz w:val="32"/>
          <w:szCs w:val="32"/>
        </w:rPr>
        <w:t>增长23.99%。</w:t>
      </w:r>
      <w:r>
        <w:rPr>
          <w:rFonts w:hint="eastAsia" w:ascii="仿宋_GB2312" w:hAnsi="仿宋_GB2312" w:eastAsia="仿宋_GB2312" w:cs="仿宋_GB2312"/>
          <w:sz w:val="31"/>
          <w:szCs w:val="31"/>
        </w:rPr>
        <w:t>农业资源优势十分明显，冷链物流贯通一二三产业，是巩固脱贫攻坚成果，有效衔接乡村振兴，促进消费升级的重要产业，是构建双循环新发展格局的重要发力点。因此，可以预计冷链物流产业在未来5-10年内，仍然</w:t>
      </w:r>
    </w:p>
    <w:p>
      <w:pPr>
        <w:spacing w:line="580" w:lineRule="exact"/>
        <w:rPr>
          <w:rFonts w:ascii="楷体_GB2312" w:hAnsi="楷体_GB2312" w:eastAsia="楷体_GB2312" w:cs="楷体_GB2312"/>
          <w:b/>
          <w:bCs/>
          <w:sz w:val="32"/>
          <w:szCs w:val="32"/>
        </w:rPr>
      </w:pPr>
      <w:r>
        <w:drawing>
          <wp:anchor distT="0" distB="0" distL="114300" distR="114300" simplePos="0" relativeHeight="251659264" behindDoc="0" locked="0" layoutInCell="1" allowOverlap="1">
            <wp:simplePos x="0" y="0"/>
            <wp:positionH relativeFrom="column">
              <wp:posOffset>-50165</wp:posOffset>
            </wp:positionH>
            <wp:positionV relativeFrom="paragraph">
              <wp:posOffset>433705</wp:posOffset>
            </wp:positionV>
            <wp:extent cx="5619750" cy="3192145"/>
            <wp:effectExtent l="1905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stretch>
                      <a:fillRect/>
                    </a:stretch>
                  </pic:blipFill>
                  <pic:spPr>
                    <a:xfrm>
                      <a:off x="0" y="0"/>
                      <a:ext cx="5619750" cy="3192145"/>
                    </a:xfrm>
                    <a:prstGeom prst="rect">
                      <a:avLst/>
                    </a:prstGeom>
                    <a:noFill/>
                    <a:ln>
                      <a:noFill/>
                    </a:ln>
                  </pic:spPr>
                </pic:pic>
              </a:graphicData>
            </a:graphic>
          </wp:anchor>
        </w:drawing>
      </w:r>
      <w:r>
        <w:rPr>
          <w:rFonts w:hint="eastAsia" w:ascii="仿宋_GB2312" w:hAnsi="仿宋_GB2312" w:eastAsia="仿宋_GB2312" w:cs="仿宋_GB2312"/>
          <w:sz w:val="31"/>
          <w:szCs w:val="31"/>
        </w:rPr>
        <w:t>是张掖市促进地方经济发展的主要支撑和抓手。</w:t>
      </w:r>
    </w:p>
    <w:p>
      <w:pPr>
        <w:pStyle w:val="6"/>
        <w:widowControl w:val="0"/>
        <w:spacing w:afterLines="0" w:line="400" w:lineRule="exact"/>
        <w:ind w:firstLine="0" w:firstLineChars="0"/>
        <w:jc w:val="center"/>
        <w:rPr>
          <w:rFonts w:ascii="黑体" w:hAnsi="黑体" w:eastAsia="黑体" w:cs="黑体"/>
          <w:sz w:val="32"/>
          <w:szCs w:val="32"/>
        </w:rPr>
      </w:pPr>
    </w:p>
    <w:p>
      <w:pPr>
        <w:pStyle w:val="6"/>
        <w:widowControl w:val="0"/>
        <w:spacing w:afterLines="0" w:line="400" w:lineRule="exact"/>
        <w:ind w:firstLine="0" w:firstLineChars="0"/>
        <w:jc w:val="center"/>
        <w:rPr>
          <w:rFonts w:ascii="黑体" w:hAnsi="黑体" w:eastAsia="黑体" w:cs="黑体"/>
          <w:sz w:val="32"/>
          <w:szCs w:val="32"/>
        </w:rPr>
      </w:pPr>
      <w:r>
        <w:rPr>
          <w:rFonts w:hint="eastAsia" w:ascii="黑体" w:hAnsi="黑体" w:eastAsia="黑体" w:cs="黑体"/>
          <w:sz w:val="32"/>
          <w:szCs w:val="32"/>
        </w:rPr>
        <w:t>第三章  发展机遇、挑战与路径</w:t>
      </w:r>
    </w:p>
    <w:p>
      <w:pPr>
        <w:pStyle w:val="6"/>
        <w:widowControl w:val="0"/>
        <w:spacing w:afterLines="0" w:line="360" w:lineRule="exact"/>
        <w:ind w:firstLine="0" w:firstLineChars="0"/>
        <w:jc w:val="center"/>
        <w:rPr>
          <w:rFonts w:ascii="黑体" w:hAnsi="黑体" w:eastAsia="黑体" w:cs="黑体"/>
          <w:sz w:val="32"/>
          <w:szCs w:val="32"/>
        </w:rPr>
      </w:pPr>
    </w:p>
    <w:p>
      <w:pPr>
        <w:pStyle w:val="6"/>
        <w:widowControl w:val="0"/>
        <w:spacing w:afterLines="0" w:line="60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（一）面临机遇</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1.新时代西部大开发和“双循环”新发展格局构建为发展冷链物流创造了难得的外部环境</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一是国家“一带一路”建设深入推进，为西部省份破解区位限制瓶颈加快向西开放步伐、扩大对外开放水平、加速技术进步、深度融入世界经济体系带来新契机。二是国家实施新时代推进西部大开发形成新格局，为加快补齐发展短板、统筹城乡区域协调发展、构建现代产业体系等提供了良好条件。三是黄河流域生态保护和高质量发展战略的深入实施，为筑牢守好国家西部生态安全屏障，推动绿色转型高质量发展创造了条件；西部陆海新通道的高质量建设与实施，为临泽融入新发展格局提供了有力支撑。根据党中央、国务院的决策部署，将大力推进《西部陆海新通道的总体规划》，高水平共建西部陆海新通道，将进一步强化西部内陆地区与东南亚地区的衔接，经济带动作用明显。总之，多重机遇叠加和</w:t>
      </w:r>
      <w:r>
        <w:rPr>
          <w:rFonts w:hint="eastAsia" w:ascii="仿宋_GB2312" w:hAnsi="仿宋_GB2312" w:eastAsia="仿宋_GB2312" w:cs="仿宋_GB2312"/>
          <w:sz w:val="32"/>
          <w:szCs w:val="32"/>
          <w:lang w:eastAsia="zh-CN"/>
        </w:rPr>
        <w:t>彰显</w:t>
      </w:r>
      <w:r>
        <w:rPr>
          <w:rFonts w:hint="eastAsia" w:ascii="仿宋_GB2312" w:hAnsi="仿宋_GB2312" w:eastAsia="仿宋_GB2312" w:cs="仿宋_GB2312"/>
          <w:sz w:val="32"/>
          <w:szCs w:val="32"/>
        </w:rPr>
        <w:t>，为临泽充分发挥丝绸之路经济带、西部陆海新通道黄金走廊与战略支点作用、真正把资源优势及区位优势转变为发展优势和竞争优势、使之成为双循环的重要战略基地与区域冷链物流集散地创造了难得的发展环境。</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2.乡村振兴加速发展为冷链物流建设提供契机。</w:t>
      </w:r>
      <w:r>
        <w:rPr>
          <w:rFonts w:hint="eastAsia" w:ascii="仿宋_GB2312" w:hAnsi="仿宋_GB2312" w:eastAsia="仿宋_GB2312" w:cs="仿宋_GB2312"/>
          <w:sz w:val="32"/>
          <w:szCs w:val="32"/>
        </w:rPr>
        <w:t>贯彻落实《中共中央国务院关于全面推进乡村振兴加快农业农村现代化的意见》和《中共中央国务院关于做好2022年全面推进乡村振兴重点工作的意见》，加强现代农业体系建设、县域商业体系建设，加快农村产业融合发展，为冷链物流建设提供了重大机遇。随着乡村振兴战略深入实施，将助推我县冷链物流服务网络向农村延伸，有利于推进农产品产地仓储保鲜冷链物流设施建设，进一步加快推进田头小型仓储保鲜冷链设施、产地低温直销配送中心、国家骨干冷链物流基地建设。</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3.居民消费结构升级为冷链物流发展添加推力。</w:t>
      </w:r>
      <w:r>
        <w:rPr>
          <w:rFonts w:hint="eastAsia" w:ascii="仿宋_GB2312" w:hAnsi="仿宋_GB2312" w:eastAsia="仿宋_GB2312" w:cs="仿宋_GB2312"/>
          <w:sz w:val="32"/>
          <w:szCs w:val="32"/>
        </w:rPr>
        <w:t>消费者对高品质生鲜食品、冷冻食品的需求日趋旺盛，为冷链物流带来巨大发展空间；消费者的食品、药品安全意识不断提升，要求冷链物流构建全程监管体系。居民快速增长的新型消费需求要求冷链物流提供高水平、现代化的服务，保障高质量消费增长的市场需求。</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4.相关</w:t>
      </w:r>
      <w:r>
        <w:rPr>
          <w:rFonts w:hint="eastAsia" w:ascii="仿宋_GB2312" w:hAnsi="仿宋_GB2312" w:eastAsia="仿宋_GB2312" w:cs="仿宋_GB2312"/>
          <w:b/>
          <w:bCs/>
          <w:spacing w:val="6"/>
          <w:sz w:val="32"/>
          <w:szCs w:val="32"/>
        </w:rPr>
        <w:t>技术不断突破为冷链物流创新充分赋能。</w:t>
      </w:r>
      <w:r>
        <w:rPr>
          <w:rFonts w:hint="eastAsia" w:ascii="仿宋_GB2312" w:hAnsi="仿宋_GB2312" w:eastAsia="仿宋_GB2312" w:cs="仿宋_GB2312"/>
          <w:spacing w:val="6"/>
          <w:sz w:val="32"/>
          <w:szCs w:val="32"/>
        </w:rPr>
        <w:t>产后商品处理技术、低温控制技术、包装规模化技术、智能保温技术、绿色防腐技术、温度检测技术等新技术的运用为冷链物流的运行提供了技术保障，减少了产品流通损耗，总体降低</w:t>
      </w:r>
      <w:r>
        <w:rPr>
          <w:rFonts w:hint="eastAsia" w:ascii="仿宋_GB2312" w:hAnsi="仿宋_GB2312" w:eastAsia="仿宋_GB2312" w:cs="仿宋_GB2312"/>
          <w:sz w:val="32"/>
          <w:szCs w:val="32"/>
        </w:rPr>
        <w:t>了冷链物流成本。大数据、物联网、第五代移动通信（5G)、</w:t>
      </w:r>
      <w:r>
        <w:rPr>
          <w:rFonts w:hint="eastAsia" w:ascii="仿宋_GB2312" w:hAnsi="仿宋_GB2312" w:eastAsia="仿宋_GB2312" w:cs="仿宋_GB2312"/>
          <w:spacing w:val="6"/>
          <w:sz w:val="32"/>
          <w:szCs w:val="32"/>
        </w:rPr>
        <w:t>云计算等新技术助推冷链物流信息化、智慧化发展，实现现代化管理和运</w:t>
      </w:r>
      <w:r>
        <w:rPr>
          <w:rFonts w:hint="eastAsia" w:ascii="仿宋_GB2312" w:hAnsi="仿宋_GB2312" w:eastAsia="仿宋_GB2312" w:cs="仿宋_GB2312"/>
          <w:spacing w:val="-6"/>
          <w:sz w:val="32"/>
          <w:szCs w:val="32"/>
        </w:rPr>
        <w:t>营。</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5.“农超对接”等新模式迅速发展，为加速冷链物流产业升级带来了新思路。</w:t>
      </w:r>
      <w:r>
        <w:rPr>
          <w:rFonts w:hint="eastAsia" w:ascii="仿宋_GB2312" w:hAnsi="仿宋_GB2312" w:eastAsia="仿宋_GB2312" w:cs="仿宋_GB2312"/>
          <w:sz w:val="32"/>
          <w:szCs w:val="32"/>
        </w:rPr>
        <w:t>冷链物流行业为生鲜等产品提供配送仓储等服务，生鲜等产品的销售模式的改变也会给冷链物流行业带来改变。将现代流通方式引向广阔农村，为优质农产品进入超市搭建平台。消费升级带动传统零售企业加速转型升级，盒马鲜生、超级物种、苏鲜生等“零售+餐饮+配送”“线上+线下”融合互联网、大数据的新兴商业模式不断涌现。尤其是甘肃省将培育消费新模式新业态、大力发展电子商务、推广中央厨房新模式打造一批中央厨房龙头示范企业等措施，为我县应用云计算、大数据、区块链、智能化移动式冷库等新技术商业模式提供了很好的机会，为临泽冷链物流产业网络化、标准化、规模化、多样化发展提供强劲动力。</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6.疫情防控常态化管理对冷链物流安全提出挑战。</w:t>
      </w:r>
      <w:r>
        <w:rPr>
          <w:rFonts w:hint="eastAsia" w:ascii="仿宋_GB2312" w:hAnsi="仿宋_GB2312" w:eastAsia="仿宋_GB2312" w:cs="仿宋_GB2312"/>
          <w:sz w:val="32"/>
          <w:szCs w:val="32"/>
        </w:rPr>
        <w:t>新冠肺炎疫情的出现，凸显冷链物流安全的重要性。要保证疫情严峻形势下医药产品的质量和配送速度，必须解决冷链物流“断链”“伪冷链”等问题，提升冷链物流服务质量，满足不同药品、医疗器械产品对储存、运输温度的不同要求。疫情防控常态化后，冷链运输工具需要采取更加严格的防疫措施，在冷链产品流通中增加检查步骤，完善全程追溯体系，提高应急处置能力。</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7.双碳目标为冷链物流节能减排发展指明方向。</w:t>
      </w:r>
      <w:r>
        <w:rPr>
          <w:rFonts w:hint="eastAsia" w:ascii="仿宋_GB2312" w:hAnsi="仿宋_GB2312" w:eastAsia="仿宋_GB2312" w:cs="仿宋_GB2312"/>
          <w:sz w:val="32"/>
          <w:szCs w:val="32"/>
        </w:rPr>
        <w:t>冷链物流部分环节存在高能耗和资源浪费情况。制冷设备运转会排放大量二氧化碳;流通中的托盘、周转箱、包装盒、保温材料等循环利用率低，产生资源浪费；冷藏运输车辆在运输中排放尾气，对大气造成污染。为实现双碳目标，需要降低冷链物流碳排放、减少资源浪费、减少环境污染，推动绿色运输、绿色包装、绿色流通加工、绿色节能设施，实现绿色可持续发展。</w:t>
      </w: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（二）主要挑战</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1.冷链物流的供给水平亟待提升。</w:t>
      </w:r>
      <w:r>
        <w:rPr>
          <w:rFonts w:hint="eastAsia" w:ascii="仿宋_GB2312" w:hAnsi="仿宋_GB2312" w:eastAsia="仿宋_GB2312" w:cs="仿宋_GB2312"/>
          <w:sz w:val="32"/>
          <w:szCs w:val="32"/>
        </w:rPr>
        <w:t>目前张掖冷链物流业服务能力还不能充分满足临泽当前14.87万人口的生产消费需求，冷链物流需求与供给矛盾日益突出。设施供给方面，临泽县人均冷库占有量不足0.1立方米，人均冷库、人均冷藏车占有率均低于全省平均水平，设施与设备发展滞后，分布不均、结构不合理，亟待升级改造。冷链物流服务供给方面，冷链服务形式单一、技术水平较低，冷链物流还未形成社会化网络体系，</w:t>
      </w:r>
      <w:r>
        <w:rPr>
          <w:rFonts w:hint="eastAsia" w:ascii="仿宋_GB2312" w:hAnsi="仿宋_GB2312" w:eastAsia="仿宋_GB2312" w:cs="仿宋_GB2312"/>
          <w:spacing w:val="-6"/>
          <w:sz w:val="32"/>
          <w:szCs w:val="32"/>
        </w:rPr>
        <w:t>条块分割现象严重，临泽县规模较大的第三方冷链物流企业较少。</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2.辐射周边、产业联动的支撑带动作用亟待加强。</w:t>
      </w:r>
      <w:r>
        <w:rPr>
          <w:rFonts w:hint="eastAsia" w:ascii="仿宋_GB2312" w:hAnsi="仿宋_GB2312" w:eastAsia="仿宋_GB2312" w:cs="仿宋_GB2312"/>
          <w:sz w:val="32"/>
          <w:szCs w:val="32"/>
        </w:rPr>
        <w:t>临泽县特色农产品、肉类、蔬菜等产业快速发展的同时，高质量的冷链物流服务体系尚未配套形成，无缝衔接、高效运行的冷链网络体系尚未建立。农产品产地预冷、储藏保鲜等初加工冷链设施覆盖率低，大多数冷链物流企业以服务本地客户为主，通达300公里以上的城市物流网络覆盖率低，全国集货分拨能力亟待提高。冷链物流区域辐射和产业带动整体能力较弱，在一定程度上，已成为制约特色农业发展的瓶颈。一些冷库技术落后，原有的设施设备陈旧，仅适合洋葱、大白菜、高原夏菜等储存</w:t>
      </w:r>
      <w:r>
        <w:rPr>
          <w:rFonts w:hint="eastAsia" w:ascii="仿宋_GB2312" w:hAnsi="仿宋_GB2312" w:eastAsia="仿宋_GB2312" w:cs="仿宋_GB2312"/>
          <w:spacing w:val="-4"/>
          <w:sz w:val="32"/>
          <w:szCs w:val="32"/>
        </w:rPr>
        <w:t>要求较低的农产品，无法为储存要求高、标准高的农产品提供质量保障。许多田间预冷库设备老旧、使用率低，冷库结构不合理，肉类冷库少，大型冷库冷藏运输设施严重不足，大中型标准化冷链运输车辆缺乏，绝大部分物流企业都不具备冷藏运输设施</w:t>
      </w:r>
      <w:r>
        <w:rPr>
          <w:rFonts w:hint="eastAsia" w:ascii="仿宋_GB2312" w:hAnsi="仿宋_GB2312" w:eastAsia="仿宋_GB2312" w:cs="仿宋_GB2312"/>
          <w:sz w:val="32"/>
          <w:szCs w:val="32"/>
        </w:rPr>
        <w:t>。</w:t>
      </w: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仿宋_GB2312" w:hAnsi="仿宋_GB2312" w:eastAsia="仿宋_GB2312" w:cs="仿宋_GB2312"/>
          <w:b/>
          <w:bCs/>
          <w:sz w:val="32"/>
          <w:szCs w:val="32"/>
        </w:rPr>
        <w:t>3.应对区域竞争、开展差异化发展的研究谋划亟待开展。</w:t>
      </w:r>
      <w:r>
        <w:rPr>
          <w:rFonts w:hint="eastAsia" w:ascii="仿宋_GB2312" w:hAnsi="仿宋_GB2312" w:eastAsia="仿宋_GB2312" w:cs="仿宋_GB2312"/>
          <w:sz w:val="32"/>
          <w:szCs w:val="32"/>
        </w:rPr>
        <w:t>临泽县尽管具有得天独厚的农业产业、通道、物流节点等发展优势，但由于周边区域物流产业的迅速发展，对临泽物流业从一定程度带来巨大的竞争和压力。与先进地区相比，目前针对冷链物流的研究和规划还较少，发展冷链物流的理念思路还不够清晰，应对产业发展机遇和区域竞争合作、实现区位差异化发展的准备还不够充分，一定程度上限制了冷链物流水平提升和冷链产业发展动能的释放。</w:t>
      </w: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（三）发展路径</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1.发挥区位优势，加快建设现代流通体系。</w:t>
      </w:r>
      <w:r>
        <w:rPr>
          <w:rFonts w:hint="eastAsia" w:ascii="仿宋_GB2312" w:hAnsi="仿宋_GB2312" w:eastAsia="仿宋_GB2312" w:cs="仿宋_GB2312"/>
          <w:sz w:val="32"/>
          <w:szCs w:val="32"/>
        </w:rPr>
        <w:t>近年来，借助新亚欧大陆桥、中蒙俄等经济走廊，加快与沿线国家农副产品的贸易升级、农业领域的深度合作，为农业发展拓展更大市场空间。因此，临泽须将发展冷链物流服务业作为发展枢纽经济的重要支柱产业，作为服务地方发展战略、优化资源配置、实现降本增效、满足群众品质生活需求的重要抓手，进一步放</w:t>
      </w:r>
      <w:r>
        <w:rPr>
          <w:rFonts w:hint="eastAsia" w:ascii="仿宋_GB2312" w:hAnsi="仿宋_GB2312" w:eastAsia="仿宋_GB2312" w:cs="仿宋_GB2312"/>
          <w:spacing w:val="-4"/>
          <w:sz w:val="32"/>
          <w:szCs w:val="32"/>
        </w:rPr>
        <w:t>大区位优势，在政府政策引导下，以市场为导向，以企业为主体，加快冷链物流技术、规范、标准体系建设，完善冷链物流基础设施，培育冷链物流企业，建设一体化的冷链物流服务体系。</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2.发挥特色产业优势，催生冷链物流供应链构建。</w:t>
      </w:r>
      <w:r>
        <w:rPr>
          <w:rFonts w:hint="eastAsia" w:ascii="仿宋_GB2312" w:hAnsi="仿宋_GB2312" w:eastAsia="仿宋_GB2312" w:cs="仿宋_GB2312"/>
          <w:sz w:val="32"/>
          <w:szCs w:val="32"/>
        </w:rPr>
        <w:t>绿色农产品和农畜产品精深加工特色产业已成为我县重要支柱产业，也是发展现代冷链物流的主要支撑，针对临泽冷链物流的产业链、供应链管理体系缺乏、难以形成有效的产业链、供应链和价值链等问题，要充分发挥综合服务的优势，围绕全产业链，打造衔接产地销区、从田头到餐桌的冷链物流体系，打通冷链物流的“最先一公里”，构建冷链物流生态闭环。“十四五”期间，改造提升一批农产品批发市场，加快布局一批冷链物流设施和基地，培育一批冷链物流领军企业。</w:t>
      </w:r>
      <w:r>
        <w:rPr>
          <w:rFonts w:hint="eastAsia" w:ascii="仿宋_GB2312" w:hAnsi="仿宋_GB2312" w:eastAsia="仿宋_GB2312" w:cs="仿宋_GB2312"/>
          <w:sz w:val="32"/>
          <w:szCs w:val="32"/>
          <w:lang w:eastAsia="zh-CN"/>
        </w:rPr>
        <w:t>一方面，</w:t>
      </w:r>
      <w:r>
        <w:rPr>
          <w:rFonts w:hint="eastAsia" w:ascii="仿宋_GB2312" w:hAnsi="仿宋_GB2312" w:eastAsia="仿宋_GB2312" w:cs="仿宋_GB2312"/>
          <w:sz w:val="32"/>
          <w:szCs w:val="32"/>
        </w:rPr>
        <w:t>依托农产品种植、绿色食品精深加工、养殖基地，建设规模适度的预冷、贮藏保鲜等初加工冷链设施，打通冷链物流的“最先一公里”；另一方面，要加快区域性冷链物流中心建设和城市冷链配送体系建设，发展以低温仓储、运输为主的保鲜加工配送设施，逐步建立起完善的冷链配送信息系统。</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3.利用好政策红利，强化冷链物流短板补强。</w:t>
      </w:r>
      <w:r>
        <w:rPr>
          <w:rFonts w:hint="eastAsia" w:ascii="仿宋_GB2312" w:hAnsi="仿宋_GB2312" w:eastAsia="仿宋_GB2312" w:cs="仿宋_GB2312"/>
          <w:sz w:val="32"/>
          <w:szCs w:val="32"/>
        </w:rPr>
        <w:t>冷链物流涉及民生等重点领域，备受国家高度关注，2016年以来，从中央到地方推出一系列相关政策，涉及冷链基地打造、农产品、疫情工作要求、产业数字化等相关内容，从多维度指导推动冷链物流行业健康发展。一系列政策的出台为临泽冷链物流产业转型发展明确目标和方向，必须紧紧抓住这一难得的机遇期，利用好国家和地方政府的政策红利，强化冷链物流短板补强，加快区域性专业市场、产地专业市场和集散市场等农产品流通网络建设，推动公益性农产品批发市场和重点县乡农贸市场建设，重点打造以临泽县冷链物流基地、粮食现代物流中心、</w:t>
      </w:r>
      <w:r>
        <w:rPr>
          <w:rFonts w:hint="eastAsia" w:ascii="仿宋_GB2312" w:hAnsi="仿宋_GB2312" w:eastAsia="仿宋_GB2312" w:cs="仿宋_GB2312"/>
          <w:color w:val="333333"/>
          <w:sz w:val="32"/>
          <w:szCs w:val="32"/>
          <w:shd w:val="clear" w:color="auto" w:fill="FFFFFF"/>
        </w:rPr>
        <w:t>张掖丹霞公路港物流园、丹霞服务区、金沙现代物流园</w:t>
      </w:r>
      <w:r>
        <w:rPr>
          <w:rFonts w:hint="eastAsia" w:ascii="仿宋_GB2312" w:hAnsi="仿宋_GB2312" w:eastAsia="仿宋_GB2312" w:cs="仿宋_GB2312"/>
          <w:sz w:val="32"/>
          <w:szCs w:val="32"/>
        </w:rPr>
        <w:t>为核心的冷链物流枢纽建设，以此带动全市冷链物流网络体系的建设，全面提升全县冷链物流设施服务水平。</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4.强化核心辐射和带动作用彰显县域物流枢纽功能。</w:t>
      </w:r>
      <w:r>
        <w:rPr>
          <w:rFonts w:hint="eastAsia" w:ascii="仿宋_GB2312" w:hAnsi="仿宋_GB2312" w:eastAsia="仿宋_GB2312" w:cs="仿宋_GB2312"/>
          <w:sz w:val="32"/>
          <w:szCs w:val="32"/>
        </w:rPr>
        <w:t>紧抓地理交通区位优势、政策利好等重大机遇，按照甘肃省物流发展“十四五”规划，以打造河西走廊中端的商贸物流基地为契机，强化区域交通枢纽和经济通道功能，建设国家现代农业试验示范区、国家玉米制种基地、河西走廊经济区重要枢纽和生态文明先行区。加快构建“通道+区域枢纽+网络”的现代物流运作体系，促进形成以国内大循环为主体、国内国际双循环相互促进的新发展格局。</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5.科技赋能冷链物流平台建设，服务区域经济高质量发展。</w:t>
      </w:r>
      <w:r>
        <w:rPr>
          <w:rFonts w:hint="eastAsia" w:ascii="仿宋_GB2312" w:hAnsi="仿宋_GB2312" w:eastAsia="仿宋_GB2312" w:cs="仿宋_GB2312"/>
          <w:sz w:val="32"/>
          <w:szCs w:val="32"/>
        </w:rPr>
        <w:t>冷链物流数字化发展已是大势所趋。临泽冷链物流发展应加快数字化转型步伐，发展智慧冷链物流，打造智慧冷链物流港。以大数据、人工智能、物联网和区块链等数字技术为基础，着力完善数字化供应链服务体系、数字化冷库管理体系、智能化冷链物流追踪体系、立体化冷链物流网络体系建设，提升平台竞争力和服务力。进一步挖掘物流信息资源在质量追溯、供应链配套服务、管理以及企业信用评价等领域的使用，充分挖掘数据价值，实现高质量发展。推动供应链金融，促进资金链与供应链、产业链深度融合，加强供应链风险防范管理，为冷链物流及上下游企业营造良好金融生态环境。</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总之，“十四五”及今后一段时期，临泽县冷链物流将进入快速发展期，但机遇与挑战并存，重点是要发挥和放大自身优势，做大做强特色产业物流；补齐短板，完善冷链物流基础设施和网络建设。</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在产业培育和发展方面：</w:t>
      </w:r>
      <w:r>
        <w:rPr>
          <w:rFonts w:hint="eastAsia" w:ascii="仿宋_GB2312" w:hAnsi="仿宋_GB2312" w:eastAsia="仿宋_GB2312" w:cs="仿宋_GB2312"/>
          <w:sz w:val="32"/>
          <w:szCs w:val="32"/>
        </w:rPr>
        <w:t>重点发展果蔬、肉类、农产品精深加工等农产品冷链，逐步提高优势产品冷链物流比例，稳步提升细分产品规模。</w:t>
      </w:r>
    </w:p>
    <w:p>
      <w:pPr>
        <w:pStyle w:val="6"/>
        <w:widowControl w:val="0"/>
        <w:spacing w:afterLines="0" w:line="580" w:lineRule="exact"/>
        <w:ind w:firstLine="643"/>
        <w:rPr>
          <w:rFonts w:ascii="仿宋_GB2312" w:hAnsi="仿宋_GB2312" w:eastAsia="仿宋_GB2312" w:cs="仿宋_GB2312"/>
          <w:spacing w:val="-8"/>
          <w:sz w:val="32"/>
          <w:szCs w:val="32"/>
        </w:rPr>
      </w:pPr>
      <w:r>
        <w:rPr>
          <w:rFonts w:hint="eastAsia" w:ascii="仿宋_GB2312" w:hAnsi="仿宋_GB2312" w:eastAsia="仿宋_GB2312" w:cs="仿宋_GB2312"/>
          <w:b/>
          <w:bCs/>
          <w:sz w:val="32"/>
          <w:szCs w:val="32"/>
        </w:rPr>
        <w:t>在</w:t>
      </w:r>
      <w:r>
        <w:rPr>
          <w:rFonts w:hint="eastAsia" w:ascii="仿宋_GB2312" w:hAnsi="仿宋_GB2312" w:eastAsia="仿宋_GB2312" w:cs="仿宋_GB2312"/>
          <w:b/>
          <w:bCs/>
          <w:spacing w:val="-8"/>
          <w:sz w:val="32"/>
          <w:szCs w:val="32"/>
        </w:rPr>
        <w:t>发展举措方面：</w:t>
      </w:r>
      <w:r>
        <w:rPr>
          <w:rFonts w:hint="eastAsia" w:ascii="仿宋_GB2312" w:hAnsi="仿宋_GB2312" w:eastAsia="仿宋_GB2312" w:cs="仿宋_GB2312"/>
          <w:spacing w:val="-8"/>
          <w:sz w:val="32"/>
          <w:szCs w:val="32"/>
        </w:rPr>
        <w:t>要推动优势产业提质升级，完善基础设施设备，创新产业发展模式，构建内通外联、高效集约的网络体系。</w:t>
      </w: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仿宋_GB2312" w:hAnsi="仿宋_GB2312" w:eastAsia="仿宋_GB2312" w:cs="仿宋_GB2312"/>
          <w:b/>
          <w:bCs/>
          <w:sz w:val="32"/>
          <w:szCs w:val="32"/>
        </w:rPr>
        <w:t>在发展策略方面：</w:t>
      </w:r>
      <w:r>
        <w:rPr>
          <w:rFonts w:hint="eastAsia" w:ascii="仿宋_GB2312" w:hAnsi="仿宋_GB2312" w:eastAsia="仿宋_GB2312" w:cs="仿宋_GB2312"/>
          <w:sz w:val="32"/>
          <w:szCs w:val="32"/>
        </w:rPr>
        <w:t>要突出临泽特色，加强与周边协同发展，立足河西走廊和横向通道延伸，突出区域枢纽功能，按照产业联动、项目带动、区域互动的路径，紧紧抓住未来5年发展战略机遇期，实现全县冷链物流的高质量发展。</w:t>
      </w:r>
    </w:p>
    <w:p>
      <w:pPr>
        <w:pStyle w:val="6"/>
        <w:widowControl w:val="0"/>
        <w:spacing w:afterLines="0" w:line="400" w:lineRule="exact"/>
        <w:ind w:firstLine="640"/>
        <w:jc w:val="center"/>
        <w:rPr>
          <w:rFonts w:ascii="黑体" w:hAnsi="黑体" w:eastAsia="黑体" w:cs="黑体"/>
          <w:sz w:val="32"/>
          <w:szCs w:val="32"/>
        </w:rPr>
      </w:pPr>
    </w:p>
    <w:p>
      <w:pPr>
        <w:pStyle w:val="6"/>
        <w:widowControl w:val="0"/>
        <w:spacing w:afterLines="0" w:line="400" w:lineRule="exact"/>
        <w:ind w:firstLine="640"/>
        <w:jc w:val="center"/>
        <w:rPr>
          <w:rFonts w:ascii="黑体" w:hAnsi="黑体" w:eastAsia="黑体" w:cs="黑体"/>
          <w:sz w:val="32"/>
          <w:szCs w:val="32"/>
        </w:rPr>
      </w:pPr>
      <w:r>
        <w:rPr>
          <w:rFonts w:hint="eastAsia" w:ascii="黑体" w:hAnsi="黑体" w:eastAsia="黑体" w:cs="黑体"/>
          <w:sz w:val="32"/>
          <w:szCs w:val="32"/>
        </w:rPr>
        <w:t>第四章  总体要求</w:t>
      </w:r>
    </w:p>
    <w:p>
      <w:pPr>
        <w:pStyle w:val="6"/>
        <w:widowControl w:val="0"/>
        <w:spacing w:afterLines="0" w:line="400" w:lineRule="exact"/>
        <w:ind w:firstLine="640"/>
        <w:jc w:val="center"/>
        <w:rPr>
          <w:rFonts w:ascii="黑体" w:hAnsi="黑体" w:eastAsia="黑体" w:cs="黑体"/>
          <w:sz w:val="32"/>
          <w:szCs w:val="32"/>
        </w:rPr>
      </w:pP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（一）指导思想</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坚持以习近平新时代中国特色社会主义思想为指导，全面贯彻党的十九大</w:t>
      </w:r>
      <w:r>
        <w:rPr>
          <w:rFonts w:hint="eastAsia" w:ascii="仿宋_GB2312" w:hAnsi="仿宋_GB2312" w:eastAsia="仿宋_GB2312" w:cs="仿宋_GB2312"/>
          <w:sz w:val="32"/>
          <w:szCs w:val="32"/>
          <w:lang w:eastAsia="zh-CN"/>
        </w:rPr>
        <w:t>及党的二十大精神和</w:t>
      </w:r>
      <w:r>
        <w:rPr>
          <w:rFonts w:hint="eastAsia" w:ascii="仿宋_GB2312" w:hAnsi="仿宋_GB2312" w:eastAsia="仿宋_GB2312" w:cs="仿宋_GB2312"/>
          <w:sz w:val="32"/>
          <w:szCs w:val="32"/>
        </w:rPr>
        <w:t>习近平总书记对甘肃重要讲话和指示精神，深入贯彻落实党中央国务院决策部署和省委省政府工作安排，按照“三新一高”总要求，着力建设生态秀美宜居宜业之城、绿色农业强县、生态工业大县、全域文旅名县、城乡融合发展示范县和共同富裕示范县的总目标，依托资源禀赋和产业基础，聚焦重点产业和关键环节，以产业高端化、智能化、绿色化为方向，以产业链龙头企业为主体，按照“建基地、强龙头、补链条、聚集群”的路径，主动服务和融入“一带一路”建设西部陆海新通道、新时代推进西部大开发形成新格局等国家及省级战略，坚定不移落实市委市政府绿色转型高质量发展的总体部署，按照《临泽县国民经济和社会发展第十四个五年规划和二〇三五年远景目标纲要》，以提高冷链物流发展质量和综合效率为中心，积极构建“枢纽+通道+网络”的多层级冷链物流枢纽运行体系，加强基础设施网络和运营服务的建设，大力推进产业融合发展，形成产业集群、延伸产业链，促进枢纽要素集聚，发展枢纽经济，支撑和引导全县冷链物流业持续健康向好发展。</w:t>
      </w: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（二）基本原则</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1.市场运作，政府扶持。</w:t>
      </w:r>
      <w:r>
        <w:rPr>
          <w:rFonts w:hint="eastAsia" w:ascii="仿宋_GB2312" w:hAnsi="仿宋_GB2312" w:eastAsia="仿宋_GB2312" w:cs="仿宋_GB2312"/>
          <w:sz w:val="32"/>
          <w:szCs w:val="32"/>
        </w:rPr>
        <w:t>充分发挥市场在资源配置中的决定性作用，强化企业的市场主体地位，坚持投资主体多元化。积极发挥政府对冷链物流在规划、政策、标准、检验等方面的引导作用，扶持冷链物流项目，做到全面兼顾、重点突出，促进冷链物流市场健康发展。</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2.科学规划，合理布局。</w:t>
      </w:r>
      <w:r>
        <w:rPr>
          <w:rFonts w:hint="eastAsia" w:ascii="仿宋_GB2312" w:hAnsi="仿宋_GB2312" w:eastAsia="仿宋_GB2312" w:cs="仿宋_GB2312"/>
          <w:sz w:val="32"/>
          <w:szCs w:val="32"/>
        </w:rPr>
        <w:t>结合我县农产品生产规模与布局状况，分析产品流量、流向及其储运的技术要求，综合考虑居民消费水平、消费习惯以及交通区位等条件，科学规划冷链体系、合理布局冷链设施。</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3.城乡融合，产业联动。</w:t>
      </w:r>
      <w:r>
        <w:rPr>
          <w:rFonts w:hint="eastAsia" w:ascii="仿宋_GB2312" w:hAnsi="仿宋_GB2312" w:eastAsia="仿宋_GB2312" w:cs="仿宋_GB2312"/>
          <w:sz w:val="32"/>
          <w:szCs w:val="32"/>
        </w:rPr>
        <w:t>紧紧围绕农产品产地配送“前后一公里”等突出问题，抓两头、带中间，因地制宜、分类指导，努力形成贯通全产业的冷链物流产业体系；精准对接乡村振兴战略，将冷链物流作为推动特色农产品产业发展和实现临泽绿色发展的重要抓手，促进农民持续增收，实现高质量发展。</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4.创新驱动，智慧赋能。</w:t>
      </w:r>
      <w:r>
        <w:rPr>
          <w:rFonts w:hint="eastAsia" w:ascii="仿宋_GB2312" w:hAnsi="仿宋_GB2312" w:eastAsia="仿宋_GB2312" w:cs="仿宋_GB2312"/>
          <w:sz w:val="32"/>
          <w:szCs w:val="32"/>
        </w:rPr>
        <w:t>加强制度创新、管理创新、科技创新、模式创新、业态创新，通过创新和变革实现冷链物流高质量发展。加强冷链技术、数字技术等先进技术与冷链物流的结合，提升冷链物流的信息化和智能化水平，赋予冷链物流发展新动能。</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5.绿色低碳，持续发展。</w:t>
      </w:r>
      <w:r>
        <w:rPr>
          <w:rFonts w:hint="eastAsia" w:ascii="仿宋_GB2312" w:hAnsi="仿宋_GB2312" w:eastAsia="仿宋_GB2312" w:cs="仿宋_GB2312"/>
          <w:sz w:val="32"/>
          <w:szCs w:val="32"/>
        </w:rPr>
        <w:t>牢固树立“生态红线”意识。以“三线一单”生态环境分区管控为硬性约束，以实现“碳中和、碳达峰”为总体目标，将低碳环保约束作为规划的关键因素，推动绿色运输、绿色包装、绿色流通加工，降低冷链物流总体能耗和污染物排放水平，扩大绿色节能技术应用范围。贯彻可持续发展思想，平衡冷链物流发展与节能减排，运用绿色低碳观念助推冷链物流高质量、可持续发展。</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6.产业协同，整合发展。</w:t>
      </w:r>
      <w:r>
        <w:rPr>
          <w:rFonts w:hint="eastAsia" w:ascii="仿宋_GB2312" w:hAnsi="仿宋_GB2312" w:eastAsia="仿宋_GB2312" w:cs="仿宋_GB2312"/>
          <w:sz w:val="32"/>
          <w:szCs w:val="32"/>
        </w:rPr>
        <w:t>加强冷链物流与现代农业、冷链产品加工、商贸流通等产业融合发展，以骨干冷链物流基地与产销冷链集配中心为核心，吸引农产品加工与商贸流通产业集聚发展，支撑带动相关产业做大做强做优。支持农产品流通企业、连锁商业、电商企业等拓展生鲜农产品销售渠道，扩大辐射范围和消费规模。</w:t>
      </w: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（三）战略定位</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1.国家骨干冷链物流基地。</w:t>
      </w:r>
      <w:r>
        <w:rPr>
          <w:rFonts w:hint="eastAsia" w:ascii="仿宋_GB2312" w:hAnsi="仿宋_GB2312" w:eastAsia="仿宋_GB2312" w:cs="仿宋_GB2312"/>
          <w:sz w:val="32"/>
          <w:szCs w:val="32"/>
        </w:rPr>
        <w:t>“十四五”期间，围绕支撑构建“四横四纵”的国家冷链物流骨干通道网络的基本要求，结合本县农产品生产、流通空间格局、大型消费市场以及冷链物流基础设施区域分布，依托张掖市作为国家骨干冷链物流基地北部大通道承载城市开展基地建设，引导冷链物流设施向物流枢纽集聚。高起点规划建设冷链物流基础设施，完善畅通高效的物流大通道，强化张掖冷链物流中转集疏功能，打造具有区域特色的冷链物流基地。</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2.“一带一路”国际冷链物流重要节点。</w:t>
      </w:r>
      <w:r>
        <w:rPr>
          <w:rFonts w:hint="eastAsia" w:ascii="仿宋_GB2312" w:hAnsi="仿宋_GB2312" w:eastAsia="仿宋_GB2312" w:cs="仿宋_GB2312"/>
          <w:sz w:val="32"/>
          <w:szCs w:val="32"/>
        </w:rPr>
        <w:t>紧抓新时代西部大开发优势，发挥通道经济优势，依托金沙现代物流园、新合作百惠物流园、张掖丹霞公路港物流等建设，建立与丝绸之路经济带沿线节点城市的密切联系，建设“一带一路”重要的国际冷链物流节点城市。</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3.冷链智慧物流示范基地。</w:t>
      </w:r>
      <w:r>
        <w:rPr>
          <w:rFonts w:hint="eastAsia" w:ascii="仿宋_GB2312" w:hAnsi="仿宋_GB2312" w:eastAsia="仿宋_GB2312" w:cs="仿宋_GB2312"/>
          <w:sz w:val="32"/>
          <w:szCs w:val="32"/>
        </w:rPr>
        <w:t>按照国家发改委、交通运输部《关于进一步降低物流成本实施意见的通知》的要求，加快发展智慧物流，以现代化信息技术为依托，以供应链整合、城乡融合为主攻方向，以互联网、大数据、区块链、人工智能等新一代信息术，推进智慧物流基础设施网络建设为重点，打造以“绿色、节能、智慧、专业”为核心的智慧冷链物流示范基地，打造独具临泽特色的智慧冷链物流模式。</w:t>
      </w: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（四）发展目标</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1.冷链物流枢纽功能凸显。</w:t>
      </w:r>
      <w:r>
        <w:rPr>
          <w:rFonts w:hint="eastAsia" w:ascii="仿宋_GB2312" w:hAnsi="仿宋_GB2312" w:eastAsia="仿宋_GB2312" w:cs="仿宋_GB2312"/>
          <w:sz w:val="32"/>
          <w:szCs w:val="32"/>
        </w:rPr>
        <w:t>到2025年，建设成为连接“一带一路”和面向内陆城市的重要区域性冷链物流枢纽，形成层次合理、协同联动的物流枢纽空间体系，构建“立足张掖、服务西部、面向全国、连接国际”的物流通道体系，形成“基础设施+运营服务”的冷链物流网络体系，基本建成“枢纽+通道+网络”的多层级冷链物流枢纽运行体系，区域冷链物流枢纽功能显现。</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2.冷链物流对外开水平较大提升。</w:t>
      </w:r>
      <w:r>
        <w:rPr>
          <w:rFonts w:hint="eastAsia" w:ascii="仿宋_GB2312" w:hAnsi="仿宋_GB2312" w:eastAsia="仿宋_GB2312" w:cs="仿宋_GB2312"/>
          <w:sz w:val="32"/>
          <w:szCs w:val="32"/>
        </w:rPr>
        <w:t>积极推进冷链国际化进程，推动航空冷链、西部陆海新通道班列冷链发展，把临泽打造成中国西部最大绿色有机食品综合物流园、国际绿色有机食品港务区，具有竞争力的“菜篮子”产品冷链供应基地。</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3.集约型冷链运营模式推广应用。</w:t>
      </w:r>
      <w:r>
        <w:rPr>
          <w:rFonts w:hint="eastAsia" w:ascii="仿宋_GB2312" w:hAnsi="仿宋_GB2312" w:eastAsia="仿宋_GB2312" w:cs="仿宋_GB2312"/>
          <w:sz w:val="32"/>
          <w:szCs w:val="32"/>
        </w:rPr>
        <w:t>以大型冷库为载体，对集线上交易、线下体验、分拨配送、流通加工、金融支持、尾菜处理等为一体的集约式冷链运营模式进行试点，并列为政策优先扶持的重点项目，力争在全县建设2—3个集约型冷链运营基地，引进库容达5万吨以上冷链物流知名企业1家以上。。</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4.冷链物流发展水平明显提升。</w:t>
      </w:r>
      <w:r>
        <w:rPr>
          <w:rFonts w:hint="eastAsia" w:ascii="仿宋_GB2312" w:hAnsi="仿宋_GB2312" w:eastAsia="仿宋_GB2312" w:cs="仿宋_GB2312"/>
          <w:sz w:val="32"/>
          <w:szCs w:val="32"/>
        </w:rPr>
        <w:t>全县冷链物流静态库容超过50万吨，全县果蔬、肉类、奶类冷链流通率分别提高到30%、60%、70%以上，冷藏运输率分别提高到60%、95%、90%以上，可追溯率分别提高到40%、85%、85%左右，流通腐损率明显降低，分别降至10％、7％、8％以下。</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5.冷链物流设施不断升级。</w:t>
      </w:r>
      <w:r>
        <w:rPr>
          <w:rFonts w:hint="eastAsia" w:ascii="仿宋_GB2312" w:hAnsi="仿宋_GB2312" w:eastAsia="仿宋_GB2312" w:cs="仿宋_GB2312"/>
          <w:sz w:val="32"/>
          <w:szCs w:val="32"/>
        </w:rPr>
        <w:t>全市新增现代化静态库容10万吨，冷新增冷藏运输车15辆以上，冷藏集装箱企业自备，新增智能生产。冷链物流网络体系基本完成，冷链物流设施基本健全，基本满足“内需与外销”的冷链设施需求。积极支持电商企业在西安、兰州建设物流周转仓，开</w:t>
      </w:r>
      <w:r>
        <w:rPr>
          <w:rFonts w:hint="eastAsia" w:ascii="仿宋_GB2312" w:hAnsi="仿宋_GB2312" w:eastAsia="仿宋_GB2312" w:cs="仿宋_GB2312"/>
          <w:sz w:val="32"/>
          <w:szCs w:val="32"/>
          <w:lang w:eastAsia="zh-CN"/>
        </w:rPr>
        <w:t>通</w:t>
      </w:r>
      <w:r>
        <w:rPr>
          <w:rFonts w:hint="eastAsia" w:ascii="仿宋_GB2312" w:hAnsi="仿宋_GB2312" w:eastAsia="仿宋_GB2312" w:cs="仿宋_GB2312"/>
          <w:sz w:val="32"/>
          <w:szCs w:val="32"/>
        </w:rPr>
        <w:t xml:space="preserve">到兰州、西安、新疆、西宁等物流专线，打造国内联运新品牌。 </w:t>
      </w:r>
    </w:p>
    <w:p>
      <w:pPr>
        <w:pStyle w:val="6"/>
        <w:widowControl w:val="0"/>
        <w:spacing w:afterLines="0" w:line="580" w:lineRule="exact"/>
        <w:ind w:firstLine="643"/>
        <w:rPr>
          <w:rFonts w:ascii="黑体" w:hAnsi="黑体" w:eastAsia="黑体" w:cs="黑体"/>
          <w:sz w:val="32"/>
          <w:szCs w:val="32"/>
        </w:rPr>
      </w:pPr>
      <w:r>
        <w:rPr>
          <w:rFonts w:hint="eastAsia" w:ascii="仿宋_GB2312" w:hAnsi="仿宋_GB2312" w:eastAsia="仿宋_GB2312" w:cs="仿宋_GB2312"/>
          <w:b/>
          <w:bCs/>
          <w:sz w:val="32"/>
          <w:szCs w:val="32"/>
        </w:rPr>
        <w:t>6.冷链物流服务功能明显增强。</w:t>
      </w:r>
      <w:r>
        <w:rPr>
          <w:rFonts w:hint="eastAsia" w:ascii="仿宋_GB2312" w:hAnsi="仿宋_GB2312" w:eastAsia="仿宋_GB2312" w:cs="仿宋_GB2312"/>
          <w:sz w:val="32"/>
          <w:szCs w:val="32"/>
        </w:rPr>
        <w:t>推动数字化转型和现代信息技术应用，冷链物流信息化、标准化水平大幅提升，普遍实现冷链服务全程可视、可追溯，生鲜农产品和易腐食品冷链流通率、冷藏运输率显著提高，腐损率明显降低，食品安全保障能力进一步增强。</w:t>
      </w:r>
    </w:p>
    <w:p>
      <w:pPr>
        <w:pStyle w:val="6"/>
        <w:widowControl w:val="0"/>
        <w:spacing w:afterLines="0" w:line="400" w:lineRule="exact"/>
        <w:ind w:firstLine="640"/>
        <w:jc w:val="center"/>
        <w:rPr>
          <w:rFonts w:ascii="黑体" w:hAnsi="黑体" w:eastAsia="黑体" w:cs="黑体"/>
          <w:sz w:val="32"/>
          <w:szCs w:val="32"/>
        </w:rPr>
      </w:pPr>
    </w:p>
    <w:p>
      <w:pPr>
        <w:pStyle w:val="6"/>
        <w:widowControl w:val="0"/>
        <w:spacing w:afterLines="0" w:line="400" w:lineRule="exact"/>
        <w:ind w:firstLine="640"/>
        <w:jc w:val="center"/>
        <w:rPr>
          <w:rFonts w:ascii="黑体" w:hAnsi="黑体" w:eastAsia="黑体" w:cs="黑体"/>
          <w:sz w:val="32"/>
          <w:szCs w:val="32"/>
        </w:rPr>
      </w:pPr>
      <w:r>
        <w:rPr>
          <w:rFonts w:hint="eastAsia" w:ascii="黑体" w:hAnsi="黑体" w:eastAsia="黑体" w:cs="黑体"/>
          <w:sz w:val="32"/>
          <w:szCs w:val="32"/>
        </w:rPr>
        <w:t>第五章  空间布局</w:t>
      </w:r>
    </w:p>
    <w:p>
      <w:pPr>
        <w:pStyle w:val="6"/>
        <w:widowControl w:val="0"/>
        <w:spacing w:afterLines="0" w:line="400" w:lineRule="exact"/>
        <w:ind w:firstLine="640"/>
        <w:jc w:val="center"/>
        <w:rPr>
          <w:rFonts w:ascii="黑体" w:hAnsi="黑体" w:eastAsia="黑体" w:cs="黑体"/>
          <w:sz w:val="32"/>
          <w:szCs w:val="32"/>
        </w:rPr>
      </w:pPr>
    </w:p>
    <w:p>
      <w:pPr>
        <w:pStyle w:val="6"/>
        <w:widowControl w:val="0"/>
        <w:spacing w:afterLines="0" w:line="58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（一）冷链物流枢纽体系布局</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1.“l核心”。</w:t>
      </w:r>
      <w:r>
        <w:rPr>
          <w:rFonts w:hint="eastAsia" w:ascii="仿宋_GB2312" w:hAnsi="仿宋_GB2312" w:eastAsia="仿宋_GB2312" w:cs="仿宋_GB2312"/>
          <w:sz w:val="32"/>
          <w:szCs w:val="32"/>
        </w:rPr>
        <w:t>以临泽县国家农村产业融合发展示范园为核心，完善冷链物流基础设施，加快建设集调配、集散、初加工、管理、研发等功能于一体的冷链物流综合枢纽平台、物流基地、物流中心、物流园区，全面提升核心聚集和辐射带动能力﹐联通我县现代种子产业园、工业集中区、凹凸棒石产业园区、通航产业园区、绿色食品加工集中区、现代丝路寒旱产业园和各镇，打造立足张掖、服务西部、面向全国、连接国际的区域冷链物流核心枢纽。</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2.“6基地”。</w:t>
      </w:r>
      <w:r>
        <w:rPr>
          <w:rFonts w:hint="eastAsia" w:ascii="仿宋_GB2312" w:hAnsi="仿宋_GB2312" w:eastAsia="仿宋_GB2312" w:cs="仿宋_GB2312"/>
          <w:sz w:val="32"/>
          <w:szCs w:val="32"/>
        </w:rPr>
        <w:t>充分发挥临泽区位优势、产业优势、环境优势、资源优势，积极申建骨干冷链物流基地，加强骨干冷链物流基地设施设备改造以及数字化升级，搭建大数据服务中心、冷链产业孵化中心和综合服务中心等基础设施，为冷链物流一体化运作提供平台和组织支撑。依托基地促进农产品产业链上下游联动整合，强化全产业链组织功能，打造冷链物流与产业融合新生态。加强基地与辐射区域内农产品生产、流通设施功能对接、分工协作、高效联动。通过基地间联动，推动冷链物流活动规模化、通道化、网络化运行，实现干支配一体化运作，打</w:t>
      </w:r>
      <w:r>
        <w:rPr>
          <w:rFonts w:hint="eastAsia" w:ascii="仿宋_GB2312" w:hAnsi="仿宋_GB2312" w:eastAsia="仿宋_GB2312" w:cs="仿宋_GB2312"/>
          <w:spacing w:val="-4"/>
          <w:sz w:val="32"/>
          <w:szCs w:val="32"/>
        </w:rPr>
        <w:t>造供应链组织中心。以融入国家省市物流网络、提高冷链物流服务能力和效率为目标，将临泽县冷链物流基地、新合作百惠物流园、天域绿谷、丝路绿洲、墘盛农业、倚天生态等冷链物流基地打造为承接我县冷链物流各节点、通道和网络的重要枢纽。</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3.“N节点”。</w:t>
      </w:r>
      <w:r>
        <w:rPr>
          <w:rFonts w:hint="eastAsia" w:ascii="仿宋_GB2312" w:hAnsi="仿宋_GB2312" w:eastAsia="仿宋_GB2312" w:cs="仿宋_GB2312"/>
          <w:sz w:val="32"/>
          <w:szCs w:val="32"/>
        </w:rPr>
        <w:t>结合目前已经建成和规划的冷链物流基地、物流园区、分拣中心经营特点、场地以及整体运营情况，以“政府推动、市场运作、社会参与、布局合理”为原则，逐步规范经营模式和总体定位，升级改造和建设一批基于构建枢纽型冷链物流体系的物流中间节点，突出其分拣、集散、共配的功能定位，改变分散、无序的个体经营方式，在运行过程中，即发挥产业化、高效化特点，又发挥多功能、综合化、系统化、规范化管理的特征，为构建临泽枢纽型冷链物流体系发挥承上启下的连接作用。</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4.“全覆盖”。</w:t>
      </w:r>
      <w:r>
        <w:rPr>
          <w:rFonts w:hint="eastAsia" w:ascii="仿宋_GB2312" w:hAnsi="仿宋_GB2312" w:eastAsia="仿宋_GB2312" w:cs="仿宋_GB2312"/>
          <w:sz w:val="32"/>
          <w:szCs w:val="32"/>
        </w:rPr>
        <w:t>以实施乡村振兴战略为契机，利用行政村内的农家店、农村电商服务站点、快递站点、公交站点、村邮站点等设施，创新和建设农村生鲜产品流通服务。在具备条件的行政村，可配置智能生鲜柜，建设村级冷链物流服务点；完善末端冷链物流网络，实现行政村、中心村冷链物流覆盖率，畅通“工业品下乡”和“农产品进城”双向流通渠道。</w:t>
      </w:r>
    </w:p>
    <w:p>
      <w:pPr>
        <w:pStyle w:val="6"/>
        <w:widowControl w:val="0"/>
        <w:spacing w:afterLines="0" w:line="58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（二）物流通道布局</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发挥临泽丝绸之路经济带黄金段区位优势，打造“连接东西、衔接南北、十字交织、对接国内、联通国际”的河西走廊区域冷链物流枢纽，构建铁路骨架有力支撑、高速公路内捷外畅、干线公路连县通乡、农村公路乡村通畅的现代化综合立体交通运输体系，基本实现交通运输“对外快速化、对内便捷化、城乡一体化、服务优质化、管理高效化”，临泽承东启西、居中四联的河西走廊重要枢纽节点区位优势更加明显。</w:t>
      </w:r>
    </w:p>
    <w:p>
      <w:pPr>
        <w:pStyle w:val="5"/>
        <w:keepNext w:val="0"/>
        <w:keepLines w:val="0"/>
        <w:spacing w:before="0" w:after="0" w:line="580" w:lineRule="exact"/>
        <w:ind w:firstLine="642" w:firstLineChars="200"/>
        <w:rPr>
          <w:rFonts w:ascii="仿宋_GB2312" w:hAnsi="仿宋_GB2312" w:eastAsia="仿宋_GB2312" w:cs="仿宋_GB2312"/>
          <w:bCs w:val="0"/>
        </w:rPr>
      </w:pPr>
      <w:bookmarkStart w:id="3" w:name="_Toc103009902"/>
      <w:bookmarkStart w:id="4" w:name="_Toc57919035"/>
      <w:bookmarkStart w:id="5" w:name="_Toc48211393"/>
      <w:bookmarkStart w:id="6" w:name="_Hlk48211535"/>
      <w:r>
        <w:rPr>
          <w:rFonts w:hint="eastAsia" w:ascii="仿宋_GB2312" w:hAnsi="仿宋_GB2312" w:eastAsia="仿宋_GB2312" w:cs="仿宋_GB2312"/>
          <w:bCs w:val="0"/>
        </w:rPr>
        <w:t>1.干线公路联网工程</w:t>
      </w:r>
      <w:bookmarkEnd w:id="3"/>
      <w:bookmarkEnd w:id="4"/>
      <w:bookmarkEnd w:id="5"/>
    </w:p>
    <w:p>
      <w:pPr>
        <w:spacing w:line="580" w:lineRule="exact"/>
        <w:ind w:firstLine="642" w:firstLineChars="200"/>
        <w:rPr>
          <w:rFonts w:ascii="仿宋_GB2312" w:hAnsi="仿宋_GB2312" w:eastAsia="仿宋_GB2312" w:cs="仿宋_GB2312"/>
          <w:spacing w:val="-6"/>
          <w:sz w:val="32"/>
          <w:szCs w:val="32"/>
        </w:rPr>
      </w:pPr>
      <w:r>
        <w:rPr>
          <w:rFonts w:hint="eastAsia" w:ascii="仿宋_GB2312" w:hAnsi="楷体_GB2312" w:eastAsia="仿宋_GB2312" w:cs="楷体_GB2312"/>
          <w:b/>
          <w:bCs/>
          <w:color w:val="000000"/>
          <w:kern w:val="11"/>
          <w:sz w:val="32"/>
          <w:szCs w:val="32"/>
          <w:lang w:val="zh-CN"/>
        </w:rPr>
        <w:t>加快区域快速通道建设。</w:t>
      </w:r>
      <w:r>
        <w:rPr>
          <w:rFonts w:hint="eastAsia" w:ascii="仿宋_GB2312" w:hAnsi="仿宋_GB2312" w:eastAsia="仿宋_GB2312" w:cs="仿宋_GB2312"/>
          <w:spacing w:val="-6"/>
          <w:sz w:val="32"/>
          <w:szCs w:val="32"/>
        </w:rPr>
        <w:t>积极推进对区域联系具有重要意义的高等级公路建设，基本形成“一主一副一带”的综合运输通道。</w:t>
      </w:r>
      <w:bookmarkEnd w:id="6"/>
    </w:p>
    <w:p>
      <w:pPr>
        <w:spacing w:line="580" w:lineRule="exact"/>
        <w:ind w:firstLine="602"/>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一主：</w:t>
      </w:r>
      <w:r>
        <w:rPr>
          <w:rFonts w:hint="eastAsia" w:ascii="仿宋_GB2312" w:hAnsi="仿宋_GB2312" w:eastAsia="仿宋_GB2312" w:cs="仿宋_GB2312"/>
          <w:sz w:val="32"/>
          <w:szCs w:val="32"/>
        </w:rPr>
        <w:t>东西向“丝绸之路”主通道。主要由兰新高铁、兰新铁路、G30及G312构成。</w:t>
      </w:r>
    </w:p>
    <w:p>
      <w:pPr>
        <w:spacing w:line="580" w:lineRule="exact"/>
        <w:ind w:firstLine="602"/>
      </w:pPr>
      <w:r>
        <w:rPr>
          <w:rFonts w:hint="eastAsia" w:ascii="仿宋_GB2312" w:hAnsi="仿宋_GB2312" w:eastAsia="仿宋_GB2312" w:cs="仿宋_GB2312"/>
          <w:b/>
          <w:bCs/>
          <w:sz w:val="32"/>
          <w:szCs w:val="32"/>
        </w:rPr>
        <w:t>一副：</w:t>
      </w:r>
      <w:r>
        <w:rPr>
          <w:rFonts w:hint="eastAsia" w:ascii="仿宋_GB2312" w:hAnsi="仿宋_GB2312" w:eastAsia="仿宋_GB2312" w:cs="仿宋_GB2312"/>
          <w:sz w:val="32"/>
          <w:szCs w:val="32"/>
        </w:rPr>
        <w:t>东西向区域联通次通道。主要由S18和S301构成。</w:t>
      </w:r>
    </w:p>
    <w:p>
      <w:pPr>
        <w:spacing w:line="580" w:lineRule="exact"/>
        <w:ind w:firstLine="602"/>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一带：</w:t>
      </w:r>
      <w:r>
        <w:rPr>
          <w:rFonts w:hint="eastAsia" w:ascii="仿宋_GB2312" w:hAnsi="仿宋_GB2312" w:eastAsia="仿宋_GB2312" w:cs="仿宋_GB2312"/>
          <w:sz w:val="32"/>
          <w:szCs w:val="32"/>
        </w:rPr>
        <w:t>南北向旅游文化发展带。主要由新阿公路构成。</w:t>
      </w:r>
    </w:p>
    <w:p>
      <w:pPr>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“十四五”期，需进一步打通北通内蒙方向的快速通道，重点推进新阿公路（新华镇至阿右旗芦泉村）新建工程，实现县域南北区域及对外交通的快速联系；加快完善东西区域次通道</w:t>
      </w:r>
      <w:r>
        <w:rPr>
          <w:rFonts w:hint="eastAsia" w:ascii="仿宋_GB2312" w:hAnsi="仿宋_GB2312" w:eastAsia="仿宋_GB2312" w:cs="仿宋_GB2312"/>
          <w:spacing w:val="-4"/>
          <w:sz w:val="32"/>
          <w:szCs w:val="32"/>
        </w:rPr>
        <w:t>建设，进一步提升东西通道能级，推动甘临一体化建设；强化公路沿线资源开发利用，加快推动临泽“一带六园”路衍经济体系完善和发展，重点推进G30连霍高速临泽丹霞服务区拓能综合工程及G312线新华服务区暨城乡公交一体化首发站等项目建设</w:t>
      </w:r>
      <w:r>
        <w:rPr>
          <w:rFonts w:hint="eastAsia" w:ascii="仿宋_GB2312" w:hAnsi="仿宋_GB2312" w:eastAsia="仿宋_GB2312" w:cs="仿宋_GB2312"/>
          <w:sz w:val="32"/>
          <w:szCs w:val="32"/>
        </w:rPr>
        <w:t>。</w:t>
      </w:r>
    </w:p>
    <w:tbl>
      <w:tblPr>
        <w:tblStyle w:val="34"/>
        <w:tblpPr w:leftFromText="180" w:rightFromText="180" w:vertAnchor="text" w:horzAnchor="page" w:tblpX="1922" w:tblpY="21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18"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仿宋_GB2312" w:hAnsi="仿宋_GB2312" w:eastAsia="仿宋_GB2312" w:cs="仿宋_GB2312"/>
                <w:b/>
                <w:bCs/>
                <w:sz w:val="32"/>
                <w:szCs w:val="32"/>
              </w:rPr>
            </w:pPr>
            <w:r>
              <w:rPr>
                <w:rFonts w:hint="eastAsia" w:ascii="方正小标宋简体" w:hAnsi="方正小标宋简体" w:eastAsia="方正小标宋简体" w:cs="方正小标宋简体"/>
                <w:szCs w:val="21"/>
              </w:rPr>
              <w:t>专栏1  高速（一级）公路建设项目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8518" w:type="dxa"/>
            <w:tcBorders>
              <w:top w:val="single" w:color="auto" w:sz="4" w:space="0"/>
              <w:left w:val="single" w:color="auto" w:sz="4" w:space="0"/>
              <w:bottom w:val="single" w:color="auto" w:sz="4" w:space="0"/>
              <w:right w:val="single" w:color="auto" w:sz="4" w:space="0"/>
            </w:tcBorders>
            <w:shd w:val="clear" w:color="auto" w:fill="auto"/>
          </w:tcPr>
          <w:p>
            <w:pPr>
              <w:tabs>
                <w:tab w:val="left" w:pos="312"/>
              </w:tabs>
              <w:spacing w:line="360" w:lineRule="exact"/>
              <w:ind w:firstLine="420" w:firstLineChars="200"/>
              <w:rPr>
                <w:rFonts w:ascii="仿宋_GB2312" w:hAnsi="仿宋_GB2312" w:eastAsia="仿宋_GB2312" w:cs="仿宋_GB2312"/>
                <w:sz w:val="24"/>
                <w:szCs w:val="24"/>
              </w:rPr>
            </w:pPr>
            <w:r>
              <w:rPr>
                <w:rFonts w:hint="eastAsia" w:ascii="黑体" w:hAnsi="宋体" w:eastAsia="黑体" w:cs="黑体"/>
                <w:bCs/>
                <w:szCs w:val="21"/>
              </w:rPr>
              <w:t>1.一级公路。</w:t>
            </w:r>
            <w:r>
              <w:rPr>
                <w:rFonts w:hint="eastAsia" w:ascii="仿宋_GB2312" w:hAnsi="仿宋_GB2312" w:eastAsia="仿宋_GB2312" w:cs="仿宋_GB2312"/>
                <w:szCs w:val="21"/>
              </w:rPr>
              <w:t>新阿公路（新华镇至阿右旗芦泉村）新建项目，按照一级公路技术标准建设78公里，总投资14亿元。</w:t>
            </w:r>
          </w:p>
          <w:p>
            <w:pPr>
              <w:tabs>
                <w:tab w:val="left" w:pos="312"/>
              </w:tabs>
              <w:spacing w:line="360" w:lineRule="exact"/>
              <w:ind w:firstLine="420" w:firstLineChars="200"/>
            </w:pPr>
            <w:r>
              <w:rPr>
                <w:rFonts w:hint="eastAsia" w:ascii="黑体" w:hAnsi="宋体" w:eastAsia="黑体" w:cs="黑体"/>
                <w:szCs w:val="21"/>
              </w:rPr>
              <w:t>2.服务区。</w:t>
            </w:r>
            <w:r>
              <w:rPr>
                <w:rFonts w:hint="eastAsia" w:ascii="仿宋_GB2312" w:hAnsi="仿宋_GB2312" w:eastAsia="仿宋_GB2312" w:cs="仿宋_GB2312"/>
                <w:szCs w:val="21"/>
              </w:rPr>
              <w:t>G30连霍高速临泽丹霞服务区拓能综合工程，总占地面积354亩，总投资4.75亿元；G312线新华服务区暨城乡公交一体化首发站建设项目，总占地面积160亩，总投资0.65亿元。</w:t>
            </w:r>
          </w:p>
        </w:tc>
      </w:tr>
    </w:tbl>
    <w:p>
      <w:pPr>
        <w:spacing w:line="560" w:lineRule="exact"/>
        <w:ind w:firstLine="642" w:firstLineChars="200"/>
        <w:rPr>
          <w:rFonts w:ascii="仿宋_GB2312" w:hAnsi="仿宋_GB2312" w:eastAsia="仿宋_GB2312" w:cs="仿宋_GB2312"/>
          <w:sz w:val="32"/>
          <w:szCs w:val="32"/>
        </w:rPr>
      </w:pPr>
      <w:r>
        <w:rPr>
          <w:rFonts w:hint="eastAsia" w:ascii="仿宋_GB2312" w:hAnsi="楷体_GB2312" w:eastAsia="仿宋_GB2312" w:cs="楷体_GB2312"/>
          <w:b/>
          <w:bCs/>
          <w:color w:val="000000"/>
          <w:kern w:val="11"/>
          <w:sz w:val="32"/>
          <w:szCs w:val="32"/>
          <w:lang w:val="zh-CN"/>
        </w:rPr>
        <w:t>完善普通国省干线网络。</w:t>
      </w:r>
      <w:r>
        <w:rPr>
          <w:rFonts w:hint="eastAsia" w:ascii="仿宋_GB2312" w:hAnsi="仿宋_GB2312" w:eastAsia="仿宋_GB2312" w:cs="仿宋_GB2312"/>
          <w:sz w:val="32"/>
          <w:szCs w:val="32"/>
        </w:rPr>
        <w:t>加快推进普通国省干线公路提档升级和“联通路”建设，构建覆盖全面、能力充分的普通干线网络，着力加强对县（区）之间城际通道、经济走廊内交通繁忙路段扩容改造和低等级路段升级改造，提升路段的通行能力和服务水平，充分发挥普通国省干线集散功能，带动临泽与周边区域的联动发展。</w:t>
      </w:r>
    </w:p>
    <w:tbl>
      <w:tblPr>
        <w:tblStyle w:val="34"/>
        <w:tblW w:w="8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8"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仿宋_GB2312" w:hAnsi="仿宋_GB2312" w:eastAsia="仿宋_GB2312" w:cs="仿宋_GB2312"/>
                <w:b/>
                <w:bCs/>
                <w:sz w:val="32"/>
                <w:szCs w:val="32"/>
              </w:rPr>
            </w:pPr>
            <w:r>
              <w:rPr>
                <w:rFonts w:hint="eastAsia" w:ascii="方正小标宋简体" w:hAnsi="方正小标宋简体" w:eastAsia="方正小标宋简体" w:cs="方正小标宋简体"/>
                <w:szCs w:val="21"/>
              </w:rPr>
              <w:t>专栏2  普通国省干线建设项目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8"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ind w:firstLine="420" w:firstLineChars="200"/>
              <w:rPr>
                <w:rFonts w:ascii="黑体" w:hAnsi="宋体" w:eastAsia="黑体" w:cs="黑体"/>
                <w:bCs/>
                <w:szCs w:val="21"/>
              </w:rPr>
            </w:pPr>
            <w:r>
              <w:rPr>
                <w:rFonts w:hint="eastAsia" w:ascii="黑体" w:hAnsi="宋体" w:eastAsia="黑体" w:cs="黑体"/>
                <w:bCs/>
                <w:szCs w:val="21"/>
              </w:rPr>
              <w:t>普通省道</w:t>
            </w:r>
          </w:p>
          <w:p>
            <w:pPr>
              <w:spacing w:line="400" w:lineRule="exact"/>
              <w:ind w:firstLine="420" w:firstLineChars="200"/>
              <w:rPr>
                <w:rFonts w:ascii="仿宋_GB2312" w:hAnsi="仿宋_GB2312" w:eastAsia="仿宋_GB2312" w:cs="仿宋_GB2312"/>
                <w:sz w:val="32"/>
                <w:szCs w:val="32"/>
              </w:rPr>
            </w:pPr>
            <w:r>
              <w:rPr>
                <w:rFonts w:hint="eastAsia" w:ascii="仿宋_GB2312" w:hAnsi="仿宋_GB2312" w:eastAsia="仿宋_GB2312" w:cs="仿宋_GB2312"/>
                <w:szCs w:val="21"/>
              </w:rPr>
              <w:t>S301九条岭至瓜州公路临泽县板桥镇至高台县合黎镇段改造工程，按照二级公路技术标准改造55.55公里，总投资6.38亿元。</w:t>
            </w:r>
          </w:p>
        </w:tc>
      </w:tr>
    </w:tbl>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2" w:firstLineChars="200"/>
        <w:textAlignment w:val="auto"/>
        <w:rPr>
          <w:rFonts w:ascii="仿宋_GB2312" w:hAnsi="仿宋_GB2312" w:eastAsia="仿宋_GB2312" w:cs="仿宋_GB2312"/>
          <w:bCs w:val="0"/>
        </w:rPr>
      </w:pPr>
      <w:bookmarkStart w:id="7" w:name="_Toc48211394"/>
      <w:bookmarkStart w:id="8" w:name="_Toc57919038"/>
      <w:bookmarkStart w:id="9" w:name="_Toc103009905"/>
      <w:r>
        <w:rPr>
          <w:rFonts w:hint="eastAsia" w:ascii="仿宋_GB2312" w:hAnsi="仿宋_GB2312" w:eastAsia="仿宋_GB2312" w:cs="仿宋_GB2312"/>
          <w:bCs w:val="0"/>
        </w:rPr>
        <w:t>2.农村公路改造工程</w:t>
      </w:r>
      <w:bookmarkEnd w:id="7"/>
      <w:bookmarkEnd w:id="8"/>
      <w:bookmarkEnd w:id="9"/>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ascii="仿宋_GB2312" w:hAnsi="仿宋_GB2312" w:eastAsia="仿宋_GB2312" w:cs="仿宋_GB2312"/>
          <w:sz w:val="32"/>
          <w:szCs w:val="32"/>
        </w:rPr>
      </w:pPr>
      <w:bookmarkStart w:id="10" w:name="_Toc93324139"/>
      <w:bookmarkStart w:id="11" w:name="_Toc92997451"/>
      <w:bookmarkStart w:id="12" w:name="_Toc103009906"/>
      <w:r>
        <w:rPr>
          <w:rFonts w:hint="eastAsia" w:ascii="仿宋_GB2312" w:hAnsi="楷体_GB2312" w:eastAsia="仿宋_GB2312" w:cs="楷体_GB2312"/>
          <w:b/>
          <w:bCs/>
          <w:color w:val="000000"/>
          <w:kern w:val="11"/>
          <w:sz w:val="32"/>
          <w:szCs w:val="32"/>
          <w:lang w:val="zh-CN"/>
        </w:rPr>
        <w:t>深化“四好农村路”建设</w:t>
      </w:r>
      <w:bookmarkEnd w:id="10"/>
      <w:bookmarkEnd w:id="11"/>
      <w:bookmarkEnd w:id="12"/>
      <w:r>
        <w:rPr>
          <w:rFonts w:hint="eastAsia" w:ascii="仿宋_GB2312" w:hAnsi="楷体_GB2312" w:eastAsia="仿宋_GB2312" w:cs="楷体_GB2312"/>
          <w:b/>
          <w:bCs/>
          <w:color w:val="000000"/>
          <w:kern w:val="11"/>
          <w:sz w:val="32"/>
          <w:szCs w:val="32"/>
          <w:lang w:val="zh-CN"/>
        </w:rPr>
        <w:t>。</w:t>
      </w:r>
      <w:r>
        <w:rPr>
          <w:rFonts w:hint="eastAsia" w:ascii="仿宋_GB2312" w:hAnsi="仿宋_GB2312" w:eastAsia="仿宋_GB2312" w:cs="仿宋_GB2312"/>
          <w:kern w:val="2"/>
          <w:sz w:val="32"/>
          <w:szCs w:val="32"/>
        </w:rPr>
        <w:t>持续推进“四好农村路”高质量发展，以“四好农村路”全国示范县创建为抓手，实现全县</w:t>
      </w:r>
      <w:bookmarkStart w:id="13" w:name="_Toc92997452"/>
      <w:bookmarkStart w:id="14" w:name="_Toc103009907"/>
      <w:bookmarkStart w:id="15" w:name="_Toc93324140"/>
      <w:r>
        <w:rPr>
          <w:rFonts w:hint="eastAsia" w:ascii="仿宋_GB2312" w:hAnsi="仿宋_GB2312" w:eastAsia="仿宋_GB2312" w:cs="仿宋_GB2312"/>
          <w:kern w:val="2"/>
          <w:sz w:val="32"/>
          <w:szCs w:val="32"/>
        </w:rPr>
        <w:t>农村公路建管养运协调可持续发展。加快推进乡镇通三级及以上公路、具备条件的自然村（组）通硬化路、资源路旅游路产业路及农村公路联网路建设，强化农村公路对重要行政节点、经济节点及农村公路服务站、农村客运站等基础服务设施的衔接，进一步提高农村公路网的通达深度和服务水平，构建广覆盖的农村公路网，有效支撑乡村振兴全面实施。</w:t>
      </w:r>
    </w:p>
    <w:p>
      <w:pPr>
        <w:keepNext w:val="0"/>
        <w:keepLines w:val="0"/>
        <w:pageBreakBefore w:val="0"/>
        <w:widowControl w:val="0"/>
        <w:kinsoku/>
        <w:wordWrap/>
        <w:overflowPunct/>
        <w:topLinePunct w:val="0"/>
        <w:autoSpaceDE/>
        <w:autoSpaceDN/>
        <w:bidi w:val="0"/>
        <w:adjustRightInd/>
        <w:snapToGrid/>
        <w:spacing w:line="380" w:lineRule="exact"/>
        <w:ind w:firstLine="642" w:firstLineChars="200"/>
        <w:textAlignment w:val="auto"/>
        <w:rPr>
          <w:rFonts w:ascii="仿宋_GB2312" w:hAnsi="仿宋_GB2312" w:eastAsia="仿宋_GB2312" w:cs="仿宋_GB2312"/>
          <w:sz w:val="32"/>
          <w:szCs w:val="32"/>
        </w:rPr>
      </w:pPr>
      <w:r>
        <w:rPr>
          <w:rFonts w:hint="eastAsia" w:ascii="仿宋_GB2312" w:hAnsi="楷体_GB2312" w:eastAsia="仿宋_GB2312" w:cs="楷体_GB2312"/>
          <w:b/>
          <w:bCs/>
          <w:color w:val="000000"/>
          <w:kern w:val="11"/>
          <w:sz w:val="32"/>
          <w:szCs w:val="32"/>
          <w:lang w:val="zh-CN"/>
        </w:rPr>
        <w:t>强化农村公路畅通安全。</w:t>
      </w:r>
      <w:r>
        <w:rPr>
          <w:rFonts w:hint="eastAsia" w:ascii="仿宋_GB2312" w:hAnsi="仿宋_GB2312" w:eastAsia="仿宋_GB2312" w:cs="仿宋_GB2312"/>
          <w:sz w:val="32"/>
          <w:szCs w:val="32"/>
        </w:rPr>
        <w:t>加强农村公路养护，持续开展农村公路安全隐患排查整治，进一步完善现有道路交通安全设施。大力推进农村公路安全生命防护工程，实现村道以上安防设施全覆盖。加大农村公路危桥改造力度，全面消除2020年底存量四、五类桥梁。</w:t>
      </w:r>
    </w:p>
    <w:tbl>
      <w:tblPr>
        <w:tblStyle w:val="34"/>
        <w:tblpPr w:leftFromText="180" w:rightFromText="180" w:vertAnchor="text" w:horzAnchor="page" w:tblpX="1840" w:tblpY="82"/>
        <w:tblOverlap w:val="never"/>
        <w:tblW w:w="8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
                <w:bCs/>
                <w:sz w:val="32"/>
                <w:szCs w:val="32"/>
              </w:rPr>
            </w:pPr>
            <w:r>
              <w:rPr>
                <w:rFonts w:hint="eastAsia" w:ascii="方正小标宋简体" w:hAnsi="方正小标宋简体" w:eastAsia="方正小标宋简体" w:cs="方正小标宋简体"/>
                <w:szCs w:val="21"/>
              </w:rPr>
              <w:t>专栏3  农村公路建设项目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6" w:hRule="atLeast"/>
        </w:trPr>
        <w:tc>
          <w:tcPr>
            <w:tcW w:w="8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黑体" w:hAnsi="宋体" w:eastAsia="黑体" w:cs="黑体"/>
                <w:bCs/>
                <w:szCs w:val="21"/>
              </w:rPr>
            </w:pPr>
            <w:r>
              <w:rPr>
                <w:rFonts w:hint="eastAsia" w:ascii="黑体" w:hAnsi="宋体" w:eastAsia="黑体" w:cs="黑体"/>
                <w:bCs/>
                <w:szCs w:val="21"/>
              </w:rPr>
              <w:t>1.自然村（组）通硬化路</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仿宋_GB2312" w:hAnsi="仿宋_GB2312" w:eastAsia="仿宋_GB2312" w:cs="仿宋_GB2312"/>
                <w:szCs w:val="21"/>
              </w:rPr>
            </w:pPr>
            <w:r>
              <w:rPr>
                <w:rFonts w:hint="eastAsia" w:ascii="仿宋_GB2312" w:hAnsi="仿宋_GB2312" w:eastAsia="仿宋_GB2312" w:cs="仿宋_GB2312"/>
                <w:szCs w:val="21"/>
              </w:rPr>
              <w:t>按照四级公路技术标准实施自然村（组）通硬化路359公里，总投资2.15亿元。</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黑体" w:hAnsi="宋体" w:eastAsia="黑体" w:cs="黑体"/>
                <w:szCs w:val="21"/>
              </w:rPr>
            </w:pPr>
            <w:bookmarkStart w:id="16" w:name="_Hlk92989973"/>
            <w:r>
              <w:rPr>
                <w:rFonts w:hint="eastAsia" w:ascii="黑体" w:hAnsi="宋体" w:eastAsia="黑体" w:cs="黑体"/>
                <w:szCs w:val="21"/>
              </w:rPr>
              <w:t>2.资源路旅游路产业路</w:t>
            </w:r>
            <w:bookmarkEnd w:id="16"/>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仿宋_GB2312" w:hAnsi="仿宋_GB2312" w:eastAsia="仿宋_GB2312" w:cs="仿宋_GB2312"/>
                <w:szCs w:val="21"/>
              </w:rPr>
            </w:pPr>
            <w:r>
              <w:rPr>
                <w:rFonts w:hint="eastAsia" w:ascii="仿宋_GB2312" w:hAnsi="仿宋_GB2312" w:eastAsia="仿宋_GB2312" w:cs="仿宋_GB2312"/>
                <w:szCs w:val="21"/>
              </w:rPr>
              <w:t>临泽县凹凸棒产业初级加工园区至窑泉产业道路、国有林区水泥硬化道路和蓼泉产业路，共建设92公里，总投资1.36亿元。</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黑体" w:hAnsi="宋体" w:eastAsia="黑体" w:cs="黑体"/>
                <w:bCs/>
                <w:szCs w:val="21"/>
              </w:rPr>
            </w:pPr>
            <w:r>
              <w:rPr>
                <w:rFonts w:hint="eastAsia" w:ascii="黑体" w:hAnsi="宋体" w:eastAsia="黑体" w:cs="黑体"/>
                <w:bCs/>
                <w:szCs w:val="21"/>
              </w:rPr>
              <w:t>3.农村公路提质改造</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仿宋_GB2312" w:hAnsi="仿宋_GB2312" w:eastAsia="仿宋_GB2312" w:cs="仿宋_GB2312"/>
                <w:szCs w:val="21"/>
              </w:rPr>
            </w:pPr>
            <w:r>
              <w:rPr>
                <w:rFonts w:hint="eastAsia" w:ascii="仿宋_GB2312" w:hAnsi="仿宋_GB2312" w:eastAsia="仿宋_GB2312" w:cs="仿宋_GB2312"/>
                <w:szCs w:val="21"/>
              </w:rPr>
              <w:t>X057临平公路(临泽至平川)、X055临板公路（临泽至板桥)、X058新古公路（G312线新华镇宣威村至古寨）、X047沙井镇（上游）至高台宣化（贞号）、X060临倪公路（临泽至倪家营）、Y126黄平公路（黄家堡村至平川村）、Y134屯泉公路（小屯至五泉）、Y136大古公路（新华大寨至古寨）、Y124板壕公路（板桥至壕洼）、Y129芦贾公路（芦湾至贾家墩）、Y125西壕公路（西柳至壕洼）、Y127沟湾至上庄、Y131曹昭路（曹庄村至昭武村至灵隐寺），共改造210公里，总投资6.25亿元。</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黑体" w:hAnsi="宋体" w:eastAsia="黑体" w:cs="黑体"/>
                <w:szCs w:val="21"/>
              </w:rPr>
            </w:pPr>
            <w:r>
              <w:rPr>
                <w:rFonts w:hint="eastAsia" w:ascii="黑体" w:hAnsi="宋体" w:eastAsia="黑体" w:cs="黑体"/>
                <w:szCs w:val="21"/>
              </w:rPr>
              <w:t>4.农村公路联网路</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仿宋_GB2312" w:hAnsi="仿宋_GB2312" w:eastAsia="仿宋_GB2312" w:cs="仿宋_GB2312"/>
                <w:szCs w:val="21"/>
              </w:rPr>
            </w:pPr>
            <w:r>
              <w:rPr>
                <w:rFonts w:hint="eastAsia" w:ascii="仿宋_GB2312" w:hAnsi="仿宋_GB2312" w:eastAsia="仿宋_GB2312" w:cs="仿宋_GB2312"/>
                <w:szCs w:val="21"/>
              </w:rPr>
              <w:t>国道312线拓宽（临泽县城西出口道路改造工程）、临平路改建项目支线二（中环路延伸线）、X054鸭红公路（鸭暖小鸭至红沟友好）、屯泉路（临平路至沙柳路连接线）、临泽县倪家营镇临梨路至S18线公路，共建设20公里，总投资3.08亿元。</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黑体" w:hAnsi="宋体" w:eastAsia="黑体" w:cs="黑体"/>
                <w:bCs/>
                <w:szCs w:val="21"/>
              </w:rPr>
            </w:pPr>
            <w:r>
              <w:rPr>
                <w:rFonts w:hint="eastAsia" w:ascii="黑体" w:hAnsi="宋体" w:eastAsia="黑体" w:cs="黑体"/>
                <w:bCs/>
                <w:szCs w:val="21"/>
              </w:rPr>
              <w:t>5.安防工程</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仿宋_GB2312" w:hAnsi="仿宋_GB2312" w:eastAsia="仿宋_GB2312" w:cs="仿宋_GB2312"/>
                <w:szCs w:val="21"/>
              </w:rPr>
            </w:pPr>
            <w:r>
              <w:rPr>
                <w:rFonts w:hint="eastAsia" w:ascii="仿宋_GB2312" w:hAnsi="仿宋_GB2312" w:eastAsia="仿宋_GB2312" w:cs="仿宋_GB2312"/>
                <w:szCs w:val="21"/>
              </w:rPr>
              <w:t>实施安全生命防护工程137.6公里，总投资0.17亿元。</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黑体" w:hAnsi="宋体" w:eastAsia="黑体" w:cs="黑体"/>
                <w:szCs w:val="21"/>
              </w:rPr>
            </w:pPr>
            <w:r>
              <w:rPr>
                <w:rFonts w:hint="eastAsia" w:ascii="黑体" w:hAnsi="宋体" w:eastAsia="黑体" w:cs="黑体"/>
                <w:szCs w:val="21"/>
              </w:rPr>
              <w:t>6.危桥改造</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仿宋_GB2312" w:hAnsi="仿宋_GB2312" w:eastAsia="仿宋_GB2312" w:cs="仿宋_GB2312"/>
                <w:szCs w:val="21"/>
              </w:rPr>
            </w:pPr>
            <w:r>
              <w:rPr>
                <w:rFonts w:hint="eastAsia" w:ascii="仿宋_GB2312" w:hAnsi="仿宋_GB2312" w:eastAsia="仿宋_GB2312" w:cs="仿宋_GB2312"/>
                <w:szCs w:val="21"/>
              </w:rPr>
              <w:t>改造危桥2座，总投资0.28亿元。</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黑体" w:hAnsi="宋体" w:eastAsia="黑体" w:cs="黑体"/>
                <w:szCs w:val="21"/>
              </w:rPr>
            </w:pPr>
            <w:r>
              <w:rPr>
                <w:rFonts w:hint="eastAsia" w:ascii="黑体" w:hAnsi="宋体" w:eastAsia="黑体" w:cs="黑体"/>
                <w:szCs w:val="21"/>
              </w:rPr>
              <w:t>7.养护工程</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Cs w:val="21"/>
              </w:rPr>
              <w:t>实施养护维修工程148公里，总投资0.15亿元。</w:t>
            </w:r>
          </w:p>
        </w:tc>
      </w:tr>
    </w:tbl>
    <w:p>
      <w:pPr>
        <w:pStyle w:val="5"/>
        <w:keepNext w:val="0"/>
        <w:keepLines w:val="0"/>
        <w:spacing w:before="0" w:after="0" w:line="580" w:lineRule="exact"/>
        <w:ind w:firstLine="642" w:firstLineChars="200"/>
        <w:rPr>
          <w:rFonts w:ascii="仿宋_GB2312" w:hAnsi="仿宋_GB2312" w:eastAsia="仿宋_GB2312" w:cs="仿宋_GB2312"/>
          <w:bCs w:val="0"/>
        </w:rPr>
      </w:pPr>
      <w:bookmarkStart w:id="17" w:name="_Toc103009908"/>
      <w:bookmarkStart w:id="18" w:name="_Toc48211395"/>
      <w:bookmarkStart w:id="19" w:name="_Toc57919045"/>
      <w:bookmarkStart w:id="20" w:name="_Toc49846440"/>
      <w:bookmarkStart w:id="21" w:name="_Toc50362808"/>
      <w:bookmarkStart w:id="22" w:name="_Toc93324142"/>
      <w:bookmarkStart w:id="23" w:name="_Toc92997454"/>
      <w:bookmarkStart w:id="24" w:name="_Toc103009909"/>
      <w:r>
        <w:rPr>
          <w:rFonts w:hint="eastAsia" w:ascii="仿宋_GB2312" w:hAnsi="仿宋_GB2312" w:eastAsia="仿宋_GB2312" w:cs="仿宋_GB2312"/>
          <w:bCs w:val="0"/>
        </w:rPr>
        <w:t>3.客货枢纽升级工程</w:t>
      </w:r>
      <w:bookmarkEnd w:id="17"/>
      <w:bookmarkEnd w:id="18"/>
      <w:bookmarkEnd w:id="19"/>
    </w:p>
    <w:p>
      <w:pPr>
        <w:spacing w:line="600" w:lineRule="exact"/>
        <w:ind w:firstLine="642" w:firstLineChars="200"/>
        <w:rPr>
          <w:rFonts w:ascii="仿宋_GB2312" w:hAnsi="仿宋_GB2312" w:eastAsia="仿宋_GB2312" w:cs="仿宋_GB2312"/>
          <w:sz w:val="32"/>
          <w:szCs w:val="32"/>
        </w:rPr>
      </w:pPr>
      <w:r>
        <w:rPr>
          <w:rFonts w:hint="eastAsia" w:ascii="仿宋_GB2312" w:hAnsi="楷体_GB2312" w:eastAsia="仿宋_GB2312" w:cs="楷体_GB2312"/>
          <w:b/>
          <w:bCs/>
          <w:color w:val="000000"/>
          <w:kern w:val="11"/>
          <w:sz w:val="32"/>
          <w:szCs w:val="32"/>
          <w:lang w:val="zh-CN"/>
        </w:rPr>
        <w:t>完善客运枢纽</w:t>
      </w:r>
      <w:bookmarkEnd w:id="20"/>
      <w:bookmarkEnd w:id="21"/>
      <w:bookmarkEnd w:id="22"/>
      <w:bookmarkEnd w:id="23"/>
      <w:bookmarkEnd w:id="24"/>
      <w:r>
        <w:rPr>
          <w:rFonts w:hint="eastAsia" w:ascii="仿宋_GB2312" w:hAnsi="楷体_GB2312" w:eastAsia="仿宋_GB2312" w:cs="楷体_GB2312"/>
          <w:b/>
          <w:bCs/>
          <w:color w:val="000000"/>
          <w:kern w:val="11"/>
          <w:sz w:val="32"/>
          <w:szCs w:val="32"/>
          <w:lang w:val="zh-CN"/>
        </w:rPr>
        <w:t>体系。</w:t>
      </w:r>
      <w:r>
        <w:rPr>
          <w:rFonts w:hint="eastAsia" w:ascii="仿宋_GB2312" w:hAnsi="仿宋_GB2312" w:eastAsia="仿宋_GB2312" w:cs="仿宋_GB2312"/>
          <w:sz w:val="32"/>
          <w:szCs w:val="32"/>
        </w:rPr>
        <w:t>按照客运“零距离换乘”的目标，推进既有客运枢纽功能的完善和整合提升，加快建设综合客运枢纽，实现枢纽内外不同运输方式的高效衔接。针对客运枢纽服</w:t>
      </w:r>
      <w:bookmarkEnd w:id="13"/>
      <w:bookmarkEnd w:id="14"/>
      <w:bookmarkEnd w:id="15"/>
      <w:r>
        <w:rPr>
          <w:rFonts w:hint="eastAsia" w:ascii="仿宋_GB2312" w:hAnsi="仿宋_GB2312" w:eastAsia="仿宋_GB2312" w:cs="仿宋_GB2312"/>
          <w:sz w:val="32"/>
          <w:szCs w:val="32"/>
        </w:rPr>
        <w:t>务盲区，建设人口密集区域、产业园区客运站，结合城乡公交一体化建设项目，建设集客运、物流、商贸、邮政、快递、供销、超限检测等多种服务功能于一体的镇综合服务站，构建“布局合理、层次分明、功能完善、衔接顺畅”的客运枢纽体系，进一步提升客运服务能力和中转换乘效率，为旅客提供优质的一体化服务。</w:t>
      </w:r>
    </w:p>
    <w:p>
      <w:pPr>
        <w:spacing w:line="600" w:lineRule="exact"/>
        <w:ind w:firstLine="642" w:firstLineChars="200"/>
        <w:rPr>
          <w:rFonts w:ascii="仿宋_GB2312" w:hAnsi="仿宋_GB2312" w:eastAsia="仿宋_GB2312" w:cs="仿宋_GB2312"/>
          <w:sz w:val="32"/>
          <w:szCs w:val="32"/>
        </w:rPr>
      </w:pPr>
      <w:r>
        <w:rPr>
          <w:rFonts w:hint="eastAsia" w:ascii="仿宋_GB2312" w:hAnsi="楷体_GB2312" w:eastAsia="仿宋_GB2312" w:cs="楷体_GB2312"/>
          <w:b/>
          <w:bCs/>
          <w:color w:val="000000"/>
          <w:kern w:val="11"/>
          <w:sz w:val="32"/>
          <w:szCs w:val="32"/>
          <w:lang w:val="zh-CN"/>
        </w:rPr>
        <w:t>加快货运枢纽建设。</w:t>
      </w:r>
      <w:r>
        <w:rPr>
          <w:rFonts w:hint="eastAsia" w:ascii="仿宋_GB2312" w:hAnsi="仿宋_GB2312" w:eastAsia="仿宋_GB2312" w:cs="仿宋_GB2312"/>
          <w:sz w:val="32"/>
          <w:szCs w:val="32"/>
        </w:rPr>
        <w:t>根据城市总体规划、产业发展布局以及全县货运需求，依托铁路、高速公路和普通国省干线等快速便捷的运输通道，加快推进各种运输方式场站建设，进一步优化货运场站设施布局，促进各种运输方式的协同协作和竞合融合。着力完善全县物流园区、物流中心和乡镇综合服务站三级物流节点体系，全面提升运输组织效率，实现货运“无缝衔接”。</w:t>
      </w:r>
    </w:p>
    <w:tbl>
      <w:tblPr>
        <w:tblStyle w:val="34"/>
        <w:tblpPr w:leftFromText="180" w:rightFromText="180" w:vertAnchor="text" w:horzAnchor="page" w:tblpX="1845" w:tblpY="166"/>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3"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仿宋_GB2312" w:hAnsi="仿宋_GB2312" w:eastAsia="仿宋_GB2312" w:cs="仿宋_GB2312"/>
                <w:b/>
                <w:bCs/>
                <w:szCs w:val="21"/>
              </w:rPr>
            </w:pPr>
            <w:bookmarkStart w:id="25" w:name="_Toc92997455"/>
            <w:bookmarkStart w:id="26" w:name="_Toc50362809"/>
            <w:bookmarkStart w:id="27" w:name="_Toc49846441"/>
            <w:bookmarkStart w:id="28" w:name="_Toc93324143"/>
            <w:bookmarkStart w:id="29" w:name="_Toc103009910"/>
            <w:r>
              <w:rPr>
                <w:rFonts w:hint="eastAsia" w:ascii="方正小标宋简体" w:hAnsi="方正小标宋简体" w:eastAsia="方正小标宋简体" w:cs="方正小标宋简体"/>
                <w:szCs w:val="21"/>
              </w:rPr>
              <w:t>专栏4  客货枢纽建设项目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3"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ind w:firstLine="420" w:firstLineChars="200"/>
              <w:rPr>
                <w:rFonts w:ascii="黑体" w:hAnsi="宋体" w:eastAsia="黑体" w:cs="黑体"/>
                <w:szCs w:val="21"/>
              </w:rPr>
            </w:pPr>
            <w:r>
              <w:rPr>
                <w:rFonts w:hint="eastAsia" w:ascii="黑体" w:hAnsi="宋体" w:eastAsia="黑体" w:cs="黑体"/>
                <w:szCs w:val="21"/>
              </w:rPr>
              <w:t>1.客运枢纽</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临泽新城区汽车客运站，占地面积50亩，总投资0.5亿元；临泽县七个镇综合服务站，占地面积50亩，总投资0.27亿元。</w:t>
            </w:r>
          </w:p>
          <w:p>
            <w:pPr>
              <w:spacing w:line="400" w:lineRule="exact"/>
              <w:ind w:firstLine="420" w:firstLineChars="200"/>
              <w:rPr>
                <w:rFonts w:ascii="黑体" w:hAnsi="宋体" w:eastAsia="黑体" w:cs="黑体"/>
                <w:bCs/>
                <w:szCs w:val="21"/>
              </w:rPr>
            </w:pPr>
            <w:r>
              <w:rPr>
                <w:rFonts w:hint="eastAsia" w:ascii="黑体" w:hAnsi="宋体" w:eastAsia="黑体" w:cs="黑体"/>
                <w:bCs/>
                <w:szCs w:val="21"/>
              </w:rPr>
              <w:t>2.货运</w:t>
            </w:r>
            <w:bookmarkStart w:id="30" w:name="_Hlk48296389"/>
            <w:r>
              <w:rPr>
                <w:rFonts w:hint="eastAsia" w:ascii="黑体" w:hAnsi="宋体" w:eastAsia="黑体" w:cs="黑体"/>
                <w:bCs/>
                <w:szCs w:val="21"/>
              </w:rPr>
              <w:t>枢纽</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bCs/>
                <w:szCs w:val="21"/>
              </w:rPr>
              <w:t>张掖丹霞综合货运枢纽，</w:t>
            </w:r>
            <w:bookmarkEnd w:id="30"/>
            <w:r>
              <w:rPr>
                <w:rFonts w:hint="eastAsia" w:ascii="仿宋_GB2312" w:hAnsi="仿宋_GB2312" w:eastAsia="仿宋_GB2312" w:cs="仿宋_GB2312"/>
                <w:bCs/>
                <w:szCs w:val="21"/>
              </w:rPr>
              <w:t>占地面积514亩，总投资7.88亿元。</w:t>
            </w:r>
            <w:bookmarkEnd w:id="25"/>
            <w:bookmarkEnd w:id="26"/>
            <w:bookmarkEnd w:id="27"/>
            <w:bookmarkEnd w:id="28"/>
          </w:p>
        </w:tc>
      </w:tr>
      <w:bookmarkEnd w:id="29"/>
    </w:tbl>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（三）产业空间布局</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1.物流枢纽与产业融合发展。</w:t>
      </w:r>
      <w:r>
        <w:rPr>
          <w:rFonts w:hint="eastAsia" w:ascii="仿宋_GB2312" w:hAnsi="仿宋_GB2312" w:eastAsia="仿宋_GB2312" w:cs="仿宋_GB2312"/>
          <w:sz w:val="32"/>
          <w:szCs w:val="32"/>
        </w:rPr>
        <w:t>围绕全县重点产业链、协同性强的商贸服务业、现代丝路寒旱农业、绿色食品加工、农畜产品加工等实体产业，依托现有产业的生产区、农贸市场、市场等流通基础平台，物流枢纽提供基本配套物流服务的同时，结合供应链管理平台，进一步延伸产业链，推动供应链创新与应用，完善产业物流配套体系，进一步加强物流枢纽与产业融合发展，形成商贸物流、工业物流、农产品物流产业集聚发展格局，推动全县冷链物流产业快速发展。</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2.“冷链+商贸”物流产业发展。</w:t>
      </w:r>
      <w:r>
        <w:rPr>
          <w:rFonts w:hint="eastAsia" w:ascii="仿宋_GB2312" w:hAnsi="仿宋_GB2312" w:eastAsia="仿宋_GB2312" w:cs="仿宋_GB2312"/>
          <w:sz w:val="32"/>
          <w:szCs w:val="32"/>
        </w:rPr>
        <w:t>依托国内国际冷链大通道建设，为商贸活动、城市大规模消费等商贸服务业提供商贸物流服务；搭建“冷链+商贸”物流供应链平台，整合县域内各类商品交易平台，建设具备信息发布、撮合交易、金融、结算、供应链管理等增值服务的线上交易市场，与农产品供应链平台和城乡高效配送信息平台相对接。通过线上线下结合的方式，为商贸业提供基本物流服务和增值物流服务，促进“冷链+商贸”服务业规模化、集聚化发展，形成冷链物流枢纽与商贸物流业融合协同、相互促进的发展格局。</w:t>
      </w:r>
    </w:p>
    <w:p>
      <w:pPr>
        <w:pStyle w:val="6"/>
        <w:widowControl w:val="0"/>
        <w:spacing w:afterLines="0" w:line="580" w:lineRule="exact"/>
        <w:ind w:firstLine="643"/>
        <w:rPr>
          <w:rFonts w:ascii="仿宋_GB2312" w:hAnsi="仿宋_GB2312" w:eastAsia="仿宋_GB2312" w:cs="仿宋_GB2312"/>
          <w:spacing w:val="6"/>
          <w:sz w:val="32"/>
          <w:szCs w:val="32"/>
        </w:rPr>
      </w:pPr>
      <w:r>
        <w:rPr>
          <w:rFonts w:hint="eastAsia" w:ascii="仿宋_GB2312" w:hAnsi="仿宋_GB2312" w:eastAsia="仿宋_GB2312" w:cs="仿宋_GB2312"/>
          <w:b/>
          <w:bCs/>
          <w:sz w:val="32"/>
          <w:szCs w:val="32"/>
        </w:rPr>
        <w:t>3.冷链物流枢纽经济发展。</w:t>
      </w:r>
      <w:r>
        <w:rPr>
          <w:rFonts w:hint="eastAsia" w:ascii="仿宋_GB2312" w:hAnsi="仿宋_GB2312" w:eastAsia="仿宋_GB2312" w:cs="仿宋_GB2312"/>
          <w:sz w:val="32"/>
          <w:szCs w:val="32"/>
        </w:rPr>
        <w:t>重点推进立足张掖、服务西部、面向全国、连接国际的物流通道建设，加快弥补交通基础设施短板，提高铁路、公路等互联互通水平，推动运输方式高效衔接，促进交通与物流深度融合。加快冷链物流枢纽体系建设，以物流带产业，以枢纽聚产业，形成枢纽产业体系，大力发展“商贸物流+冷链物流+农产品物流”的临泽现代物流业模式，加</w:t>
      </w:r>
      <w:r>
        <w:rPr>
          <w:rFonts w:hint="eastAsia" w:ascii="仿宋_GB2312" w:hAnsi="仿宋_GB2312" w:eastAsia="仿宋_GB2312" w:cs="仿宋_GB2312"/>
          <w:spacing w:val="6"/>
          <w:sz w:val="32"/>
          <w:szCs w:val="32"/>
        </w:rPr>
        <w:t>快发展高铁经济、公路经济、临空经济等，把冷链物流枢纽优势转化为经济优势。同时，提升冷链物流枢纽经济整合水平和开放水平，加快物流信息平台建设，充分利用大数据、云计算、物联网、区块链等技术整合现有平台资源，实现线上线下融合互通，推动冷链物流枢纽信息化、智能化、一体化运行。通过推动冷链物流枢纽交通一体、产业链接、生态共建、服务共享、功能互补，形成以枢纽带产业，以枢纽促经济的发展新格局。</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4.产城融合发展。</w:t>
      </w:r>
      <w:r>
        <w:rPr>
          <w:rFonts w:ascii="仿宋_GB2312" w:hAnsi="仿宋_GB2312" w:eastAsia="仿宋_GB2312" w:cs="仿宋_GB2312"/>
          <w:sz w:val="32"/>
          <w:szCs w:val="32"/>
        </w:rPr>
        <w:t>坚持产城融合的理念，以产业发展提升品质，按照顶层设计渐进式地进行招商储备和引资，处理好物流与经济、物流与环境的关系。加快建设冷链物流枢纽，积极鼓励和扶持冷链物流企业进驻物流园区，提高产业融合发展能力，为产城融合发展奠定良好的基础。统筹协调和合理布局枢纽城市功能和产业功能，明确冷链物流业和城市功能的发展节奏与实施路径，带动人口集聚、产业集聚、空间集聚，推动城镇化进程，促进枢纽经济发展，形成产城融合示范。</w:t>
      </w:r>
    </w:p>
    <w:p>
      <w:pPr>
        <w:pStyle w:val="6"/>
        <w:widowControl w:val="0"/>
        <w:spacing w:afterLines="0" w:line="58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（四）用地空间布局</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针对物流枢纽建设用地规模大、要求高的特点，根据全县土地利用总体规划，按照“优化布局，合理规划，盘活资源，统筹兼顾”的原则，对全县已有的物流园区、工业园区、集散中心等规划用地建设使用情况进行排摸，开展土地利用总体规划实施评估，提高土地利用率；统筹安排土地利用计划，不断拓展建设用地空间，提高土地利用率，尽可能在不增加、不突破城乡建设用地扩展边界的情况下，进一步优化物流土地利用总体规划空间布局。既要保障现代冷链物流发展用地，又要支持在符合规划、不改变用途的前提下，提高自有工业用地或仓储用地利用率、容积率，提高物流项目用地强度，使得物流用地空间布局更加合理，实现冷链物流的高质量发展。</w:t>
      </w:r>
    </w:p>
    <w:p>
      <w:pPr>
        <w:pStyle w:val="6"/>
        <w:widowControl w:val="0"/>
        <w:spacing w:afterLines="0" w:line="400" w:lineRule="exact"/>
        <w:ind w:firstLine="640"/>
        <w:jc w:val="center"/>
        <w:rPr>
          <w:rFonts w:ascii="黑体" w:hAnsi="黑体" w:eastAsia="黑体" w:cs="黑体"/>
          <w:sz w:val="32"/>
          <w:szCs w:val="32"/>
        </w:rPr>
      </w:pPr>
    </w:p>
    <w:p>
      <w:pPr>
        <w:pStyle w:val="6"/>
        <w:widowControl w:val="0"/>
        <w:spacing w:afterLines="0" w:line="400" w:lineRule="exact"/>
        <w:ind w:firstLine="640"/>
        <w:jc w:val="center"/>
        <w:rPr>
          <w:rFonts w:ascii="黑体" w:hAnsi="黑体" w:eastAsia="黑体" w:cs="黑体"/>
          <w:sz w:val="32"/>
          <w:szCs w:val="32"/>
        </w:rPr>
      </w:pPr>
      <w:r>
        <w:rPr>
          <w:rFonts w:hint="eastAsia" w:ascii="黑体" w:hAnsi="黑体" w:eastAsia="黑体" w:cs="黑体"/>
          <w:sz w:val="32"/>
          <w:szCs w:val="32"/>
        </w:rPr>
        <w:t>第六章  枢纽型冷链物流体系建设</w:t>
      </w:r>
    </w:p>
    <w:p>
      <w:pPr>
        <w:pStyle w:val="6"/>
        <w:widowControl w:val="0"/>
        <w:spacing w:afterLines="0" w:line="400" w:lineRule="exact"/>
        <w:ind w:firstLine="640"/>
        <w:jc w:val="center"/>
        <w:rPr>
          <w:rFonts w:ascii="黑体" w:hAnsi="黑体" w:eastAsia="黑体" w:cs="黑体"/>
          <w:sz w:val="32"/>
          <w:szCs w:val="32"/>
        </w:rPr>
      </w:pP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（一）优化节点空间布局和分类</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冷链物流节点是指负责从生产、存储到销售各环节冷冻冷</w:t>
      </w:r>
    </w:p>
    <w:p>
      <w:pPr>
        <w:pStyle w:val="6"/>
        <w:widowControl w:val="0"/>
        <w:spacing w:afterLines="0" w:line="58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藏、展示交易的场所。在确定空间布局目标后，应按照布局合理、层级清晰、功能互补、衔接紧密的原则，实现临泽冷链物流体系全覆盖目标，构建前端健全物流交通网络、中端夯实物流仓储基础、后端构建物流配送体系的功能布局。依托“全省电子商务示范县”、县域特色农产品丰富、三级电商服务体系覆盖率85%等优势，加快构建“通道+枢纽+网络”的现代物流运行体系，引领产业向高端化、规模化、集群化发展。前端健全物流交通网络，立足“居中四向”区位交通优势，进一步完善城乡融合交通网络，加快现代化高质量立体交通网建设，全力实施投资城乡公交一体化、冷链物流中心、G30连霍高速张掖丹霞服务区拓能综合工程、张掖丹霞综合货运枢纽（公路港物流园）等项目，为商贸活县提供便捷通达条件。中端夯实物流仓储基础，借力遍布城乡的冷链网点和覆盖到村的电商网络，加快实施中央厨房、邮政三级物流体系等项目。谋划实施冷链物流基地等项目，打造上承生产加工企业、中连批发市场、下接零售市场和终端消费者的增值服务枢纽节点。后端构建物流配送体系，借力供应链物流集成平台，提供一站式、多通道、稳定性物流交付服务，助力“临字号”农特产品扬帆出海。引导新乐超市、临泽农特汇等企业与大型物流企业建立长期合作关系，整合各类物流资源上线，发展综合性智慧物流产业链平台，实现“一站式服务”。</w:t>
      </w: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（二）冷链物流基础设施建设</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1.盘活整合冷链物流存量资源。</w:t>
      </w:r>
      <w:r>
        <w:rPr>
          <w:rFonts w:hint="eastAsia" w:ascii="仿宋_GB2312" w:hAnsi="仿宋_GB2312" w:eastAsia="仿宋_GB2312" w:cs="仿宋_GB2312"/>
          <w:sz w:val="32"/>
          <w:szCs w:val="32"/>
        </w:rPr>
        <w:t>以落实《张掖市“十四五”</w:t>
      </w:r>
    </w:p>
    <w:p>
      <w:pPr>
        <w:pStyle w:val="6"/>
        <w:widowControl w:val="0"/>
        <w:spacing w:afterLines="0" w:line="58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枢纽型冷链物流体系发展规划》为契机，构建冷链物流服务体系，有效盘活整合县域内存量冷链物流市场供需、存量设施以及农产品流通、生产加工等上下游产业资源，发挥冷链物流系统整体功能的核心作用，促进县域内冷链物流运行体系的构建和供应链的形成，从根本上解决县域内冷链物流基础设施“散、乱、小、杂”的问题，解决冷链物流资源重复配置、管理条块分割、市场区域割据、城乡渠道不畅等弊端，促进冷链物流降本增效。大力扶持和培育具有雄厚供应链资源的冷链物流企业，整合开放内部冷链物流资源，推动平台化发展模式，提升冷链物流组织化、规模化运营能力，增强核心竞争力。</w:t>
      </w:r>
    </w:p>
    <w:p>
      <w:pPr>
        <w:pStyle w:val="6"/>
        <w:widowControl w:val="0"/>
        <w:spacing w:afterLines="0" w:line="580" w:lineRule="exact"/>
        <w:ind w:firstLine="643"/>
        <w:rPr>
          <w:rFonts w:ascii="仿宋_GB2312" w:hAnsi="仿宋_GB2312" w:eastAsia="仿宋_GB2312" w:cs="仿宋_GB2312"/>
          <w:spacing w:val="-4"/>
          <w:sz w:val="32"/>
          <w:szCs w:val="32"/>
        </w:rPr>
      </w:pPr>
      <w:r>
        <w:rPr>
          <w:rFonts w:hint="eastAsia" w:ascii="仿宋_GB2312" w:hAnsi="仿宋_GB2312" w:eastAsia="仿宋_GB2312" w:cs="仿宋_GB2312"/>
          <w:b/>
          <w:bCs/>
          <w:sz w:val="32"/>
          <w:szCs w:val="32"/>
        </w:rPr>
        <w:t>2.健全完善冷链物流基础设施网络。</w:t>
      </w:r>
      <w:r>
        <w:rPr>
          <w:rFonts w:hint="eastAsia" w:ascii="仿宋_GB2312" w:hAnsi="仿宋_GB2312" w:eastAsia="仿宋_GB2312" w:cs="仿宋_GB2312"/>
          <w:sz w:val="32"/>
          <w:szCs w:val="32"/>
        </w:rPr>
        <w:t>依托农业优先型功能定</w:t>
      </w:r>
      <w:r>
        <w:rPr>
          <w:rFonts w:hint="eastAsia" w:ascii="仿宋_GB2312" w:hAnsi="仿宋_GB2312" w:eastAsia="仿宋_GB2312" w:cs="仿宋_GB2312"/>
          <w:spacing w:val="-4"/>
          <w:sz w:val="32"/>
          <w:szCs w:val="32"/>
        </w:rPr>
        <w:t>位，结合县域优势和资源禀赋，加快在农产品产地和部分田间地头建立规模适度的预冷贮藏保鲜设施，逐步推进冷链加工、储运企业基础冷链设施改造与升级，重点加强大唐农牧、新合作百惠、天域绿谷、丝路绿洲、墘盛农业、倚天生态等冷链物流基地建设，构建结构合理、多温并存、布局科学的冷链设施网络体系。</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3.加强冷链物流基础设施智能化建设。</w:t>
      </w:r>
      <w:r>
        <w:rPr>
          <w:rFonts w:hint="eastAsia" w:ascii="仿宋_GB2312" w:hAnsi="仿宋_GB2312" w:eastAsia="仿宋_GB2312" w:cs="仿宋_GB2312"/>
          <w:sz w:val="32"/>
          <w:szCs w:val="32"/>
        </w:rPr>
        <w:t>围绕特色农产品全产业链提质增效，鼓励龙头企业引入智能化自动分选线、多温区立体冷库、标准化移动式冷库、可追溯冷藏车等先进设施设备，发展建设节能型绿色物流设施。重点在标准化冷库的集约利用、蓄能设备的开发、冷媒技术的更新、分拣联检一体化应用等方面进行技术层面指导和政策支持，着力提升冷链物流基础设施的自动化、智能化、绿色化水平。</w:t>
      </w:r>
    </w:p>
    <w:p>
      <w:pPr>
        <w:spacing w:line="58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4.加快冷链设施设备技术提升。</w:t>
      </w:r>
      <w:r>
        <w:rPr>
          <w:rFonts w:hint="eastAsia" w:ascii="仿宋_GB2312" w:hAnsi="仿宋_GB2312" w:eastAsia="仿宋_GB2312" w:cs="仿宋_GB2312"/>
          <w:sz w:val="32"/>
          <w:szCs w:val="32"/>
        </w:rPr>
        <w:t>大力推广节能环保技术和设施应用，鼓励在鲜活农产品流通中采用低能耗、低排放设备设施，推广节能环保技术；发展建设节能型绿色仓储设施，鼓励加工、包装、分拣、装卸、存储等环节的设备更新改造，降低流通环节的能耗。</w:t>
      </w:r>
    </w:p>
    <w:p>
      <w:pPr>
        <w:spacing w:line="580" w:lineRule="exact"/>
        <w:ind w:firstLine="637"/>
        <w:rPr>
          <w:rFonts w:ascii="仿宋_GB2312" w:hAnsi="仿宋_GB2312" w:eastAsia="仿宋_GB2312" w:cs="仿宋_GB2312"/>
          <w:sz w:val="32"/>
          <w:szCs w:val="32"/>
        </w:rPr>
      </w:pPr>
      <w:r>
        <w:rPr>
          <w:rFonts w:hint="eastAsia" w:ascii="仿宋_GB2312" w:hAnsi="仿宋_GB2312" w:eastAsia="仿宋_GB2312" w:cs="仿宋_GB2312"/>
          <w:b/>
          <w:bCs/>
          <w:sz w:val="32"/>
          <w:szCs w:val="32"/>
        </w:rPr>
        <w:t>5.提高现有冷链设施的利用效率。</w:t>
      </w:r>
      <w:r>
        <w:rPr>
          <w:rFonts w:hint="eastAsia" w:ascii="仿宋_GB2312" w:hAnsi="仿宋_GB2312" w:eastAsia="仿宋_GB2312" w:cs="仿宋_GB2312"/>
          <w:sz w:val="32"/>
          <w:szCs w:val="32"/>
        </w:rPr>
        <w:t>发挥冷链物流枢纽和公共信息平台的作用，在国家农村产业融合发展示范园建设多品类协同共用共享冷库；在政府或园区的积极引导下，推进果蔬、肉蛋奶、药材的应季储存和反季销售，提高冷库的利用率，解决目前很多果蔬冷库大部分时间闲置的问题，引导冷链物流企业集</w:t>
      </w:r>
      <w:bookmarkStart w:id="31" w:name="_bookmark27"/>
      <w:bookmarkEnd w:id="31"/>
      <w:r>
        <w:rPr>
          <w:rFonts w:hint="eastAsia" w:ascii="仿宋_GB2312" w:hAnsi="仿宋_GB2312" w:eastAsia="仿宋_GB2312" w:cs="仿宋_GB2312"/>
          <w:sz w:val="32"/>
          <w:szCs w:val="32"/>
        </w:rPr>
        <w:t>聚，提高利用率。</w:t>
      </w:r>
    </w:p>
    <w:p>
      <w:pPr>
        <w:pStyle w:val="6"/>
        <w:widowControl w:val="0"/>
        <w:spacing w:afterLines="0" w:line="58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（三）冷链物流业态模式创新发展</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创新临泽冷链物流转型发展，推动冷链物流双向均衡发展，实施“冷链物流+”模式，推动冷链物流、商贸流通、金融等协同发展，带动产业转型升级。</w:t>
      </w:r>
    </w:p>
    <w:p>
      <w:pPr>
        <w:spacing w:line="580" w:lineRule="exact"/>
        <w:ind w:firstLine="654"/>
        <w:rPr>
          <w:rFonts w:ascii="仿宋_GB2312" w:hAnsi="仿宋_GB2312" w:eastAsia="仿宋_GB2312" w:cs="仿宋_GB2312"/>
          <w:sz w:val="32"/>
          <w:szCs w:val="32"/>
        </w:rPr>
      </w:pPr>
      <w:r>
        <w:rPr>
          <w:rFonts w:hint="eastAsia" w:ascii="仿宋_GB2312" w:hAnsi="仿宋_GB2312" w:eastAsia="仿宋_GB2312" w:cs="仿宋_GB2312"/>
          <w:b/>
          <w:bCs/>
          <w:sz w:val="32"/>
          <w:szCs w:val="32"/>
        </w:rPr>
        <w:t>1.推进“物流+农业”业态模式创新。</w:t>
      </w:r>
      <w:r>
        <w:rPr>
          <w:rFonts w:hint="eastAsia" w:ascii="仿宋_GB2312" w:hAnsi="仿宋_GB2312" w:eastAsia="仿宋_GB2312" w:cs="仿宋_GB2312"/>
          <w:sz w:val="32"/>
          <w:szCs w:val="32"/>
        </w:rPr>
        <w:t>嵌入临泽优势农产品供应链，鼓励富民、金沙、百惠、天域绿谷等农业产业龙头企业积极拓展产地预冷、标准化包装、极速配送、冷链运输等增值业务，推动“产地直供+电子商务”“产地直供+智能保鲜柜+生鲜宅配”等业态创新，破解“最先与最后一公里”难题，联动发展带动农产品附加值、出口比例、品质等全方面提升。</w:t>
      </w:r>
    </w:p>
    <w:p>
      <w:pPr>
        <w:spacing w:line="580" w:lineRule="exact"/>
        <w:ind w:firstLine="654"/>
        <w:rPr>
          <w:rFonts w:ascii="仿宋_GB2312" w:hAnsi="仿宋_GB2312" w:eastAsia="仿宋_GB2312" w:cs="仿宋_GB2312"/>
          <w:sz w:val="32"/>
          <w:szCs w:val="32"/>
        </w:rPr>
      </w:pPr>
      <w:r>
        <w:rPr>
          <w:rFonts w:hint="eastAsia" w:ascii="仿宋_GB2312" w:hAnsi="仿宋_GB2312" w:eastAsia="仿宋_GB2312" w:cs="仿宋_GB2312"/>
          <w:b/>
          <w:bCs/>
          <w:sz w:val="32"/>
          <w:szCs w:val="32"/>
        </w:rPr>
        <w:t>2.探索“物流+批发市场”业态模式创新。</w:t>
      </w:r>
      <w:r>
        <w:rPr>
          <w:rFonts w:hint="eastAsia" w:ascii="仿宋_GB2312" w:hAnsi="仿宋_GB2312" w:eastAsia="仿宋_GB2312" w:cs="仿宋_GB2312"/>
          <w:sz w:val="32"/>
          <w:szCs w:val="32"/>
        </w:rPr>
        <w:t>不断完善东关市</w:t>
      </w:r>
      <w:r>
        <w:rPr>
          <w:rFonts w:hint="eastAsia" w:ascii="仿宋_GB2312" w:hAnsi="仿宋_GB2312" w:eastAsia="仿宋_GB2312" w:cs="仿宋_GB2312"/>
          <w:spacing w:val="-4"/>
          <w:sz w:val="32"/>
          <w:szCs w:val="32"/>
        </w:rPr>
        <w:t>场等农产品批发市场冷链设施，探索建设线上平台，创新“农批市场+金融+网络营销”“农批市场+生鲜宅配”模式，引入专业冷链物流服务，提高冷链物流效率，优化农产品双向流通渠道</w:t>
      </w:r>
      <w:r>
        <w:rPr>
          <w:rFonts w:hint="eastAsia" w:ascii="仿宋_GB2312" w:hAnsi="仿宋_GB2312" w:eastAsia="仿宋_GB2312" w:cs="仿宋_GB2312"/>
          <w:sz w:val="32"/>
          <w:szCs w:val="32"/>
        </w:rPr>
        <w:t>。</w:t>
      </w:r>
    </w:p>
    <w:p>
      <w:pPr>
        <w:spacing w:line="580" w:lineRule="exact"/>
        <w:ind w:firstLine="629"/>
        <w:rPr>
          <w:rFonts w:ascii="仿宋_GB2312" w:hAnsi="仿宋_GB2312" w:eastAsia="仿宋_GB2312" w:cs="仿宋_GB2312"/>
          <w:sz w:val="32"/>
          <w:szCs w:val="32"/>
        </w:rPr>
      </w:pPr>
      <w:r>
        <w:rPr>
          <w:rFonts w:hint="eastAsia" w:ascii="仿宋_GB2312" w:hAnsi="仿宋_GB2312" w:eastAsia="仿宋_GB2312" w:cs="仿宋_GB2312"/>
          <w:b/>
          <w:bCs/>
          <w:sz w:val="32"/>
          <w:szCs w:val="32"/>
        </w:rPr>
        <w:t>3.深化“物流+流通加工”业态模式创新。</w:t>
      </w:r>
      <w:r>
        <w:rPr>
          <w:rFonts w:hint="eastAsia" w:ascii="仿宋_GB2312" w:hAnsi="仿宋_GB2312" w:eastAsia="仿宋_GB2312" w:cs="仿宋_GB2312"/>
          <w:sz w:val="32"/>
          <w:szCs w:val="32"/>
        </w:rPr>
        <w:t>加快推进张掖丹霞综合货运枢纽（公路港物流园）、G30连霍高速张掖丹霞服务区拓能综合工程及冷链物流基地、“丹霞宴”中央厨房、戈壁农业全产业链服务体系以及临泽蓼泉万吨出口商品蔬菜产业园等一批项目，打造上有生产加工企业、中连批发市场、下接零售市场和终端消费者的增值服务枢纽节点，推动物流服务由基础服务向增值服务延伸。</w:t>
      </w:r>
    </w:p>
    <w:p>
      <w:pPr>
        <w:spacing w:line="580" w:lineRule="exact"/>
        <w:ind w:firstLine="634"/>
        <w:rPr>
          <w:rFonts w:ascii="仿宋_GB2312" w:hAnsi="仿宋_GB2312" w:eastAsia="仿宋_GB2312" w:cs="仿宋_GB2312"/>
          <w:sz w:val="32"/>
          <w:szCs w:val="32"/>
        </w:rPr>
      </w:pPr>
      <w:r>
        <w:rPr>
          <w:rFonts w:hint="eastAsia" w:ascii="仿宋_GB2312" w:hAnsi="仿宋_GB2312" w:eastAsia="仿宋_GB2312" w:cs="仿宋_GB2312"/>
          <w:b/>
          <w:bCs/>
          <w:sz w:val="32"/>
          <w:szCs w:val="32"/>
        </w:rPr>
        <w:t>4.推进“生鲜电商+冷链宅配”业态模式创新。</w:t>
      </w:r>
      <w:r>
        <w:rPr>
          <w:rFonts w:hint="eastAsia" w:ascii="仿宋_GB2312" w:hAnsi="仿宋_GB2312" w:eastAsia="仿宋_GB2312" w:cs="仿宋_GB2312"/>
          <w:sz w:val="32"/>
          <w:szCs w:val="32"/>
        </w:rPr>
        <w:t>积极支持5G只能配送中心项目建设，鼓励大型商超、连锁便利店与物流企业长期战略合作，实现高原夏菜等农产品错时定植，错峰收获，合理减轻冷链物流企业收储运送压力，缩短送货时间。</w:t>
      </w:r>
    </w:p>
    <w:p>
      <w:pPr>
        <w:spacing w:line="580" w:lineRule="exact"/>
        <w:ind w:firstLine="634"/>
        <w:rPr>
          <w:rFonts w:ascii="仿宋_GB2312" w:hAnsi="仿宋_GB2312" w:eastAsia="仿宋_GB2312" w:cs="仿宋_GB2312"/>
          <w:sz w:val="32"/>
          <w:szCs w:val="32"/>
        </w:rPr>
      </w:pPr>
      <w:r>
        <w:rPr>
          <w:rFonts w:hint="eastAsia" w:ascii="仿宋_GB2312" w:hAnsi="仿宋_GB2312" w:eastAsia="仿宋_GB2312" w:cs="仿宋_GB2312"/>
          <w:b/>
          <w:bCs/>
          <w:sz w:val="32"/>
          <w:szCs w:val="32"/>
        </w:rPr>
        <w:t>5.探索“冷链物流+金融”业态模式创新。</w:t>
      </w:r>
      <w:r>
        <w:rPr>
          <w:rFonts w:hint="eastAsia" w:ascii="仿宋_GB2312" w:hAnsi="仿宋_GB2312" w:eastAsia="仿宋_GB2312" w:cs="仿宋_GB2312"/>
          <w:sz w:val="32"/>
          <w:szCs w:val="32"/>
        </w:rPr>
        <w:t>探索农产品“冷链物流+金融”发展模式，创新线上服务与电子签章，鼓励企业与银行合作，加快开展仓单质押、存货质押、集中授信等供应链金融业务，试点推行移动式冷库共享租赁模式。</w:t>
      </w:r>
    </w:p>
    <w:p>
      <w:pPr>
        <w:spacing w:line="580" w:lineRule="exact"/>
        <w:ind w:firstLine="634"/>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6.探索“冷链物流+通用航空”业态模式创新。</w:t>
      </w:r>
      <w:r>
        <w:rPr>
          <w:rFonts w:hint="eastAsia" w:ascii="仿宋_GB2312" w:hAnsi="仿宋_GB2312" w:eastAsia="仿宋_GB2312" w:cs="仿宋_GB2312"/>
          <w:sz w:val="32"/>
          <w:szCs w:val="32"/>
        </w:rPr>
        <w:t>以张掖丹霞通用航空机场为依托，探索民航与连霍高速、312国道接驳，高铁快件安检，货运方式紧密衔接、灵活转换；通过探索利用高铁、民航运递生鲜快件试点，推动通用航空机场建设。</w:t>
      </w: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（四）健全冷链物流标准化体系</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制定冷链物流标准和规范，推动冷链物流标准化，打造冷链物流临泽特色模式。</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1.强化冷链物流标准落实。</w:t>
      </w:r>
      <w:r>
        <w:rPr>
          <w:rFonts w:hint="eastAsia" w:ascii="仿宋_GB2312" w:hAnsi="仿宋_GB2312" w:eastAsia="仿宋_GB2312" w:cs="仿宋_GB2312"/>
          <w:sz w:val="32"/>
          <w:szCs w:val="32"/>
        </w:rPr>
        <w:t>严格遵守符合国际规范的质量安全认证制度、市场准入制度及国家关于易腐食品温控强制性标准。落实好张掖市重点果蔬、低温奶制品、特色水产品等易腐食品温控地方强制性标准。</w:t>
      </w:r>
    </w:p>
    <w:p>
      <w:pPr>
        <w:pStyle w:val="6"/>
        <w:widowControl w:val="0"/>
        <w:spacing w:afterLines="0" w:line="580" w:lineRule="exact"/>
        <w:ind w:firstLine="643"/>
        <w:rPr>
          <w:rFonts w:ascii="仿宋_GB2312" w:hAnsi="仿宋_GB2312" w:eastAsia="仿宋_GB2312" w:cs="仿宋_GB2312"/>
          <w:spacing w:val="-4"/>
          <w:sz w:val="32"/>
          <w:szCs w:val="32"/>
        </w:rPr>
      </w:pPr>
      <w:r>
        <w:rPr>
          <w:rFonts w:hint="eastAsia" w:ascii="仿宋_GB2312" w:hAnsi="仿宋_GB2312" w:eastAsia="仿宋_GB2312" w:cs="仿宋_GB2312"/>
          <w:b/>
          <w:bCs/>
          <w:sz w:val="32"/>
          <w:szCs w:val="32"/>
        </w:rPr>
        <w:t>2.严</w:t>
      </w:r>
      <w:r>
        <w:rPr>
          <w:rFonts w:hint="eastAsia" w:ascii="仿宋_GB2312" w:hAnsi="仿宋_GB2312" w:eastAsia="仿宋_GB2312" w:cs="仿宋_GB2312"/>
          <w:b/>
          <w:bCs/>
          <w:spacing w:val="-4"/>
          <w:sz w:val="32"/>
          <w:szCs w:val="32"/>
        </w:rPr>
        <w:t>把冷藏温度控制标准。</w:t>
      </w:r>
      <w:r>
        <w:rPr>
          <w:rFonts w:hint="eastAsia" w:ascii="仿宋_GB2312" w:hAnsi="仿宋_GB2312" w:eastAsia="仿宋_GB2312" w:cs="仿宋_GB2312"/>
          <w:spacing w:val="-4"/>
          <w:sz w:val="32"/>
          <w:szCs w:val="32"/>
        </w:rPr>
        <w:t>根据农产品品类、气候条件等，以“低碳环保、节能降耗”为基本要求，研究形成覆盖全链条的冷链物流技术标准和温度控制参数，率先推进智能化控制系统。</w:t>
      </w:r>
    </w:p>
    <w:p>
      <w:pPr>
        <w:kinsoku w:val="0"/>
        <w:autoSpaceDE w:val="0"/>
        <w:autoSpaceDN w:val="0"/>
        <w:adjustRightInd w:val="0"/>
        <w:snapToGrid w:val="0"/>
        <w:spacing w:line="580" w:lineRule="exact"/>
        <w:ind w:firstLine="637"/>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3.开展临泽县冷链物流标准化示范创建活动。</w:t>
      </w:r>
      <w:r>
        <w:rPr>
          <w:rFonts w:hint="eastAsia" w:ascii="仿宋_GB2312" w:hAnsi="仿宋_GB2312" w:eastAsia="仿宋_GB2312" w:cs="仿宋_GB2312"/>
          <w:sz w:val="32"/>
          <w:szCs w:val="32"/>
        </w:rPr>
        <w:t>推进冷链物流企业的技术设施和服务水平提升，制定《临泽县冷链物流储运销地方标准》，开展农产品冷链物流标准化园区以及冷链企业示范创建活动，鼓励大数据产业园参与临泽县冷链物流标准化的建设，全面提升临泽县冷链物流标准化水平。</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3" w:type="dxa"/>
          </w:tcPr>
          <w:p>
            <w:pPr>
              <w:pStyle w:val="6"/>
              <w:widowControl w:val="0"/>
              <w:spacing w:afterLines="0" w:line="500" w:lineRule="exact"/>
              <w:ind w:firstLine="420"/>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21"/>
                <w:szCs w:val="21"/>
              </w:rPr>
              <w:t>专栏6-1冷链物流标准化建设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3" w:type="dxa"/>
          </w:tcPr>
          <w:p>
            <w:pPr>
              <w:pStyle w:val="6"/>
              <w:widowControl w:val="0"/>
              <w:spacing w:afterLines="0" w:line="500" w:lineRule="exact"/>
              <w:ind w:firstLine="420"/>
              <w:rPr>
                <w:rFonts w:ascii="仿宋_GB2312" w:hAnsi="仿宋_GB2312" w:eastAsia="仿宋_GB2312" w:cs="仿宋_GB2312"/>
                <w:sz w:val="32"/>
                <w:szCs w:val="32"/>
              </w:rPr>
            </w:pPr>
            <w:r>
              <w:rPr>
                <w:rFonts w:hint="eastAsia" w:ascii="黑体" w:hAnsi="黑体" w:eastAsia="黑体" w:cs="黑体"/>
                <w:sz w:val="21"/>
                <w:szCs w:val="21"/>
              </w:rPr>
              <w:t>1.冷链物流标准化示范工程。</w:t>
            </w:r>
            <w:r>
              <w:rPr>
                <w:rFonts w:hint="eastAsia" w:ascii="仿宋_GB2312" w:hAnsi="仿宋_GB2312" w:eastAsia="仿宋_GB2312" w:cs="仿宋_GB2312"/>
                <w:sz w:val="21"/>
                <w:szCs w:val="21"/>
              </w:rPr>
              <w:t>到2025年培育和遴选3家以上的冷链物流标准化示范企业。</w:t>
            </w:r>
          </w:p>
        </w:tc>
      </w:tr>
    </w:tbl>
    <w:p>
      <w:pPr>
        <w:pStyle w:val="6"/>
        <w:widowControl w:val="0"/>
        <w:spacing w:afterLines="0" w:line="58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（五）加大冷链物流关键环节卡控</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1.生产环节。</w:t>
      </w:r>
      <w:r>
        <w:rPr>
          <w:rFonts w:hint="eastAsia" w:ascii="仿宋_GB2312" w:hAnsi="仿宋_GB2312" w:eastAsia="仿宋_GB2312" w:cs="仿宋_GB2312"/>
          <w:sz w:val="32"/>
          <w:szCs w:val="32"/>
        </w:rPr>
        <w:t>坚持以市场为导向，创品牌、建基地。利用物联网建立以销定产新型模式，龙头企业、农民专业化合作组织与消费市场及时对接，根据人群不同需求特点，引进和培育高品质、高附加值的新品种，积极推广绿色有机标准化生产技术，建立临泽夏菜质量安全可追溯体系。</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2.预冷环节。</w:t>
      </w:r>
      <w:r>
        <w:rPr>
          <w:rFonts w:hint="eastAsia" w:ascii="仿宋_GB2312" w:hAnsi="仿宋_GB2312" w:eastAsia="仿宋_GB2312" w:cs="仿宋_GB2312"/>
          <w:sz w:val="32"/>
          <w:szCs w:val="32"/>
        </w:rPr>
        <w:t>鼓励企业因地制宜选购适用型的冷水预冷、冷风预冷、真空预冷或混合预冷设备，解决产地源头预冷普遍缺失问题，把握收割、采摘、宰杀后产品品质下降最快的2小时关键期，提高预冷销售率。</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3.运输环节。</w:t>
      </w:r>
      <w:r>
        <w:rPr>
          <w:rFonts w:hint="eastAsia" w:ascii="仿宋_GB2312" w:hAnsi="微软雅黑" w:eastAsia="仿宋_GB2312"/>
          <w:color w:val="000000" w:themeColor="text1"/>
          <w:sz w:val="32"/>
          <w:szCs w:val="32"/>
          <w:shd w:val="clear" w:color="auto" w:fill="FFFFFF"/>
        </w:rPr>
        <w:t>培育发展专业化、规模化冷链物流企业，鼓励运输企业购置多温层、新能源冷链运输车辆和冷藏集装箱、蓄冷箱、保温箱等单元化冷链载器具。支持冷链物流企业建设网络货运平台，优化整合产品、冷库、冷链运输车辆等资源，提升市场集中度。推进冷链运输服务标准化。引导冷链运输企业依据《道路冷链运输服务规则》（JT/T1234—2019），建立完善</w:t>
      </w:r>
      <w:r>
        <w:rPr>
          <w:rFonts w:hint="eastAsia" w:ascii="仿宋_GB2312" w:hAnsi="仿宋_GB2312" w:eastAsia="仿宋_GB2312" w:cs="仿宋_GB2312"/>
          <w:color w:val="000000" w:themeColor="text1"/>
          <w:sz w:val="32"/>
          <w:szCs w:val="32"/>
        </w:rPr>
        <w:t>企业、从业人员、设施设备、运输装卸、温度控制等方面作业规范，提升运输效率和服务能力。</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4.仓储环节。</w:t>
      </w:r>
      <w:r>
        <w:rPr>
          <w:rFonts w:hint="eastAsia" w:ascii="仿宋_GB2312" w:hAnsi="仿宋_GB2312" w:eastAsia="仿宋_GB2312" w:cs="仿宋_GB2312"/>
          <w:sz w:val="32"/>
          <w:szCs w:val="32"/>
        </w:rPr>
        <w:t>加快老旧冷库改造，推动建设封闭式装卸站台、电动滑升式冷藏门和防撞柔性密封口等设施，实现全封闭式作业。新建冷库重点发展变温库、气调库、立体自动化冷库等智能型高端冷藏设施。鼓励利用LNG冷能建设多温层大型冷库。大力推进一批传统冷库的功能拓展，建设低温加工区，发展增值服务。</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5.零售环节。</w:t>
      </w:r>
      <w:r>
        <w:rPr>
          <w:rFonts w:hint="eastAsia" w:ascii="仿宋_GB2312" w:hAnsi="仿宋_GB2312" w:eastAsia="仿宋_GB2312" w:cs="仿宋_GB2312"/>
          <w:sz w:val="32"/>
          <w:szCs w:val="32"/>
        </w:rPr>
        <w:t>通过政府引导、企业参与作形式在农产品主销区建立联销组织或销售联盟，开展企业间销售合作，统一配送、统一价格、均衡供应，避免低价恶性竞争。推动零售商完善冷藏设施，扩大低温零售品类，建立规范的冷藏温度记录制度，确保冷链产品可追溯。</w:t>
      </w: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（六）强化冷链物流信息技术开发</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1.加快冷链物流信息技术应用。</w:t>
      </w:r>
      <w:r>
        <w:rPr>
          <w:rFonts w:hint="eastAsia" w:ascii="仿宋_GB2312" w:hAnsi="仿宋_GB2312" w:eastAsia="仿宋_GB2312" w:cs="仿宋_GB2312"/>
          <w:sz w:val="32"/>
          <w:szCs w:val="32"/>
        </w:rPr>
        <w:t>推广大数据、区块链、人工智能等先进的信息技术在鲜活农产品流通领域的普及应用，提高冷链物流设施智能化和信息采集能力。鼓励生鲜企业利用信息平台开展大数据分析，合理安排采购、库存、配送，拓展电子商务服务，实现及时、准确、高效数据处理，提高供应链全程管控能力，打造智慧冷链物流生态圈。2025年，随着线上经济的迅速增长，我县生鲜电商规模得到快速提升，基本实现冷链电子商务全覆盖。</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2.鼓励冷链物流企业加大信息化投入。</w:t>
      </w:r>
      <w:r>
        <w:rPr>
          <w:rFonts w:hint="eastAsia" w:ascii="仿宋_GB2312" w:hAnsi="仿宋_GB2312" w:eastAsia="仿宋_GB2312" w:cs="仿宋_GB2312"/>
          <w:sz w:val="32"/>
          <w:szCs w:val="32"/>
        </w:rPr>
        <w:t>积极引导和鼓励企业强化在库存控制、仓储、运输和交易等各个环节信息化建设，提升企业信息化水平。加强北斗导航、物联网、区块链、云计算、大数据、移动互联等先进信息技术在冷链物流领域的应用，加大物流管理信息系统投入，为收发货人提供全程定位跟踪和温度监控服务，推进冷链上下游企业信息共享，实现订单处理、运输仓储、城市配送、结算等业务环节的有效对接，促进资源优化调度和业务协同。</w:t>
      </w:r>
    </w:p>
    <w:p>
      <w:pPr>
        <w:pStyle w:val="6"/>
        <w:widowControl w:val="0"/>
        <w:spacing w:afterLines="0" w:line="58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（七）培育壮大冷链物流市场主体</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加强国内外代表型冷链物流企业引进，加快本地第三方冷链物流企业培育，推动冷链社会化、专业化、规模化发展。大力支持建设一批重点冷链物流园区(中心)，重点培育一批发展潜力大、经营效益好、辐射带动能力强的农产品冷链物流企业。开展仓运配、集采分销和供应链金融一体化服务,培育形成一批全国性温控供应链集成服务企业和冷链优质服务企业，充分发挥其示范带动作用；按照“设施农牧业+特色林果业”的主体生产模式和“加工—预冷—储藏—运输—销售”完整冷链运营模式，支持龙头企业通过参股控股、兼并联合、合资合作等方式，进行资产重组、业务融合和流程再造，建设集预冷、加工、冷藏、配送、追溯等功能于一体的农产品产地集配中心。通过规模化经营，全面提高冷链物流服务的一体化、网络化水平，到2025年，培育3-5家本地第三方冷链物流龙头企业。</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3" w:type="dxa"/>
          </w:tcPr>
          <w:p>
            <w:pPr>
              <w:pStyle w:val="6"/>
              <w:widowControl w:val="0"/>
              <w:spacing w:afterLines="0" w:line="500" w:lineRule="exact"/>
              <w:ind w:firstLine="420"/>
              <w:jc w:val="center"/>
              <w:rPr>
                <w:rFonts w:ascii="仿宋_GB2312" w:hAnsi="仿宋_GB2312" w:eastAsia="仿宋_GB2312" w:cs="仿宋_GB2312"/>
                <w:sz w:val="21"/>
                <w:szCs w:val="21"/>
              </w:rPr>
            </w:pPr>
            <w:r>
              <w:rPr>
                <w:rFonts w:hint="eastAsia" w:ascii="方正小标宋简体" w:hAnsi="方正小标宋简体" w:eastAsia="方正小标宋简体" w:cs="方正小标宋简体"/>
                <w:sz w:val="21"/>
                <w:szCs w:val="21"/>
              </w:rPr>
              <w:t>专栏6-2冷链物流企业培育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3" w:type="dxa"/>
          </w:tcPr>
          <w:p>
            <w:pPr>
              <w:pStyle w:val="6"/>
              <w:widowControl w:val="0"/>
              <w:spacing w:afterLines="0" w:line="360" w:lineRule="exact"/>
              <w:ind w:firstLine="420"/>
              <w:rPr>
                <w:rFonts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ascii="仿宋_GB2312" w:hAnsi="仿宋_GB2312" w:eastAsia="仿宋_GB2312" w:cs="仿宋_GB2312"/>
                <w:sz w:val="21"/>
                <w:szCs w:val="21"/>
              </w:rPr>
              <w:t>重点培育临泽县丝路绿洲有机农业有限责任公司、临泽县大唐农牧业发展有限公司、张掖天域绿谷农业开发有限责任公司、临泽县新合作百惠商贸有限公司、甘肃倚天生态农林科技有限公司等企业，以完善冷链集散功能为重点，提高物流管理和服务水平。</w:t>
            </w:r>
          </w:p>
        </w:tc>
      </w:tr>
    </w:tbl>
    <w:p>
      <w:pPr>
        <w:pStyle w:val="6"/>
        <w:widowControl w:val="0"/>
        <w:spacing w:afterLines="0" w:line="59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（八）提升冷链物流运输服务</w:t>
      </w:r>
    </w:p>
    <w:p>
      <w:pPr>
        <w:pStyle w:val="6"/>
        <w:widowControl w:val="0"/>
        <w:spacing w:afterLines="0" w:line="580" w:lineRule="exact"/>
        <w:ind w:firstLine="643"/>
        <w:rPr>
          <w:rFonts w:ascii="仿宋_GB2312" w:hAnsi="仿宋_GB2312" w:eastAsia="仿宋_GB2312" w:cs="仿宋_GB2312"/>
          <w:spacing w:val="-6"/>
          <w:sz w:val="32"/>
          <w:szCs w:val="32"/>
        </w:rPr>
      </w:pPr>
      <w:r>
        <w:rPr>
          <w:rFonts w:hint="eastAsia" w:ascii="仿宋_GB2312" w:hAnsi="仿宋_GB2312" w:eastAsia="仿宋_GB2312" w:cs="仿宋_GB2312"/>
          <w:b/>
          <w:bCs/>
          <w:sz w:val="32"/>
          <w:szCs w:val="32"/>
        </w:rPr>
        <w:t>1.规范</w:t>
      </w:r>
      <w:r>
        <w:rPr>
          <w:rFonts w:hint="eastAsia" w:ascii="仿宋_GB2312" w:hAnsi="仿宋_GB2312" w:eastAsia="仿宋_GB2312" w:cs="仿宋_GB2312"/>
          <w:b/>
          <w:bCs/>
          <w:spacing w:val="-6"/>
          <w:sz w:val="32"/>
          <w:szCs w:val="32"/>
        </w:rPr>
        <w:t>冷链物流运输。</w:t>
      </w:r>
      <w:r>
        <w:rPr>
          <w:rFonts w:hint="eastAsia" w:ascii="仿宋_GB2312" w:hAnsi="仿宋_GB2312" w:eastAsia="仿宋_GB2312" w:cs="仿宋_GB2312"/>
          <w:color w:val="000000" w:themeColor="text1"/>
          <w:spacing w:val="-6"/>
          <w:sz w:val="32"/>
          <w:szCs w:val="32"/>
        </w:rPr>
        <w:t>推进冷链运输工具专业化发展。加强冷</w:t>
      </w:r>
      <w:r>
        <w:rPr>
          <w:rFonts w:hint="eastAsia" w:ascii="仿宋_GB2312" w:hAnsi="仿宋_GB2312" w:eastAsia="仿宋_GB2312" w:cs="仿宋_GB2312"/>
          <w:color w:val="000000" w:themeColor="text1"/>
          <w:sz w:val="32"/>
          <w:szCs w:val="32"/>
        </w:rPr>
        <w:t>链运输车辆技术管理，依据《道路货物运输及站场管理规定》《营</w:t>
      </w:r>
      <w:r>
        <w:rPr>
          <w:rFonts w:hint="eastAsia" w:ascii="仿宋_GB2312" w:hAnsi="仿宋_GB2312" w:eastAsia="仿宋_GB2312" w:cs="仿宋_GB2312"/>
          <w:color w:val="000000" w:themeColor="text1"/>
          <w:spacing w:val="-6"/>
          <w:sz w:val="32"/>
          <w:szCs w:val="32"/>
        </w:rPr>
        <w:t>运货车安全技术要求》（JT/T1178.1—2018）《道路冷链运输服务规则》（JT/T1234—2019）等法规和行业标准，强化冷链运输车辆相关标准引导作用，推广应用多温层、新能源冷链运输车辆。</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2.实行冷链物流绿色通道管理。</w:t>
      </w:r>
      <w:r>
        <w:rPr>
          <w:rFonts w:hint="eastAsia" w:ascii="仿宋_GB2312" w:hAnsi="仿宋_GB2312" w:eastAsia="仿宋_GB2312" w:cs="仿宋_GB2312"/>
          <w:color w:val="000000" w:themeColor="text1"/>
          <w:sz w:val="32"/>
          <w:szCs w:val="32"/>
        </w:rPr>
        <w:t>协调高速公路运营单位继续严格执行鲜活农产品运输“绿色通道”政策，对整车合法装载运输全国统一的《鲜活农产品品种目录》内产品的车辆，免收车辆通行费。鼓励鲜活农产品车辆通过安装使用ETC和预约通行，进一步提升通行效率。</w:t>
      </w: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（九）补齐和完善医药冷链物流体系</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针对新冠肺炎疫情一定程度上暴露出我县应急医药和冷链物流薄弱、航空物流能力不足等短板，进一步完善应急物流网络，做好人力资源储备，完善应急物资保障体制，健全疾控机构冷链系统建设，在体制机制、指挥流程、协同机制、职责分工上有法可依；依托县医药公司，建立全县医药冷链物流体系。配备医药冷链运输车2辆，确保1小时内全县各镇、村（社区）冷链药品及时送达。</w:t>
      </w: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（十）加快冷链物流人才培养</w:t>
      </w:r>
    </w:p>
    <w:p>
      <w:pPr>
        <w:pStyle w:val="6"/>
        <w:widowControl w:val="0"/>
        <w:spacing w:afterLines="0" w:line="580" w:lineRule="exact"/>
        <w:ind w:firstLine="643"/>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1.加强冷链供应链培训。</w:t>
      </w:r>
      <w:r>
        <w:rPr>
          <w:rFonts w:hint="eastAsia" w:ascii="仿宋_GB2312" w:hAnsi="仿宋_GB2312" w:eastAsia="仿宋_GB2312" w:cs="仿宋_GB2312"/>
          <w:color w:val="000000" w:themeColor="text1"/>
          <w:sz w:val="32"/>
          <w:szCs w:val="32"/>
        </w:rPr>
        <w:t>以县内冷链物流园为依托，支持县内培训机构开发冷链物流相关专业培训项目，强化企业从业人员食品安全、温控管理等专业知识和技能培训，引导双方结合各自资源优势，共同建立冷链产业数字化人才培训基地，产学研相结合，理论培训与产业实践相结合，为行业培养优秀人才，助推冷链产业升级。</w:t>
      </w:r>
    </w:p>
    <w:p>
      <w:pPr>
        <w:pStyle w:val="6"/>
        <w:widowControl w:val="0"/>
        <w:spacing w:afterLines="0" w:line="580" w:lineRule="exact"/>
        <w:ind w:firstLine="643"/>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2.引进高层次人才。</w:t>
      </w:r>
      <w:r>
        <w:rPr>
          <w:rFonts w:hint="eastAsia" w:ascii="仿宋_GB2312" w:hAnsi="仿宋_GB2312" w:eastAsia="仿宋_GB2312" w:cs="仿宋_GB2312"/>
          <w:color w:val="000000" w:themeColor="text1"/>
          <w:sz w:val="32"/>
          <w:szCs w:val="32"/>
        </w:rPr>
        <w:t>充分利用我县现有人才优惠政策，加大引进具有供应链管理经验的供应链采购、仓储、物流运输、金融服务等高端人才的力度，加快融入供应链管理体系，推动冷链物流上游、下游链条的贯通。</w:t>
      </w:r>
    </w:p>
    <w:p>
      <w:pPr>
        <w:pStyle w:val="6"/>
        <w:widowControl w:val="0"/>
        <w:spacing w:afterLines="0" w:line="58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（十一）完善冷链物流通道体系</w:t>
      </w:r>
    </w:p>
    <w:p>
      <w:pPr>
        <w:pStyle w:val="6"/>
        <w:widowControl w:val="0"/>
        <w:spacing w:afterLines="0" w:line="58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加快打通北通内蒙方向的快速通道，重点推进新阿公路（新华镇至阿右旗芦泉村）新建工程，实现县域南北区域及对外交通的快速联系；加快完善东西区域次通道建设，进一步提升东西通道能级，推动甘临一体化建设；加快推动临泽“一带六园”路衍经济体系完善和发展，重点推进G30连霍高速临泽丹霞服务区拓能综合工程及G312线新华服务区暨城乡公交一体化首发站等项目建设。持续推进普通国省干线公路S301九条岭至瓜州公路临泽县板桥镇至高台县合黎镇段提档升级和“联通路”建设，加强对县（区）之间城际通道、经济走廊内交通繁忙路段扩容改造和低等级路段升级改造，着力提升路段的通行能力和服务水平。加快推进乡镇通三级及以上公路、具备条件的自然村（组）通硬化路、资源路旅游路产业路及农村公路联网路建设，强化农村公路对重要行政节点、经济节点及农村公路服务站、农村客运站等基础服务设施的衔接，重点推进凹凸棒产业初级加工园区至窑泉、国有林区和蓼泉等资源路旅游路产业路，X057临平公路(临泽至平川)、X055临板公路（临泽至板桥)、X058新古公路（G312线新华镇宣威村至古寨）、X047沙井镇（上游）至高台宣化（贞号）、X060临倪公路（临泽至倪家营）、Y126黄平公路（黄家堡村至平川村）、Y134屯泉公路（小屯至五泉）、Y136大古公路（新华大寨至古寨）、Y124板壕公路（板桥至壕洼）、Y129芦贾公路（芦湾至贾家墩）、Y125西壕公路（西柳至壕洼）、Y127沟湾至上庄、Y131曹昭路（曹庄村至昭武村至灵隐寺）等210公里农村公路提质改造，国道312线拓宽（临泽县城西出口道路改造工程）、临平路改建项目支线二（中环路延伸线）、X054鸭红公路（鸭暖小鸭至红沟友好）、屯泉路（临平路至沙柳路连接线）、临泽县倪家营镇临梨路至S18线公路等20公里农村公路联网路以及农村公路安全生命防护工程，进一步提高公路网的通达深度和服务水平，构建广覆盖的公路网，有效支撑冷链物流货运升级。</w:t>
      </w:r>
    </w:p>
    <w:p>
      <w:pPr>
        <w:pStyle w:val="6"/>
        <w:widowControl w:val="0"/>
        <w:spacing w:afterLines="0" w:line="58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（十二）强化疫情防控和冷链物流运营安全管理</w:t>
      </w:r>
    </w:p>
    <w:p>
      <w:pPr>
        <w:pStyle w:val="6"/>
        <w:widowControl w:val="0"/>
        <w:spacing w:afterLines="0" w:line="580" w:lineRule="exact"/>
        <w:ind w:firstLine="640"/>
        <w:rPr>
          <w:rFonts w:ascii="黑体" w:hAnsi="黑体" w:eastAsia="黑体" w:cs="黑体"/>
          <w:sz w:val="32"/>
          <w:szCs w:val="32"/>
        </w:rPr>
      </w:pPr>
      <w:r>
        <w:rPr>
          <w:rFonts w:hint="eastAsia" w:ascii="仿宋_GB2312" w:hAnsi="仿宋_GB2312" w:eastAsia="仿宋_GB2312" w:cs="仿宋_GB2312"/>
          <w:sz w:val="32"/>
          <w:szCs w:val="32"/>
        </w:rPr>
        <w:t>扎实推进新冠肺炎疫情防控工作，在做好冷链物流核酸采样检测的基础上，充分发挥消毒对新冠病毒的杀灭作用，有效防范新冠肺炎疫情通过冷链输入。冷链物资在倒箱过车、入库存储前，相关生产经营单位必须查验货物所附的消毒证明，如未消毒，则需委托有资质的消毒单位，在开箱卸货时对冷链物资集装箱内壁、货物外包装实施消毒，消毒单位出具该批货物已经消毒的证明。要加强冷链销售市场管理，每批货物上市前必须查验消毒证明，严防未经过消毒的冷链物资进入市场。健全完善冷链运输监管体系，规范道路冷链运输车辆及从业人员管理。推动部门协同联动，建立完善道路冷链运输追溯管理制度，实现冷链运输车辆、驾驶员、货物以及流向信息的采集，实现冷链物流源头可溯、过程可控、去向可查。建立完善冷链运输企业疫情防控规范和技术指南，突出装卸、运输等重点环节</w:t>
      </w:r>
      <w:r>
        <w:rPr>
          <w:rFonts w:hint="eastAsia" w:ascii="仿宋_GB2312" w:hAnsi="仿宋_GB2312" w:eastAsia="仿宋_GB2312" w:cs="仿宋_GB2312"/>
          <w:spacing w:val="-4"/>
          <w:sz w:val="32"/>
          <w:szCs w:val="32"/>
        </w:rPr>
        <w:t>防控，加强冷链食品包装的消毒，预防公路冷链食品物流从业人员受到新冠病毒感染，防止新冠病毒通过冷链物流渠道传播。</w:t>
      </w:r>
    </w:p>
    <w:p>
      <w:pPr>
        <w:pStyle w:val="6"/>
        <w:widowControl w:val="0"/>
        <w:spacing w:afterLines="0" w:line="400" w:lineRule="exact"/>
        <w:ind w:firstLine="0" w:firstLineChars="0"/>
        <w:jc w:val="center"/>
        <w:rPr>
          <w:rFonts w:ascii="黑体" w:hAnsi="黑体" w:eastAsia="黑体" w:cs="黑体"/>
          <w:sz w:val="32"/>
          <w:szCs w:val="32"/>
        </w:rPr>
      </w:pPr>
    </w:p>
    <w:p>
      <w:pPr>
        <w:pStyle w:val="6"/>
        <w:widowControl w:val="0"/>
        <w:spacing w:afterLines="0" w:line="400" w:lineRule="exact"/>
        <w:ind w:firstLine="0" w:firstLineChars="0"/>
        <w:jc w:val="center"/>
        <w:rPr>
          <w:rFonts w:ascii="黑体" w:hAnsi="黑体" w:eastAsia="黑体" w:cs="黑体"/>
          <w:sz w:val="32"/>
          <w:szCs w:val="32"/>
        </w:rPr>
      </w:pPr>
      <w:r>
        <w:rPr>
          <w:rFonts w:hint="eastAsia" w:ascii="黑体" w:hAnsi="黑体" w:eastAsia="黑体" w:cs="黑体"/>
          <w:sz w:val="32"/>
          <w:szCs w:val="32"/>
        </w:rPr>
        <w:t>第七章  枢纽型冷链物流建设重点工程</w:t>
      </w:r>
    </w:p>
    <w:p>
      <w:pPr>
        <w:pStyle w:val="6"/>
        <w:widowControl w:val="0"/>
        <w:spacing w:afterLines="0" w:line="400" w:lineRule="exact"/>
        <w:ind w:firstLine="0" w:firstLineChars="0"/>
        <w:jc w:val="center"/>
        <w:rPr>
          <w:rFonts w:ascii="仿宋_GB2312" w:hAnsi="仿宋_GB2312" w:eastAsia="仿宋_GB2312" w:cs="仿宋_GB2312"/>
          <w:sz w:val="32"/>
          <w:szCs w:val="32"/>
        </w:rPr>
      </w:pPr>
    </w:p>
    <w:p>
      <w:pPr>
        <w:pStyle w:val="6"/>
        <w:widowControl w:val="0"/>
        <w:spacing w:afterLines="0" w:line="61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（一）区域型冷链物流枢纽工程</w:t>
      </w:r>
    </w:p>
    <w:p>
      <w:pPr>
        <w:pStyle w:val="6"/>
        <w:widowControl w:val="0"/>
        <w:spacing w:afterLines="0" w:line="610" w:lineRule="exact"/>
        <w:ind w:firstLine="640"/>
        <w:rPr>
          <w:rFonts w:ascii="仿宋_GB2312" w:eastAsia="仿宋_GB2312"/>
          <w:spacing w:val="-4"/>
          <w:sz w:val="32"/>
          <w:szCs w:val="32"/>
        </w:rPr>
      </w:pPr>
      <w:r>
        <w:rPr>
          <w:rFonts w:hint="eastAsia" w:ascii="仿宋_GB2312" w:hAnsi="仿宋_GB2312" w:eastAsia="仿宋_GB2312" w:cs="仿宋_GB2312"/>
          <w:sz w:val="32"/>
          <w:szCs w:val="32"/>
        </w:rPr>
        <w:t>抢</w:t>
      </w:r>
      <w:r>
        <w:rPr>
          <w:rFonts w:hint="eastAsia" w:ascii="仿宋_GB2312" w:hAnsi="仿宋_GB2312" w:eastAsia="仿宋_GB2312" w:cs="仿宋_GB2312"/>
          <w:spacing w:val="-4"/>
          <w:sz w:val="32"/>
          <w:szCs w:val="32"/>
        </w:rPr>
        <w:t>抓</w:t>
      </w:r>
      <w:r>
        <w:rPr>
          <w:rFonts w:hint="eastAsia" w:ascii="仿宋_GB2312" w:hAnsi="仿宋_GB2312" w:eastAsia="仿宋_GB2312" w:cs="仿宋_GB2312"/>
          <w:spacing w:val="-4"/>
          <w:sz w:val="32"/>
          <w:szCs w:val="32"/>
          <w:lang w:eastAsia="zh-CN"/>
        </w:rPr>
        <w:t>“一带一路”倡议</w:t>
      </w:r>
      <w:r>
        <w:rPr>
          <w:rFonts w:hint="eastAsia" w:ascii="仿宋_GB2312" w:hAnsi="仿宋_GB2312" w:eastAsia="仿宋_GB2312" w:cs="仿宋_GB2312"/>
          <w:spacing w:val="-4"/>
          <w:sz w:val="32"/>
          <w:szCs w:val="32"/>
        </w:rPr>
        <w:t>机遇，依托临泽县地处河西走廊中部，古丝绸之路要塞的区位优势，</w:t>
      </w:r>
      <w:r>
        <w:rPr>
          <w:rFonts w:hint="eastAsia" w:ascii="仿宋_GB2312" w:eastAsia="仿宋_GB2312"/>
          <w:spacing w:val="-4"/>
          <w:sz w:val="32"/>
          <w:szCs w:val="32"/>
        </w:rPr>
        <w:t>突出通用航空+公路+铁路“多式联运”特色</w:t>
      </w:r>
      <w:r>
        <w:rPr>
          <w:rFonts w:hint="eastAsia" w:ascii="仿宋_GB2312" w:hAnsi="仿宋_GB2312" w:eastAsia="仿宋_GB2312" w:cs="仿宋_GB2312"/>
          <w:spacing w:val="-4"/>
          <w:sz w:val="32"/>
          <w:szCs w:val="32"/>
        </w:rPr>
        <w:t>，将通道物流产业作为完善交通运输服务体系、拓展运输功能、完善运输设施的重要抓手，全力推进</w:t>
      </w:r>
      <w:r>
        <w:rPr>
          <w:rFonts w:hint="eastAsia" w:ascii="仿宋_GB2312" w:eastAsia="仿宋_GB2312"/>
          <w:spacing w:val="-4"/>
          <w:sz w:val="32"/>
          <w:szCs w:val="32"/>
        </w:rPr>
        <w:t>集货物集散、仓储、中转、联运、配送等多功能为一体的现代化、复合型、综合性的张掖丹霞综合货运枢纽建设，努力形成集电子商务、货物储运、特色产品交易、应急救援为一体的全方位物流新商业服务网络。</w:t>
      </w:r>
    </w:p>
    <w:tbl>
      <w:tblPr>
        <w:tblStyle w:val="35"/>
        <w:tblW w:w="0" w:type="auto"/>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tcPr>
          <w:p>
            <w:pPr>
              <w:pStyle w:val="6"/>
              <w:widowControl w:val="0"/>
              <w:spacing w:afterLines="0" w:line="460" w:lineRule="exact"/>
              <w:ind w:firstLine="420"/>
              <w:jc w:val="center"/>
              <w:rPr>
                <w:rFonts w:ascii="仿宋_GB2312" w:hAnsi="仿宋_GB2312" w:eastAsia="仿宋_GB2312" w:cs="仿宋_GB2312"/>
                <w:sz w:val="21"/>
                <w:szCs w:val="21"/>
              </w:rPr>
            </w:pPr>
            <w:r>
              <w:rPr>
                <w:rFonts w:hint="eastAsia" w:ascii="方正小标宋简体" w:hAnsi="方正小标宋简体" w:eastAsia="方正小标宋简体" w:cs="方正小标宋简体"/>
                <w:sz w:val="21"/>
                <w:szCs w:val="21"/>
              </w:rPr>
              <w:t>专栏7-1区域性冷链物流枢纽建设项目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tcPr>
          <w:p>
            <w:pPr>
              <w:pStyle w:val="6"/>
              <w:widowControl w:val="0"/>
              <w:spacing w:afterLines="0" w:line="360" w:lineRule="exact"/>
              <w:ind w:firstLine="420"/>
              <w:rPr>
                <w:rFonts w:ascii="黑体" w:hAnsi="黑体" w:eastAsia="黑体" w:cs="黑体"/>
                <w:sz w:val="21"/>
                <w:szCs w:val="21"/>
              </w:rPr>
            </w:pPr>
            <w:r>
              <w:rPr>
                <w:rFonts w:hint="eastAsia" w:ascii="黑体" w:hAnsi="黑体" w:eastAsia="黑体" w:cs="黑体"/>
                <w:sz w:val="21"/>
                <w:szCs w:val="21"/>
              </w:rPr>
              <w:t>1.张掖丹霞综合货运枢纽（公路港物流园）建设项目</w:t>
            </w:r>
          </w:p>
          <w:p>
            <w:pPr>
              <w:pStyle w:val="6"/>
              <w:widowControl w:val="0"/>
              <w:spacing w:afterLines="0" w:line="360" w:lineRule="exact"/>
              <w:ind w:firstLine="420"/>
              <w:rPr>
                <w:rFonts w:ascii="仿宋_GB2312" w:hAnsi="仿宋_GB2312" w:eastAsia="仿宋_GB2312" w:cs="仿宋_GB2312"/>
                <w:sz w:val="21"/>
                <w:szCs w:val="21"/>
              </w:rPr>
            </w:pPr>
            <w:r>
              <w:rPr>
                <w:rFonts w:hint="eastAsia" w:ascii="仿宋_GB2312" w:hAnsi="仿宋_GB2312" w:eastAsia="仿宋_GB2312" w:cs="仿宋_GB2312"/>
                <w:sz w:val="21"/>
                <w:szCs w:val="21"/>
              </w:rPr>
              <w:t>总建筑面积总计18.5万平方米，其中：冷链物流区1.36万平方米，保鲜库7480平方米，冷冻库7480平方米，智能服务中心11664平方米，快递物流中心7094平方米，仓储用房5759平方米，汽修、汽配1.2万平方米以及配套建设其他服务设施等。</w:t>
            </w:r>
          </w:p>
          <w:p>
            <w:pPr>
              <w:pStyle w:val="6"/>
              <w:widowControl w:val="0"/>
              <w:spacing w:afterLines="0" w:line="360" w:lineRule="exact"/>
              <w:ind w:firstLine="420"/>
              <w:rPr>
                <w:rFonts w:ascii="黑体" w:hAnsi="黑体" w:eastAsia="黑体" w:cs="黑体"/>
                <w:sz w:val="21"/>
                <w:szCs w:val="21"/>
              </w:rPr>
            </w:pPr>
            <w:r>
              <w:rPr>
                <w:rFonts w:hint="eastAsia" w:ascii="黑体" w:hAnsi="黑体" w:eastAsia="黑体" w:cs="黑体"/>
                <w:sz w:val="21"/>
                <w:szCs w:val="21"/>
              </w:rPr>
              <w:t>2.临泽县冷链物流基地建设项目</w:t>
            </w:r>
          </w:p>
          <w:p>
            <w:pPr>
              <w:pStyle w:val="6"/>
              <w:widowControl w:val="0"/>
              <w:spacing w:afterLines="0" w:line="360" w:lineRule="exact"/>
              <w:ind w:firstLine="420"/>
              <w:rPr>
                <w:rFonts w:ascii="仿宋_GB2312" w:hAnsi="仿宋_GB2312" w:eastAsia="仿宋_GB2312" w:cs="仿宋_GB2312"/>
                <w:sz w:val="21"/>
                <w:szCs w:val="21"/>
              </w:rPr>
            </w:pPr>
            <w:r>
              <w:rPr>
                <w:rFonts w:hint="eastAsia" w:ascii="仿宋_GB2312" w:hAnsi="仿宋_GB2312" w:eastAsia="仿宋_GB2312" w:cs="仿宋_GB2312"/>
                <w:sz w:val="21"/>
                <w:szCs w:val="21"/>
              </w:rPr>
              <w:t>建设冷链物流基地2处50354吨，其中：临泽县工业开发区中心粮库建筑面积20466.00 ㎡，配套购置相关制冷设备，总冷藏库量达40179吨；临泽县现代丝路寒旱农业示范园总建筑面积12064.69 ㎡，配套购置相关制冷设备，总冷藏库量达10175吨。</w:t>
            </w:r>
          </w:p>
          <w:p>
            <w:pPr>
              <w:pStyle w:val="6"/>
              <w:widowControl w:val="0"/>
              <w:spacing w:afterLines="0" w:line="360" w:lineRule="exact"/>
              <w:ind w:firstLine="420"/>
              <w:rPr>
                <w:rFonts w:ascii="黑体" w:hAnsi="黑体" w:eastAsia="黑体" w:cs="黑体"/>
                <w:sz w:val="21"/>
                <w:szCs w:val="21"/>
              </w:rPr>
            </w:pPr>
            <w:r>
              <w:rPr>
                <w:rFonts w:hint="eastAsia" w:ascii="黑体" w:hAnsi="黑体" w:eastAsia="黑体" w:cs="黑体"/>
                <w:sz w:val="21"/>
                <w:szCs w:val="21"/>
              </w:rPr>
              <w:t>3.临泽县戈壁农业全产业链服务体系建设项目</w:t>
            </w:r>
          </w:p>
          <w:p>
            <w:pPr>
              <w:pStyle w:val="6"/>
              <w:widowControl w:val="0"/>
              <w:spacing w:afterLines="0" w:line="360" w:lineRule="exact"/>
              <w:ind w:firstLine="420"/>
              <w:rPr>
                <w:rFonts w:ascii="仿宋_GB2312" w:hAnsi="仿宋_GB2312" w:eastAsia="仿宋_GB2312" w:cs="仿宋_GB2312"/>
                <w:sz w:val="21"/>
                <w:szCs w:val="21"/>
              </w:rPr>
            </w:pPr>
            <w:r>
              <w:rPr>
                <w:rFonts w:hint="eastAsia" w:ascii="仿宋_GB2312" w:hAnsi="仿宋_GB2312" w:eastAsia="仿宋_GB2312" w:cs="仿宋_GB2312"/>
                <w:sz w:val="21"/>
                <w:szCs w:val="21"/>
              </w:rPr>
              <w:t>建设智能化日光温室30座、智能化连体钢架拱棚20座、智能化小拱棚100座、高原夏菜深加工生产线、栽培基质生产线和现代戈壁农业物联网程控中心等。</w:t>
            </w:r>
          </w:p>
          <w:p>
            <w:pPr>
              <w:pStyle w:val="6"/>
              <w:widowControl w:val="0"/>
              <w:spacing w:afterLines="0" w:line="360" w:lineRule="exact"/>
              <w:ind w:firstLine="420"/>
              <w:rPr>
                <w:rFonts w:ascii="黑体" w:hAnsi="黑体" w:eastAsia="黑体" w:cs="黑体"/>
                <w:sz w:val="21"/>
                <w:szCs w:val="21"/>
              </w:rPr>
            </w:pPr>
            <w:r>
              <w:rPr>
                <w:rFonts w:hint="eastAsia" w:ascii="黑体" w:hAnsi="黑体" w:eastAsia="黑体" w:cs="黑体"/>
                <w:sz w:val="21"/>
                <w:szCs w:val="21"/>
              </w:rPr>
              <w:t>4.张掖天域绿谷冷链物流发展项目</w:t>
            </w:r>
          </w:p>
          <w:p>
            <w:pPr>
              <w:pStyle w:val="6"/>
              <w:widowControl w:val="0"/>
              <w:spacing w:afterLines="0" w:line="360" w:lineRule="exact"/>
              <w:ind w:firstLine="420"/>
              <w:rPr>
                <w:rFonts w:ascii="仿宋_GB2312" w:hAnsi="仿宋_GB2312" w:eastAsia="仿宋_GB2312" w:cs="仿宋_GB2312"/>
                <w:sz w:val="21"/>
                <w:szCs w:val="21"/>
              </w:rPr>
            </w:pPr>
            <w:r>
              <w:rPr>
                <w:rFonts w:ascii="仿宋_GB2312" w:hAnsi="仿宋_GB2312" w:eastAsia="仿宋_GB2312" w:cs="仿宋_GB2312"/>
                <w:sz w:val="21"/>
                <w:szCs w:val="21"/>
              </w:rPr>
              <w:t>建设10万吨牛羊鲜骨肉、果蔬原料库及解冻保鲜库。</w:t>
            </w:r>
          </w:p>
          <w:p>
            <w:pPr>
              <w:pStyle w:val="6"/>
              <w:widowControl w:val="0"/>
              <w:spacing w:afterLines="0" w:line="360" w:lineRule="exact"/>
              <w:ind w:firstLine="420"/>
              <w:rPr>
                <w:rFonts w:ascii="黑体" w:hAnsi="黑体" w:eastAsia="黑体" w:cs="黑体"/>
                <w:sz w:val="21"/>
                <w:szCs w:val="21"/>
              </w:rPr>
            </w:pPr>
            <w:r>
              <w:rPr>
                <w:rFonts w:hint="eastAsia" w:ascii="黑体" w:hAnsi="黑体" w:eastAsia="黑体" w:cs="黑体"/>
                <w:sz w:val="21"/>
                <w:szCs w:val="21"/>
              </w:rPr>
              <w:t>5.“丹霞宴”中央厨房建设项目</w:t>
            </w:r>
          </w:p>
          <w:p>
            <w:pPr>
              <w:pStyle w:val="6"/>
              <w:widowControl w:val="0"/>
              <w:spacing w:afterLines="0" w:line="360" w:lineRule="exact"/>
              <w:ind w:firstLine="420"/>
              <w:rPr>
                <w:rFonts w:ascii="仿宋_GB2312" w:hAnsi="仿宋_GB2312" w:eastAsia="仿宋_GB2312" w:cs="仿宋_GB2312"/>
                <w:sz w:val="21"/>
                <w:szCs w:val="21"/>
              </w:rPr>
            </w:pPr>
            <w:r>
              <w:rPr>
                <w:rFonts w:ascii="仿宋_GB2312" w:hAnsi="仿宋_GB2312" w:eastAsia="仿宋_GB2312" w:cs="仿宋_GB2312"/>
                <w:sz w:val="21"/>
                <w:szCs w:val="21"/>
              </w:rPr>
              <w:t>建筑面积4498.96㎡，占地面积1331.36㎡的中央厨房，主体地下一层，地上三层。新建中央厨房大楼，建设配送系统一套，营销策划系统一套。</w:t>
            </w:r>
          </w:p>
          <w:p>
            <w:pPr>
              <w:pStyle w:val="6"/>
              <w:widowControl w:val="0"/>
              <w:spacing w:afterLines="0" w:line="360" w:lineRule="exact"/>
              <w:ind w:firstLine="420"/>
              <w:rPr>
                <w:rFonts w:ascii="黑体" w:hAnsi="黑体" w:eastAsia="黑体" w:cs="黑体"/>
                <w:sz w:val="21"/>
                <w:szCs w:val="21"/>
              </w:rPr>
            </w:pPr>
            <w:r>
              <w:rPr>
                <w:rFonts w:hint="eastAsia" w:ascii="黑体" w:hAnsi="黑体" w:eastAsia="黑体" w:cs="黑体"/>
                <w:sz w:val="21"/>
                <w:szCs w:val="21"/>
              </w:rPr>
              <w:t>6.</w:t>
            </w:r>
            <w:r>
              <w:rPr>
                <w:rFonts w:ascii="黑体" w:hAnsi="黑体" w:eastAsia="黑体" w:cs="黑体"/>
                <w:sz w:val="21"/>
                <w:szCs w:val="21"/>
              </w:rPr>
              <w:t>临泽县农产品产地冷藏保鲜设施建设项目</w:t>
            </w:r>
          </w:p>
          <w:p>
            <w:pPr>
              <w:pStyle w:val="6"/>
              <w:widowControl w:val="0"/>
              <w:spacing w:afterLines="0" w:line="360" w:lineRule="exact"/>
              <w:ind w:firstLine="420"/>
              <w:rPr>
                <w:rFonts w:ascii="仿宋_GB2312" w:hAnsi="仿宋_GB2312" w:eastAsia="仿宋_GB2312" w:cs="仿宋_GB2312"/>
                <w:sz w:val="21"/>
                <w:szCs w:val="21"/>
              </w:rPr>
            </w:pPr>
            <w:r>
              <w:rPr>
                <w:rFonts w:ascii="仿宋_GB2312" w:hAnsi="仿宋_GB2312" w:eastAsia="仿宋_GB2312" w:cs="仿宋_GB2312"/>
                <w:sz w:val="21"/>
                <w:szCs w:val="21"/>
              </w:rPr>
              <w:t>积极争取全省农产品产地冷藏保鲜设施建设项目，重点支持县级以上示范性专业合作社、家庭农场以及运行较好的村集体经济股份合作社实施冷链设施建设，完善配套设施。计划新建冷藏保鲜库60座。力争“十四五”末，全县冷链储藏能力达到25万吨。</w:t>
            </w:r>
          </w:p>
          <w:p>
            <w:pPr>
              <w:pStyle w:val="6"/>
              <w:widowControl w:val="0"/>
              <w:spacing w:afterLines="0" w:line="360" w:lineRule="exact"/>
              <w:ind w:firstLine="420"/>
              <w:rPr>
                <w:rFonts w:ascii="黑体" w:hAnsi="黑体" w:eastAsia="黑体" w:cs="黑体"/>
                <w:sz w:val="21"/>
                <w:szCs w:val="21"/>
              </w:rPr>
            </w:pPr>
            <w:r>
              <w:rPr>
                <w:rFonts w:hint="eastAsia" w:ascii="黑体" w:hAnsi="黑体" w:eastAsia="黑体" w:cs="黑体"/>
                <w:sz w:val="21"/>
                <w:szCs w:val="21"/>
              </w:rPr>
              <w:t>7.临泽县5G智能配餐配送中心建设项目</w:t>
            </w:r>
          </w:p>
          <w:p>
            <w:pPr>
              <w:pStyle w:val="6"/>
              <w:widowControl w:val="0"/>
              <w:spacing w:afterLines="0" w:line="360" w:lineRule="exact"/>
              <w:ind w:firstLine="420"/>
              <w:rPr>
                <w:rFonts w:ascii="仿宋_GB2312" w:hAnsi="仿宋_GB2312" w:eastAsia="仿宋_GB2312" w:cs="仿宋_GB2312"/>
                <w:sz w:val="21"/>
                <w:szCs w:val="21"/>
              </w:rPr>
            </w:pPr>
            <w:r>
              <w:rPr>
                <w:rFonts w:ascii="仿宋_GB2312" w:hAnsi="仿宋_GB2312" w:eastAsia="仿宋_GB2312" w:cs="仿宋_GB2312"/>
                <w:sz w:val="21"/>
                <w:szCs w:val="21"/>
              </w:rPr>
              <w:t>计划建设占地6000平米的现代化智能配餐配送中心，其中：生产厂房3000平方米，冷库1500平方米，原材料库1000平方米，综合楼500平方米；项目完工达产后可年产销售额15000万元。</w:t>
            </w:r>
          </w:p>
          <w:p>
            <w:pPr>
              <w:pStyle w:val="6"/>
              <w:widowControl w:val="0"/>
              <w:spacing w:afterLines="0" w:line="360" w:lineRule="exact"/>
              <w:ind w:firstLine="420"/>
              <w:rPr>
                <w:rFonts w:ascii="黑体" w:hAnsi="黑体" w:eastAsia="黑体" w:cs="黑体"/>
                <w:sz w:val="21"/>
                <w:szCs w:val="21"/>
              </w:rPr>
            </w:pPr>
            <w:r>
              <w:rPr>
                <w:rFonts w:hint="eastAsia" w:ascii="黑体" w:hAnsi="黑体" w:eastAsia="黑体" w:cs="黑体"/>
                <w:sz w:val="21"/>
                <w:szCs w:val="21"/>
              </w:rPr>
              <w:t>8.</w:t>
            </w:r>
            <w:r>
              <w:rPr>
                <w:rFonts w:ascii="黑体" w:hAnsi="黑体" w:eastAsia="黑体" w:cs="黑体"/>
                <w:sz w:val="21"/>
                <w:szCs w:val="21"/>
              </w:rPr>
              <w:t>临泽县三级物流体系建设与县域商业建设行动融合发展项目</w:t>
            </w:r>
          </w:p>
          <w:p>
            <w:pPr>
              <w:pStyle w:val="6"/>
              <w:widowControl w:val="0"/>
              <w:spacing w:afterLines="0" w:line="360" w:lineRule="exact"/>
              <w:ind w:firstLine="420"/>
              <w:rPr>
                <w:rFonts w:ascii="仿宋_GB2312" w:hAnsi="仿宋_GB2312" w:eastAsia="仿宋_GB2312" w:cs="仿宋_GB2312"/>
                <w:sz w:val="21"/>
                <w:szCs w:val="21"/>
              </w:rPr>
            </w:pPr>
            <w:r>
              <w:rPr>
                <w:rFonts w:ascii="仿宋_GB2312" w:hAnsi="仿宋_GB2312" w:eastAsia="仿宋_GB2312" w:cs="仿宋_GB2312"/>
                <w:sz w:val="21"/>
                <w:szCs w:val="21"/>
              </w:rPr>
              <w:t>建设县级共配中心，包括1000平米的仓储、配送、处理场地、冷链设施；建立标准化站点16个，3、实现邮件投递到村。依托邮政县域线下体验馆+邮乐网平台，承接市民下乡和村民进城消费。</w:t>
            </w:r>
          </w:p>
        </w:tc>
      </w:tr>
    </w:tbl>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（二）物流园区冷链设施提升改造工程</w:t>
      </w:r>
    </w:p>
    <w:p>
      <w:pPr>
        <w:pStyle w:val="6"/>
        <w:widowControl w:val="0"/>
        <w:spacing w:afterLines="0" w:line="58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sz w:val="32"/>
          <w:szCs w:val="32"/>
        </w:rPr>
        <w:t>为加快临泽枢纽型冷链物流体系建设，扩大枢纽辐射区域、发挥集聚效应、提高服务功能、提升运行效率，真正体现物流枢纽在全国冷链物流网络中的关键节点、重要平台和骨干作用，重点补齐冷链短板，真正发挥其在冷链物流体系中的对上支撑物流枢纽运营发展，对下满足区域产业、经济活动物流需求的作用，逐步形成辐射带动能力强的区域物资集聚和物流组织中心，未来向省级区域综合物流枢纽培育。重点补齐园区物流信息化平台，配建理货、分拣等冷链配送设施，保障农产品全程冷链保存和运输，减少农</w:t>
      </w:r>
      <w:bookmarkStart w:id="32" w:name="_bookmark41"/>
      <w:bookmarkEnd w:id="32"/>
      <w:r>
        <w:rPr>
          <w:rFonts w:hint="eastAsia" w:ascii="仿宋_GB2312" w:hAnsi="仿宋_GB2312" w:eastAsia="仿宋_GB2312" w:cs="仿宋_GB2312"/>
          <w:sz w:val="32"/>
          <w:szCs w:val="32"/>
        </w:rPr>
        <w:t>产品产后的损失，带动农产品跨季节均衡销售。</w:t>
      </w: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（三）区域冷链物流集散工程</w:t>
      </w:r>
    </w:p>
    <w:p>
      <w:pPr>
        <w:spacing w:line="58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1.区域冷链物流工程。</w:t>
      </w:r>
      <w:r>
        <w:rPr>
          <w:rFonts w:hint="eastAsia" w:ascii="仿宋_GB2312" w:hAnsi="仿宋_GB2312" w:eastAsia="仿宋_GB2312" w:cs="仿宋_GB2312"/>
          <w:sz w:val="32"/>
          <w:szCs w:val="32"/>
        </w:rPr>
        <w:t>以张掖丹霞综合货运枢纽（公路港物流园）为核心在县域内规划建设一批区域性、专业特色突出的冷链物流集散工程和配套中心，主要满足县域生活生产需要，同时支撑冷链物流枢纽和重点物流园区运营发展。</w:t>
      </w:r>
    </w:p>
    <w:p>
      <w:pPr>
        <w:spacing w:line="240" w:lineRule="exact"/>
        <w:ind w:firstLine="640" w:firstLineChars="200"/>
        <w:rPr>
          <w:rFonts w:ascii="仿宋_GB2312" w:hAnsi="仿宋_GB2312" w:eastAsia="仿宋_GB2312" w:cs="仿宋_GB2312"/>
          <w:sz w:val="32"/>
          <w:szCs w:val="32"/>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3" w:type="dxa"/>
            <w:vAlign w:val="center"/>
          </w:tcPr>
          <w:p>
            <w:pPr>
              <w:pStyle w:val="6"/>
              <w:widowControl w:val="0"/>
              <w:spacing w:afterLines="0" w:line="500" w:lineRule="exact"/>
              <w:ind w:firstLine="0" w:firstLineChars="0"/>
              <w:jc w:val="center"/>
              <w:rPr>
                <w:rFonts w:ascii="仿宋_GB2312" w:hAnsi="仿宋_GB2312" w:eastAsia="仿宋_GB2312" w:cs="仿宋_GB2312"/>
                <w:sz w:val="21"/>
                <w:szCs w:val="21"/>
              </w:rPr>
            </w:pPr>
            <w:r>
              <w:rPr>
                <w:rFonts w:hint="eastAsia" w:ascii="方正小标宋简体" w:hAnsi="方正小标宋简体" w:eastAsia="方正小标宋简体" w:cs="方正小标宋简体"/>
                <w:sz w:val="21"/>
                <w:szCs w:val="21"/>
              </w:rPr>
              <w:t>专栏7-2物流园区冷链设施提升工程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9003" w:type="dxa"/>
          </w:tcPr>
          <w:p>
            <w:pPr>
              <w:pStyle w:val="6"/>
              <w:widowControl w:val="0"/>
              <w:spacing w:afterLines="0" w:line="400" w:lineRule="exact"/>
              <w:ind w:firstLine="420"/>
              <w:rPr>
                <w:rFonts w:ascii="黑体" w:hAnsi="黑体" w:eastAsia="黑体" w:cs="黑体"/>
                <w:sz w:val="21"/>
                <w:szCs w:val="21"/>
              </w:rPr>
            </w:pPr>
            <w:r>
              <w:rPr>
                <w:rFonts w:hint="eastAsia" w:ascii="黑体" w:hAnsi="黑体" w:eastAsia="黑体" w:cs="黑体"/>
                <w:sz w:val="21"/>
                <w:szCs w:val="21"/>
              </w:rPr>
              <w:t>1.张掖丹霞综合货运枢纽（公路港物流园）建设项目</w:t>
            </w:r>
          </w:p>
          <w:p>
            <w:pPr>
              <w:pStyle w:val="6"/>
              <w:widowControl w:val="0"/>
              <w:spacing w:afterLines="0" w:line="400" w:lineRule="exact"/>
              <w:ind w:firstLine="420"/>
              <w:rPr>
                <w:rFonts w:ascii="仿宋_GB2312" w:hAnsi="仿宋_GB2312" w:eastAsia="仿宋_GB2312" w:cs="仿宋_GB2312"/>
                <w:sz w:val="21"/>
                <w:szCs w:val="21"/>
              </w:rPr>
            </w:pPr>
            <w:r>
              <w:rPr>
                <w:rFonts w:hint="eastAsia" w:ascii="仿宋_GB2312" w:hAnsi="仿宋_GB2312" w:eastAsia="仿宋_GB2312" w:cs="仿宋_GB2312"/>
                <w:sz w:val="21"/>
                <w:szCs w:val="21"/>
              </w:rPr>
              <w:t>总建筑面积总计18.5万平方米，其中：冷链物流区1.36万平方米，保鲜库7480平方米，冷冻库7480平方米，智能服务中心11664平方米，快递物流中心7094平方米，仓储用房5759平方米，汽修、汽配1.2万平方米以及配套建设其他服务设施等。</w:t>
            </w:r>
          </w:p>
        </w:tc>
      </w:tr>
    </w:tbl>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2.农批市场升级改造工程。</w:t>
      </w:r>
      <w:r>
        <w:rPr>
          <w:rFonts w:hint="eastAsia" w:ascii="仿宋_GB2312" w:hAnsi="仿宋_GB2312" w:eastAsia="仿宋_GB2312" w:cs="仿宋_GB2312"/>
          <w:sz w:val="32"/>
          <w:szCs w:val="32"/>
        </w:rPr>
        <w:t>创新冷链物流转型发展，实施“冷链物流+”模式的要求，积极推动农批及集贸市场扩建、升级冷链物流基础设施，集中连片发展，积极承接中心城区的相关业态市场的外迁和疏解任务。鼓励与果蔬菜生产基地对接，推动跨区域反季节果蔬冷链物流体系建设，建设具备集中采购、低温加工、跨区域配送能力的果蔬低温配送中心和中转保鲜库，探索发展生鲜电子商务，适时推进生鲜宅配业务。</w:t>
      </w:r>
    </w:p>
    <w:p>
      <w:pPr>
        <w:spacing w:line="580" w:lineRule="exact"/>
        <w:ind w:firstLine="638"/>
      </w:pPr>
      <w:r>
        <w:rPr>
          <w:rFonts w:hint="eastAsia" w:ascii="仿宋_GB2312" w:hAnsi="仿宋_GB2312" w:eastAsia="仿宋_GB2312" w:cs="仿宋_GB2312"/>
          <w:b/>
          <w:bCs/>
          <w:sz w:val="32"/>
          <w:szCs w:val="32"/>
        </w:rPr>
        <w:t>3.电商物流园延伸冷链业务工程。</w:t>
      </w:r>
      <w:r>
        <w:rPr>
          <w:rFonts w:hint="eastAsia" w:ascii="仿宋_GB2312" w:hAnsi="仿宋_GB2312" w:eastAsia="仿宋_GB2312" w:cs="仿宋_GB2312"/>
          <w:sz w:val="32"/>
          <w:szCs w:val="32"/>
        </w:rPr>
        <w:t>鼓励建设冷链仓配中心，进一步完善“电子商务+物流+金融服务”模式，加强跨境电商、金融服务、冷链仓储、冷仓速运等功能建设，构建仓配一体化冷链物流体系。鼓励邮政速递公司进一步完善“物流电商+蔬菜生鲜”模式，探索冷链物流技术，带动产业业态创新；引导顺丰、邮政冷运等冷链物流企业加大冷链基础设施投入，扩展生鲜水果蔬菜品类，提升从“田间地头到餐桌”的冷链物流服务质量，不断扩大县域高原夏菜辐射区。</w:t>
      </w:r>
    </w:p>
    <w:tbl>
      <w:tblPr>
        <w:tblStyle w:val="34"/>
        <w:tblW w:w="9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007" w:type="dxa"/>
            <w:tcBorders>
              <w:top w:val="single" w:color="000000" w:sz="2" w:space="0"/>
              <w:left w:val="single" w:color="000000" w:sz="2" w:space="0"/>
              <w:bottom w:val="single" w:color="000000" w:sz="2" w:space="0"/>
              <w:right w:val="single" w:color="000000" w:sz="2" w:space="0"/>
              <w:tl2br w:val="nil"/>
              <w:tr2bl w:val="nil"/>
            </w:tcBorders>
          </w:tcPr>
          <w:p>
            <w:pPr>
              <w:spacing w:line="500" w:lineRule="exact"/>
              <w:jc w:val="center"/>
              <w:rPr>
                <w:rFonts w:ascii="仿宋" w:hAnsi="仿宋" w:eastAsia="仿宋" w:cs="仿宋"/>
                <w:szCs w:val="21"/>
              </w:rPr>
            </w:pPr>
            <w:r>
              <w:rPr>
                <w:rFonts w:hint="eastAsia" w:ascii="方正小标宋简体" w:hAnsi="方正小标宋简体" w:eastAsia="方正小标宋简体" w:cs="方正小标宋简体"/>
                <w:szCs w:val="21"/>
              </w:rPr>
              <w:t>专栏 7-3  电商物流园延伸冷链业务工程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007" w:type="dxa"/>
            <w:tcBorders>
              <w:top w:val="single" w:color="000000" w:sz="2" w:space="0"/>
              <w:left w:val="single" w:color="000000" w:sz="2" w:space="0"/>
              <w:bottom w:val="single" w:color="000000" w:sz="2" w:space="0"/>
              <w:right w:val="single" w:color="000000" w:sz="2" w:space="0"/>
              <w:tl2br w:val="nil"/>
              <w:tr2bl w:val="nil"/>
            </w:tcBorders>
          </w:tcPr>
          <w:p>
            <w:pPr>
              <w:spacing w:line="500" w:lineRule="exact"/>
              <w:ind w:firstLine="420" w:firstLineChars="200"/>
              <w:rPr>
                <w:rFonts w:ascii="仿宋" w:hAnsi="仿宋" w:eastAsia="仿宋" w:cs="仿宋"/>
                <w:szCs w:val="21"/>
              </w:rPr>
            </w:pPr>
            <w:r>
              <w:rPr>
                <w:rFonts w:hint="eastAsia" w:ascii="仿宋" w:hAnsi="仿宋" w:eastAsia="仿宋" w:cs="仿宋"/>
                <w:position w:val="1"/>
                <w:szCs w:val="21"/>
              </w:rPr>
              <w:t>1.临泽县百惠农产品物流园建设戈壁农业物联网程控示范中心。</w:t>
            </w:r>
          </w:p>
        </w:tc>
      </w:tr>
    </w:tbl>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（四）城区共同配送工程</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推行绿色运输，提升交通运输绿色化水平，优化运输结构和资源配置。鼓励运输企业进一步完善运输路径规划，优化配送路线。发展标准化周转箱、托盘、笼车等运载单元等新型物流组织形式，推动冷链运输全程“不倒托”“不拆箱”，减少运输环节损耗。</w:t>
      </w:r>
    </w:p>
    <w:tbl>
      <w:tblPr>
        <w:tblStyle w:val="35"/>
        <w:tblW w:w="0" w:type="auto"/>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10" w:type="dxa"/>
            <w:vAlign w:val="bottom"/>
          </w:tcPr>
          <w:p>
            <w:pPr>
              <w:pStyle w:val="6"/>
              <w:widowControl w:val="0"/>
              <w:spacing w:afterLines="0" w:line="500" w:lineRule="exact"/>
              <w:ind w:firstLine="0" w:firstLineChars="0"/>
              <w:jc w:val="center"/>
              <w:rPr>
                <w:rFonts w:ascii="仿宋_GB2312" w:hAnsi="仿宋_GB2312" w:eastAsia="仿宋_GB2312" w:cs="仿宋_GB2312"/>
                <w:sz w:val="21"/>
                <w:szCs w:val="21"/>
              </w:rPr>
            </w:pPr>
            <w:r>
              <w:rPr>
                <w:rFonts w:hint="eastAsia" w:ascii="方正小标宋简体" w:hAnsi="方正小标宋简体" w:eastAsia="方正小标宋简体" w:cs="方正小标宋简体"/>
                <w:sz w:val="21"/>
                <w:szCs w:val="21"/>
              </w:rPr>
              <w:t>专栏7-4城区共同配送工程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0" w:type="dxa"/>
          </w:tcPr>
          <w:p>
            <w:pPr>
              <w:pStyle w:val="6"/>
              <w:widowControl w:val="0"/>
              <w:spacing w:afterLines="0" w:line="420" w:lineRule="exact"/>
              <w:ind w:firstLine="420"/>
              <w:rPr>
                <w:rFonts w:ascii="仿宋_GB2312" w:hAnsi="仿宋_GB2312" w:eastAsia="仿宋_GB2312" w:cs="仿宋_GB2312"/>
                <w:sz w:val="21"/>
                <w:szCs w:val="21"/>
              </w:rPr>
            </w:pPr>
            <w:r>
              <w:rPr>
                <w:rFonts w:hint="eastAsia" w:ascii="黑体" w:hAnsi="黑体" w:eastAsia="黑体" w:cs="黑体"/>
                <w:sz w:val="21"/>
                <w:szCs w:val="21"/>
              </w:rPr>
              <w:t>1.规划建设城市冷链共配中心。</w:t>
            </w:r>
            <w:r>
              <w:rPr>
                <w:rFonts w:ascii="仿宋_GB2312" w:hAnsi="仿宋_GB2312" w:eastAsia="仿宋_GB2312" w:cs="仿宋_GB2312"/>
                <w:sz w:val="21"/>
                <w:szCs w:val="21"/>
              </w:rPr>
              <w:t>以</w:t>
            </w:r>
            <w:r>
              <w:rPr>
                <w:rFonts w:hint="eastAsia" w:ascii="仿宋_GB2312" w:hAnsi="仿宋_GB2312" w:eastAsia="仿宋_GB2312" w:cs="仿宋_GB2312"/>
                <w:sz w:val="21"/>
                <w:szCs w:val="21"/>
              </w:rPr>
              <w:t>张掖丹霞综合货运枢纽（公路港物流园）</w:t>
            </w:r>
            <w:r>
              <w:rPr>
                <w:rFonts w:ascii="仿宋_GB2312" w:hAnsi="仿宋_GB2312" w:eastAsia="仿宋_GB2312" w:cs="仿宋_GB2312"/>
                <w:sz w:val="21"/>
                <w:szCs w:val="21"/>
              </w:rPr>
              <w:t>及</w:t>
            </w:r>
            <w:r>
              <w:rPr>
                <w:rFonts w:hint="eastAsia" w:ascii="仿宋_GB2312" w:hAnsi="仿宋_GB2312" w:eastAsia="仿宋_GB2312" w:cs="仿宋_GB2312"/>
                <w:sz w:val="21"/>
                <w:szCs w:val="21"/>
              </w:rPr>
              <w:t>“丹霞宴”</w:t>
            </w:r>
            <w:r>
              <w:rPr>
                <w:rFonts w:ascii="仿宋_GB2312" w:hAnsi="仿宋_GB2312" w:eastAsia="仿宋_GB2312" w:cs="仿宋_GB2312"/>
                <w:sz w:val="21"/>
                <w:szCs w:val="21"/>
              </w:rPr>
              <w:t>中央厨房建设</w:t>
            </w:r>
            <w:r>
              <w:rPr>
                <w:rFonts w:hint="eastAsia" w:ascii="仿宋_GB2312" w:hAnsi="仿宋_GB2312" w:eastAsia="仿宋_GB2312" w:cs="仿宋_GB2312"/>
                <w:sz w:val="21"/>
                <w:szCs w:val="21"/>
              </w:rPr>
              <w:t>依托</w:t>
            </w:r>
            <w:r>
              <w:rPr>
                <w:rFonts w:ascii="仿宋_GB2312" w:hAnsi="仿宋_GB2312" w:eastAsia="仿宋_GB2312" w:cs="仿宋_GB2312"/>
                <w:sz w:val="21"/>
                <w:szCs w:val="21"/>
              </w:rPr>
              <w:t>，推进集仓储、冷藏运输、低温加工、检测、城市配送等功能于一体的民生保障型冷链物流园区建设，建设标准化仓储设施，集中完成肉类分割、果蔬分拣以及包装、配载等处理流程，推行托盘循环共用模式</w:t>
            </w:r>
            <w:r>
              <w:rPr>
                <w:rFonts w:hint="eastAsia" w:ascii="仿宋_GB2312" w:hAnsi="仿宋_GB2312" w:eastAsia="仿宋_GB2312" w:cs="仿宋_GB2312"/>
                <w:sz w:val="21"/>
                <w:szCs w:val="21"/>
              </w:rPr>
              <w:t>，</w:t>
            </w:r>
            <w:r>
              <w:rPr>
                <w:rFonts w:ascii="仿宋_GB2312" w:hAnsi="仿宋_GB2312" w:eastAsia="仿宋_GB2312" w:cs="仿宋_GB2312"/>
                <w:sz w:val="21"/>
                <w:szCs w:val="21"/>
              </w:rPr>
              <w:t>发展多温区冷藏车配送，整合生鲜农产品食品供求、冷藏车辆等线上线下信息，实现多个客户的共同配送，切实保障城乡居民食品安全。</w:t>
            </w:r>
          </w:p>
          <w:p>
            <w:pPr>
              <w:pStyle w:val="6"/>
              <w:widowControl w:val="0"/>
              <w:spacing w:afterLines="0" w:line="420" w:lineRule="exact"/>
              <w:ind w:firstLine="420"/>
              <w:rPr>
                <w:rFonts w:ascii="仿宋_GB2312" w:hAnsi="仿宋_GB2312" w:eastAsia="仿宋_GB2312" w:cs="仿宋_GB2312"/>
                <w:sz w:val="21"/>
                <w:szCs w:val="21"/>
              </w:rPr>
            </w:pPr>
            <w:r>
              <w:rPr>
                <w:rFonts w:ascii="黑体" w:hAnsi="黑体" w:eastAsia="黑体" w:cs="黑体"/>
                <w:sz w:val="21"/>
                <w:szCs w:val="21"/>
              </w:rPr>
              <w:t>2</w:t>
            </w:r>
            <w:r>
              <w:rPr>
                <w:rFonts w:hint="eastAsia" w:ascii="黑体" w:hAnsi="黑体" w:eastAsia="黑体" w:cs="黑体"/>
                <w:sz w:val="21"/>
                <w:szCs w:val="21"/>
              </w:rPr>
              <w:t>.</w:t>
            </w:r>
            <w:r>
              <w:rPr>
                <w:rFonts w:ascii="黑体" w:hAnsi="黑体" w:eastAsia="黑体" w:cs="黑体"/>
                <w:sz w:val="21"/>
                <w:szCs w:val="21"/>
              </w:rPr>
              <w:t>积极布局终端配送网点或智能冷链终端。</w:t>
            </w:r>
            <w:r>
              <w:rPr>
                <w:rFonts w:ascii="仿宋_GB2312" w:hAnsi="仿宋_GB2312" w:eastAsia="仿宋_GB2312" w:cs="仿宋_GB2312"/>
                <w:sz w:val="21"/>
                <w:szCs w:val="21"/>
              </w:rPr>
              <w:t>引导商贸、供销、邮政、电商、快递、物流等各类市场主体，整合城乡配送末端服务资源，在</w:t>
            </w:r>
            <w:r>
              <w:rPr>
                <w:rFonts w:hint="eastAsia" w:ascii="仿宋_GB2312" w:hAnsi="仿宋_GB2312" w:eastAsia="仿宋_GB2312" w:cs="仿宋_GB2312"/>
                <w:sz w:val="21"/>
                <w:szCs w:val="21"/>
              </w:rPr>
              <w:t>集贸及</w:t>
            </w:r>
            <w:r>
              <w:rPr>
                <w:rFonts w:ascii="仿宋_GB2312" w:hAnsi="仿宋_GB2312" w:eastAsia="仿宋_GB2312" w:cs="仿宋_GB2312"/>
                <w:sz w:val="21"/>
                <w:szCs w:val="21"/>
              </w:rPr>
              <w:t>农批市场、</w:t>
            </w:r>
            <w:r>
              <w:rPr>
                <w:rFonts w:hint="eastAsia" w:ascii="仿宋_GB2312" w:hAnsi="仿宋_GB2312" w:eastAsia="仿宋_GB2312" w:cs="仿宋_GB2312"/>
                <w:sz w:val="21"/>
                <w:szCs w:val="21"/>
              </w:rPr>
              <w:t>各镇</w:t>
            </w:r>
            <w:r>
              <w:rPr>
                <w:rFonts w:ascii="仿宋_GB2312" w:hAnsi="仿宋_GB2312" w:eastAsia="仿宋_GB2312" w:cs="仿宋_GB2312"/>
                <w:sz w:val="21"/>
                <w:szCs w:val="21"/>
              </w:rPr>
              <w:t>周边建设一批具有低温条件下简加工、中转和分拨功能的城乡共同配送公共站点，实现民生生鲜品的集中分拨与配送。推进生鲜宅配快速发展，实现线上线下融合发展，积极引导相关冷链物流企业选择大型社区安装智能生鲜柜，推进社区生鲜直销店建设。同时，加快构建惠民便民的生鲜直销配送体系，解决生鲜宅配“最后一公里”难题。</w:t>
            </w:r>
          </w:p>
        </w:tc>
      </w:tr>
    </w:tbl>
    <w:p>
      <w:pPr>
        <w:pStyle w:val="6"/>
        <w:widowControl w:val="0"/>
        <w:spacing w:afterLines="0" w:line="580" w:lineRule="exact"/>
        <w:ind w:firstLine="643"/>
        <w:rPr>
          <w:rFonts w:ascii="仿宋_GB2312" w:hAnsi="仿宋_GB2312" w:eastAsia="仿宋_GB2312" w:cs="仿宋_GB2312"/>
          <w:color w:val="000000" w:themeColor="text1"/>
          <w:sz w:val="32"/>
          <w:szCs w:val="32"/>
        </w:rPr>
      </w:pPr>
      <w:r>
        <w:rPr>
          <w:rFonts w:hint="eastAsia" w:ascii="楷体_GB2312" w:hAnsi="楷体_GB2312" w:eastAsia="楷体_GB2312" w:cs="楷体_GB2312"/>
          <w:b/>
          <w:bCs/>
          <w:sz w:val="32"/>
          <w:szCs w:val="32"/>
        </w:rPr>
        <w:t>（五）县乡冷链网络体系建设工程</w:t>
      </w:r>
    </w:p>
    <w:p>
      <w:pPr>
        <w:pStyle w:val="6"/>
        <w:widowControl w:val="0"/>
        <w:spacing w:afterLines="0" w:line="58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按照“一县一中心，一乡一站点，一村一门店”的发展模式，依托近年来以“合作社”形式发展起来的特色种业、养殖业、果蔬等基地和电商网点，建设或改造一批县域冷链物流节点，鼓励有条件的乡镇运输服务站拓展冷链物流服务功能，不断完善冷链运输设施网络，推进镇级综合服务站项目，着力打造产业协同、上联下通、畅通农产品上行渠道、带动农民增收的分级物流节点体系，为寄递物流、邮政、生鲜电商、冷链物流等提供运营场所。同时，补齐县、镇、村医疗机构冷链设备，各镇卫生院建设药品冷库，村卫生室配备冰柜。</w:t>
      </w:r>
    </w:p>
    <w:tbl>
      <w:tblPr>
        <w:tblStyle w:val="35"/>
        <w:tblW w:w="0" w:type="auto"/>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tcPr>
          <w:p>
            <w:pPr>
              <w:pStyle w:val="6"/>
              <w:widowControl w:val="0"/>
              <w:spacing w:afterLines="0" w:line="500" w:lineRule="exact"/>
              <w:ind w:firstLine="420"/>
              <w:jc w:val="center"/>
              <w:rPr>
                <w:rFonts w:ascii="仿宋_GB2312" w:hAnsi="仿宋_GB2312" w:eastAsia="仿宋_GB2312" w:cs="仿宋_GB2312"/>
                <w:sz w:val="21"/>
                <w:szCs w:val="21"/>
              </w:rPr>
            </w:pPr>
            <w:r>
              <w:rPr>
                <w:rFonts w:hint="eastAsia" w:ascii="方正小标宋简体" w:hAnsi="方正小标宋简体" w:eastAsia="方正小标宋简体" w:cs="方正小标宋简体"/>
                <w:sz w:val="21"/>
                <w:szCs w:val="21"/>
              </w:rPr>
              <w:t>专栏7-5县乡冷链网络体系建设工程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tcPr>
          <w:p>
            <w:pPr>
              <w:pStyle w:val="6"/>
              <w:widowControl w:val="0"/>
              <w:spacing w:afterLines="0" w:line="340" w:lineRule="exact"/>
              <w:ind w:firstLine="420"/>
              <w:rPr>
                <w:rFonts w:ascii="仿宋_GB2312" w:hAnsi="仿宋_GB2312" w:eastAsia="仿宋_GB2312" w:cs="仿宋_GB2312"/>
                <w:sz w:val="21"/>
                <w:szCs w:val="21"/>
              </w:rPr>
            </w:pPr>
            <w:r>
              <w:rPr>
                <w:rFonts w:hint="eastAsia" w:ascii="黑体" w:hAnsi="黑体" w:eastAsia="黑体" w:cs="黑体"/>
                <w:sz w:val="21"/>
                <w:szCs w:val="21"/>
              </w:rPr>
              <w:t>1.建设县级冷链物流节点。</w:t>
            </w:r>
            <w:r>
              <w:rPr>
                <w:rFonts w:hint="eastAsia" w:ascii="仿宋_GB2312" w:hAnsi="仿宋_GB2312" w:eastAsia="仿宋_GB2312" w:cs="仿宋_GB2312"/>
                <w:sz w:val="21"/>
                <w:szCs w:val="21"/>
              </w:rPr>
              <w:t>依托县级农批及集贸市场、公路货运站场、农资中心、集散中心、供销合作社等现有设施，配套提升和建设农产品气调库和冷藏(冻)保鲜库，改造一批具有分级包装、预冷仓储、初级加工、集散批发等功能的县级农村冷链物流节点。</w:t>
            </w:r>
          </w:p>
          <w:p>
            <w:pPr>
              <w:pStyle w:val="6"/>
              <w:widowControl w:val="0"/>
              <w:spacing w:afterLines="0" w:line="340" w:lineRule="exact"/>
              <w:ind w:firstLine="420"/>
              <w:rPr>
                <w:rFonts w:ascii="仿宋_GB2312" w:hAnsi="仿宋_GB2312" w:eastAsia="仿宋_GB2312" w:cs="仿宋_GB2312"/>
                <w:sz w:val="21"/>
                <w:szCs w:val="21"/>
              </w:rPr>
            </w:pPr>
            <w:r>
              <w:rPr>
                <w:rFonts w:hint="eastAsia" w:ascii="黑体" w:hAnsi="黑体" w:eastAsia="黑体" w:cs="黑体"/>
                <w:sz w:val="21"/>
                <w:szCs w:val="21"/>
              </w:rPr>
              <w:t>2.建设乡镇级冷链物流网点。</w:t>
            </w:r>
            <w:r>
              <w:rPr>
                <w:rFonts w:hint="eastAsia" w:ascii="仿宋_GB2312" w:hAnsi="仿宋_GB2312" w:eastAsia="仿宋_GB2312" w:cs="仿宋_GB2312"/>
                <w:sz w:val="21"/>
                <w:szCs w:val="21"/>
              </w:rPr>
              <w:t>依托农村客运站、快递站点、电商服务中心、邮政局(所)、农资站和基层供销合作社等现有设施，合理配置一批公共预冷库或储藏库，以收集、分类、分装、预冷、保鲜等功能为主，升级改造一批乡镇级冷链物流网点。鼓励发展“快递+农产品”、“电商+农产品”模式，畅通农产品进城渠道。对产量小、分布散的镇，支持冷链物流企业购置移动式冷库，延长果蔬保鲜期，实现全程低温运输。</w:t>
            </w:r>
          </w:p>
          <w:p>
            <w:pPr>
              <w:pStyle w:val="6"/>
              <w:widowControl w:val="0"/>
              <w:spacing w:afterLines="0" w:line="340" w:lineRule="exact"/>
              <w:ind w:firstLine="420"/>
              <w:rPr>
                <w:rFonts w:ascii="仿宋_GB2312" w:hAnsi="仿宋_GB2312" w:eastAsia="仿宋_GB2312" w:cs="仿宋_GB2312"/>
                <w:sz w:val="21"/>
                <w:szCs w:val="21"/>
              </w:rPr>
            </w:pPr>
            <w:r>
              <w:rPr>
                <w:rFonts w:hint="eastAsia" w:ascii="黑体" w:hAnsi="黑体" w:eastAsia="黑体" w:cs="黑体"/>
                <w:sz w:val="21"/>
                <w:szCs w:val="21"/>
              </w:rPr>
              <w:t>3.建设村级冷链物流服务站点。</w:t>
            </w:r>
            <w:r>
              <w:rPr>
                <w:rFonts w:hint="eastAsia" w:ascii="仿宋_GB2312" w:hAnsi="仿宋_GB2312" w:eastAsia="仿宋_GB2312" w:cs="仿宋_GB2312"/>
                <w:sz w:val="21"/>
                <w:szCs w:val="21"/>
              </w:rPr>
              <w:t>以实施乡村振兴战略为契机，利用行政村内的农家店、农村电商服务站点、快递站点、公交站点、村邮站点等设施，创新农村生鲜产品流通服务，健全鲜活农产品流通体系。在具备条件的行政村，可配置一批智能生鲜柜，建设村级农村冷链物流服务点，完善末端冷链物流网络，适当提高行政村、中心村冷链物流覆盖率，畅通“工业品下乡”和“农产品进城”双向流通渠道。到2025年，争取每个行政村至少建成一个不低于200平方米、具备生鲜储销、鲜活农产品网上交易功能的超市。</w:t>
            </w:r>
          </w:p>
        </w:tc>
      </w:tr>
    </w:tbl>
    <w:p>
      <w:pPr>
        <w:pStyle w:val="6"/>
        <w:widowControl w:val="0"/>
        <w:spacing w:afterLines="0" w:line="400" w:lineRule="exact"/>
        <w:ind w:firstLine="0" w:firstLineChars="0"/>
        <w:rPr>
          <w:rFonts w:ascii="黑体" w:hAnsi="黑体" w:eastAsia="黑体" w:cs="黑体"/>
          <w:sz w:val="32"/>
          <w:szCs w:val="32"/>
        </w:rPr>
      </w:pPr>
    </w:p>
    <w:p>
      <w:pPr>
        <w:pStyle w:val="6"/>
        <w:widowControl w:val="0"/>
        <w:spacing w:afterLines="0" w:line="400" w:lineRule="exact"/>
        <w:ind w:firstLine="0" w:firstLineChars="0"/>
        <w:jc w:val="center"/>
        <w:rPr>
          <w:rFonts w:ascii="黑体" w:hAnsi="黑体" w:eastAsia="黑体" w:cs="黑体"/>
          <w:sz w:val="32"/>
          <w:szCs w:val="32"/>
        </w:rPr>
      </w:pPr>
      <w:r>
        <w:rPr>
          <w:rFonts w:hint="eastAsia" w:ascii="黑体" w:hAnsi="黑体" w:eastAsia="黑体" w:cs="黑体"/>
          <w:sz w:val="32"/>
          <w:szCs w:val="32"/>
        </w:rPr>
        <w:t>第八章  环境保护</w:t>
      </w:r>
    </w:p>
    <w:p>
      <w:pPr>
        <w:pStyle w:val="6"/>
        <w:widowControl w:val="0"/>
        <w:spacing w:afterLines="0" w:line="260" w:lineRule="exact"/>
        <w:ind w:firstLine="0" w:firstLineChars="0"/>
        <w:rPr>
          <w:rFonts w:ascii="仿宋_GB2312" w:hAnsi="仿宋_GB2312" w:eastAsia="仿宋_GB2312" w:cs="仿宋_GB2312"/>
          <w:sz w:val="32"/>
          <w:szCs w:val="32"/>
        </w:rPr>
      </w:pPr>
    </w:p>
    <w:p>
      <w:pPr>
        <w:pStyle w:val="6"/>
        <w:widowControl w:val="0"/>
        <w:spacing w:afterLines="0" w:line="56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（一）环境保护总体要求</w:t>
      </w:r>
    </w:p>
    <w:p>
      <w:pPr>
        <w:pStyle w:val="6"/>
        <w:widowControl w:val="0"/>
        <w:spacing w:afterLines="0"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1.指导原则。</w:t>
      </w:r>
      <w:r>
        <w:rPr>
          <w:rFonts w:hint="eastAsia" w:ascii="仿宋_GB2312" w:hAnsi="仿宋_GB2312" w:eastAsia="仿宋_GB2312" w:cs="仿宋_GB2312"/>
          <w:sz w:val="32"/>
          <w:szCs w:val="32"/>
        </w:rPr>
        <w:t>坚持环境建设、经济建设、城市建设同步规划、同步实施、同步发展，实现经济效益、社会效益、环境效益相统一，促进环境、经济、社会持续、协调地发展，在实现区域经济、社会发展目标的同时实现环境保护目标。</w:t>
      </w:r>
    </w:p>
    <w:p>
      <w:pPr>
        <w:pStyle w:val="6"/>
        <w:widowControl w:val="0"/>
        <w:spacing w:afterLines="0"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2.环境保护的依据和标准</w:t>
      </w:r>
    </w:p>
    <w:p>
      <w:pPr>
        <w:pStyle w:val="6"/>
        <w:widowControl w:val="0"/>
        <w:spacing w:afterLines="0" w:line="540" w:lineRule="exact"/>
        <w:ind w:firstLine="640"/>
        <w:rPr>
          <w:rFonts w:ascii="仿宋_GB2312" w:hAnsi="仿宋_GB2312" w:eastAsia="仿宋_GB2312" w:cs="仿宋_GB2312"/>
          <w:spacing w:val="-12"/>
          <w:sz w:val="32"/>
          <w:szCs w:val="32"/>
        </w:rPr>
      </w:pPr>
      <w:r>
        <w:rPr>
          <w:rFonts w:hint="eastAsia" w:ascii="仿宋_GB2312" w:hAnsi="仿宋_GB2312" w:eastAsia="仿宋_GB2312" w:cs="仿宋_GB2312"/>
          <w:sz w:val="32"/>
          <w:szCs w:val="32"/>
        </w:rPr>
        <w:t>（1）《中</w:t>
      </w:r>
      <w:r>
        <w:rPr>
          <w:rFonts w:hint="eastAsia" w:ascii="仿宋_GB2312" w:hAnsi="仿宋_GB2312" w:eastAsia="仿宋_GB2312" w:cs="仿宋_GB2312"/>
          <w:spacing w:val="-12"/>
          <w:sz w:val="32"/>
          <w:szCs w:val="32"/>
        </w:rPr>
        <w:t>华人民共和国环境影响评价法》(2018年12月修订)</w:t>
      </w:r>
    </w:p>
    <w:p>
      <w:pPr>
        <w:pStyle w:val="6"/>
        <w:widowControl w:val="0"/>
        <w:spacing w:afterLines="0"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（2）地表水环境质量执行《地表水环境质量标准》(GB3838-2002)中b类标准</w:t>
      </w:r>
    </w:p>
    <w:p>
      <w:pPr>
        <w:pStyle w:val="6"/>
        <w:widowControl w:val="0"/>
        <w:spacing w:afterLines="0"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（3）环境空气质量执行《环境空气质量标准》(GB3095-2012)中二级标准</w:t>
      </w:r>
    </w:p>
    <w:p>
      <w:pPr>
        <w:pStyle w:val="6"/>
        <w:widowControl w:val="0"/>
        <w:spacing w:afterLines="0"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（4）废水排放执行《污水综合排放标准》(GB8978-1996)中三级标准</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（5）施工期间噪声执行《建筑施工场界噪声限值》(GB12523-90)，即昼间d85dB，夜间d55dB</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（6）《关于严格控制新建使用含氢氟氯烃生产设施的通知》(环办〔2009〕121号)</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（7）《甘肃省打赢蓝天保卫战三年行动作战方案(2018—2020年)》</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（8）《甘肃省人民政府关于加强节能工作的意见》(甘政发〔2006〕71号)</w:t>
      </w:r>
    </w:p>
    <w:p>
      <w:pPr>
        <w:pStyle w:val="6"/>
        <w:widowControl w:val="0"/>
        <w:spacing w:afterLines="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（9）《张掖市水污染防治工作实施方案(2015-2020年)》</w:t>
      </w:r>
    </w:p>
    <w:p>
      <w:pPr>
        <w:pStyle w:val="6"/>
        <w:widowControl w:val="0"/>
        <w:spacing w:afterLines="0" w:line="580" w:lineRule="exact"/>
        <w:ind w:firstLine="640"/>
        <w:rPr>
          <w:rFonts w:ascii="仿宋_GB2312" w:hAnsi="仿宋_GB2312" w:eastAsia="仿宋_GB2312" w:cs="仿宋_GB2312"/>
          <w:spacing w:val="-12"/>
          <w:sz w:val="32"/>
          <w:szCs w:val="32"/>
        </w:rPr>
      </w:pPr>
      <w:r>
        <w:rPr>
          <w:rFonts w:hint="eastAsia" w:ascii="仿宋_GB2312" w:hAnsi="仿宋_GB2312" w:eastAsia="仿宋_GB2312" w:cs="仿宋_GB2312"/>
          <w:sz w:val="32"/>
          <w:szCs w:val="32"/>
        </w:rPr>
        <w:t>（10）《张</w:t>
      </w:r>
      <w:r>
        <w:rPr>
          <w:rFonts w:hint="eastAsia" w:ascii="仿宋_GB2312" w:hAnsi="仿宋_GB2312" w:eastAsia="仿宋_GB2312" w:cs="仿宋_GB2312"/>
          <w:spacing w:val="-12"/>
          <w:sz w:val="32"/>
          <w:szCs w:val="32"/>
        </w:rPr>
        <w:t>掖市环评与排污许可监管行动计划(2021-2023年)》</w:t>
      </w:r>
    </w:p>
    <w:p>
      <w:pPr>
        <w:pStyle w:val="6"/>
        <w:widowControl w:val="0"/>
        <w:spacing w:afterLines="0" w:line="580" w:lineRule="exact"/>
        <w:ind w:firstLine="640"/>
        <w:rPr>
          <w:rFonts w:ascii="楷体_GB2312" w:hAnsi="楷体_GB2312" w:eastAsia="楷体_GB2312" w:cs="楷体_GB2312"/>
          <w:b/>
          <w:bCs/>
          <w:sz w:val="32"/>
          <w:szCs w:val="32"/>
        </w:rPr>
      </w:pPr>
      <w:r>
        <w:rPr>
          <w:rFonts w:hint="eastAsia" w:ascii="仿宋_GB2312" w:hAnsi="仿宋_GB2312" w:eastAsia="仿宋_GB2312" w:cs="仿宋_GB2312"/>
          <w:sz w:val="32"/>
          <w:szCs w:val="32"/>
        </w:rPr>
        <w:t>（11）《张掖市“三线一单”生态环境分区管控方案》(2021年6月)</w:t>
      </w:r>
    </w:p>
    <w:p>
      <w:pPr>
        <w:spacing w:line="580" w:lineRule="exact"/>
        <w:ind w:firstLine="642"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3.环境保护目标</w:t>
      </w:r>
    </w:p>
    <w:p>
      <w:pPr>
        <w:spacing w:line="580" w:lineRule="exact"/>
        <w:ind w:firstLine="685"/>
        <w:rPr>
          <w:rFonts w:ascii="仿宋_GB2312" w:hAnsi="仿宋_GB2312" w:eastAsia="仿宋_GB2312" w:cs="仿宋_GB2312"/>
          <w:sz w:val="32"/>
          <w:szCs w:val="32"/>
        </w:rPr>
      </w:pPr>
      <w:r>
        <w:rPr>
          <w:rFonts w:hint="eastAsia" w:ascii="仿宋_GB2312" w:hAnsi="仿宋_GB2312" w:eastAsia="仿宋_GB2312" w:cs="仿宋_GB2312"/>
          <w:sz w:val="32"/>
          <w:szCs w:val="32"/>
        </w:rPr>
        <w:t>（1）空气：规划区域环境空气质量应保持二级标准，不得恶化环境质量。</w:t>
      </w:r>
    </w:p>
    <w:p>
      <w:pPr>
        <w:spacing w:line="58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（2）水质：区域环境保护以水环境保护为重点。黑河流域断面水质100%应达到地表水质量a类水体标准。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（3）噪声：区域环境噪声达到或优于区域声环境类别。</w:t>
      </w:r>
    </w:p>
    <w:p>
      <w:pPr>
        <w:spacing w:line="580" w:lineRule="exact"/>
        <w:ind w:firstLine="640" w:firstLineChars="200"/>
        <w:rPr>
          <w:rFonts w:ascii="仿宋_GB2312" w:hAnsi="仿宋_GB2312" w:eastAsia="仿宋_GB2312" w:cs="仿宋_GB2312"/>
          <w:spacing w:val="-14"/>
          <w:sz w:val="32"/>
          <w:szCs w:val="32"/>
        </w:rPr>
      </w:pPr>
      <w:r>
        <w:rPr>
          <w:rFonts w:hint="eastAsia" w:ascii="仿宋_GB2312" w:hAnsi="仿宋_GB2312" w:eastAsia="仿宋_GB2312" w:cs="仿宋_GB2312"/>
          <w:sz w:val="32"/>
          <w:szCs w:val="32"/>
        </w:rPr>
        <w:t>（4）垃圾：</w:t>
      </w:r>
      <w:r>
        <w:rPr>
          <w:rFonts w:hint="eastAsia" w:ascii="仿宋_GB2312" w:hAnsi="仿宋_GB2312" w:eastAsia="仿宋_GB2312" w:cs="仿宋_GB2312"/>
          <w:spacing w:val="-14"/>
          <w:sz w:val="32"/>
          <w:szCs w:val="32"/>
        </w:rPr>
        <w:t>无害化收集100%，垃圾回收利用率达到50%以上。</w:t>
      </w: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（二）主要污染物来源</w:t>
      </w:r>
    </w:p>
    <w:p>
      <w:pPr>
        <w:pStyle w:val="6"/>
        <w:widowControl w:val="0"/>
        <w:spacing w:afterLines="0" w:line="58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1.冷库主要污染源。</w:t>
      </w:r>
      <w:r>
        <w:rPr>
          <w:rFonts w:hint="eastAsia" w:ascii="仿宋_GB2312" w:hAnsi="仿宋_GB2312" w:eastAsia="仿宋_GB2312" w:cs="仿宋_GB2312"/>
          <w:sz w:val="32"/>
          <w:szCs w:val="32"/>
        </w:rPr>
        <w:t>冷库主要用于水果保鲜，简称CA，采用二氟一氯甲烷(R22)作为制冷剂对冷库进行制冷。制冷设备的控制部分采用PLC自动控制系统。R22在常温下为无色，属于安全的制冷剂，安全分类为A1；加压可液化为无色透明的液体。R22的化学稳定性和热稳定性均很高，特别是在没有水分存在的情况下，在200以下与一般金属不起反应。在水存在时，仅与碱缓慢起作用。但在高温下会发生裂解，R22是一种低温制冷剂，可得到-80的制冷温度，符合当前环保要求。但按照2016年10月《蒙特利尔议定书》第28次缔约方会议重点审议了关于HFCs</w:t>
      </w:r>
      <w:r>
        <w:rPr>
          <w:rFonts w:hint="eastAsia" w:ascii="仿宋_GB2312" w:hAnsi="仿宋_GB2312" w:eastAsia="仿宋_GB2312" w:cs="仿宋_GB2312"/>
          <w:spacing w:val="-4"/>
          <w:sz w:val="32"/>
          <w:szCs w:val="32"/>
        </w:rPr>
        <w:t>削减控制的修正案，中国等主要发展中国家，自2024年HFCs开始冻结，2029年削减10%，最终2045年实现削减80%，因此，在制冷设备选型和HFCs使用中，须考虑物质减量化和替代方案</w:t>
      </w:r>
      <w:r>
        <w:rPr>
          <w:rFonts w:hint="eastAsia" w:ascii="仿宋_GB2312" w:hAnsi="仿宋_GB2312" w:eastAsia="仿宋_GB2312" w:cs="仿宋_GB2312"/>
          <w:sz w:val="32"/>
          <w:szCs w:val="32"/>
        </w:rPr>
        <w:t>。</w:t>
      </w:r>
    </w:p>
    <w:p>
      <w:pPr>
        <w:pStyle w:val="6"/>
        <w:widowControl w:val="0"/>
        <w:spacing w:afterLines="0" w:line="560" w:lineRule="exact"/>
        <w:ind w:firstLine="643"/>
        <w:rPr>
          <w:rFonts w:ascii="黑体" w:hAnsi="黑体" w:eastAsia="黑体" w:cs="黑体"/>
          <w:sz w:val="23"/>
          <w:szCs w:val="23"/>
        </w:rPr>
      </w:pPr>
      <w:r>
        <w:rPr>
          <w:rFonts w:hint="eastAsia" w:ascii="仿宋_GB2312" w:hAnsi="仿宋_GB2312" w:eastAsia="仿宋_GB2312" w:cs="仿宋_GB2312"/>
          <w:b/>
          <w:bCs/>
          <w:sz w:val="32"/>
          <w:szCs w:val="32"/>
        </w:rPr>
        <w:t>2.建设期和运营期主要污染源。</w:t>
      </w:r>
      <w:r>
        <w:rPr>
          <w:rFonts w:hint="eastAsia" w:ascii="仿宋_GB2312" w:hAnsi="仿宋_GB2312" w:eastAsia="仿宋_GB2312" w:cs="仿宋_GB2312"/>
          <w:sz w:val="32"/>
          <w:szCs w:val="32"/>
        </w:rPr>
        <w:t>主要污染物有：噪声、废水、施工人员的生活污水、建筑废料、生活垃圾、废气等。</w:t>
      </w:r>
    </w:p>
    <w:p>
      <w:pPr>
        <w:spacing w:line="600" w:lineRule="exact"/>
        <w:jc w:val="center"/>
        <w:rPr>
          <w:szCs w:val="21"/>
        </w:rPr>
      </w:pPr>
      <w:r>
        <w:rPr>
          <w:rFonts w:hint="eastAsia" w:ascii="黑体" w:hAnsi="黑体" w:eastAsia="黑体" w:cs="黑体"/>
          <w:sz w:val="23"/>
          <w:szCs w:val="23"/>
        </w:rPr>
        <w:t>表 8-1 主要污染物产生及预计排放情况</w:t>
      </w:r>
    </w:p>
    <w:tbl>
      <w:tblPr>
        <w:tblStyle w:val="34"/>
        <w:tblW w:w="88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988"/>
        <w:gridCol w:w="1123"/>
        <w:gridCol w:w="1913"/>
        <w:gridCol w:w="1877"/>
        <w:gridCol w:w="29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60" w:hRule="atLeast"/>
        </w:trPr>
        <w:tc>
          <w:tcPr>
            <w:tcW w:w="988" w:type="dxa"/>
            <w:tcBorders>
              <w:top w:val="single" w:color="000000" w:sz="2" w:space="0"/>
              <w:left w:val="single" w:color="000000" w:sz="2" w:space="0"/>
              <w:right w:val="single" w:color="000000" w:sz="2" w:space="0"/>
              <w:tl2br w:val="nil"/>
              <w:tr2bl w:val="nil"/>
            </w:tcBorders>
            <w:vAlign w:val="center"/>
          </w:tcPr>
          <w:p>
            <w:pPr>
              <w:spacing w:line="320" w:lineRule="exact"/>
              <w:jc w:val="center"/>
              <w:rPr>
                <w:rFonts w:ascii="黑体" w:hAnsi="黑体" w:eastAsia="黑体" w:cs="黑体"/>
                <w:sz w:val="20"/>
                <w:szCs w:val="20"/>
              </w:rPr>
            </w:pPr>
            <w:r>
              <w:rPr>
                <w:rFonts w:hint="eastAsia" w:ascii="黑体" w:hAnsi="黑体" w:eastAsia="黑体" w:cs="黑体"/>
                <w:sz w:val="20"/>
                <w:szCs w:val="20"/>
              </w:rPr>
              <w:t>类型</w:t>
            </w:r>
          </w:p>
        </w:tc>
        <w:tc>
          <w:tcPr>
            <w:tcW w:w="1123" w:type="dxa"/>
            <w:tcBorders>
              <w:top w:val="single" w:color="000000" w:sz="2" w:space="0"/>
              <w:left w:val="single" w:color="000000" w:sz="2" w:space="0"/>
              <w:right w:val="single" w:color="000000" w:sz="2" w:space="0"/>
              <w:tl2br w:val="nil"/>
              <w:tr2bl w:val="nil"/>
            </w:tcBorders>
            <w:vAlign w:val="center"/>
          </w:tcPr>
          <w:p>
            <w:pPr>
              <w:spacing w:line="320" w:lineRule="exact"/>
              <w:jc w:val="center"/>
              <w:rPr>
                <w:rFonts w:ascii="黑体" w:hAnsi="黑体" w:eastAsia="黑体" w:cs="黑体"/>
                <w:sz w:val="20"/>
                <w:szCs w:val="20"/>
              </w:rPr>
            </w:pPr>
            <w:r>
              <w:rPr>
                <w:rFonts w:hint="eastAsia" w:ascii="黑体" w:hAnsi="黑体" w:eastAsia="黑体" w:cs="黑体"/>
                <w:sz w:val="20"/>
                <w:szCs w:val="20"/>
              </w:rPr>
              <w:t>排放源</w:t>
            </w:r>
          </w:p>
        </w:tc>
        <w:tc>
          <w:tcPr>
            <w:tcW w:w="1913" w:type="dxa"/>
            <w:tcBorders>
              <w:top w:val="single" w:color="000000" w:sz="2" w:space="0"/>
              <w:left w:val="single" w:color="000000" w:sz="2" w:space="0"/>
              <w:right w:val="single" w:color="000000" w:sz="2" w:space="0"/>
              <w:tl2br w:val="nil"/>
              <w:tr2bl w:val="nil"/>
            </w:tcBorders>
            <w:vAlign w:val="center"/>
          </w:tcPr>
          <w:p>
            <w:pPr>
              <w:spacing w:line="320" w:lineRule="exact"/>
              <w:jc w:val="center"/>
              <w:rPr>
                <w:rFonts w:ascii="黑体" w:hAnsi="黑体" w:eastAsia="黑体" w:cs="黑体"/>
                <w:sz w:val="20"/>
                <w:szCs w:val="20"/>
              </w:rPr>
            </w:pPr>
            <w:r>
              <w:rPr>
                <w:rFonts w:hint="eastAsia" w:ascii="黑体" w:hAnsi="黑体" w:eastAsia="黑体" w:cs="黑体"/>
                <w:sz w:val="20"/>
                <w:szCs w:val="20"/>
              </w:rPr>
              <w:t>污染物名称</w:t>
            </w:r>
          </w:p>
        </w:tc>
        <w:tc>
          <w:tcPr>
            <w:tcW w:w="1877" w:type="dxa"/>
            <w:tcBorders>
              <w:top w:val="single" w:color="000000" w:sz="2" w:space="0"/>
              <w:left w:val="single" w:color="000000" w:sz="2" w:space="0"/>
              <w:right w:val="single" w:color="000000" w:sz="2" w:space="0"/>
              <w:tl2br w:val="nil"/>
              <w:tr2bl w:val="nil"/>
            </w:tcBorders>
            <w:vAlign w:val="center"/>
          </w:tcPr>
          <w:p>
            <w:pPr>
              <w:spacing w:line="280" w:lineRule="exact"/>
              <w:jc w:val="center"/>
              <w:rPr>
                <w:rFonts w:ascii="黑体" w:hAnsi="黑体" w:eastAsia="黑体" w:cs="黑体"/>
                <w:sz w:val="20"/>
                <w:szCs w:val="20"/>
              </w:rPr>
            </w:pPr>
            <w:r>
              <w:rPr>
                <w:rFonts w:hint="eastAsia" w:ascii="黑体" w:hAnsi="黑体" w:eastAsia="黑体" w:cs="黑体"/>
                <w:position w:val="7"/>
                <w:sz w:val="20"/>
                <w:szCs w:val="20"/>
              </w:rPr>
              <w:t>处理前产生浓度</w:t>
            </w:r>
          </w:p>
          <w:p>
            <w:pPr>
              <w:spacing w:line="280" w:lineRule="exact"/>
              <w:jc w:val="center"/>
              <w:rPr>
                <w:rFonts w:ascii="黑体" w:hAnsi="黑体" w:eastAsia="黑体" w:cs="黑体"/>
                <w:sz w:val="20"/>
                <w:szCs w:val="20"/>
              </w:rPr>
            </w:pPr>
            <w:r>
              <w:rPr>
                <w:rFonts w:hint="eastAsia" w:ascii="黑体" w:hAnsi="黑体" w:eastAsia="黑体" w:cs="黑体"/>
                <w:sz w:val="20"/>
                <w:szCs w:val="20"/>
              </w:rPr>
              <w:t>及产生量(单位)</w:t>
            </w:r>
          </w:p>
        </w:tc>
        <w:tc>
          <w:tcPr>
            <w:tcW w:w="2943" w:type="dxa"/>
            <w:tcBorders>
              <w:top w:val="single" w:color="000000" w:sz="2" w:space="0"/>
              <w:left w:val="single" w:color="000000" w:sz="2" w:space="0"/>
              <w:right w:val="single" w:color="000000" w:sz="2" w:space="0"/>
              <w:tl2br w:val="nil"/>
              <w:tr2bl w:val="nil"/>
            </w:tcBorders>
            <w:vAlign w:val="center"/>
          </w:tcPr>
          <w:p>
            <w:pPr>
              <w:spacing w:line="280" w:lineRule="exact"/>
              <w:jc w:val="center"/>
              <w:rPr>
                <w:rFonts w:ascii="黑体" w:hAnsi="黑体" w:eastAsia="黑体" w:cs="黑体"/>
                <w:sz w:val="20"/>
                <w:szCs w:val="20"/>
              </w:rPr>
            </w:pPr>
            <w:r>
              <w:rPr>
                <w:rFonts w:hint="eastAsia" w:ascii="黑体" w:hAnsi="黑体" w:eastAsia="黑体" w:cs="黑体"/>
                <w:position w:val="7"/>
                <w:sz w:val="20"/>
                <w:szCs w:val="20"/>
              </w:rPr>
              <w:t>排放浓度</w:t>
            </w:r>
          </w:p>
          <w:p>
            <w:pPr>
              <w:spacing w:line="280" w:lineRule="exact"/>
              <w:jc w:val="center"/>
              <w:rPr>
                <w:rFonts w:ascii="黑体" w:hAnsi="黑体" w:eastAsia="黑体" w:cs="黑体"/>
                <w:sz w:val="20"/>
                <w:szCs w:val="20"/>
              </w:rPr>
            </w:pPr>
            <w:r>
              <w:rPr>
                <w:rFonts w:hint="eastAsia" w:ascii="黑体" w:hAnsi="黑体" w:eastAsia="黑体" w:cs="黑体"/>
                <w:sz w:val="20"/>
                <w:szCs w:val="20"/>
              </w:rPr>
              <w:t>及排放量(单位)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07" w:hRule="atLeast"/>
        </w:trPr>
        <w:tc>
          <w:tcPr>
            <w:tcW w:w="988" w:type="dxa"/>
            <w:vMerge w:val="restart"/>
            <w:tcBorders>
              <w:top w:val="single" w:color="000000" w:sz="2" w:space="0"/>
              <w:left w:val="single" w:color="000000" w:sz="2" w:space="0"/>
              <w:bottom w:val="nil"/>
              <w:right w:val="single" w:color="000000" w:sz="2" w:space="0"/>
              <w:tl2br w:val="nil"/>
              <w:tr2bl w:val="nil"/>
            </w:tcBorders>
            <w:vAlign w:val="center"/>
          </w:tcPr>
          <w:p>
            <w:pPr>
              <w:spacing w:line="300" w:lineRule="exact"/>
              <w:jc w:val="center"/>
              <w:rPr>
                <w:rFonts w:ascii="黑体" w:hAnsi="黑体" w:eastAsia="黑体" w:cs="黑体"/>
                <w:sz w:val="20"/>
                <w:szCs w:val="20"/>
              </w:rPr>
            </w:pPr>
            <w:r>
              <w:rPr>
                <w:rFonts w:hint="eastAsia" w:ascii="黑体" w:hAnsi="黑体" w:eastAsia="黑体" w:cs="黑体"/>
                <w:sz w:val="20"/>
                <w:szCs w:val="20"/>
              </w:rPr>
              <w:t>大气</w:t>
            </w:r>
          </w:p>
          <w:p>
            <w:pPr>
              <w:spacing w:line="300" w:lineRule="exact"/>
              <w:jc w:val="center"/>
              <w:rPr>
                <w:rFonts w:ascii="黑体" w:hAnsi="黑体" w:eastAsia="黑体" w:cs="黑体"/>
                <w:sz w:val="20"/>
                <w:szCs w:val="20"/>
              </w:rPr>
            </w:pPr>
            <w:r>
              <w:rPr>
                <w:rFonts w:hint="eastAsia" w:ascii="黑体" w:hAnsi="黑体" w:eastAsia="黑体" w:cs="黑体"/>
                <w:sz w:val="20"/>
                <w:szCs w:val="20"/>
              </w:rPr>
              <w:t>污染物</w:t>
            </w:r>
          </w:p>
        </w:tc>
        <w:tc>
          <w:tcPr>
            <w:tcW w:w="1123"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施工期</w:t>
            </w:r>
          </w:p>
        </w:tc>
        <w:tc>
          <w:tcPr>
            <w:tcW w:w="1913"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粉尘</w:t>
            </w:r>
          </w:p>
        </w:tc>
        <w:tc>
          <w:tcPr>
            <w:tcW w:w="1877"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少量</w:t>
            </w:r>
          </w:p>
        </w:tc>
        <w:tc>
          <w:tcPr>
            <w:tcW w:w="2943"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少量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53" w:hRule="atLeast"/>
        </w:trPr>
        <w:tc>
          <w:tcPr>
            <w:tcW w:w="988" w:type="dxa"/>
            <w:vMerge w:val="continue"/>
            <w:tcBorders>
              <w:top w:val="nil"/>
              <w:left w:val="single" w:color="000000" w:sz="2" w:space="0"/>
              <w:bottom w:val="single" w:color="000000" w:sz="2" w:space="0"/>
              <w:right w:val="single" w:color="000000" w:sz="2" w:space="0"/>
              <w:tl2br w:val="nil"/>
              <w:tr2bl w:val="nil"/>
            </w:tcBorders>
            <w:vAlign w:val="center"/>
          </w:tcPr>
          <w:p>
            <w:pPr>
              <w:spacing w:line="300" w:lineRule="exact"/>
              <w:jc w:val="center"/>
              <w:rPr>
                <w:sz w:val="20"/>
                <w:szCs w:val="20"/>
              </w:rPr>
            </w:pPr>
          </w:p>
        </w:tc>
        <w:tc>
          <w:tcPr>
            <w:tcW w:w="1123"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运营期</w:t>
            </w:r>
          </w:p>
        </w:tc>
        <w:tc>
          <w:tcPr>
            <w:tcW w:w="1913"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粉尘臭气、氨气</w:t>
            </w:r>
          </w:p>
        </w:tc>
        <w:tc>
          <w:tcPr>
            <w:tcW w:w="1877"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低浓度，少量</w:t>
            </w:r>
          </w:p>
        </w:tc>
        <w:tc>
          <w:tcPr>
            <w:tcW w:w="2943"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低浓度，少量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437" w:hRule="atLeast"/>
        </w:trPr>
        <w:tc>
          <w:tcPr>
            <w:tcW w:w="988" w:type="dxa"/>
            <w:vMerge w:val="restart"/>
            <w:tcBorders>
              <w:top w:val="single" w:color="000000" w:sz="2" w:space="0"/>
              <w:left w:val="single" w:color="000000" w:sz="2" w:space="0"/>
              <w:bottom w:val="nil"/>
              <w:right w:val="single" w:color="000000" w:sz="2" w:space="0"/>
              <w:tl2br w:val="nil"/>
              <w:tr2bl w:val="nil"/>
            </w:tcBorders>
            <w:textDirection w:val="tbRlV"/>
            <w:vAlign w:val="center"/>
          </w:tcPr>
          <w:p>
            <w:pPr>
              <w:spacing w:line="300" w:lineRule="exact"/>
              <w:jc w:val="center"/>
              <w:rPr>
                <w:rFonts w:ascii="黑体" w:hAnsi="黑体" w:eastAsia="黑体" w:cs="黑体"/>
                <w:sz w:val="20"/>
                <w:szCs w:val="20"/>
              </w:rPr>
            </w:pPr>
            <w:r>
              <w:rPr>
                <w:rFonts w:hint="eastAsia" w:ascii="黑体" w:hAnsi="黑体" w:eastAsia="黑体" w:cs="黑体"/>
                <w:sz w:val="20"/>
                <w:szCs w:val="20"/>
              </w:rPr>
              <w:t>水 污 染 物</w:t>
            </w:r>
          </w:p>
        </w:tc>
        <w:tc>
          <w:tcPr>
            <w:tcW w:w="1123"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施工期</w:t>
            </w:r>
          </w:p>
        </w:tc>
        <w:tc>
          <w:tcPr>
            <w:tcW w:w="1913"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COD、NH3-N</w:t>
            </w:r>
          </w:p>
        </w:tc>
        <w:tc>
          <w:tcPr>
            <w:tcW w:w="1877"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少量</w:t>
            </w:r>
          </w:p>
        </w:tc>
        <w:tc>
          <w:tcPr>
            <w:tcW w:w="2943"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少量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1099" w:hRule="atLeast"/>
        </w:trPr>
        <w:tc>
          <w:tcPr>
            <w:tcW w:w="988" w:type="dxa"/>
            <w:vMerge w:val="continue"/>
            <w:tcBorders>
              <w:top w:val="nil"/>
              <w:left w:val="single" w:color="000000" w:sz="2" w:space="0"/>
              <w:bottom w:val="single" w:color="000000" w:sz="2" w:space="0"/>
              <w:right w:val="single" w:color="000000" w:sz="2" w:space="0"/>
              <w:tl2br w:val="nil"/>
              <w:tr2bl w:val="nil"/>
            </w:tcBorders>
            <w:textDirection w:val="tbRlV"/>
            <w:vAlign w:val="center"/>
          </w:tcPr>
          <w:p>
            <w:pPr>
              <w:spacing w:line="300" w:lineRule="exact"/>
              <w:jc w:val="center"/>
              <w:rPr>
                <w:sz w:val="20"/>
                <w:szCs w:val="20"/>
              </w:rPr>
            </w:pPr>
          </w:p>
        </w:tc>
        <w:tc>
          <w:tcPr>
            <w:tcW w:w="1123"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运营期</w:t>
            </w:r>
          </w:p>
        </w:tc>
        <w:tc>
          <w:tcPr>
            <w:tcW w:w="1913"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COD</w:t>
            </w:r>
          </w:p>
          <w:p>
            <w:pPr>
              <w:spacing w:line="300" w:lineRule="exact"/>
              <w:ind w:firstLine="140"/>
              <w:jc w:val="center"/>
              <w:rPr>
                <w:rFonts w:ascii="仿宋_GB2312" w:hAnsi="仿宋" w:eastAsia="仿宋_GB2312" w:cs="仿宋"/>
                <w:sz w:val="20"/>
                <w:szCs w:val="20"/>
              </w:rPr>
            </w:pPr>
            <w:r>
              <w:rPr>
                <w:rFonts w:hint="eastAsia" w:ascii="仿宋_GB2312" w:hAnsi="仿宋" w:eastAsia="仿宋_GB2312" w:cs="仿宋"/>
                <w:sz w:val="20"/>
                <w:szCs w:val="20"/>
              </w:rPr>
              <w:t>NH3-N 生产废水 清洗废水</w:t>
            </w:r>
          </w:p>
        </w:tc>
        <w:tc>
          <w:tcPr>
            <w:tcW w:w="1877"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低浓度， 少量.</w:t>
            </w:r>
          </w:p>
        </w:tc>
        <w:tc>
          <w:tcPr>
            <w:tcW w:w="2943"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280" w:lineRule="exact"/>
              <w:jc w:val="left"/>
              <w:rPr>
                <w:rFonts w:ascii="仿宋_GB2312" w:hAnsi="仿宋" w:eastAsia="仿宋_GB2312" w:cs="仿宋"/>
                <w:sz w:val="20"/>
                <w:szCs w:val="20"/>
              </w:rPr>
            </w:pPr>
            <w:r>
              <w:rPr>
                <w:rFonts w:hint="eastAsia" w:ascii="仿宋_GB2312" w:hAnsi="仿宋" w:eastAsia="仿宋_GB2312" w:cs="仿宋"/>
                <w:sz w:val="20"/>
                <w:szCs w:val="20"/>
              </w:rPr>
              <w:t>通过建设污水集中处理设施进行</w:t>
            </w:r>
            <w:r>
              <w:rPr>
                <w:rFonts w:hint="eastAsia" w:ascii="仿宋_GB2312" w:hAnsi="仿宋" w:eastAsia="仿宋_GB2312" w:cs="仿宋"/>
                <w:spacing w:val="-4"/>
                <w:sz w:val="20"/>
                <w:szCs w:val="20"/>
              </w:rPr>
              <w:t>处理达到绿地灌溉标准后用 于绿地灌溉或采取其他方式综合利用。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502" w:hRule="atLeast"/>
        </w:trPr>
        <w:tc>
          <w:tcPr>
            <w:tcW w:w="988" w:type="dxa"/>
            <w:vMerge w:val="restart"/>
            <w:tcBorders>
              <w:top w:val="single" w:color="000000" w:sz="2" w:space="0"/>
              <w:left w:val="single" w:color="000000" w:sz="2" w:space="0"/>
              <w:bottom w:val="nil"/>
              <w:right w:val="single" w:color="000000" w:sz="2" w:space="0"/>
              <w:tl2br w:val="nil"/>
              <w:tr2bl w:val="nil"/>
            </w:tcBorders>
            <w:textDirection w:val="tbRlV"/>
            <w:vAlign w:val="center"/>
          </w:tcPr>
          <w:p>
            <w:pPr>
              <w:spacing w:line="300" w:lineRule="exact"/>
              <w:jc w:val="center"/>
              <w:rPr>
                <w:rFonts w:ascii="黑体" w:hAnsi="黑体" w:eastAsia="黑体" w:cs="黑体"/>
                <w:sz w:val="20"/>
                <w:szCs w:val="20"/>
              </w:rPr>
            </w:pPr>
            <w:r>
              <w:rPr>
                <w:rFonts w:hint="eastAsia" w:ascii="黑体" w:hAnsi="黑体" w:eastAsia="黑体" w:cs="黑体"/>
                <w:sz w:val="20"/>
                <w:szCs w:val="20"/>
              </w:rPr>
              <w:t>固 体 废 物</w:t>
            </w:r>
          </w:p>
        </w:tc>
        <w:tc>
          <w:tcPr>
            <w:tcW w:w="1123"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施工期</w:t>
            </w:r>
          </w:p>
        </w:tc>
        <w:tc>
          <w:tcPr>
            <w:tcW w:w="1913"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ind w:hanging="105"/>
              <w:jc w:val="center"/>
              <w:rPr>
                <w:rFonts w:ascii="仿宋_GB2312" w:hAnsi="仿宋" w:eastAsia="仿宋_GB2312" w:cs="仿宋"/>
                <w:sz w:val="20"/>
                <w:szCs w:val="20"/>
              </w:rPr>
            </w:pPr>
            <w:r>
              <w:rPr>
                <w:rFonts w:hint="eastAsia" w:ascii="仿宋_GB2312" w:hAnsi="仿宋" w:eastAsia="仿宋_GB2312" w:cs="仿宋"/>
                <w:sz w:val="20"/>
                <w:szCs w:val="20"/>
              </w:rPr>
              <w:t>少量土方及建筑垃圾</w:t>
            </w:r>
          </w:p>
        </w:tc>
        <w:tc>
          <w:tcPr>
            <w:tcW w:w="1877"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少量</w:t>
            </w:r>
          </w:p>
        </w:tc>
        <w:tc>
          <w:tcPr>
            <w:tcW w:w="2943"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少量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1195" w:hRule="atLeast"/>
        </w:trPr>
        <w:tc>
          <w:tcPr>
            <w:tcW w:w="988" w:type="dxa"/>
            <w:vMerge w:val="continue"/>
            <w:tcBorders>
              <w:top w:val="nil"/>
              <w:left w:val="single" w:color="000000" w:sz="2" w:space="0"/>
              <w:bottom w:val="single" w:color="000000" w:sz="2" w:space="0"/>
              <w:right w:val="single" w:color="000000" w:sz="2" w:space="0"/>
              <w:tl2br w:val="nil"/>
              <w:tr2bl w:val="nil"/>
            </w:tcBorders>
            <w:textDirection w:val="tbRlV"/>
            <w:vAlign w:val="center"/>
          </w:tcPr>
          <w:p>
            <w:pPr>
              <w:spacing w:line="300" w:lineRule="exact"/>
              <w:jc w:val="center"/>
              <w:rPr>
                <w:sz w:val="20"/>
                <w:szCs w:val="20"/>
              </w:rPr>
            </w:pPr>
          </w:p>
        </w:tc>
        <w:tc>
          <w:tcPr>
            <w:tcW w:w="1123"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运营期</w:t>
            </w:r>
          </w:p>
        </w:tc>
        <w:tc>
          <w:tcPr>
            <w:tcW w:w="1913"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rPr>
                <w:rFonts w:ascii="仿宋_GB2312" w:hAnsi="仿宋" w:eastAsia="仿宋_GB2312" w:cs="仿宋"/>
                <w:sz w:val="20"/>
                <w:szCs w:val="20"/>
              </w:rPr>
            </w:pPr>
            <w:r>
              <w:rPr>
                <w:rFonts w:hint="eastAsia" w:ascii="仿宋_GB2312" w:hAnsi="仿宋" w:eastAsia="仿宋_GB2312" w:cs="仿宋"/>
                <w:sz w:val="20"/>
                <w:szCs w:val="20"/>
              </w:rPr>
              <w:t>生产废物 (腐烂水果、清洗池 沉淀物)生活垃圾</w:t>
            </w:r>
          </w:p>
        </w:tc>
        <w:tc>
          <w:tcPr>
            <w:tcW w:w="1877"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position w:val="7"/>
                <w:sz w:val="20"/>
                <w:szCs w:val="20"/>
              </w:rPr>
              <w:t>生产废物大量</w:t>
            </w:r>
          </w:p>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生活垃圾大量</w:t>
            </w:r>
          </w:p>
        </w:tc>
        <w:tc>
          <w:tcPr>
            <w:tcW w:w="2943"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280" w:lineRule="exact"/>
              <w:jc w:val="left"/>
              <w:rPr>
                <w:rFonts w:ascii="仿宋_GB2312" w:hAnsi="仿宋" w:eastAsia="仿宋_GB2312" w:cs="仿宋"/>
                <w:sz w:val="20"/>
                <w:szCs w:val="20"/>
              </w:rPr>
            </w:pPr>
            <w:r>
              <w:rPr>
                <w:rFonts w:hint="eastAsia" w:ascii="仿宋_GB2312" w:hAnsi="仿宋" w:eastAsia="仿宋_GB2312" w:cs="仿宋"/>
                <w:sz w:val="20"/>
                <w:szCs w:val="20"/>
              </w:rPr>
              <w:t>生活垃圾以及生产过程产生的腐烂水果集中收集后由所在地环卫部门统一处理；清洗池沉淀泥沙用于绿化用土。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780" w:hRule="atLeast"/>
        </w:trPr>
        <w:tc>
          <w:tcPr>
            <w:tcW w:w="988" w:type="dxa"/>
            <w:vMerge w:val="restart"/>
            <w:tcBorders>
              <w:top w:val="single" w:color="000000" w:sz="2" w:space="0"/>
              <w:left w:val="single" w:color="000000" w:sz="2" w:space="0"/>
              <w:bottom w:val="nil"/>
              <w:right w:val="single" w:color="000000" w:sz="2" w:space="0"/>
              <w:tl2br w:val="nil"/>
              <w:tr2bl w:val="nil"/>
            </w:tcBorders>
            <w:textDirection w:val="tbRlV"/>
            <w:vAlign w:val="center"/>
          </w:tcPr>
          <w:p>
            <w:pPr>
              <w:spacing w:line="300" w:lineRule="exact"/>
              <w:jc w:val="center"/>
              <w:rPr>
                <w:rFonts w:ascii="黑体" w:hAnsi="黑体" w:eastAsia="黑体" w:cs="黑体"/>
                <w:sz w:val="20"/>
                <w:szCs w:val="20"/>
              </w:rPr>
            </w:pPr>
            <w:r>
              <w:rPr>
                <w:rFonts w:hint="eastAsia" w:ascii="黑体" w:hAnsi="黑体" w:eastAsia="黑体" w:cs="黑体"/>
                <w:sz w:val="20"/>
                <w:szCs w:val="20"/>
              </w:rPr>
              <w:t>噪 声</w:t>
            </w:r>
          </w:p>
        </w:tc>
        <w:tc>
          <w:tcPr>
            <w:tcW w:w="1123"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施工期</w:t>
            </w:r>
          </w:p>
        </w:tc>
        <w:tc>
          <w:tcPr>
            <w:tcW w:w="1913"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噪声</w:t>
            </w:r>
          </w:p>
        </w:tc>
        <w:tc>
          <w:tcPr>
            <w:tcW w:w="1877"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80—95 dB (A)</w:t>
            </w:r>
          </w:p>
        </w:tc>
        <w:tc>
          <w:tcPr>
            <w:tcW w:w="2943" w:type="dxa"/>
            <w:tcBorders>
              <w:top w:val="single" w:color="000000" w:sz="2" w:space="0"/>
              <w:left w:val="single" w:color="000000" w:sz="2" w:space="0"/>
              <w:bottom w:val="single" w:color="000000" w:sz="2" w:space="0"/>
              <w:righ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 w:eastAsia="仿宋_GB2312" w:cs="仿宋"/>
                <w:sz w:val="20"/>
                <w:szCs w:val="20"/>
              </w:rPr>
            </w:pPr>
            <w:r>
              <w:rPr>
                <w:rFonts w:hint="eastAsia" w:ascii="仿宋_GB2312" w:hAnsi="仿宋" w:eastAsia="仿宋_GB2312" w:cs="仿宋"/>
                <w:position w:val="8"/>
                <w:sz w:val="20"/>
                <w:szCs w:val="20"/>
              </w:rPr>
              <w:t>昼间 &lt; 60dB (A)</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 w:eastAsia="仿宋_GB2312" w:cs="仿宋"/>
                <w:sz w:val="20"/>
                <w:szCs w:val="20"/>
              </w:rPr>
            </w:pPr>
            <w:r>
              <w:rPr>
                <w:rFonts w:hint="eastAsia" w:ascii="仿宋_GB2312" w:hAnsi="仿宋" w:eastAsia="仿宋_GB2312" w:cs="仿宋"/>
                <w:sz w:val="20"/>
                <w:szCs w:val="20"/>
              </w:rPr>
              <w:t>夜间 &lt; 50dB (A)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798" w:hRule="atLeast"/>
        </w:trPr>
        <w:tc>
          <w:tcPr>
            <w:tcW w:w="988" w:type="dxa"/>
            <w:vMerge w:val="continue"/>
            <w:tcBorders>
              <w:top w:val="nil"/>
              <w:left w:val="single" w:color="000000" w:sz="2" w:space="0"/>
              <w:bottom w:val="single" w:color="000000" w:sz="2" w:space="0"/>
              <w:right w:val="single" w:color="000000" w:sz="2" w:space="0"/>
              <w:tl2br w:val="nil"/>
              <w:tr2bl w:val="nil"/>
            </w:tcBorders>
            <w:textDirection w:val="tbRlV"/>
          </w:tcPr>
          <w:p>
            <w:pPr>
              <w:spacing w:line="300" w:lineRule="exact"/>
              <w:rPr>
                <w:sz w:val="20"/>
                <w:szCs w:val="20"/>
              </w:rPr>
            </w:pPr>
          </w:p>
        </w:tc>
        <w:tc>
          <w:tcPr>
            <w:tcW w:w="1123"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运营期</w:t>
            </w:r>
          </w:p>
        </w:tc>
        <w:tc>
          <w:tcPr>
            <w:tcW w:w="1913"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噪声</w:t>
            </w:r>
          </w:p>
        </w:tc>
        <w:tc>
          <w:tcPr>
            <w:tcW w:w="1877"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300" w:lineRule="exact"/>
              <w:jc w:val="center"/>
              <w:rPr>
                <w:rFonts w:ascii="仿宋_GB2312" w:hAnsi="仿宋" w:eastAsia="仿宋_GB2312" w:cs="仿宋"/>
                <w:sz w:val="20"/>
                <w:szCs w:val="20"/>
              </w:rPr>
            </w:pPr>
            <w:r>
              <w:rPr>
                <w:rFonts w:hint="eastAsia" w:ascii="仿宋_GB2312" w:hAnsi="仿宋" w:eastAsia="仿宋_GB2312" w:cs="仿宋"/>
                <w:sz w:val="20"/>
                <w:szCs w:val="20"/>
              </w:rPr>
              <w:t>80—95dB (A)</w:t>
            </w:r>
          </w:p>
        </w:tc>
        <w:tc>
          <w:tcPr>
            <w:tcW w:w="2943" w:type="dxa"/>
            <w:tcBorders>
              <w:top w:val="single" w:color="000000" w:sz="2" w:space="0"/>
              <w:left w:val="single" w:color="000000" w:sz="2" w:space="0"/>
              <w:bottom w:val="single" w:color="000000" w:sz="2" w:space="0"/>
              <w:right w:val="single" w:color="000000" w:sz="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 w:eastAsia="仿宋_GB2312" w:cs="仿宋"/>
                <w:sz w:val="20"/>
                <w:szCs w:val="20"/>
              </w:rPr>
            </w:pPr>
            <w:r>
              <w:rPr>
                <w:rFonts w:hint="eastAsia" w:ascii="仿宋_GB2312" w:hAnsi="仿宋" w:eastAsia="仿宋_GB2312" w:cs="仿宋"/>
                <w:position w:val="8"/>
                <w:sz w:val="20"/>
                <w:szCs w:val="20"/>
              </w:rPr>
              <w:t>昼间 &lt; 60dB (A)</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仿宋" w:eastAsia="仿宋_GB2312" w:cs="仿宋"/>
                <w:sz w:val="20"/>
                <w:szCs w:val="20"/>
              </w:rPr>
            </w:pPr>
            <w:r>
              <w:rPr>
                <w:rFonts w:hint="eastAsia" w:ascii="仿宋_GB2312" w:hAnsi="仿宋" w:eastAsia="仿宋_GB2312" w:cs="仿宋"/>
                <w:sz w:val="20"/>
                <w:szCs w:val="20"/>
              </w:rPr>
              <w:t>夜间 &lt; 50dB (A)</w:t>
            </w:r>
          </w:p>
        </w:tc>
      </w:tr>
    </w:tbl>
    <w:p>
      <w:pPr>
        <w:pStyle w:val="6"/>
        <w:widowControl w:val="0"/>
        <w:spacing w:afterLines="0" w:line="58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（三）规划建设过程中的环境保护措施</w:t>
      </w:r>
    </w:p>
    <w:p>
      <w:pPr>
        <w:spacing w:line="580" w:lineRule="exact"/>
        <w:ind w:firstLine="649"/>
        <w:rPr>
          <w:rFonts w:ascii="仿宋_GB2312" w:hAnsi="仿宋_GB2312" w:eastAsia="仿宋_GB2312" w:cs="仿宋_GB2312"/>
          <w:sz w:val="32"/>
          <w:szCs w:val="32"/>
        </w:rPr>
      </w:pPr>
      <w:r>
        <w:rPr>
          <w:rFonts w:hint="eastAsia" w:ascii="仿宋_GB2312" w:hAnsi="仿宋_GB2312" w:eastAsia="仿宋_GB2312" w:cs="仿宋_GB2312"/>
          <w:sz w:val="32"/>
          <w:szCs w:val="32"/>
        </w:rPr>
        <w:t>为了避免规划建设过程中的环境问题，使县域冷链开发建设纳入经济发展和环境保护“双赢”的良性轨道，从规划开始，就要以循环经济理念为指导，以推行清洁生产、污染集中控制、污染物达标排放为主要手段，突出预防为主的原则，以控制和减缓其开发建设过程对环境的影响。</w:t>
      </w:r>
    </w:p>
    <w:p>
      <w:pPr>
        <w:spacing w:line="580" w:lineRule="exact"/>
        <w:ind w:firstLine="642" w:firstLineChars="200"/>
        <w:rPr>
          <w:rFonts w:ascii="仿宋_GB2312" w:hAnsi="仿宋_GB2312" w:eastAsia="仿宋_GB2312" w:cs="仿宋_GB2312"/>
          <w:spacing w:val="-4"/>
          <w:sz w:val="32"/>
          <w:szCs w:val="32"/>
        </w:rPr>
      </w:pPr>
      <w:r>
        <w:rPr>
          <w:rFonts w:hint="eastAsia" w:ascii="仿宋_GB2312" w:hAnsi="仿宋_GB2312" w:eastAsia="仿宋_GB2312" w:cs="仿宋_GB2312"/>
          <w:b/>
          <w:bCs/>
          <w:sz w:val="32"/>
          <w:szCs w:val="32"/>
        </w:rPr>
        <w:t>1.强</w:t>
      </w:r>
      <w:r>
        <w:rPr>
          <w:rFonts w:hint="eastAsia" w:ascii="仿宋_GB2312" w:hAnsi="仿宋_GB2312" w:eastAsia="仿宋_GB2312" w:cs="仿宋_GB2312"/>
          <w:b/>
          <w:bCs/>
          <w:spacing w:val="-4"/>
          <w:sz w:val="32"/>
          <w:szCs w:val="32"/>
        </w:rPr>
        <w:t>化环境保护意识。</w:t>
      </w:r>
      <w:r>
        <w:rPr>
          <w:rFonts w:hint="eastAsia" w:ascii="仿宋_GB2312" w:hAnsi="仿宋_GB2312" w:eastAsia="仿宋_GB2312" w:cs="仿宋_GB2312"/>
          <w:spacing w:val="-4"/>
          <w:sz w:val="32"/>
          <w:szCs w:val="32"/>
        </w:rPr>
        <w:t>各建设单位要设置专门的环境管理机构，配备专职人员负责环保，加强宣传教育，设立兼职环境保护监督员，共同管理和监督基地内各企业及公共设施的环保工作。</w:t>
      </w:r>
    </w:p>
    <w:p>
      <w:pPr>
        <w:spacing w:line="580" w:lineRule="exact"/>
        <w:ind w:firstLine="642"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2.合理规划环保基础设施布局。</w:t>
      </w:r>
      <w:r>
        <w:rPr>
          <w:rFonts w:hint="eastAsia" w:ascii="仿宋_GB2312" w:hAnsi="仿宋_GB2312" w:eastAsia="仿宋_GB2312" w:cs="仿宋_GB2312"/>
          <w:sz w:val="32"/>
          <w:szCs w:val="32"/>
        </w:rPr>
        <w:t>根据规划区域内的自然环境、资源状况和不同阶段的污染源，科学制定环境保护规划，按照规划环境影响评价的要求，合理布局环保设施，为污染物集中控制处理创造条件，减轻治理负荷。功能区布设既要考虑对外环境的影响，又要考虑到各功能区之间的影响，尽量做到环境影响最小化。</w:t>
      </w:r>
    </w:p>
    <w:p>
      <w:pPr>
        <w:spacing w:line="580" w:lineRule="exact"/>
        <w:ind w:firstLine="638"/>
        <w:rPr>
          <w:rFonts w:ascii="仿宋_GB2312" w:hAnsi="仿宋_GB2312" w:eastAsia="仿宋_GB2312" w:cs="仿宋_GB2312"/>
          <w:sz w:val="32"/>
          <w:szCs w:val="32"/>
        </w:rPr>
      </w:pPr>
      <w:r>
        <w:rPr>
          <w:rFonts w:hint="eastAsia" w:ascii="仿宋_GB2312" w:hAnsi="仿宋_GB2312" w:eastAsia="仿宋_GB2312" w:cs="仿宋_GB2312"/>
          <w:b/>
          <w:bCs/>
          <w:sz w:val="32"/>
          <w:szCs w:val="32"/>
        </w:rPr>
        <w:t>3.优化产业结构，严格企业入驻条件。</w:t>
      </w:r>
      <w:r>
        <w:rPr>
          <w:rFonts w:hint="eastAsia" w:ascii="仿宋_GB2312" w:hAnsi="仿宋_GB2312" w:eastAsia="仿宋_GB2312" w:cs="仿宋_GB2312"/>
          <w:sz w:val="32"/>
          <w:szCs w:val="32"/>
        </w:rPr>
        <w:t>严格控制、筛选入驻冷链物流园区、基地的项目，限制清洁生产水平低、高耗水工艺和装备的应用，最大限度降低水资源的消耗和污染物的产生量。明确企业入驻条件，禁止引进不符合园区、基地产业发展方向的企业和国家明文规定属于限制类、淘汰类的新建项目，合理规划功能区布局，要求具体入驻园区、基地项目须进行项目环境影响评价，执行“三同时”制度，坚决贯彻清洁生产和循环经济理念，控制新污染源的产生。</w:t>
      </w:r>
    </w:p>
    <w:p>
      <w:pPr>
        <w:spacing w:line="580" w:lineRule="exact"/>
        <w:ind w:firstLine="629"/>
        <w:rPr>
          <w:rFonts w:ascii="仿宋_GB2312" w:hAnsi="仿宋_GB2312" w:eastAsia="仿宋_GB2312" w:cs="仿宋_GB2312"/>
          <w:sz w:val="32"/>
          <w:szCs w:val="32"/>
        </w:rPr>
      </w:pPr>
      <w:r>
        <w:rPr>
          <w:rFonts w:hint="eastAsia" w:ascii="仿宋_GB2312" w:hAnsi="仿宋_GB2312" w:eastAsia="仿宋_GB2312" w:cs="仿宋_GB2312"/>
          <w:b/>
          <w:bCs/>
          <w:sz w:val="32"/>
          <w:szCs w:val="32"/>
        </w:rPr>
        <w:t>4.开展清洁生产，发展循环经济。</w:t>
      </w:r>
      <w:r>
        <w:rPr>
          <w:rFonts w:hint="eastAsia" w:ascii="仿宋_GB2312" w:hAnsi="仿宋_GB2312" w:eastAsia="仿宋_GB2312" w:cs="仿宋_GB2312"/>
          <w:sz w:val="32"/>
          <w:szCs w:val="32"/>
        </w:rPr>
        <w:t>以循环经济和可持续发展观念指导规划，将生态环保理念贯穿产业活动全过程，在生产过程中注重污染治理，通过选用清洁原料，降低生产能耗，减少污染物排放。以循环经济为指导，发展与冷链物流主导产业相关联的下游产业。生产工艺中最大限度的利用再循环材料，高效利用原料所蕴含的能量，最大限度减少“废弃物生产”，开展废弃物回收利用，提高废弃物和资源回收利用率。</w:t>
      </w:r>
    </w:p>
    <w:p>
      <w:pPr>
        <w:spacing w:line="580" w:lineRule="exact"/>
        <w:ind w:firstLine="637"/>
        <w:rPr>
          <w:rFonts w:ascii="仿宋_GB2312" w:hAnsi="仿宋_GB2312" w:eastAsia="仿宋_GB2312" w:cs="仿宋_GB2312"/>
          <w:sz w:val="32"/>
          <w:szCs w:val="32"/>
        </w:rPr>
      </w:pPr>
      <w:r>
        <w:rPr>
          <w:rFonts w:hint="eastAsia" w:ascii="仿宋_GB2312" w:hAnsi="仿宋_GB2312" w:eastAsia="仿宋_GB2312" w:cs="仿宋_GB2312"/>
          <w:b/>
          <w:bCs/>
          <w:sz w:val="32"/>
          <w:szCs w:val="32"/>
        </w:rPr>
        <w:t>5.做好规划实施过程中的环境保护。</w:t>
      </w:r>
      <w:r>
        <w:rPr>
          <w:rFonts w:hint="eastAsia" w:ascii="仿宋_GB2312" w:hAnsi="仿宋_GB2312" w:eastAsia="仿宋_GB2312" w:cs="仿宋_GB2312"/>
          <w:sz w:val="32"/>
          <w:szCs w:val="32"/>
        </w:rPr>
        <w:t>针对规划实施过程中不可避免带来噪音、扬尘、废水、生活垃圾、建筑垃圾等环境污染问题，要制定有效的防治措施，加强文明施工，将文明施工和安全施工引入到施工规范中，并要委派专人进行施工管理与维护，确保各项施工环境保护措施落到实处。冷链设施投入运营后，要以实现“产业结构合理化、区域布局集聚化、企业生产清洁化、环保管理规范化、执法监管常态化”为目标，推进冷链物流环境治理体系，建设绿色环保安全冷链物流示范基地。要严格落实环评文件要求，以碳中和碳达峰为目标，严格控制新建使用含氢氟氯烃生产设施的要求对其进行管理，严格执行国家有关消耗臭氧层物质管理的条例，避免产生以“氟利昂制冷剂代替氨制冷剂”的简单化做法所带来的环境问题，尽可能采用载冷剂间接制冷系统等替代方案，从而减轻对臭氧层的消耗。对运营期间产生的尾菜、腐烂农产品尾菜等，应在各片区建立易腐垃圾回收点，建设专门易腐智能化处理设备进行处理；同时，还要完善环境应急保障体系，明确基地环境风险防范和应急处置措施，不断提升基地环境风险防控和事故应急处置能力。</w:t>
      </w:r>
    </w:p>
    <w:p>
      <w:pPr>
        <w:spacing w:line="580" w:lineRule="exact"/>
        <w:ind w:firstLine="625"/>
        <w:rPr>
          <w:rFonts w:ascii="仿宋_GB2312" w:hAnsi="仿宋_GB2312" w:eastAsia="仿宋_GB2312" w:cs="仿宋_GB2312"/>
          <w:sz w:val="32"/>
          <w:szCs w:val="32"/>
        </w:rPr>
      </w:pPr>
      <w:r>
        <w:rPr>
          <w:rFonts w:hint="eastAsia" w:ascii="仿宋_GB2312" w:hAnsi="仿宋_GB2312" w:eastAsia="仿宋_GB2312" w:cs="仿宋_GB2312"/>
          <w:b/>
          <w:bCs/>
          <w:sz w:val="32"/>
          <w:szCs w:val="32"/>
        </w:rPr>
        <w:t>6.推动绿色低碳发展。</w:t>
      </w:r>
      <w:r>
        <w:rPr>
          <w:rFonts w:hint="eastAsia" w:ascii="仿宋_GB2312" w:hAnsi="仿宋_GB2312" w:eastAsia="仿宋_GB2312" w:cs="仿宋_GB2312"/>
          <w:sz w:val="32"/>
          <w:szCs w:val="32"/>
        </w:rPr>
        <w:t>物流业作为能源消耗和温室气体排放的重要行业之一，要按照碳达峰、碳中和为总体目标，依据国家节能降耗的总体要求，立足基地的实际，有计划、分步骤地开展节能减排。牢固树立节能减排和绿色物流的理念，认真全面引入节能减排绿色发展的观念，落实冷链物流各个环节节能减排措施，最大限度地降低物流园区、基地的能耗和污染排放；充分运用供应链理论等现代物流管理实用技术，加强物流运输组织和运力调配，有效整合社会零散运力，综合利用回程运力，降低车辆空驶率，提高货运实载率，降低能耗水平，全面提高环保节能技</w:t>
      </w:r>
      <w:bookmarkStart w:id="33" w:name="_bookmark48"/>
      <w:bookmarkEnd w:id="33"/>
      <w:r>
        <w:rPr>
          <w:rFonts w:hint="eastAsia" w:ascii="仿宋_GB2312" w:hAnsi="仿宋_GB2312" w:eastAsia="仿宋_GB2312" w:cs="仿宋_GB2312"/>
          <w:sz w:val="32"/>
          <w:szCs w:val="32"/>
        </w:rPr>
        <w:t>术水平。</w:t>
      </w:r>
    </w:p>
    <w:p>
      <w:pPr>
        <w:pStyle w:val="6"/>
        <w:widowControl w:val="0"/>
        <w:spacing w:afterLines="0" w:line="400" w:lineRule="exact"/>
        <w:ind w:firstLine="0" w:firstLineChars="0"/>
        <w:jc w:val="center"/>
        <w:rPr>
          <w:rFonts w:ascii="黑体" w:hAnsi="黑体" w:eastAsia="黑体" w:cs="黑体"/>
          <w:sz w:val="32"/>
          <w:szCs w:val="32"/>
        </w:rPr>
      </w:pPr>
    </w:p>
    <w:p>
      <w:pPr>
        <w:pStyle w:val="6"/>
        <w:widowControl w:val="0"/>
        <w:spacing w:afterLines="0" w:line="400" w:lineRule="exact"/>
        <w:ind w:firstLine="0" w:firstLineChars="0"/>
        <w:jc w:val="center"/>
        <w:rPr>
          <w:rFonts w:ascii="黑体" w:hAnsi="黑体" w:eastAsia="黑体" w:cs="黑体"/>
          <w:sz w:val="32"/>
          <w:szCs w:val="32"/>
        </w:rPr>
      </w:pPr>
      <w:r>
        <w:rPr>
          <w:rFonts w:hint="eastAsia" w:ascii="黑体" w:hAnsi="黑体" w:eastAsia="黑体" w:cs="黑体"/>
          <w:sz w:val="32"/>
          <w:szCs w:val="32"/>
        </w:rPr>
        <w:t>第八章  保障措施</w:t>
      </w:r>
    </w:p>
    <w:p>
      <w:pPr>
        <w:pStyle w:val="6"/>
        <w:widowControl w:val="0"/>
        <w:spacing w:afterLines="0" w:line="400" w:lineRule="exact"/>
        <w:ind w:firstLine="0" w:firstLineChars="0"/>
        <w:jc w:val="center"/>
        <w:rPr>
          <w:rFonts w:ascii="仿宋_GB2312" w:hAnsi="仿宋_GB2312" w:eastAsia="仿宋_GB2312" w:cs="仿宋_GB2312"/>
          <w:sz w:val="32"/>
          <w:szCs w:val="32"/>
        </w:rPr>
      </w:pPr>
    </w:p>
    <w:p>
      <w:pPr>
        <w:pStyle w:val="6"/>
        <w:widowControl w:val="0"/>
        <w:spacing w:afterLines="0" w:line="58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（一）强化组织保障。</w:t>
      </w:r>
      <w:r>
        <w:rPr>
          <w:rFonts w:hint="eastAsia" w:ascii="仿宋_GB2312" w:hAnsi="仿宋_GB2312" w:eastAsia="仿宋_GB2312" w:cs="仿宋_GB2312"/>
          <w:sz w:val="32"/>
          <w:szCs w:val="32"/>
        </w:rPr>
        <w:t>将冷链物流业高质量发展作为全县“十四五”重点建设内容，建立冷链物流发展联席会议制度，成立由政府分管领导牵头，发改局、工信商务局、农业农村局、市场监管局、财政局等相关部门和各镇及相关协会、企业共同参与工作推动机制。工信商务局负责日常协调推动，发挥各成员单位职能作用，共同推进规划实施，确保各项政策措施有效落实。定期召开协调调度会，研究解决冷链物流发展中存在的突出问题，对规划项目加强监督和跟踪，加快冷链物流基础建设进度，加大冷链市场监管，确保各项措施真正落到实处。</w:t>
      </w: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（二）保障合理用地需求。</w:t>
      </w:r>
      <w:r>
        <w:rPr>
          <w:rFonts w:hint="eastAsia" w:ascii="仿宋_GB2312" w:hAnsi="仿宋_GB2312" w:eastAsia="仿宋_GB2312" w:cs="仿宋_GB2312"/>
          <w:sz w:val="32"/>
          <w:szCs w:val="32"/>
        </w:rPr>
        <w:t>将冷链物流用地纳入国土空间规划和有关详细规划，在用地布局、审批以及不动产登记方面予以支持。对省、市级重大冷链物流建设项目的用地需求，积极争取省级安排新增建设用地计划指标，项目所在地及时保障供地。田间地头服务于农业生产的预冷设施，在不修建永久性建筑物、不破坏耕作层、不占用永久基本农田的前提下，纳入设施农用地管理。鼓励和支持利用工业企业旧厂房、仓库和存量土地资源建设符合规划的冷链物流设施或提供冷链物流服务，涉及原划拨土地使用权转让和租赁的，政府有关部门开设绿色通道按规定及时办理土地有偿使用手续。</w:t>
      </w:r>
    </w:p>
    <w:p>
      <w:pPr>
        <w:pStyle w:val="6"/>
        <w:widowControl w:val="0"/>
        <w:spacing w:afterLines="0" w:line="58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（三）加大资金扶持力度。</w:t>
      </w:r>
      <w:r>
        <w:rPr>
          <w:rFonts w:hint="eastAsia" w:ascii="仿宋_GB2312" w:hAnsi="仿宋_GB2312" w:eastAsia="仿宋_GB2312" w:cs="仿宋_GB2312"/>
          <w:sz w:val="32"/>
          <w:szCs w:val="32"/>
        </w:rPr>
        <w:t>根据国家发展改革委《城乡冷链和国家物流枢纽建设中央预算内投资专项管理办法》(发改经贸规〔2021〕817号)的要求，以申报国家骨干冷链物流基地为动力，科学规划县域冷链物流中心，包装和打造一批物流基础设施补短板建设项目，有关部门协助有关企业积极争取国家、甘肃省有关扶持资金，加大对冷链物流项目的投资，加快补齐县域冷链物流短板；在冷链保险设施、冷藏运输工具、冷链物流技术研发、产品质量认证和追溯、冷链物流标准制定及标准化示范、冷链物流平台建设等方面给予重点扶持；积极鼓励有条件的冷链物流企业通过投资入股等方式，改造和新建一批公益性农产品批发市场；鼓励企业通过银行贷款、股票上市、发行债券、增资扩股等有效途径筹集建设资金，加大对冷链物流基础设施建设的投入；推动县域内各金融机构针对冷链物流业的金融服务需求特点，创新金融产品和服务方式，持续加大信贷投放力度，合理确定贷款额度、利率、期限等贷款要素，支持冷链物流行业加快发展。</w:t>
      </w: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（四）强化政策扶持。</w:t>
      </w:r>
      <w:r>
        <w:rPr>
          <w:rFonts w:hint="eastAsia" w:ascii="仿宋_GB2312" w:hAnsi="仿宋_GB2312" w:eastAsia="仿宋_GB2312" w:cs="仿宋_GB2312"/>
          <w:sz w:val="32"/>
          <w:szCs w:val="32"/>
        </w:rPr>
        <w:t>结合国家冷链物流骨干通道网络建设，推进张掖丹霞综合货运枢纽和镇级综合服务站（公交首末站与镇级物流中心共建复用）建设。将冷链物流重点建设项目作为准公共服务设施纳入国土空间规划，在用地布局、审批以及土地登记方面予以倾斜；积极推动冷链物流企业用水用电用气价格与工业同价；继续执行鲜活农产品的“绿色通道”政策；加强城市配送冷藏车标识管理，指导、完善、优化城市配送冷藏车通行和停靠管理措施，给予车辆通行便利政策；鼓励引导物流园区、综合服务站拓展冷链物流服务功能，完善冷藏保鲜、移动仓储、低温分拣等设施设备，为冷链物流运输提供运营场所，提升冷链运输支撑保障能力。</w:t>
      </w:r>
    </w:p>
    <w:p>
      <w:pPr>
        <w:pStyle w:val="6"/>
        <w:widowControl w:val="0"/>
        <w:spacing w:afterLines="0" w:line="58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（五）拓宽融资渠道。</w:t>
      </w:r>
      <w:r>
        <w:rPr>
          <w:rFonts w:hint="eastAsia" w:ascii="仿宋_GB2312" w:hAnsi="仿宋_GB2312" w:eastAsia="仿宋_GB2312" w:cs="仿宋_GB2312"/>
          <w:sz w:val="32"/>
          <w:szCs w:val="32"/>
        </w:rPr>
        <w:t>按照市场化运作原则，进一步拓宽企业对冷链设施投资的融资渠道，积极引导金融机构对符合条件的冷链物流企业加大投融资支持，创新配套金融服务。针对制约冷链物流行业发展的突出短板，探索鼓励社会资本通过设立产业发展基金等多种方式参与投资建设。在积极争取国家、省冷链领域的基础设施投入的同时，由政府层面引导引进全国性综合性领域龙头企业，加大冷链基础设施建设力度，提升全链条的冷链流通率，提高冷链物流效率。相关部门应用好专项资金扶持冷链基础设施建设，避免“阳光普照”型财政补贴措施，造成小型冷链企业为享受财政补贴重复建设低端冷链设施。积极探索其他区域性综合开发投融资模式，在符合国家及地方规划的前提下对冷链物流园区成片区域进行系统性地改造、建设和运营，最大程度的吸引社会资本投入到县域冷链物流的建设中来，不断拓宽冷链物流投融资渠道。</w:t>
      </w:r>
    </w:p>
    <w:p>
      <w:pPr>
        <w:pStyle w:val="6"/>
        <w:widowControl w:val="0"/>
        <w:spacing w:afterLines="0" w:line="58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（六）加大人才培育力度。</w:t>
      </w:r>
      <w:r>
        <w:rPr>
          <w:rFonts w:hint="eastAsia" w:ascii="仿宋_GB2312" w:hAnsi="仿宋_GB2312" w:eastAsia="仿宋_GB2312" w:cs="仿宋_GB2312"/>
          <w:sz w:val="32"/>
          <w:szCs w:val="32"/>
        </w:rPr>
        <w:t>充分发挥人社、组织部门职能作用，建立柔性灵活的人才激励机制，加强冷链物流人才培养，引导冷链物流企业采用校企合作、工学结合的方式，建立理论与实践并重、知识与能力兼修的特色冷链物流人才培养模式。动员企业针对冷链物流人才所需知识结构、操作技能、职业素养开展专门的培养，为冷链物流体系建设储备高技能人才。通过发布用工信息、开展线上线下招聘会等方式，为冷链物流企业搭建平台，吸引具有较强能力的专业型人才。</w:t>
      </w:r>
    </w:p>
    <w:bookmarkEnd w:id="1"/>
    <w:bookmarkEnd w:id="2"/>
    <w:p>
      <w:pPr>
        <w:pStyle w:val="3"/>
        <w:spacing w:line="600" w:lineRule="exact"/>
      </w:pPr>
    </w:p>
    <w:p>
      <w:pPr>
        <w:spacing w:line="600" w:lineRule="exact"/>
        <w:ind w:firstLine="420" w:firstLineChars="150"/>
        <w:rPr>
          <w:rFonts w:ascii="仿宋_GB2312" w:hAnsi="仿宋_GB2312" w:eastAsia="仿宋_GB2312" w:cs="仿宋_GB2312"/>
          <w:sz w:val="28"/>
          <w:szCs w:val="28"/>
        </w:rPr>
      </w:pPr>
    </w:p>
    <w:p>
      <w:pPr>
        <w:pStyle w:val="2"/>
      </w:pPr>
    </w:p>
    <w:p>
      <w:pPr>
        <w:pStyle w:val="3"/>
        <w:rPr>
          <w:lang w:val="en-US" w:bidi="ar-SA"/>
        </w:rPr>
      </w:pPr>
    </w:p>
    <w:p>
      <w:pPr>
        <w:pStyle w:val="3"/>
        <w:rPr>
          <w:lang w:val="en-US" w:bidi="ar-SA"/>
        </w:rPr>
      </w:pPr>
    </w:p>
    <w:p>
      <w:pPr>
        <w:pStyle w:val="3"/>
        <w:rPr>
          <w:lang w:val="en-US" w:bidi="ar-SA"/>
        </w:rPr>
      </w:pPr>
    </w:p>
    <w:p>
      <w:pPr>
        <w:pStyle w:val="3"/>
        <w:spacing w:line="240" w:lineRule="exact"/>
        <w:rPr>
          <w:rFonts w:hint="eastAsia"/>
          <w:lang w:val="en-US" w:bidi="ar-SA"/>
        </w:rPr>
      </w:pPr>
    </w:p>
    <w:p>
      <w:pPr>
        <w:pStyle w:val="3"/>
        <w:spacing w:line="240" w:lineRule="exact"/>
        <w:rPr>
          <w:rFonts w:hint="eastAsia"/>
          <w:lang w:val="en-US" w:bidi="ar-SA"/>
        </w:rPr>
      </w:pPr>
    </w:p>
    <w:p>
      <w:pPr>
        <w:pStyle w:val="3"/>
        <w:spacing w:line="240" w:lineRule="exact"/>
        <w:rPr>
          <w:rFonts w:hint="eastAsia"/>
          <w:lang w:val="en-US" w:bidi="ar-SA"/>
        </w:rPr>
      </w:pPr>
    </w:p>
    <w:p>
      <w:pPr>
        <w:pStyle w:val="3"/>
        <w:spacing w:line="240" w:lineRule="exact"/>
        <w:rPr>
          <w:lang w:val="en-US" w:bidi="ar-SA"/>
        </w:rPr>
      </w:pPr>
    </w:p>
    <w:p>
      <w:pPr>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抄送：县委办公室，县人大常委会办公室，县政协办公室。</w:t>
      </w:r>
    </w:p>
    <w:p>
      <w:pPr>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公开属性：主动公开</w:t>
      </w:r>
    </w:p>
    <w:sectPr>
      <w:footerReference r:id="rId3" w:type="default"/>
      <w:footerReference r:id="rId4" w:type="even"/>
      <w:pgSz w:w="11906" w:h="16838"/>
      <w:pgMar w:top="1701" w:right="1588" w:bottom="1701"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roman"/>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大黑简体">
    <w:altName w:val="方正黑体_GBK"/>
    <w:panose1 w:val="00000000000000000000"/>
    <w:charset w:val="86"/>
    <w:family w:val="auto"/>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等线">
    <w:altName w:val="仿宋_GB2312"/>
    <w:panose1 w:val="00000000000000000000"/>
    <w:charset w:val="00"/>
    <w:family w:val="auto"/>
    <w:pitch w:val="default"/>
    <w:sig w:usb0="00000000" w:usb1="00000000" w:usb2="00000000" w:usb3="00000000" w:csb0="00000000" w:csb1="00000000"/>
  </w:font>
  <w:font w:name="Noto Sans CJK JP Bold">
    <w:panose1 w:val="020B0800000000000000"/>
    <w:charset w:val="86"/>
    <w:family w:val="auto"/>
    <w:pitch w:val="default"/>
    <w:sig w:usb0="30000003" w:usb1="2BDF3C10" w:usb2="00000016" w:usb3="00000000" w:csb0="602E0107"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24080012"/>
      <w:docPartObj>
        <w:docPartGallery w:val="autotext"/>
      </w:docPartObj>
    </w:sdtPr>
    <w:sdtEndPr>
      <w:rPr>
        <w:rFonts w:ascii="宋体" w:hAnsi="宋体" w:eastAsia="宋体"/>
        <w:sz w:val="28"/>
        <w:szCs w:val="28"/>
      </w:rPr>
    </w:sdtEndPr>
    <w:sdtContent>
      <w:p>
        <w:pPr>
          <w:pStyle w:val="22"/>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59 -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24080009"/>
      <w:docPartObj>
        <w:docPartGallery w:val="autotext"/>
      </w:docPartObj>
    </w:sdtPr>
    <w:sdtEndPr>
      <w:rPr>
        <w:rFonts w:ascii="宋体" w:hAnsi="宋体" w:eastAsia="宋体"/>
        <w:sz w:val="28"/>
        <w:szCs w:val="28"/>
      </w:rPr>
    </w:sdtEndPr>
    <w:sdtContent>
      <w:p>
        <w:pPr>
          <w:pStyle w:val="22"/>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60 -</w:t>
        </w:r>
        <w:r>
          <w:rPr>
            <w:rFonts w:ascii="宋体" w:hAnsi="宋体" w:eastAsia="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74044"/>
    <w:multiLevelType w:val="multilevel"/>
    <w:tmpl w:val="0B574044"/>
    <w:lvl w:ilvl="0" w:tentative="0">
      <w:start w:val="1"/>
      <w:numFmt w:val="decimal"/>
      <w:pStyle w:val="42"/>
      <w:lvlText w:val="1.%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EwZGNhMTI1ZjM2MzBiNThjMGY3MTYwY2MzNGM4NjQifQ=="/>
  </w:docVars>
  <w:rsids>
    <w:rsidRoot w:val="00172A27"/>
    <w:rsid w:val="00000042"/>
    <w:rsid w:val="00004CCA"/>
    <w:rsid w:val="00004DE9"/>
    <w:rsid w:val="000051CE"/>
    <w:rsid w:val="00016B5C"/>
    <w:rsid w:val="000176DD"/>
    <w:rsid w:val="0001770E"/>
    <w:rsid w:val="0001796F"/>
    <w:rsid w:val="00017BB2"/>
    <w:rsid w:val="00017F48"/>
    <w:rsid w:val="00020370"/>
    <w:rsid w:val="00020CDD"/>
    <w:rsid w:val="00023B4F"/>
    <w:rsid w:val="000247BB"/>
    <w:rsid w:val="0003412D"/>
    <w:rsid w:val="00035466"/>
    <w:rsid w:val="000435B5"/>
    <w:rsid w:val="00044932"/>
    <w:rsid w:val="000511E6"/>
    <w:rsid w:val="00055196"/>
    <w:rsid w:val="00055642"/>
    <w:rsid w:val="00057F10"/>
    <w:rsid w:val="00062B30"/>
    <w:rsid w:val="0006686C"/>
    <w:rsid w:val="000670D5"/>
    <w:rsid w:val="000677E1"/>
    <w:rsid w:val="00082248"/>
    <w:rsid w:val="000832C2"/>
    <w:rsid w:val="000841D2"/>
    <w:rsid w:val="00086471"/>
    <w:rsid w:val="00092453"/>
    <w:rsid w:val="00092864"/>
    <w:rsid w:val="00095449"/>
    <w:rsid w:val="000A1015"/>
    <w:rsid w:val="000A2DE5"/>
    <w:rsid w:val="000A3282"/>
    <w:rsid w:val="000A4078"/>
    <w:rsid w:val="000A6071"/>
    <w:rsid w:val="000A6EFD"/>
    <w:rsid w:val="000C6A10"/>
    <w:rsid w:val="000C6EDF"/>
    <w:rsid w:val="000D1DFC"/>
    <w:rsid w:val="000D2630"/>
    <w:rsid w:val="000D6A4E"/>
    <w:rsid w:val="000D725B"/>
    <w:rsid w:val="000E309E"/>
    <w:rsid w:val="000F5198"/>
    <w:rsid w:val="000F704D"/>
    <w:rsid w:val="00104547"/>
    <w:rsid w:val="00104614"/>
    <w:rsid w:val="00106154"/>
    <w:rsid w:val="0011216A"/>
    <w:rsid w:val="00115265"/>
    <w:rsid w:val="00122AD7"/>
    <w:rsid w:val="00124138"/>
    <w:rsid w:val="00130148"/>
    <w:rsid w:val="00141FD8"/>
    <w:rsid w:val="00147E75"/>
    <w:rsid w:val="00154394"/>
    <w:rsid w:val="00156857"/>
    <w:rsid w:val="00157820"/>
    <w:rsid w:val="00163A9B"/>
    <w:rsid w:val="00165592"/>
    <w:rsid w:val="0016721E"/>
    <w:rsid w:val="00171012"/>
    <w:rsid w:val="00172A27"/>
    <w:rsid w:val="00173E2C"/>
    <w:rsid w:val="0018406C"/>
    <w:rsid w:val="00190054"/>
    <w:rsid w:val="00193AEE"/>
    <w:rsid w:val="00194E7F"/>
    <w:rsid w:val="001A3D95"/>
    <w:rsid w:val="001A3F60"/>
    <w:rsid w:val="001A6FBF"/>
    <w:rsid w:val="001B1BD2"/>
    <w:rsid w:val="001B487D"/>
    <w:rsid w:val="001B6E12"/>
    <w:rsid w:val="001C2338"/>
    <w:rsid w:val="001C3F79"/>
    <w:rsid w:val="001C7382"/>
    <w:rsid w:val="001D5135"/>
    <w:rsid w:val="001E06C4"/>
    <w:rsid w:val="001E2E0A"/>
    <w:rsid w:val="001E7D5C"/>
    <w:rsid w:val="001F33CB"/>
    <w:rsid w:val="001F760B"/>
    <w:rsid w:val="00202D56"/>
    <w:rsid w:val="002052FB"/>
    <w:rsid w:val="00210CF8"/>
    <w:rsid w:val="0021190C"/>
    <w:rsid w:val="002227EA"/>
    <w:rsid w:val="00226060"/>
    <w:rsid w:val="002354B6"/>
    <w:rsid w:val="00242F32"/>
    <w:rsid w:val="00250C04"/>
    <w:rsid w:val="00261E68"/>
    <w:rsid w:val="00262C62"/>
    <w:rsid w:val="00263366"/>
    <w:rsid w:val="00265A79"/>
    <w:rsid w:val="002708A2"/>
    <w:rsid w:val="00273851"/>
    <w:rsid w:val="002749D6"/>
    <w:rsid w:val="00283D4A"/>
    <w:rsid w:val="00286837"/>
    <w:rsid w:val="00290713"/>
    <w:rsid w:val="0029589E"/>
    <w:rsid w:val="002A05B5"/>
    <w:rsid w:val="002A72A7"/>
    <w:rsid w:val="002A7887"/>
    <w:rsid w:val="002B3D6E"/>
    <w:rsid w:val="002B3F5D"/>
    <w:rsid w:val="002B44A9"/>
    <w:rsid w:val="002B4EE2"/>
    <w:rsid w:val="002B55E3"/>
    <w:rsid w:val="002B61E7"/>
    <w:rsid w:val="002C2815"/>
    <w:rsid w:val="002C35DF"/>
    <w:rsid w:val="002C3993"/>
    <w:rsid w:val="002C3C39"/>
    <w:rsid w:val="002C5E4F"/>
    <w:rsid w:val="002D25FB"/>
    <w:rsid w:val="002D2E9C"/>
    <w:rsid w:val="002D4428"/>
    <w:rsid w:val="002E7CCB"/>
    <w:rsid w:val="002F50F2"/>
    <w:rsid w:val="00301705"/>
    <w:rsid w:val="0030173B"/>
    <w:rsid w:val="00304067"/>
    <w:rsid w:val="00305CA2"/>
    <w:rsid w:val="00307835"/>
    <w:rsid w:val="00312F1C"/>
    <w:rsid w:val="00323344"/>
    <w:rsid w:val="00336A91"/>
    <w:rsid w:val="00337AF7"/>
    <w:rsid w:val="00354A8B"/>
    <w:rsid w:val="00355AA9"/>
    <w:rsid w:val="003602FB"/>
    <w:rsid w:val="003627CF"/>
    <w:rsid w:val="0036286E"/>
    <w:rsid w:val="00367677"/>
    <w:rsid w:val="00367CC4"/>
    <w:rsid w:val="00376BFF"/>
    <w:rsid w:val="00381C06"/>
    <w:rsid w:val="0038600A"/>
    <w:rsid w:val="00386BFC"/>
    <w:rsid w:val="00387CE4"/>
    <w:rsid w:val="0039008C"/>
    <w:rsid w:val="003914BC"/>
    <w:rsid w:val="003925F4"/>
    <w:rsid w:val="00393410"/>
    <w:rsid w:val="003978D1"/>
    <w:rsid w:val="003A121F"/>
    <w:rsid w:val="003A7B3F"/>
    <w:rsid w:val="003B00B8"/>
    <w:rsid w:val="003B2F4D"/>
    <w:rsid w:val="003B30C4"/>
    <w:rsid w:val="003B602D"/>
    <w:rsid w:val="003B7A65"/>
    <w:rsid w:val="003C32F0"/>
    <w:rsid w:val="003C4E62"/>
    <w:rsid w:val="003C5773"/>
    <w:rsid w:val="003C619B"/>
    <w:rsid w:val="003D05DF"/>
    <w:rsid w:val="003D3B50"/>
    <w:rsid w:val="003E00E4"/>
    <w:rsid w:val="003E1483"/>
    <w:rsid w:val="003E18B9"/>
    <w:rsid w:val="003E7F6E"/>
    <w:rsid w:val="003F1C9B"/>
    <w:rsid w:val="003F278F"/>
    <w:rsid w:val="003F2FAE"/>
    <w:rsid w:val="003F396B"/>
    <w:rsid w:val="003F4224"/>
    <w:rsid w:val="003F66A8"/>
    <w:rsid w:val="00400FEB"/>
    <w:rsid w:val="00406C5A"/>
    <w:rsid w:val="00421BF3"/>
    <w:rsid w:val="004252B1"/>
    <w:rsid w:val="00425BB8"/>
    <w:rsid w:val="00425F0A"/>
    <w:rsid w:val="00426E38"/>
    <w:rsid w:val="00431620"/>
    <w:rsid w:val="00432475"/>
    <w:rsid w:val="004341E3"/>
    <w:rsid w:val="00437D09"/>
    <w:rsid w:val="004407FE"/>
    <w:rsid w:val="00446D6F"/>
    <w:rsid w:val="004507B2"/>
    <w:rsid w:val="004511BA"/>
    <w:rsid w:val="00453208"/>
    <w:rsid w:val="00453C33"/>
    <w:rsid w:val="004578FB"/>
    <w:rsid w:val="00462402"/>
    <w:rsid w:val="0046303A"/>
    <w:rsid w:val="004706F9"/>
    <w:rsid w:val="004726B5"/>
    <w:rsid w:val="00482AA8"/>
    <w:rsid w:val="004858F5"/>
    <w:rsid w:val="0049016F"/>
    <w:rsid w:val="00492BFD"/>
    <w:rsid w:val="00494A5E"/>
    <w:rsid w:val="00495355"/>
    <w:rsid w:val="004A255F"/>
    <w:rsid w:val="004A71B5"/>
    <w:rsid w:val="004B2065"/>
    <w:rsid w:val="004B2F8F"/>
    <w:rsid w:val="004B5080"/>
    <w:rsid w:val="004B5916"/>
    <w:rsid w:val="004B7BD7"/>
    <w:rsid w:val="004C1930"/>
    <w:rsid w:val="004C4248"/>
    <w:rsid w:val="004C7A6A"/>
    <w:rsid w:val="004D3345"/>
    <w:rsid w:val="004F1975"/>
    <w:rsid w:val="004F7BCE"/>
    <w:rsid w:val="0050109E"/>
    <w:rsid w:val="00504DA8"/>
    <w:rsid w:val="00504E9A"/>
    <w:rsid w:val="00515E58"/>
    <w:rsid w:val="005167BF"/>
    <w:rsid w:val="0052348A"/>
    <w:rsid w:val="00527B38"/>
    <w:rsid w:val="00542C92"/>
    <w:rsid w:val="00560AA1"/>
    <w:rsid w:val="005611D2"/>
    <w:rsid w:val="005613B3"/>
    <w:rsid w:val="00561B68"/>
    <w:rsid w:val="00562224"/>
    <w:rsid w:val="0056654F"/>
    <w:rsid w:val="005706C4"/>
    <w:rsid w:val="005752FB"/>
    <w:rsid w:val="00582690"/>
    <w:rsid w:val="00585D14"/>
    <w:rsid w:val="005865EE"/>
    <w:rsid w:val="005902FD"/>
    <w:rsid w:val="0059064A"/>
    <w:rsid w:val="0059336D"/>
    <w:rsid w:val="005A0420"/>
    <w:rsid w:val="005A16E3"/>
    <w:rsid w:val="005B7848"/>
    <w:rsid w:val="005B7918"/>
    <w:rsid w:val="005C69D5"/>
    <w:rsid w:val="005D2C31"/>
    <w:rsid w:val="005D2E68"/>
    <w:rsid w:val="005D6DB0"/>
    <w:rsid w:val="005D7786"/>
    <w:rsid w:val="00601BBA"/>
    <w:rsid w:val="00602E37"/>
    <w:rsid w:val="00603771"/>
    <w:rsid w:val="0062158C"/>
    <w:rsid w:val="00623664"/>
    <w:rsid w:val="006327D5"/>
    <w:rsid w:val="00634619"/>
    <w:rsid w:val="0063555D"/>
    <w:rsid w:val="00643438"/>
    <w:rsid w:val="00646A3C"/>
    <w:rsid w:val="00646B41"/>
    <w:rsid w:val="006554B8"/>
    <w:rsid w:val="00663EE1"/>
    <w:rsid w:val="00664E1E"/>
    <w:rsid w:val="00672436"/>
    <w:rsid w:val="006813CC"/>
    <w:rsid w:val="00682388"/>
    <w:rsid w:val="00686B6A"/>
    <w:rsid w:val="006921D7"/>
    <w:rsid w:val="006B1A98"/>
    <w:rsid w:val="006C02CE"/>
    <w:rsid w:val="006C1BF8"/>
    <w:rsid w:val="006C3E79"/>
    <w:rsid w:val="006C4AB1"/>
    <w:rsid w:val="006D0C7F"/>
    <w:rsid w:val="006D3400"/>
    <w:rsid w:val="006D395F"/>
    <w:rsid w:val="006E4A4C"/>
    <w:rsid w:val="006E6910"/>
    <w:rsid w:val="006F0BA8"/>
    <w:rsid w:val="006F2CF6"/>
    <w:rsid w:val="006F4D38"/>
    <w:rsid w:val="006F7BD5"/>
    <w:rsid w:val="00700BC4"/>
    <w:rsid w:val="007043FE"/>
    <w:rsid w:val="00704CEE"/>
    <w:rsid w:val="00713371"/>
    <w:rsid w:val="0071587B"/>
    <w:rsid w:val="0072366C"/>
    <w:rsid w:val="00730CCA"/>
    <w:rsid w:val="00736FE3"/>
    <w:rsid w:val="007379E3"/>
    <w:rsid w:val="00740A37"/>
    <w:rsid w:val="007438BC"/>
    <w:rsid w:val="007461E9"/>
    <w:rsid w:val="00752722"/>
    <w:rsid w:val="00760494"/>
    <w:rsid w:val="00767D76"/>
    <w:rsid w:val="00771ED7"/>
    <w:rsid w:val="0077331F"/>
    <w:rsid w:val="0077569D"/>
    <w:rsid w:val="00776B2F"/>
    <w:rsid w:val="0078039C"/>
    <w:rsid w:val="0078046E"/>
    <w:rsid w:val="007861BB"/>
    <w:rsid w:val="00790CCB"/>
    <w:rsid w:val="00790D15"/>
    <w:rsid w:val="0079190B"/>
    <w:rsid w:val="007A056A"/>
    <w:rsid w:val="007A556B"/>
    <w:rsid w:val="007B08C2"/>
    <w:rsid w:val="007B20C3"/>
    <w:rsid w:val="007B25DE"/>
    <w:rsid w:val="007B6107"/>
    <w:rsid w:val="007B7016"/>
    <w:rsid w:val="007B7A89"/>
    <w:rsid w:val="007C6B33"/>
    <w:rsid w:val="007C6BCC"/>
    <w:rsid w:val="007C719D"/>
    <w:rsid w:val="007D555C"/>
    <w:rsid w:val="007E15D3"/>
    <w:rsid w:val="007E2EB5"/>
    <w:rsid w:val="007E4F97"/>
    <w:rsid w:val="007F12E7"/>
    <w:rsid w:val="007F28E9"/>
    <w:rsid w:val="007F5C39"/>
    <w:rsid w:val="008008F0"/>
    <w:rsid w:val="00810134"/>
    <w:rsid w:val="00820295"/>
    <w:rsid w:val="00830F61"/>
    <w:rsid w:val="008405E5"/>
    <w:rsid w:val="00840EC6"/>
    <w:rsid w:val="00844D47"/>
    <w:rsid w:val="008521E9"/>
    <w:rsid w:val="00857459"/>
    <w:rsid w:val="008605E5"/>
    <w:rsid w:val="0086219F"/>
    <w:rsid w:val="0086406F"/>
    <w:rsid w:val="0086591D"/>
    <w:rsid w:val="008667CF"/>
    <w:rsid w:val="00875814"/>
    <w:rsid w:val="008760A6"/>
    <w:rsid w:val="008770FE"/>
    <w:rsid w:val="0088103C"/>
    <w:rsid w:val="0088631A"/>
    <w:rsid w:val="008A06A3"/>
    <w:rsid w:val="008A0EF5"/>
    <w:rsid w:val="008A253B"/>
    <w:rsid w:val="008B1D10"/>
    <w:rsid w:val="008B60B3"/>
    <w:rsid w:val="008B7DD0"/>
    <w:rsid w:val="008C29E7"/>
    <w:rsid w:val="008C300B"/>
    <w:rsid w:val="008C3F7E"/>
    <w:rsid w:val="008C5D0F"/>
    <w:rsid w:val="008D2C93"/>
    <w:rsid w:val="008D32BA"/>
    <w:rsid w:val="008D3590"/>
    <w:rsid w:val="008D4072"/>
    <w:rsid w:val="008D4E2F"/>
    <w:rsid w:val="008E071F"/>
    <w:rsid w:val="008E1D44"/>
    <w:rsid w:val="008E4879"/>
    <w:rsid w:val="008E5821"/>
    <w:rsid w:val="008E6851"/>
    <w:rsid w:val="008E69F8"/>
    <w:rsid w:val="008E7F4D"/>
    <w:rsid w:val="008F0496"/>
    <w:rsid w:val="00900261"/>
    <w:rsid w:val="00900D7A"/>
    <w:rsid w:val="0090298A"/>
    <w:rsid w:val="00902C93"/>
    <w:rsid w:val="009046AE"/>
    <w:rsid w:val="009066F3"/>
    <w:rsid w:val="009068B9"/>
    <w:rsid w:val="00910B39"/>
    <w:rsid w:val="00910F00"/>
    <w:rsid w:val="009120C0"/>
    <w:rsid w:val="00932AC4"/>
    <w:rsid w:val="00933E9A"/>
    <w:rsid w:val="009346F9"/>
    <w:rsid w:val="00934C89"/>
    <w:rsid w:val="009375EC"/>
    <w:rsid w:val="00944625"/>
    <w:rsid w:val="00944700"/>
    <w:rsid w:val="00944A1D"/>
    <w:rsid w:val="00944C68"/>
    <w:rsid w:val="009463D5"/>
    <w:rsid w:val="0094697B"/>
    <w:rsid w:val="009528D2"/>
    <w:rsid w:val="00953967"/>
    <w:rsid w:val="009575AA"/>
    <w:rsid w:val="00957F28"/>
    <w:rsid w:val="00960168"/>
    <w:rsid w:val="009640A5"/>
    <w:rsid w:val="009737E1"/>
    <w:rsid w:val="00980AB7"/>
    <w:rsid w:val="00983CCB"/>
    <w:rsid w:val="00984293"/>
    <w:rsid w:val="00991A8B"/>
    <w:rsid w:val="00993F73"/>
    <w:rsid w:val="009A39E2"/>
    <w:rsid w:val="009A5703"/>
    <w:rsid w:val="009B6B27"/>
    <w:rsid w:val="009B7B9D"/>
    <w:rsid w:val="009C228E"/>
    <w:rsid w:val="009C380B"/>
    <w:rsid w:val="009C4150"/>
    <w:rsid w:val="009D3DFF"/>
    <w:rsid w:val="009D3F9E"/>
    <w:rsid w:val="009D53B4"/>
    <w:rsid w:val="009E0153"/>
    <w:rsid w:val="009E3875"/>
    <w:rsid w:val="009E5B4F"/>
    <w:rsid w:val="009E6A77"/>
    <w:rsid w:val="009F7937"/>
    <w:rsid w:val="00A003C6"/>
    <w:rsid w:val="00A06EFD"/>
    <w:rsid w:val="00A07E68"/>
    <w:rsid w:val="00A14611"/>
    <w:rsid w:val="00A15AE0"/>
    <w:rsid w:val="00A17760"/>
    <w:rsid w:val="00A21344"/>
    <w:rsid w:val="00A277F6"/>
    <w:rsid w:val="00A354BB"/>
    <w:rsid w:val="00A43ABB"/>
    <w:rsid w:val="00A43C3B"/>
    <w:rsid w:val="00A50272"/>
    <w:rsid w:val="00A527F7"/>
    <w:rsid w:val="00A56D52"/>
    <w:rsid w:val="00A63E72"/>
    <w:rsid w:val="00A65477"/>
    <w:rsid w:val="00A664C7"/>
    <w:rsid w:val="00A76B14"/>
    <w:rsid w:val="00A76DF7"/>
    <w:rsid w:val="00A81D84"/>
    <w:rsid w:val="00A91F7F"/>
    <w:rsid w:val="00AC4E0C"/>
    <w:rsid w:val="00AC598E"/>
    <w:rsid w:val="00AC7C6B"/>
    <w:rsid w:val="00AD11E0"/>
    <w:rsid w:val="00AD23E3"/>
    <w:rsid w:val="00AD4870"/>
    <w:rsid w:val="00AD4D8C"/>
    <w:rsid w:val="00AE0A5B"/>
    <w:rsid w:val="00AE3C3A"/>
    <w:rsid w:val="00AE5ED8"/>
    <w:rsid w:val="00AE5FAB"/>
    <w:rsid w:val="00B0338B"/>
    <w:rsid w:val="00B10A34"/>
    <w:rsid w:val="00B14963"/>
    <w:rsid w:val="00B152AD"/>
    <w:rsid w:val="00B17E38"/>
    <w:rsid w:val="00B23E3C"/>
    <w:rsid w:val="00B24DBE"/>
    <w:rsid w:val="00B25C14"/>
    <w:rsid w:val="00B31D41"/>
    <w:rsid w:val="00B323A9"/>
    <w:rsid w:val="00B35C8C"/>
    <w:rsid w:val="00B368A1"/>
    <w:rsid w:val="00B4213E"/>
    <w:rsid w:val="00B43075"/>
    <w:rsid w:val="00B43240"/>
    <w:rsid w:val="00B476A8"/>
    <w:rsid w:val="00B47BBF"/>
    <w:rsid w:val="00B51FD0"/>
    <w:rsid w:val="00B5208F"/>
    <w:rsid w:val="00B5471E"/>
    <w:rsid w:val="00B55C59"/>
    <w:rsid w:val="00B56226"/>
    <w:rsid w:val="00B57FDD"/>
    <w:rsid w:val="00B61B61"/>
    <w:rsid w:val="00B62573"/>
    <w:rsid w:val="00B625E0"/>
    <w:rsid w:val="00B63BFF"/>
    <w:rsid w:val="00B667AE"/>
    <w:rsid w:val="00B74F22"/>
    <w:rsid w:val="00B765C3"/>
    <w:rsid w:val="00B825DB"/>
    <w:rsid w:val="00B84744"/>
    <w:rsid w:val="00BA1972"/>
    <w:rsid w:val="00BA322B"/>
    <w:rsid w:val="00BA4FEC"/>
    <w:rsid w:val="00BB152B"/>
    <w:rsid w:val="00BB515B"/>
    <w:rsid w:val="00BB553E"/>
    <w:rsid w:val="00BB792F"/>
    <w:rsid w:val="00BC1AC2"/>
    <w:rsid w:val="00BD177C"/>
    <w:rsid w:val="00BD21C0"/>
    <w:rsid w:val="00BD57F2"/>
    <w:rsid w:val="00BE5ADC"/>
    <w:rsid w:val="00BE5F20"/>
    <w:rsid w:val="00BF451D"/>
    <w:rsid w:val="00C022C7"/>
    <w:rsid w:val="00C049E7"/>
    <w:rsid w:val="00C151F3"/>
    <w:rsid w:val="00C151F9"/>
    <w:rsid w:val="00C1536E"/>
    <w:rsid w:val="00C15CBC"/>
    <w:rsid w:val="00C27E8E"/>
    <w:rsid w:val="00C30433"/>
    <w:rsid w:val="00C327E9"/>
    <w:rsid w:val="00C3387D"/>
    <w:rsid w:val="00C348FF"/>
    <w:rsid w:val="00C35A00"/>
    <w:rsid w:val="00C35E2A"/>
    <w:rsid w:val="00C40E96"/>
    <w:rsid w:val="00C461A1"/>
    <w:rsid w:val="00C5039A"/>
    <w:rsid w:val="00C552D1"/>
    <w:rsid w:val="00C70DE5"/>
    <w:rsid w:val="00C81E4D"/>
    <w:rsid w:val="00C828A9"/>
    <w:rsid w:val="00C857C8"/>
    <w:rsid w:val="00C87156"/>
    <w:rsid w:val="00C91E6C"/>
    <w:rsid w:val="00C97FE5"/>
    <w:rsid w:val="00CA034E"/>
    <w:rsid w:val="00CA6EA5"/>
    <w:rsid w:val="00CA7CA4"/>
    <w:rsid w:val="00CB231F"/>
    <w:rsid w:val="00CB5F77"/>
    <w:rsid w:val="00CB618F"/>
    <w:rsid w:val="00CB7A3A"/>
    <w:rsid w:val="00CC0130"/>
    <w:rsid w:val="00CD664B"/>
    <w:rsid w:val="00CE067B"/>
    <w:rsid w:val="00CE61BA"/>
    <w:rsid w:val="00CE77C1"/>
    <w:rsid w:val="00D03133"/>
    <w:rsid w:val="00D064B9"/>
    <w:rsid w:val="00D158BF"/>
    <w:rsid w:val="00D16784"/>
    <w:rsid w:val="00D23E80"/>
    <w:rsid w:val="00D23F1C"/>
    <w:rsid w:val="00D2420D"/>
    <w:rsid w:val="00D30693"/>
    <w:rsid w:val="00D32357"/>
    <w:rsid w:val="00D33CC7"/>
    <w:rsid w:val="00D37C8F"/>
    <w:rsid w:val="00D42898"/>
    <w:rsid w:val="00D51547"/>
    <w:rsid w:val="00D5203F"/>
    <w:rsid w:val="00D52230"/>
    <w:rsid w:val="00D7403C"/>
    <w:rsid w:val="00D821A0"/>
    <w:rsid w:val="00D83B04"/>
    <w:rsid w:val="00D844D2"/>
    <w:rsid w:val="00D90741"/>
    <w:rsid w:val="00D916A3"/>
    <w:rsid w:val="00D94765"/>
    <w:rsid w:val="00D955C0"/>
    <w:rsid w:val="00D97B57"/>
    <w:rsid w:val="00DA0BF5"/>
    <w:rsid w:val="00DA3739"/>
    <w:rsid w:val="00DA4332"/>
    <w:rsid w:val="00DA67A2"/>
    <w:rsid w:val="00DA77F7"/>
    <w:rsid w:val="00DB24DE"/>
    <w:rsid w:val="00DB663F"/>
    <w:rsid w:val="00DB6873"/>
    <w:rsid w:val="00DC19A8"/>
    <w:rsid w:val="00DC2E90"/>
    <w:rsid w:val="00DC338B"/>
    <w:rsid w:val="00DC5F96"/>
    <w:rsid w:val="00DC61DF"/>
    <w:rsid w:val="00DC6BA0"/>
    <w:rsid w:val="00DC7DEC"/>
    <w:rsid w:val="00DD2D2C"/>
    <w:rsid w:val="00DD5A42"/>
    <w:rsid w:val="00DD7217"/>
    <w:rsid w:val="00DE10DB"/>
    <w:rsid w:val="00DE23A7"/>
    <w:rsid w:val="00DE5F87"/>
    <w:rsid w:val="00DE724A"/>
    <w:rsid w:val="00DF0177"/>
    <w:rsid w:val="00DF4F75"/>
    <w:rsid w:val="00DF6C78"/>
    <w:rsid w:val="00E02AB5"/>
    <w:rsid w:val="00E05D14"/>
    <w:rsid w:val="00E1597E"/>
    <w:rsid w:val="00E2228D"/>
    <w:rsid w:val="00E24EE5"/>
    <w:rsid w:val="00E43545"/>
    <w:rsid w:val="00E47971"/>
    <w:rsid w:val="00E507CF"/>
    <w:rsid w:val="00E508E2"/>
    <w:rsid w:val="00E5099D"/>
    <w:rsid w:val="00E5223C"/>
    <w:rsid w:val="00E662BC"/>
    <w:rsid w:val="00E70B3C"/>
    <w:rsid w:val="00E72386"/>
    <w:rsid w:val="00E76107"/>
    <w:rsid w:val="00E77D7F"/>
    <w:rsid w:val="00E85E0C"/>
    <w:rsid w:val="00E90BE9"/>
    <w:rsid w:val="00E911C4"/>
    <w:rsid w:val="00E91ECD"/>
    <w:rsid w:val="00E96341"/>
    <w:rsid w:val="00E972ED"/>
    <w:rsid w:val="00EA1AC7"/>
    <w:rsid w:val="00EA218F"/>
    <w:rsid w:val="00EA2362"/>
    <w:rsid w:val="00EA329E"/>
    <w:rsid w:val="00EA3A89"/>
    <w:rsid w:val="00EA4880"/>
    <w:rsid w:val="00EA505E"/>
    <w:rsid w:val="00EC3555"/>
    <w:rsid w:val="00EC7315"/>
    <w:rsid w:val="00ED085B"/>
    <w:rsid w:val="00ED3AEC"/>
    <w:rsid w:val="00ED3CBA"/>
    <w:rsid w:val="00EF04F6"/>
    <w:rsid w:val="00EF0A4E"/>
    <w:rsid w:val="00EF2A74"/>
    <w:rsid w:val="00EF3E36"/>
    <w:rsid w:val="00F016A3"/>
    <w:rsid w:val="00F04720"/>
    <w:rsid w:val="00F04EBF"/>
    <w:rsid w:val="00F12188"/>
    <w:rsid w:val="00F259A1"/>
    <w:rsid w:val="00F33A8A"/>
    <w:rsid w:val="00F3496F"/>
    <w:rsid w:val="00F40356"/>
    <w:rsid w:val="00F40D1C"/>
    <w:rsid w:val="00F4114B"/>
    <w:rsid w:val="00F41B75"/>
    <w:rsid w:val="00F43C7C"/>
    <w:rsid w:val="00F45110"/>
    <w:rsid w:val="00F45E20"/>
    <w:rsid w:val="00F47F56"/>
    <w:rsid w:val="00F508E3"/>
    <w:rsid w:val="00F53B1C"/>
    <w:rsid w:val="00F57CCC"/>
    <w:rsid w:val="00F65B78"/>
    <w:rsid w:val="00F673DA"/>
    <w:rsid w:val="00F74C76"/>
    <w:rsid w:val="00F752C8"/>
    <w:rsid w:val="00F76280"/>
    <w:rsid w:val="00F76AB9"/>
    <w:rsid w:val="00F92D6E"/>
    <w:rsid w:val="00F93330"/>
    <w:rsid w:val="00F941FC"/>
    <w:rsid w:val="00F95DF3"/>
    <w:rsid w:val="00F97F61"/>
    <w:rsid w:val="00FA14D4"/>
    <w:rsid w:val="00FB3A74"/>
    <w:rsid w:val="00FB506E"/>
    <w:rsid w:val="00FC0EFE"/>
    <w:rsid w:val="00FC31FA"/>
    <w:rsid w:val="00FD3505"/>
    <w:rsid w:val="00FD682F"/>
    <w:rsid w:val="00FD7C7F"/>
    <w:rsid w:val="00FE3285"/>
    <w:rsid w:val="00FE41E8"/>
    <w:rsid w:val="00FE6709"/>
    <w:rsid w:val="00FF48B2"/>
    <w:rsid w:val="00FF4BCA"/>
    <w:rsid w:val="00FF6034"/>
    <w:rsid w:val="01A1775C"/>
    <w:rsid w:val="01B34CB1"/>
    <w:rsid w:val="024E4B4B"/>
    <w:rsid w:val="02760DDD"/>
    <w:rsid w:val="040672D7"/>
    <w:rsid w:val="04340607"/>
    <w:rsid w:val="04B6123B"/>
    <w:rsid w:val="04DF2553"/>
    <w:rsid w:val="05322502"/>
    <w:rsid w:val="059211F2"/>
    <w:rsid w:val="05CC62F8"/>
    <w:rsid w:val="06B40286"/>
    <w:rsid w:val="06BD229F"/>
    <w:rsid w:val="07454B6B"/>
    <w:rsid w:val="07471795"/>
    <w:rsid w:val="0841382B"/>
    <w:rsid w:val="085C368A"/>
    <w:rsid w:val="086E7339"/>
    <w:rsid w:val="0BFD3A5E"/>
    <w:rsid w:val="0C394971"/>
    <w:rsid w:val="0C563CB3"/>
    <w:rsid w:val="0D6C0D87"/>
    <w:rsid w:val="0E1902C6"/>
    <w:rsid w:val="0F636BCA"/>
    <w:rsid w:val="106C2401"/>
    <w:rsid w:val="11D208A8"/>
    <w:rsid w:val="14164D9C"/>
    <w:rsid w:val="14CD5DA3"/>
    <w:rsid w:val="155F7F49"/>
    <w:rsid w:val="156A35F2"/>
    <w:rsid w:val="161836D1"/>
    <w:rsid w:val="17F17A23"/>
    <w:rsid w:val="19174874"/>
    <w:rsid w:val="19AA732B"/>
    <w:rsid w:val="1BAF1D5E"/>
    <w:rsid w:val="1C846659"/>
    <w:rsid w:val="1E2E3D5F"/>
    <w:rsid w:val="1EB13014"/>
    <w:rsid w:val="1F4E6368"/>
    <w:rsid w:val="1F4F1F95"/>
    <w:rsid w:val="1F6317DE"/>
    <w:rsid w:val="20763CFC"/>
    <w:rsid w:val="207D548A"/>
    <w:rsid w:val="20CE0ED9"/>
    <w:rsid w:val="21716BEA"/>
    <w:rsid w:val="219F49AA"/>
    <w:rsid w:val="21ED6A0F"/>
    <w:rsid w:val="230824F0"/>
    <w:rsid w:val="231C23D7"/>
    <w:rsid w:val="237C7341"/>
    <w:rsid w:val="23EB3B50"/>
    <w:rsid w:val="256478F1"/>
    <w:rsid w:val="25695674"/>
    <w:rsid w:val="265B2587"/>
    <w:rsid w:val="28814DBF"/>
    <w:rsid w:val="28902F18"/>
    <w:rsid w:val="289B1FE8"/>
    <w:rsid w:val="289B5B5A"/>
    <w:rsid w:val="2A2C4EF9"/>
    <w:rsid w:val="2A5A6137"/>
    <w:rsid w:val="2AA43647"/>
    <w:rsid w:val="2AF01599"/>
    <w:rsid w:val="2B050B4A"/>
    <w:rsid w:val="2B275B35"/>
    <w:rsid w:val="2B3642B1"/>
    <w:rsid w:val="2CDC672B"/>
    <w:rsid w:val="2DAF7414"/>
    <w:rsid w:val="2E944140"/>
    <w:rsid w:val="2E9848D4"/>
    <w:rsid w:val="2F477220"/>
    <w:rsid w:val="2F5D6335"/>
    <w:rsid w:val="2F821B02"/>
    <w:rsid w:val="30562C99"/>
    <w:rsid w:val="31283149"/>
    <w:rsid w:val="31365F2C"/>
    <w:rsid w:val="317F58F9"/>
    <w:rsid w:val="31951ADC"/>
    <w:rsid w:val="31F046CD"/>
    <w:rsid w:val="35E36D7D"/>
    <w:rsid w:val="363E3FB3"/>
    <w:rsid w:val="37103BA1"/>
    <w:rsid w:val="37B51602"/>
    <w:rsid w:val="389D7C67"/>
    <w:rsid w:val="38E10850"/>
    <w:rsid w:val="3913791C"/>
    <w:rsid w:val="393B628C"/>
    <w:rsid w:val="3999445E"/>
    <w:rsid w:val="39B8684F"/>
    <w:rsid w:val="3BB06CFD"/>
    <w:rsid w:val="3BDA0595"/>
    <w:rsid w:val="3C9868D9"/>
    <w:rsid w:val="3CBC0335"/>
    <w:rsid w:val="3CEC0602"/>
    <w:rsid w:val="3D7D6E2D"/>
    <w:rsid w:val="3DDA2813"/>
    <w:rsid w:val="3F3A7EA2"/>
    <w:rsid w:val="3F6D7632"/>
    <w:rsid w:val="41370C0D"/>
    <w:rsid w:val="413B25A5"/>
    <w:rsid w:val="416C27FE"/>
    <w:rsid w:val="42325D37"/>
    <w:rsid w:val="423A48FF"/>
    <w:rsid w:val="42415557"/>
    <w:rsid w:val="437234EE"/>
    <w:rsid w:val="460A5507"/>
    <w:rsid w:val="46333DE3"/>
    <w:rsid w:val="46A13363"/>
    <w:rsid w:val="47496F93"/>
    <w:rsid w:val="47840A1C"/>
    <w:rsid w:val="47DA7A68"/>
    <w:rsid w:val="488B18CA"/>
    <w:rsid w:val="4900334A"/>
    <w:rsid w:val="49203F9B"/>
    <w:rsid w:val="495B045E"/>
    <w:rsid w:val="498265DE"/>
    <w:rsid w:val="49D95768"/>
    <w:rsid w:val="4AF3182D"/>
    <w:rsid w:val="4B8B7991"/>
    <w:rsid w:val="4BD03E0B"/>
    <w:rsid w:val="4C113678"/>
    <w:rsid w:val="4C586A96"/>
    <w:rsid w:val="4C63089B"/>
    <w:rsid w:val="4C81771C"/>
    <w:rsid w:val="4D0364B4"/>
    <w:rsid w:val="4E7B76FB"/>
    <w:rsid w:val="4EE260BE"/>
    <w:rsid w:val="4F096C0F"/>
    <w:rsid w:val="4F361518"/>
    <w:rsid w:val="500C7CB2"/>
    <w:rsid w:val="501E1041"/>
    <w:rsid w:val="50336E79"/>
    <w:rsid w:val="514F2D2A"/>
    <w:rsid w:val="51A2209A"/>
    <w:rsid w:val="52090D18"/>
    <w:rsid w:val="524153BA"/>
    <w:rsid w:val="52E402C4"/>
    <w:rsid w:val="52FC4B82"/>
    <w:rsid w:val="5341407A"/>
    <w:rsid w:val="534C4BFA"/>
    <w:rsid w:val="53887FA2"/>
    <w:rsid w:val="54335D24"/>
    <w:rsid w:val="5532079E"/>
    <w:rsid w:val="56C665A0"/>
    <w:rsid w:val="574A3632"/>
    <w:rsid w:val="5771714F"/>
    <w:rsid w:val="5785601C"/>
    <w:rsid w:val="57E04A72"/>
    <w:rsid w:val="584D74EF"/>
    <w:rsid w:val="58BB137D"/>
    <w:rsid w:val="5B127639"/>
    <w:rsid w:val="5B2F1F99"/>
    <w:rsid w:val="5B3E058F"/>
    <w:rsid w:val="5D46588C"/>
    <w:rsid w:val="5DDB1DB3"/>
    <w:rsid w:val="5F3E2252"/>
    <w:rsid w:val="5F7F18C2"/>
    <w:rsid w:val="5FF23595"/>
    <w:rsid w:val="60267400"/>
    <w:rsid w:val="61D76B29"/>
    <w:rsid w:val="62D33671"/>
    <w:rsid w:val="63C872E4"/>
    <w:rsid w:val="640C5DC0"/>
    <w:rsid w:val="643C0397"/>
    <w:rsid w:val="646363BB"/>
    <w:rsid w:val="6491607B"/>
    <w:rsid w:val="649813AD"/>
    <w:rsid w:val="64A16D0C"/>
    <w:rsid w:val="64A43BC6"/>
    <w:rsid w:val="64B82C75"/>
    <w:rsid w:val="6503196A"/>
    <w:rsid w:val="667D7F27"/>
    <w:rsid w:val="67915D89"/>
    <w:rsid w:val="686B5E89"/>
    <w:rsid w:val="69D23F3E"/>
    <w:rsid w:val="6A070584"/>
    <w:rsid w:val="6B1C5EEE"/>
    <w:rsid w:val="6B7F53BB"/>
    <w:rsid w:val="6BD46EC4"/>
    <w:rsid w:val="6C8B1B0C"/>
    <w:rsid w:val="6CEF1976"/>
    <w:rsid w:val="6D2129E6"/>
    <w:rsid w:val="6D920627"/>
    <w:rsid w:val="6DA07730"/>
    <w:rsid w:val="6DBF6DFB"/>
    <w:rsid w:val="6E462E59"/>
    <w:rsid w:val="6ED52E72"/>
    <w:rsid w:val="6F1D521D"/>
    <w:rsid w:val="6F745D74"/>
    <w:rsid w:val="6FCE4724"/>
    <w:rsid w:val="6FE8730F"/>
    <w:rsid w:val="6FEF7C58"/>
    <w:rsid w:val="70572D0C"/>
    <w:rsid w:val="70F76C5D"/>
    <w:rsid w:val="710D0A74"/>
    <w:rsid w:val="712F3342"/>
    <w:rsid w:val="71435B59"/>
    <w:rsid w:val="720F0824"/>
    <w:rsid w:val="74AB74E4"/>
    <w:rsid w:val="76BD34CB"/>
    <w:rsid w:val="76F22508"/>
    <w:rsid w:val="780D7F09"/>
    <w:rsid w:val="79694470"/>
    <w:rsid w:val="7A3507F6"/>
    <w:rsid w:val="7ADD70CC"/>
    <w:rsid w:val="7AE71DF5"/>
    <w:rsid w:val="7B533629"/>
    <w:rsid w:val="7C224DAA"/>
    <w:rsid w:val="7CB62981"/>
    <w:rsid w:val="7CDE25D3"/>
    <w:rsid w:val="7E270A53"/>
    <w:rsid w:val="7F2130F9"/>
    <w:rsid w:val="A77E4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5">
    <w:name w:val="heading 2"/>
    <w:basedOn w:val="4"/>
    <w:next w:val="6"/>
    <w:link w:val="45"/>
    <w:unhideWhenUsed/>
    <w:qFormat/>
    <w:uiPriority w:val="0"/>
    <w:pPr>
      <w:spacing w:before="260" w:after="260" w:line="416" w:lineRule="auto"/>
      <w:outlineLvl w:val="1"/>
    </w:pPr>
    <w:rPr>
      <w:rFonts w:asciiTheme="majorHAnsi" w:hAnsiTheme="majorHAnsi" w:eastAsiaTheme="majorEastAsia" w:cstheme="majorBidi"/>
      <w:sz w:val="32"/>
      <w:szCs w:val="32"/>
    </w:rPr>
  </w:style>
  <w:style w:type="paragraph" w:styleId="7">
    <w:name w:val="heading 3"/>
    <w:basedOn w:val="5"/>
    <w:next w:val="6"/>
    <w:link w:val="43"/>
    <w:qFormat/>
    <w:uiPriority w:val="9"/>
    <w:pPr>
      <w:widowControl/>
      <w:spacing w:before="100" w:beforeAutospacing="1" w:after="100" w:afterAutospacing="1"/>
      <w:jc w:val="left"/>
      <w:outlineLvl w:val="2"/>
    </w:pPr>
    <w:rPr>
      <w:rFonts w:ascii="宋体" w:hAnsi="宋体" w:eastAsia="宋体" w:cs="宋体"/>
      <w:kern w:val="0"/>
      <w:sz w:val="27"/>
      <w:szCs w:val="27"/>
    </w:rPr>
  </w:style>
  <w:style w:type="paragraph" w:styleId="8">
    <w:name w:val="heading 4"/>
    <w:basedOn w:val="1"/>
    <w:next w:val="1"/>
    <w:link w:val="4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9">
    <w:name w:val="heading 5"/>
    <w:basedOn w:val="1"/>
    <w:next w:val="1"/>
    <w:link w:val="49"/>
    <w:unhideWhenUsed/>
    <w:qFormat/>
    <w:uiPriority w:val="9"/>
    <w:pPr>
      <w:keepNext/>
      <w:keepLines/>
      <w:spacing w:before="280" w:after="290" w:line="376" w:lineRule="auto"/>
      <w:outlineLvl w:val="4"/>
    </w:pPr>
    <w:rPr>
      <w:b/>
      <w:bCs/>
      <w:sz w:val="28"/>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link w:val="80"/>
    <w:qFormat/>
    <w:uiPriority w:val="0"/>
    <w:pPr>
      <w:ind w:firstLine="480" w:firstLineChars="200"/>
      <w:jc w:val="left"/>
    </w:pPr>
    <w:rPr>
      <w:sz w:val="24"/>
    </w:rPr>
  </w:style>
  <w:style w:type="paragraph" w:styleId="3">
    <w:name w:val="Body Text"/>
    <w:basedOn w:val="1"/>
    <w:qFormat/>
    <w:uiPriority w:val="1"/>
    <w:rPr>
      <w:rFonts w:ascii="仿宋_GB2312" w:hAnsi="仿宋_GB2312" w:eastAsia="仿宋_GB2312" w:cs="仿宋_GB2312"/>
      <w:sz w:val="32"/>
      <w:szCs w:val="32"/>
      <w:lang w:val="zh-CN" w:bidi="zh-CN"/>
    </w:rPr>
  </w:style>
  <w:style w:type="paragraph" w:customStyle="1" w:styleId="6">
    <w:name w:val="大纲正文"/>
    <w:basedOn w:val="1"/>
    <w:qFormat/>
    <w:uiPriority w:val="0"/>
    <w:pPr>
      <w:widowControl/>
      <w:adjustRightInd w:val="0"/>
      <w:snapToGrid w:val="0"/>
      <w:spacing w:afterLines="50" w:line="300" w:lineRule="auto"/>
      <w:ind w:firstLine="480" w:firstLineChars="200"/>
    </w:pPr>
    <w:rPr>
      <w:rFonts w:cs="宋体"/>
      <w:sz w:val="24"/>
      <w:szCs w:val="20"/>
    </w:rPr>
  </w:style>
  <w:style w:type="paragraph" w:styleId="10">
    <w:name w:val="toc 7"/>
    <w:basedOn w:val="1"/>
    <w:next w:val="1"/>
    <w:unhideWhenUsed/>
    <w:qFormat/>
    <w:uiPriority w:val="39"/>
    <w:pPr>
      <w:ind w:left="1260"/>
      <w:jc w:val="left"/>
    </w:pPr>
    <w:rPr>
      <w:rFonts w:eastAsiaTheme="minorHAnsi"/>
      <w:sz w:val="18"/>
      <w:szCs w:val="18"/>
    </w:rPr>
  </w:style>
  <w:style w:type="paragraph" w:styleId="11">
    <w:name w:val="Normal Indent"/>
    <w:basedOn w:val="1"/>
    <w:qFormat/>
    <w:uiPriority w:val="0"/>
    <w:pPr>
      <w:ind w:firstLine="420" w:firstLineChars="200"/>
    </w:pPr>
    <w:rPr>
      <w:sz w:val="28"/>
      <w:szCs w:val="20"/>
    </w:rPr>
  </w:style>
  <w:style w:type="paragraph" w:styleId="12">
    <w:name w:val="caption"/>
    <w:basedOn w:val="1"/>
    <w:next w:val="1"/>
    <w:semiHidden/>
    <w:qFormat/>
    <w:uiPriority w:val="0"/>
    <w:rPr>
      <w:rFonts w:ascii="Arial" w:hAnsi="Arial" w:eastAsia="黑体" w:cs="Arial"/>
      <w:sz w:val="20"/>
      <w:szCs w:val="20"/>
    </w:rPr>
  </w:style>
  <w:style w:type="paragraph" w:styleId="13">
    <w:name w:val="annotation text"/>
    <w:basedOn w:val="1"/>
    <w:link w:val="64"/>
    <w:semiHidden/>
    <w:unhideWhenUsed/>
    <w:qFormat/>
    <w:uiPriority w:val="99"/>
    <w:pPr>
      <w:jc w:val="left"/>
    </w:pPr>
  </w:style>
  <w:style w:type="paragraph" w:styleId="14">
    <w:name w:val="index 6"/>
    <w:basedOn w:val="1"/>
    <w:next w:val="1"/>
    <w:qFormat/>
    <w:uiPriority w:val="0"/>
    <w:pPr>
      <w:spacing w:line="600" w:lineRule="exact"/>
      <w:ind w:firstLine="420" w:firstLineChars="200"/>
    </w:pPr>
    <w:rPr>
      <w:rFonts w:ascii="Calibri" w:hAnsi="Calibri"/>
    </w:rPr>
  </w:style>
  <w:style w:type="paragraph" w:styleId="15">
    <w:name w:val="Block Text"/>
    <w:basedOn w:val="1"/>
    <w:qFormat/>
    <w:uiPriority w:val="0"/>
    <w:pPr>
      <w:ind w:left="178" w:leftChars="85" w:right="212" w:rightChars="101" w:firstLine="540" w:firstLineChars="225"/>
      <w:jc w:val="left"/>
    </w:pPr>
    <w:rPr>
      <w:color w:val="0000FF"/>
      <w:sz w:val="24"/>
    </w:rPr>
  </w:style>
  <w:style w:type="paragraph" w:styleId="16">
    <w:name w:val="toc 5"/>
    <w:basedOn w:val="1"/>
    <w:next w:val="1"/>
    <w:unhideWhenUsed/>
    <w:qFormat/>
    <w:uiPriority w:val="39"/>
    <w:pPr>
      <w:ind w:left="840"/>
      <w:jc w:val="left"/>
    </w:pPr>
    <w:rPr>
      <w:rFonts w:eastAsiaTheme="minorHAnsi"/>
      <w:sz w:val="18"/>
      <w:szCs w:val="18"/>
    </w:rPr>
  </w:style>
  <w:style w:type="paragraph" w:styleId="17">
    <w:name w:val="toc 3"/>
    <w:basedOn w:val="1"/>
    <w:next w:val="1"/>
    <w:unhideWhenUsed/>
    <w:qFormat/>
    <w:uiPriority w:val="39"/>
    <w:pPr>
      <w:ind w:left="420"/>
      <w:jc w:val="left"/>
    </w:pPr>
    <w:rPr>
      <w:rFonts w:eastAsiaTheme="minorHAnsi"/>
      <w:i/>
      <w:iCs/>
      <w:sz w:val="20"/>
      <w:szCs w:val="20"/>
    </w:rPr>
  </w:style>
  <w:style w:type="paragraph" w:styleId="18">
    <w:name w:val="Plain Text"/>
    <w:basedOn w:val="1"/>
    <w:qFormat/>
    <w:uiPriority w:val="0"/>
    <w:rPr>
      <w:rFonts w:ascii="宋体" w:hAnsi="Courier New" w:cs="Courier New"/>
      <w:szCs w:val="21"/>
    </w:rPr>
  </w:style>
  <w:style w:type="paragraph" w:styleId="19">
    <w:name w:val="toc 8"/>
    <w:basedOn w:val="1"/>
    <w:next w:val="1"/>
    <w:unhideWhenUsed/>
    <w:qFormat/>
    <w:uiPriority w:val="39"/>
    <w:pPr>
      <w:ind w:left="1470"/>
      <w:jc w:val="left"/>
    </w:pPr>
    <w:rPr>
      <w:rFonts w:eastAsiaTheme="minorHAnsi"/>
      <w:sz w:val="18"/>
      <w:szCs w:val="18"/>
    </w:rPr>
  </w:style>
  <w:style w:type="paragraph" w:styleId="20">
    <w:name w:val="Date"/>
    <w:basedOn w:val="1"/>
    <w:next w:val="1"/>
    <w:link w:val="44"/>
    <w:semiHidden/>
    <w:unhideWhenUsed/>
    <w:qFormat/>
    <w:uiPriority w:val="99"/>
    <w:pPr>
      <w:ind w:left="100" w:leftChars="2500"/>
    </w:pPr>
  </w:style>
  <w:style w:type="paragraph" w:styleId="21">
    <w:name w:val="Balloon Text"/>
    <w:basedOn w:val="1"/>
    <w:link w:val="75"/>
    <w:semiHidden/>
    <w:unhideWhenUsed/>
    <w:qFormat/>
    <w:uiPriority w:val="99"/>
    <w:rPr>
      <w:sz w:val="18"/>
      <w:szCs w:val="18"/>
    </w:rPr>
  </w:style>
  <w:style w:type="paragraph" w:styleId="22">
    <w:name w:val="footer"/>
    <w:basedOn w:val="1"/>
    <w:link w:val="58"/>
    <w:unhideWhenUsed/>
    <w:qFormat/>
    <w:uiPriority w:val="99"/>
    <w:pPr>
      <w:tabs>
        <w:tab w:val="center" w:pos="4153"/>
        <w:tab w:val="right" w:pos="8306"/>
      </w:tabs>
      <w:snapToGrid w:val="0"/>
      <w:jc w:val="left"/>
    </w:pPr>
    <w:rPr>
      <w:sz w:val="18"/>
      <w:szCs w:val="18"/>
    </w:rPr>
  </w:style>
  <w:style w:type="paragraph" w:styleId="23">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pPr>
      <w:spacing w:before="120" w:after="120"/>
      <w:jc w:val="left"/>
    </w:pPr>
    <w:rPr>
      <w:rFonts w:eastAsiaTheme="minorHAnsi"/>
      <w:b/>
      <w:bCs/>
      <w:caps/>
      <w:sz w:val="20"/>
      <w:szCs w:val="20"/>
    </w:rPr>
  </w:style>
  <w:style w:type="paragraph" w:styleId="25">
    <w:name w:val="toc 4"/>
    <w:basedOn w:val="1"/>
    <w:next w:val="1"/>
    <w:unhideWhenUsed/>
    <w:qFormat/>
    <w:uiPriority w:val="39"/>
    <w:pPr>
      <w:ind w:left="630"/>
      <w:jc w:val="left"/>
    </w:pPr>
    <w:rPr>
      <w:rFonts w:eastAsiaTheme="minorHAnsi"/>
      <w:sz w:val="18"/>
      <w:szCs w:val="18"/>
    </w:rPr>
  </w:style>
  <w:style w:type="paragraph" w:styleId="26">
    <w:name w:val="Subtitle"/>
    <w:basedOn w:val="1"/>
    <w:next w:val="1"/>
    <w:link w:val="61"/>
    <w:qFormat/>
    <w:uiPriority w:val="0"/>
    <w:pPr>
      <w:spacing w:before="240" w:after="60" w:line="312" w:lineRule="auto"/>
      <w:jc w:val="center"/>
      <w:outlineLvl w:val="1"/>
    </w:pPr>
    <w:rPr>
      <w:rFonts w:ascii="Cambria" w:hAnsi="Cambria" w:cs="Times New Roman"/>
      <w:b/>
      <w:bCs/>
      <w:kern w:val="28"/>
      <w:sz w:val="32"/>
      <w:szCs w:val="32"/>
    </w:rPr>
  </w:style>
  <w:style w:type="paragraph" w:styleId="27">
    <w:name w:val="List"/>
    <w:basedOn w:val="1"/>
    <w:qFormat/>
    <w:uiPriority w:val="0"/>
    <w:pPr>
      <w:widowControl/>
      <w:spacing w:line="300" w:lineRule="auto"/>
      <w:ind w:left="420" w:hanging="420"/>
    </w:pPr>
    <w:rPr>
      <w:sz w:val="24"/>
      <w:szCs w:val="20"/>
    </w:rPr>
  </w:style>
  <w:style w:type="paragraph" w:styleId="28">
    <w:name w:val="footnote text"/>
    <w:basedOn w:val="1"/>
    <w:semiHidden/>
    <w:qFormat/>
    <w:uiPriority w:val="0"/>
    <w:pPr>
      <w:snapToGrid w:val="0"/>
      <w:jc w:val="left"/>
    </w:pPr>
    <w:rPr>
      <w:sz w:val="18"/>
      <w:szCs w:val="18"/>
    </w:rPr>
  </w:style>
  <w:style w:type="paragraph" w:styleId="29">
    <w:name w:val="toc 6"/>
    <w:basedOn w:val="1"/>
    <w:next w:val="1"/>
    <w:unhideWhenUsed/>
    <w:qFormat/>
    <w:uiPriority w:val="39"/>
    <w:pPr>
      <w:ind w:left="1050"/>
      <w:jc w:val="left"/>
    </w:pPr>
    <w:rPr>
      <w:rFonts w:eastAsiaTheme="minorHAnsi"/>
      <w:sz w:val="18"/>
      <w:szCs w:val="18"/>
    </w:rPr>
  </w:style>
  <w:style w:type="paragraph" w:styleId="30">
    <w:name w:val="toc 2"/>
    <w:basedOn w:val="1"/>
    <w:next w:val="1"/>
    <w:unhideWhenUsed/>
    <w:qFormat/>
    <w:uiPriority w:val="39"/>
    <w:pPr>
      <w:ind w:left="210"/>
      <w:jc w:val="left"/>
    </w:pPr>
    <w:rPr>
      <w:rFonts w:eastAsiaTheme="minorHAnsi"/>
      <w:smallCaps/>
      <w:sz w:val="20"/>
      <w:szCs w:val="20"/>
    </w:rPr>
  </w:style>
  <w:style w:type="paragraph" w:styleId="31">
    <w:name w:val="toc 9"/>
    <w:basedOn w:val="1"/>
    <w:next w:val="1"/>
    <w:unhideWhenUsed/>
    <w:qFormat/>
    <w:uiPriority w:val="39"/>
    <w:pPr>
      <w:ind w:left="1680"/>
      <w:jc w:val="left"/>
    </w:pPr>
    <w:rPr>
      <w:rFonts w:eastAsiaTheme="minorHAnsi"/>
      <w:sz w:val="18"/>
      <w:szCs w:val="18"/>
    </w:rPr>
  </w:style>
  <w:style w:type="paragraph" w:styleId="3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3">
    <w:name w:val="annotation subject"/>
    <w:basedOn w:val="13"/>
    <w:next w:val="13"/>
    <w:link w:val="65"/>
    <w:semiHidden/>
    <w:unhideWhenUsed/>
    <w:qFormat/>
    <w:uiPriority w:val="99"/>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22"/>
    <w:rPr>
      <w:b/>
      <w:bCs/>
    </w:rPr>
  </w:style>
  <w:style w:type="character" w:styleId="38">
    <w:name w:val="Emphasis"/>
    <w:basedOn w:val="36"/>
    <w:qFormat/>
    <w:uiPriority w:val="20"/>
    <w:rPr>
      <w:i/>
      <w:iCs/>
    </w:rPr>
  </w:style>
  <w:style w:type="character" w:styleId="39">
    <w:name w:val="Hyperlink"/>
    <w:basedOn w:val="36"/>
    <w:unhideWhenUsed/>
    <w:qFormat/>
    <w:uiPriority w:val="99"/>
    <w:rPr>
      <w:color w:val="0000FF"/>
      <w:u w:val="single"/>
    </w:rPr>
  </w:style>
  <w:style w:type="character" w:styleId="40">
    <w:name w:val="annotation reference"/>
    <w:basedOn w:val="36"/>
    <w:semiHidden/>
    <w:unhideWhenUsed/>
    <w:qFormat/>
    <w:uiPriority w:val="99"/>
    <w:rPr>
      <w:sz w:val="21"/>
      <w:szCs w:val="21"/>
    </w:rPr>
  </w:style>
  <w:style w:type="character" w:styleId="41">
    <w:name w:val="footnote reference"/>
    <w:semiHidden/>
    <w:qFormat/>
    <w:uiPriority w:val="0"/>
    <w:rPr>
      <w:vertAlign w:val="superscript"/>
    </w:rPr>
  </w:style>
  <w:style w:type="paragraph" w:customStyle="1" w:styleId="42">
    <w:name w:val="样式1"/>
    <w:basedOn w:val="4"/>
    <w:link w:val="50"/>
    <w:qFormat/>
    <w:uiPriority w:val="0"/>
    <w:pPr>
      <w:keepNext w:val="0"/>
      <w:keepLines w:val="0"/>
      <w:widowControl/>
      <w:numPr>
        <w:ilvl w:val="0"/>
        <w:numId w:val="1"/>
      </w:numPr>
      <w:pBdr>
        <w:top w:val="single" w:color="4F81BD" w:sz="24" w:space="0"/>
        <w:left w:val="single" w:color="4F81BD" w:sz="24" w:space="0"/>
        <w:bottom w:val="single" w:color="4F81BD" w:sz="24" w:space="0"/>
        <w:right w:val="single" w:color="4F81BD" w:sz="24" w:space="0"/>
      </w:pBdr>
      <w:shd w:val="clear" w:color="auto" w:fill="4F81BD"/>
      <w:snapToGrid w:val="0"/>
      <w:spacing w:beforeLines="400" w:afterLines="50" w:line="440" w:lineRule="exact"/>
      <w:jc w:val="left"/>
    </w:pPr>
    <w:rPr>
      <w:rFonts w:ascii="方正大黑简体" w:hAnsi="Times New Roman" w:eastAsia="宋体" w:cs="Times New Roman"/>
      <w:caps/>
      <w:spacing w:val="15"/>
      <w:kern w:val="0"/>
      <w:sz w:val="32"/>
      <w:szCs w:val="32"/>
      <w:lang w:bidi="en-US"/>
    </w:rPr>
  </w:style>
  <w:style w:type="character" w:customStyle="1" w:styleId="43">
    <w:name w:val="标题 3 Char"/>
    <w:basedOn w:val="36"/>
    <w:link w:val="7"/>
    <w:qFormat/>
    <w:uiPriority w:val="9"/>
    <w:rPr>
      <w:rFonts w:ascii="宋体" w:hAnsi="宋体" w:eastAsia="宋体" w:cs="宋体"/>
      <w:b/>
      <w:bCs/>
      <w:kern w:val="0"/>
      <w:sz w:val="27"/>
      <w:szCs w:val="27"/>
    </w:rPr>
  </w:style>
  <w:style w:type="character" w:customStyle="1" w:styleId="44">
    <w:name w:val="日期 Char"/>
    <w:basedOn w:val="36"/>
    <w:link w:val="20"/>
    <w:semiHidden/>
    <w:qFormat/>
    <w:uiPriority w:val="99"/>
  </w:style>
  <w:style w:type="character" w:customStyle="1" w:styleId="45">
    <w:name w:val="标题 2 Char"/>
    <w:basedOn w:val="36"/>
    <w:link w:val="5"/>
    <w:qFormat/>
    <w:uiPriority w:val="0"/>
    <w:rPr>
      <w:rFonts w:asciiTheme="majorHAnsi" w:hAnsiTheme="majorHAnsi" w:eastAsiaTheme="majorEastAsia" w:cstheme="majorBidi"/>
      <w:b/>
      <w:bCs/>
      <w:sz w:val="32"/>
      <w:szCs w:val="32"/>
    </w:rPr>
  </w:style>
  <w:style w:type="paragraph" w:styleId="46">
    <w:name w:val="List Paragraph"/>
    <w:basedOn w:val="1"/>
    <w:qFormat/>
    <w:uiPriority w:val="34"/>
    <w:pPr>
      <w:ind w:firstLine="420" w:firstLineChars="200"/>
    </w:pPr>
  </w:style>
  <w:style w:type="character" w:customStyle="1" w:styleId="47">
    <w:name w:val="标题 4 Char"/>
    <w:basedOn w:val="36"/>
    <w:link w:val="8"/>
    <w:qFormat/>
    <w:uiPriority w:val="9"/>
    <w:rPr>
      <w:rFonts w:asciiTheme="majorHAnsi" w:hAnsiTheme="majorHAnsi" w:eastAsiaTheme="majorEastAsia" w:cstheme="majorBidi"/>
      <w:b/>
      <w:bCs/>
      <w:sz w:val="28"/>
      <w:szCs w:val="28"/>
    </w:rPr>
  </w:style>
  <w:style w:type="character" w:customStyle="1" w:styleId="48">
    <w:name w:val="NormalCharacter"/>
    <w:qFormat/>
    <w:uiPriority w:val="0"/>
    <w:rPr>
      <w:rFonts w:ascii="Times New Roman" w:hAnsi="Times New Roman" w:eastAsia="宋体"/>
    </w:rPr>
  </w:style>
  <w:style w:type="character" w:customStyle="1" w:styleId="49">
    <w:name w:val="标题 5 Char"/>
    <w:basedOn w:val="36"/>
    <w:link w:val="9"/>
    <w:qFormat/>
    <w:uiPriority w:val="9"/>
    <w:rPr>
      <w:b/>
      <w:bCs/>
      <w:sz w:val="28"/>
      <w:szCs w:val="28"/>
    </w:rPr>
  </w:style>
  <w:style w:type="character" w:customStyle="1" w:styleId="50">
    <w:name w:val="样式1 Char"/>
    <w:link w:val="42"/>
    <w:qFormat/>
    <w:uiPriority w:val="0"/>
    <w:rPr>
      <w:rFonts w:ascii="方正大黑简体" w:hAnsi="Times New Roman" w:eastAsia="宋体" w:cs="Times New Roman"/>
      <w:b/>
      <w:bCs/>
      <w:caps/>
      <w:spacing w:val="15"/>
      <w:kern w:val="0"/>
      <w:sz w:val="32"/>
      <w:szCs w:val="32"/>
      <w:shd w:val="clear" w:color="auto" w:fill="4F81BD"/>
      <w:lang w:bidi="en-US"/>
    </w:rPr>
  </w:style>
  <w:style w:type="character" w:customStyle="1" w:styleId="51">
    <w:name w:val="标题 1 Char"/>
    <w:basedOn w:val="36"/>
    <w:link w:val="4"/>
    <w:qFormat/>
    <w:uiPriority w:val="0"/>
    <w:rPr>
      <w:b/>
      <w:bCs/>
      <w:kern w:val="44"/>
      <w:sz w:val="44"/>
      <w:szCs w:val="44"/>
    </w:rPr>
  </w:style>
  <w:style w:type="paragraph" w:customStyle="1" w:styleId="52">
    <w:name w:val="样式1.1"/>
    <w:basedOn w:val="1"/>
    <w:link w:val="53"/>
    <w:qFormat/>
    <w:uiPriority w:val="0"/>
    <w:pPr>
      <w:widowControl/>
      <w:pBdr>
        <w:top w:val="single" w:color="DBE5F1" w:sz="24" w:space="0"/>
        <w:left w:val="single" w:color="DBE5F1" w:sz="24" w:space="0"/>
        <w:bottom w:val="single" w:color="DBE5F1" w:sz="24" w:space="0"/>
        <w:right w:val="single" w:color="DBE5F1" w:sz="24" w:space="0"/>
      </w:pBdr>
      <w:shd w:val="clear" w:color="auto" w:fill="DBE5F1"/>
      <w:spacing w:beforeLines="100" w:afterLines="100" w:line="360" w:lineRule="atLeast"/>
      <w:ind w:firstLine="502" w:firstLineChars="200"/>
      <w:jc w:val="left"/>
      <w:outlineLvl w:val="1"/>
    </w:pPr>
    <w:rPr>
      <w:rFonts w:ascii="黑体" w:hAnsi="黑体" w:eastAsia="黑体" w:cs="宋体"/>
      <w:caps/>
      <w:spacing w:val="15"/>
      <w:kern w:val="0"/>
      <w:sz w:val="27"/>
      <w:szCs w:val="27"/>
    </w:rPr>
  </w:style>
  <w:style w:type="character" w:customStyle="1" w:styleId="53">
    <w:name w:val="样式1.1 Char"/>
    <w:link w:val="52"/>
    <w:qFormat/>
    <w:uiPriority w:val="0"/>
    <w:rPr>
      <w:rFonts w:ascii="黑体" w:hAnsi="黑体" w:eastAsia="黑体" w:cs="宋体"/>
      <w:caps/>
      <w:spacing w:val="15"/>
      <w:kern w:val="0"/>
      <w:sz w:val="27"/>
      <w:szCs w:val="27"/>
      <w:shd w:val="clear" w:color="auto" w:fill="DBE5F1"/>
    </w:rPr>
  </w:style>
  <w:style w:type="paragraph" w:customStyle="1" w:styleId="54">
    <w:name w:val="UserStyle_0"/>
    <w:qFormat/>
    <w:uiPriority w:val="0"/>
    <w:pPr>
      <w:jc w:val="both"/>
      <w:textAlignment w:val="baseline"/>
    </w:pPr>
    <w:rPr>
      <w:rFonts w:ascii="Calibri" w:hAnsi="Calibri" w:eastAsia="宋体" w:cs="Times New Roman"/>
      <w:kern w:val="2"/>
      <w:sz w:val="21"/>
      <w:szCs w:val="22"/>
      <w:lang w:val="en-US" w:eastAsia="zh-CN" w:bidi="ar-SA"/>
    </w:rPr>
  </w:style>
  <w:style w:type="character" w:customStyle="1" w:styleId="55">
    <w:name w:val="1级标题 Char"/>
    <w:basedOn w:val="36"/>
    <w:link w:val="56"/>
    <w:qFormat/>
    <w:uiPriority w:val="0"/>
    <w:rPr>
      <w:rFonts w:ascii="黑体" w:eastAsia="黑体"/>
      <w:b/>
      <w:sz w:val="44"/>
      <w:szCs w:val="44"/>
    </w:rPr>
  </w:style>
  <w:style w:type="paragraph" w:customStyle="1" w:styleId="56">
    <w:name w:val="1级标题"/>
    <w:basedOn w:val="1"/>
    <w:link w:val="55"/>
    <w:qFormat/>
    <w:uiPriority w:val="0"/>
    <w:rPr>
      <w:rFonts w:ascii="黑体" w:eastAsia="黑体"/>
      <w:b/>
      <w:sz w:val="44"/>
      <w:szCs w:val="44"/>
    </w:rPr>
  </w:style>
  <w:style w:type="character" w:customStyle="1" w:styleId="57">
    <w:name w:val="页眉 Char"/>
    <w:basedOn w:val="36"/>
    <w:link w:val="23"/>
    <w:qFormat/>
    <w:uiPriority w:val="99"/>
    <w:rPr>
      <w:sz w:val="18"/>
      <w:szCs w:val="18"/>
    </w:rPr>
  </w:style>
  <w:style w:type="character" w:customStyle="1" w:styleId="58">
    <w:name w:val="页脚 Char"/>
    <w:basedOn w:val="36"/>
    <w:link w:val="22"/>
    <w:qFormat/>
    <w:uiPriority w:val="99"/>
    <w:rPr>
      <w:sz w:val="18"/>
      <w:szCs w:val="18"/>
    </w:rPr>
  </w:style>
  <w:style w:type="character" w:customStyle="1" w:styleId="59">
    <w:name w:val="bjh-p"/>
    <w:basedOn w:val="36"/>
    <w:qFormat/>
    <w:uiPriority w:val="0"/>
  </w:style>
  <w:style w:type="paragraph" w:customStyle="1" w:styleId="6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1">
    <w:name w:val="副标题 Char"/>
    <w:basedOn w:val="36"/>
    <w:link w:val="26"/>
    <w:qFormat/>
    <w:uiPriority w:val="0"/>
    <w:rPr>
      <w:rFonts w:ascii="Cambria" w:hAnsi="Cambria" w:cs="Times New Roman"/>
      <w:b/>
      <w:bCs/>
      <w:kern w:val="28"/>
      <w:sz w:val="32"/>
      <w:szCs w:val="32"/>
    </w:rPr>
  </w:style>
  <w:style w:type="character" w:customStyle="1" w:styleId="62">
    <w:name w:val="副标题 字符"/>
    <w:basedOn w:val="36"/>
    <w:qFormat/>
    <w:uiPriority w:val="11"/>
    <w:rPr>
      <w:b/>
      <w:bCs/>
      <w:kern w:val="28"/>
      <w:sz w:val="32"/>
      <w:szCs w:val="32"/>
    </w:rPr>
  </w:style>
  <w:style w:type="paragraph" w:customStyle="1" w:styleId="63">
    <w:name w:val="0 正文"/>
    <w:basedOn w:val="46"/>
    <w:qFormat/>
    <w:uiPriority w:val="0"/>
    <w:pPr>
      <w:autoSpaceDE w:val="0"/>
      <w:autoSpaceDN w:val="0"/>
      <w:adjustRightInd w:val="0"/>
      <w:snapToGrid w:val="0"/>
      <w:spacing w:line="360" w:lineRule="auto"/>
      <w:ind w:firstLine="480" w:firstLineChars="0"/>
    </w:pPr>
    <w:rPr>
      <w:rFonts w:ascii="Calibri" w:hAnsi="Calibri" w:eastAsia="宋体" w:cs="宋体"/>
      <w:sz w:val="24"/>
      <w:lang w:val="zh-CN"/>
    </w:rPr>
  </w:style>
  <w:style w:type="character" w:customStyle="1" w:styleId="64">
    <w:name w:val="批注文字 Char"/>
    <w:basedOn w:val="36"/>
    <w:link w:val="13"/>
    <w:semiHidden/>
    <w:qFormat/>
    <w:uiPriority w:val="99"/>
  </w:style>
  <w:style w:type="character" w:customStyle="1" w:styleId="65">
    <w:name w:val="批注主题 Char"/>
    <w:basedOn w:val="64"/>
    <w:link w:val="33"/>
    <w:semiHidden/>
    <w:qFormat/>
    <w:uiPriority w:val="99"/>
    <w:rPr>
      <w:b/>
      <w:bCs/>
    </w:rPr>
  </w:style>
  <w:style w:type="character" w:customStyle="1" w:styleId="66">
    <w:name w:val="未处理的提及1"/>
    <w:basedOn w:val="36"/>
    <w:semiHidden/>
    <w:unhideWhenUsed/>
    <w:qFormat/>
    <w:uiPriority w:val="99"/>
    <w:rPr>
      <w:color w:val="605E5C"/>
      <w:shd w:val="clear" w:color="auto" w:fill="E1DFDD"/>
    </w:rPr>
  </w:style>
  <w:style w:type="character" w:customStyle="1" w:styleId="67">
    <w:name w:val="标题 3 Char Char"/>
    <w:qFormat/>
    <w:uiPriority w:val="0"/>
    <w:rPr>
      <w:rFonts w:ascii="Tahoma" w:hAnsi="Tahoma" w:eastAsia="宋体"/>
      <w:b/>
      <w:kern w:val="2"/>
      <w:sz w:val="32"/>
      <w:lang w:val="en-US" w:eastAsia="zh-CN" w:bidi="ar-SA"/>
    </w:rPr>
  </w:style>
  <w:style w:type="paragraph" w:customStyle="1" w:styleId="68">
    <w:name w:val="表题"/>
    <w:basedOn w:val="12"/>
    <w:qFormat/>
    <w:uiPriority w:val="0"/>
    <w:pPr>
      <w:spacing w:before="152" w:after="160"/>
      <w:jc w:val="center"/>
    </w:pPr>
    <w:rPr>
      <w:sz w:val="22"/>
      <w:szCs w:val="22"/>
    </w:rPr>
  </w:style>
  <w:style w:type="paragraph" w:customStyle="1" w:styleId="69">
    <w:name w:val="1表格"/>
    <w:basedOn w:val="1"/>
    <w:qFormat/>
    <w:uiPriority w:val="0"/>
    <w:pPr>
      <w:snapToGrid w:val="0"/>
      <w:spacing w:line="360" w:lineRule="auto"/>
      <w:jc w:val="center"/>
    </w:pPr>
    <w:rPr>
      <w:spacing w:val="4"/>
    </w:rPr>
  </w:style>
  <w:style w:type="paragraph" w:customStyle="1" w:styleId="70">
    <w:name w:val="表格"/>
    <w:basedOn w:val="27"/>
    <w:next w:val="1"/>
    <w:qFormat/>
    <w:uiPriority w:val="0"/>
    <w:pPr>
      <w:adjustRightInd w:val="0"/>
      <w:ind w:left="0" w:firstLine="0"/>
    </w:pPr>
    <w:rPr>
      <w:kern w:val="0"/>
    </w:rPr>
  </w:style>
  <w:style w:type="paragraph" w:customStyle="1" w:styleId="71">
    <w:name w:val="7表格(治)"/>
    <w:qFormat/>
    <w:uiPriority w:val="0"/>
    <w:pPr>
      <w:spacing w:line="360" w:lineRule="auto"/>
      <w:jc w:val="both"/>
    </w:pPr>
    <w:rPr>
      <w:rFonts w:ascii="宋体" w:hAnsi="宋体" w:eastAsia="宋体" w:cs="Times New Roman"/>
      <w:bCs/>
      <w:color w:val="000000"/>
      <w:sz w:val="21"/>
      <w:lang w:val="en-US" w:eastAsia="zh-CN" w:bidi="ar-SA"/>
    </w:rPr>
  </w:style>
  <w:style w:type="paragraph" w:customStyle="1" w:styleId="72">
    <w:name w:val="8说明(治)"/>
    <w:basedOn w:val="1"/>
    <w:next w:val="73"/>
    <w:qFormat/>
    <w:uiPriority w:val="0"/>
    <w:pPr>
      <w:ind w:firstLine="210" w:firstLineChars="100"/>
    </w:pPr>
    <w:rPr>
      <w:szCs w:val="20"/>
    </w:rPr>
  </w:style>
  <w:style w:type="paragraph" w:customStyle="1" w:styleId="73">
    <w:name w:val="5文章(治)"/>
    <w:basedOn w:val="1"/>
    <w:qFormat/>
    <w:uiPriority w:val="0"/>
    <w:pPr>
      <w:spacing w:line="360" w:lineRule="auto"/>
      <w:ind w:firstLine="480" w:firstLineChars="200"/>
    </w:pPr>
    <w:rPr>
      <w:rFonts w:ascii="Arial" w:hAnsi="宋体" w:cs="Arial"/>
      <w:snapToGrid w:val="0"/>
      <w:color w:val="000000"/>
      <w:kern w:val="0"/>
      <w:sz w:val="24"/>
      <w:lang w:val="en-GB"/>
    </w:rPr>
  </w:style>
  <w:style w:type="character" w:customStyle="1" w:styleId="74">
    <w:name w:val="Unresolved Mention"/>
    <w:basedOn w:val="36"/>
    <w:semiHidden/>
    <w:unhideWhenUsed/>
    <w:qFormat/>
    <w:uiPriority w:val="99"/>
    <w:rPr>
      <w:color w:val="605E5C"/>
      <w:shd w:val="clear" w:color="auto" w:fill="E1DFDD"/>
    </w:rPr>
  </w:style>
  <w:style w:type="character" w:customStyle="1" w:styleId="75">
    <w:name w:val="批注框文本 Char"/>
    <w:basedOn w:val="36"/>
    <w:link w:val="21"/>
    <w:semiHidden/>
    <w:qFormat/>
    <w:uiPriority w:val="99"/>
    <w:rPr>
      <w:rFonts w:asciiTheme="minorHAnsi" w:hAnsiTheme="minorHAnsi" w:eastAsiaTheme="minorEastAsia" w:cstheme="minorBidi"/>
      <w:kern w:val="2"/>
      <w:sz w:val="18"/>
      <w:szCs w:val="18"/>
    </w:rPr>
  </w:style>
  <w:style w:type="paragraph" w:customStyle="1" w:styleId="7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正文文本缩进1"/>
    <w:basedOn w:val="1"/>
    <w:qFormat/>
    <w:uiPriority w:val="0"/>
    <w:pPr>
      <w:ind w:firstLine="480" w:firstLineChars="200"/>
    </w:pPr>
    <w:rPr>
      <w:kern w:val="0"/>
      <w:sz w:val="20"/>
    </w:rPr>
  </w:style>
  <w:style w:type="paragraph" w:customStyle="1" w:styleId="78">
    <w:name w:val="Table Paragraph"/>
    <w:basedOn w:val="1"/>
    <w:qFormat/>
    <w:uiPriority w:val="1"/>
    <w:rPr>
      <w:rFonts w:ascii="仿宋_GB2312" w:hAnsi="仿宋_GB2312" w:eastAsia="仿宋_GB2312" w:cs="仿宋_GB2312"/>
      <w:lang w:val="zh-CN" w:bidi="zh-CN"/>
    </w:rPr>
  </w:style>
  <w:style w:type="table" w:customStyle="1" w:styleId="79">
    <w:name w:val="Table Normal"/>
    <w:basedOn w:val="34"/>
    <w:semiHidden/>
    <w:unhideWhenUsed/>
    <w:qFormat/>
    <w:uiPriority w:val="0"/>
    <w:tblPr>
      <w:tblCellMar>
        <w:top w:w="0" w:type="dxa"/>
        <w:left w:w="0" w:type="dxa"/>
        <w:bottom w:w="0" w:type="dxa"/>
        <w:right w:w="0" w:type="dxa"/>
      </w:tblCellMar>
    </w:tblPr>
  </w:style>
  <w:style w:type="character" w:customStyle="1" w:styleId="80">
    <w:name w:val="正文文本缩进 2 Char"/>
    <w:basedOn w:val="36"/>
    <w:link w:val="2"/>
    <w:qFormat/>
    <w:uiPriority w:val="0"/>
    <w:rPr>
      <w:rFonts w:hint="default" w:ascii="Calibri" w:hAnsi="Calibri" w:cs="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88902992-27E1-43DB-B6FF-EDA76B3F768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61</Pages>
  <Words>33925</Words>
  <Characters>35639</Characters>
  <Lines>257</Lines>
  <Paragraphs>72</Paragraphs>
  <TotalTime>54</TotalTime>
  <ScaleCrop>false</ScaleCrop>
  <LinksUpToDate>false</LinksUpToDate>
  <CharactersWithSpaces>35776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2021-03-26T07:58:00Z</dcterms:created>
  <dc:creator>57647</dc:creator>
  <cp:lastModifiedBy>user</cp:lastModifiedBy>
  <cp:lastPrinted>2022-10-18T16:30:00Z</cp:lastPrinted>
  <dcterms:modified xsi:type="dcterms:W3CDTF">2024-11-29T17:39:23Z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E8E93D93DF9A48AB98883E869172FF9D</vt:lpwstr>
  </property>
  <property fmtid="{D5CDD505-2E9C-101B-9397-08002B2CF9AE}" pid="4" name="commondata">
    <vt:lpwstr>eyJoZGlkIjoiM2FiOGI0Zjc0ZjE3MGVkMjA2NmRjMzA4YjFjZGM4YmMifQ==</vt:lpwstr>
  </property>
</Properties>
</file>