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17C85A">
      <w:pPr>
        <w:keepNext w:val="0"/>
        <w:keepLines w:val="0"/>
        <w:pageBreakBefore w:val="0"/>
        <w:widowControl w:val="0"/>
        <w:kinsoku/>
        <w:wordWrap/>
        <w:overflowPunct/>
        <w:topLinePunct w:val="0"/>
        <w:autoSpaceDE/>
        <w:autoSpaceDN/>
        <w:bidi w:val="0"/>
        <w:adjustRightInd/>
        <w:snapToGrid/>
        <w:spacing w:line="587" w:lineRule="exact"/>
        <w:ind w:left="0" w:leftChars="0" w:right="0" w:rightChars="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附件</w:t>
      </w:r>
    </w:p>
    <w:p w14:paraId="7CDB2DE8">
      <w:pPr>
        <w:keepNext w:val="0"/>
        <w:keepLines w:val="0"/>
        <w:pageBreakBefore w:val="0"/>
        <w:widowControl w:val="0"/>
        <w:kinsoku/>
        <w:wordWrap/>
        <w:overflowPunct/>
        <w:topLinePunct w:val="0"/>
        <w:autoSpaceDE/>
        <w:autoSpaceDN/>
        <w:bidi w:val="0"/>
        <w:adjustRightInd/>
        <w:snapToGrid/>
        <w:spacing w:line="587" w:lineRule="exact"/>
        <w:ind w:left="0" w:leftChars="0" w:right="0" w:rightChars="0"/>
        <w:textAlignment w:val="auto"/>
        <w:rPr>
          <w:rFonts w:hint="eastAsia" w:ascii="仿宋_GB2312" w:hAnsi="仿宋_GB2312" w:eastAsia="仿宋_GB2312" w:cs="仿宋_GB2312"/>
          <w:color w:val="auto"/>
          <w:sz w:val="32"/>
          <w:szCs w:val="32"/>
        </w:rPr>
      </w:pPr>
    </w:p>
    <w:p w14:paraId="4CDE8D73">
      <w:pPr>
        <w:keepNext w:val="0"/>
        <w:keepLines w:val="0"/>
        <w:pageBreakBefore w:val="0"/>
        <w:widowControl w:val="0"/>
        <w:kinsoku/>
        <w:wordWrap/>
        <w:overflowPunct/>
        <w:topLinePunct w:val="0"/>
        <w:autoSpaceDE/>
        <w:autoSpaceDN/>
        <w:bidi w:val="0"/>
        <w:adjustRightInd/>
        <w:snapToGrid/>
        <w:spacing w:line="587" w:lineRule="exact"/>
        <w:ind w:left="0" w:leftChars="0" w:right="0" w:rightChars="0"/>
        <w:jc w:val="center"/>
        <w:textAlignment w:val="auto"/>
        <w:rPr>
          <w:rFonts w:hint="eastAsia" w:ascii="方正小标宋简体" w:hAnsi="方正小标宋简体" w:eastAsia="方正小标宋简体" w:cs="方正小标宋简体"/>
          <w:color w:val="auto"/>
          <w:sz w:val="44"/>
          <w:szCs w:val="44"/>
        </w:rPr>
      </w:pPr>
      <w:bookmarkStart w:id="0" w:name="_GoBack"/>
      <w:r>
        <w:rPr>
          <w:rFonts w:hint="eastAsia" w:ascii="方正小标宋简体" w:hAnsi="方正小标宋简体" w:eastAsia="方正小标宋简体" w:cs="方正小标宋简体"/>
          <w:color w:val="auto"/>
          <w:sz w:val="44"/>
          <w:szCs w:val="44"/>
        </w:rPr>
        <w:t>第三轮</w:t>
      </w:r>
      <w:r>
        <w:rPr>
          <w:rFonts w:hint="eastAsia" w:ascii="方正小标宋简体" w:hAnsi="方正小标宋简体" w:eastAsia="方正小标宋简体" w:cs="方正小标宋简体"/>
          <w:color w:val="auto"/>
          <w:sz w:val="44"/>
          <w:szCs w:val="44"/>
          <w:lang w:eastAsia="zh-CN"/>
        </w:rPr>
        <w:t>省级生态环境</w:t>
      </w:r>
      <w:r>
        <w:rPr>
          <w:rFonts w:hint="eastAsia" w:ascii="方正小标宋简体" w:hAnsi="方正小标宋简体" w:eastAsia="方正小标宋简体" w:cs="方正小标宋简体"/>
          <w:color w:val="auto"/>
          <w:sz w:val="44"/>
          <w:szCs w:val="44"/>
        </w:rPr>
        <w:t>保护督察第</w:t>
      </w:r>
      <w:r>
        <w:rPr>
          <w:rFonts w:hint="eastAsia" w:ascii="方正小标宋简体" w:hAnsi="方正小标宋简体" w:eastAsia="方正小标宋简体" w:cs="方正小标宋简体"/>
          <w:color w:val="auto"/>
          <w:sz w:val="44"/>
          <w:szCs w:val="44"/>
          <w:lang w:val="en-US" w:eastAsia="zh-CN"/>
        </w:rPr>
        <w:t>2</w:t>
      </w:r>
      <w:r>
        <w:rPr>
          <w:rFonts w:hint="eastAsia" w:ascii="方正小标宋简体" w:hAnsi="方正小标宋简体" w:eastAsia="方正小标宋简体" w:cs="方正小标宋简体"/>
          <w:color w:val="auto"/>
          <w:sz w:val="44"/>
          <w:szCs w:val="44"/>
        </w:rPr>
        <w:t>项</w:t>
      </w:r>
    </w:p>
    <w:p w14:paraId="1BD63799">
      <w:pPr>
        <w:keepNext w:val="0"/>
        <w:keepLines w:val="0"/>
        <w:pageBreakBefore w:val="0"/>
        <w:widowControl w:val="0"/>
        <w:kinsoku/>
        <w:wordWrap/>
        <w:overflowPunct/>
        <w:topLinePunct w:val="0"/>
        <w:autoSpaceDE/>
        <w:autoSpaceDN/>
        <w:bidi w:val="0"/>
        <w:adjustRightInd/>
        <w:snapToGrid/>
        <w:spacing w:line="587" w:lineRule="exact"/>
        <w:ind w:left="0" w:leftChars="0" w:right="0" w:rightChars="0"/>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整改任务完成情况</w:t>
      </w:r>
    </w:p>
    <w:bookmarkEnd w:id="0"/>
    <w:p w14:paraId="16EAB82B">
      <w:pPr>
        <w:keepNext w:val="0"/>
        <w:keepLines w:val="0"/>
        <w:pageBreakBefore w:val="0"/>
        <w:widowControl w:val="0"/>
        <w:kinsoku/>
        <w:wordWrap/>
        <w:overflowPunct/>
        <w:topLinePunct w:val="0"/>
        <w:autoSpaceDE/>
        <w:autoSpaceDN/>
        <w:bidi w:val="0"/>
        <w:adjustRightInd/>
        <w:snapToGrid/>
        <w:spacing w:line="587" w:lineRule="exact"/>
        <w:ind w:left="0" w:leftChars="0" w:right="0" w:rightChars="0"/>
        <w:textAlignment w:val="auto"/>
        <w:rPr>
          <w:rFonts w:hint="eastAsia" w:ascii="仿宋_GB2312" w:hAnsi="仿宋_GB2312" w:eastAsia="仿宋_GB2312" w:cs="仿宋_GB2312"/>
          <w:color w:val="auto"/>
          <w:sz w:val="32"/>
          <w:szCs w:val="32"/>
        </w:rPr>
      </w:pPr>
    </w:p>
    <w:p w14:paraId="34B05D4A">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textAlignment w:val="auto"/>
        <w:rPr>
          <w:rFonts w:hint="default"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rPr>
        <w:t>问题编号：</w:t>
      </w:r>
      <w:r>
        <w:rPr>
          <w:rFonts w:hint="eastAsia" w:ascii="仿宋_GB2312" w:hAnsi="仿宋_GB2312" w:eastAsia="仿宋_GB2312" w:cs="仿宋_GB2312"/>
          <w:b w:val="0"/>
          <w:bCs w:val="0"/>
          <w:color w:val="auto"/>
          <w:sz w:val="32"/>
          <w:szCs w:val="32"/>
          <w:lang w:val="en-US" w:eastAsia="zh-CN"/>
        </w:rPr>
        <w:t>问题2</w:t>
      </w:r>
    </w:p>
    <w:p w14:paraId="03F625F0">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left"/>
        <w:textAlignment w:val="auto"/>
        <w:rPr>
          <w:rFonts w:hint="eastAsia" w:ascii="仿宋_GB2312" w:hAnsi="仿宋_GB2312" w:eastAsia="仿宋_GB2312" w:cs="仿宋_GB2312"/>
          <w:b/>
          <w:bCs/>
          <w:color w:val="FF0000"/>
          <w:sz w:val="32"/>
          <w:szCs w:val="32"/>
          <w:u w:val="single" w:color="auto"/>
          <w:lang w:val="en-US" w:eastAsia="zh-CN"/>
        </w:rPr>
      </w:pPr>
      <w:r>
        <w:rPr>
          <w:rFonts w:hint="eastAsia" w:ascii="仿宋_GB2312" w:hAnsi="仿宋_GB2312" w:eastAsia="仿宋_GB2312" w:cs="仿宋_GB2312"/>
          <w:b/>
          <w:bCs/>
          <w:color w:val="auto"/>
          <w:sz w:val="32"/>
          <w:szCs w:val="32"/>
        </w:rPr>
        <w:t>问题表述：</w:t>
      </w:r>
      <w:r>
        <w:rPr>
          <w:rFonts w:hint="eastAsia" w:ascii="仿宋_GB2312" w:hAnsi="仿宋_GB2312" w:eastAsia="仿宋_GB2312" w:cs="仿宋_GB2312"/>
          <w:color w:val="000000"/>
          <w:kern w:val="0"/>
          <w:sz w:val="32"/>
          <w:szCs w:val="32"/>
          <w:lang w:val="en-US" w:eastAsia="zh-CN" w:bidi="ar"/>
        </w:rPr>
        <w:t>张掖市虽然制定生态环境保护工作责任清单，明确了各部门生态环境保护职责，但在实际工作中各职能部门生态环境保护责任靠得不实，联动机制、长效机制还不健全。虽然承担重要生态环境保护职责的有关职能部门在门户网站原文公开了责任清单，但未严格按照国家和省上要求，主动梳理相关法律法规和政策文件，形成本部门牵头的生态环境保护具体事项清单并将任务分解落实，生态环境保护责任落实不到位。</w:t>
      </w:r>
    </w:p>
    <w:p w14:paraId="3CA7D425">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整改目标：</w:t>
      </w:r>
      <w:r>
        <w:rPr>
          <w:rFonts w:hint="eastAsia" w:ascii="仿宋_GB2312" w:hAnsi="仿宋_GB2312" w:eastAsia="仿宋_GB2312" w:cs="仿宋_GB2312"/>
          <w:color w:val="000000"/>
          <w:kern w:val="0"/>
          <w:sz w:val="32"/>
          <w:szCs w:val="32"/>
          <w:lang w:val="en-US" w:eastAsia="zh-CN" w:bidi="ar"/>
        </w:rPr>
        <w:t>生态环境保护“党政同责、一岗双责”和“三管三必须”要求有效落实，各级各部门主动担当抓生态环境保护的责任意识更加坚定，覆盖全面、权责一致、奖惩分明、环环相扣的责任体系基本建立。</w:t>
      </w:r>
    </w:p>
    <w:p w14:paraId="7634A59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rPr>
          <w:rFonts w:hint="eastAsia" w:ascii="仿宋_GB2312" w:hAnsi="仿宋_GB2312" w:eastAsia="仿宋_GB2312" w:cs="仿宋_GB2312"/>
          <w:b/>
          <w:bCs/>
          <w:color w:val="auto"/>
          <w:sz w:val="32"/>
          <w:szCs w:val="32"/>
          <w:u w:val="none" w:color="auto"/>
          <w:lang w:val="en-US" w:eastAsia="zh-CN"/>
        </w:rPr>
      </w:pPr>
      <w:r>
        <w:rPr>
          <w:rFonts w:hint="eastAsia" w:ascii="仿宋_GB2312" w:hAnsi="仿宋_GB2312" w:eastAsia="仿宋_GB2312" w:cs="仿宋_GB2312"/>
          <w:b/>
          <w:bCs/>
          <w:color w:val="auto"/>
          <w:sz w:val="32"/>
          <w:szCs w:val="32"/>
        </w:rPr>
        <w:t>整改时限：</w:t>
      </w:r>
      <w:r>
        <w:rPr>
          <w:rFonts w:hint="eastAsia" w:ascii="仿宋_GB2312" w:hAnsi="仿宋_GB2312" w:eastAsia="仿宋_GB2312" w:cs="仿宋_GB2312"/>
          <w:color w:val="000000"/>
          <w:kern w:val="0"/>
          <w:sz w:val="32"/>
          <w:szCs w:val="32"/>
          <w:lang w:val="en-US" w:eastAsia="zh-CN" w:bidi="ar"/>
        </w:rPr>
        <w:t>立行立改，长期坚持</w:t>
      </w:r>
    </w:p>
    <w:p w14:paraId="6720469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19" w:firstLineChars="200"/>
        <w:textAlignment w:val="auto"/>
        <w:rPr>
          <w:rFonts w:hint="eastAsia" w:ascii="仿宋_GB2312" w:hAnsi="仿宋_GB2312" w:eastAsia="仿宋_GB2312" w:cs="仿宋_GB2312"/>
          <w:b w:val="0"/>
          <w:bCs w:val="0"/>
          <w:color w:val="FF0000"/>
          <w:spacing w:val="-6"/>
          <w:sz w:val="32"/>
          <w:szCs w:val="32"/>
          <w:u w:val="single" w:color="auto"/>
          <w:lang w:val="en-US" w:eastAsia="zh-CN"/>
        </w:rPr>
      </w:pPr>
      <w:r>
        <w:rPr>
          <w:rFonts w:hint="eastAsia" w:ascii="仿宋_GB2312" w:hAnsi="仿宋_GB2312" w:eastAsia="仿宋_GB2312" w:cs="仿宋_GB2312"/>
          <w:b/>
          <w:bCs/>
          <w:color w:val="auto"/>
          <w:spacing w:val="-6"/>
          <w:sz w:val="32"/>
          <w:szCs w:val="32"/>
        </w:rPr>
        <w:t>整改实施主体：</w:t>
      </w:r>
      <w:r>
        <w:rPr>
          <w:rFonts w:hint="eastAsia" w:ascii="仿宋_GB2312" w:hAnsi="仿宋_GB2312" w:eastAsia="仿宋_GB2312" w:cs="仿宋_GB2312"/>
          <w:color w:val="000000"/>
          <w:kern w:val="0"/>
          <w:sz w:val="32"/>
          <w:szCs w:val="32"/>
          <w:lang w:val="en-US" w:eastAsia="zh-CN" w:bidi="ar"/>
        </w:rPr>
        <w:t>各县区党委和人民政府，《张掖市市级有关部门和单位生态环境保护责任清单》中确定的责任部门、单位</w:t>
      </w:r>
    </w:p>
    <w:p w14:paraId="5CF355D6">
      <w:pPr>
        <w:keepNext w:val="0"/>
        <w:keepLines w:val="0"/>
        <w:pageBreakBefore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rPr>
        <w:t>整改情况</w:t>
      </w:r>
      <w:r>
        <w:rPr>
          <w:rFonts w:hint="eastAsia" w:ascii="仿宋_GB2312" w:hAnsi="仿宋_GB2312" w:eastAsia="仿宋_GB2312" w:cs="仿宋_GB2312"/>
          <w:b/>
          <w:bCs/>
          <w:color w:val="auto"/>
          <w:sz w:val="32"/>
          <w:szCs w:val="32"/>
          <w:lang w:eastAsia="zh-CN"/>
        </w:rPr>
        <w:t>：</w:t>
      </w:r>
    </w:p>
    <w:p w14:paraId="1F0BB0F0">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坚决扛起生态文明建设和生态环境保护的政治责任，严格落实生态环境保护“党政同责、一岗双责”，全面对标党中央和省市委工作要求，始终将生态环境保护与经济社会发展一体谋划、一体部署、一体落实，县委常委会会议、县政府常务会议先后19次专题研究部署生态环境保护工作，听取汇报9次，系统安排部署，细化整改举措，明确着力重点。县委、县政府主要负责同志切实履行第一责任人职责，针对地下水超采治理和重点水利建设等领域，靠前指挥、带队攻坚，组织相关行业部门深入一线开展调研督导18次，既摸清底数、找准问题，又现场办公、破解难题。分管负责同志紧盯城市污水处理、农业面源污染防治等突出问题，压紧压实各方责任，强化部门协同、上下联动，不断提升生态环境治理体系和治理能力现代化水平。严格落实年度责任报告制度，2025年底专题向市委、市政府报送《关于落实生态文明建设和生态保护党政主体责任制情况的报告》，切实将生态环境保护责任扛在肩上、抓在手上、落实在行动上。</w:t>
      </w:r>
    </w:p>
    <w:p w14:paraId="3F3CC2DC">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严格对照市级生态保护责任清单框架，结合全县生态环境实际、产业发展特点及部门职能分工，修订完善县级生态环境保护责任清单，系统梳理各部门单位在生态环保领域的具体职责，厘清权责划分，消除职责交叉与监管盲区，切实构建权责清晰、分工明确的责任体系，做到事有人管、责有人担。对承担生态环境保护责任的7个镇及49个部门单位，督促其严格遵守生态环境保护法律法规，坚决贯彻落实中央和省市坚持生态优先、持续加强祁连山黑河流域生态保护、全力打好“三北”工程攻坚战、推进深度节水治水、因地制宜发展生态经济等工作要求，结合实际修订本单位的生态环境保护具体事项清单，确保从严从实整改上级生态环保督察反馈问题。强化地下水超采综合治理，制定下发《临泽县治理地下水超采攻坚行动方案（2026-2028年）》，严格落实关井压量、置换减量、回灌补量、节水降量、管理控量“五量”措施，实施水源工程、超采治理、水源置换等重点项目4个，建成“港湾式”泵池150座，超采区215眼机井全部实现“水电双控”，超采区地下水水位连续四个季度同比上升。系统推进扩绿兴绿护绿，治理沙化土地4.17万亩，完成新造林管护4万亩。持续打好蓝天、碧水、净土保卫战，PM10、PM2.5浓度值分别低于全市平均水平5、6微克/立方米，空气质量全市排名同比提升2个位次。不断拓宽生态转化路径，大力推广“GEP质押+信用担保”“水权贷”等生态权益质押贷款，投放绿色贷款2.77亿元，红桥庄园马瑟兰干红葡萄酒产品取得碳足迹证书及碳标签认证，成为全省首个获此认证的林产品。</w:t>
      </w:r>
    </w:p>
    <w:p w14:paraId="772C8FF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聚焦存在问题，始终将生态环境保护工作列入日常监督检查重点内容，2025年10月以来，对水源地、建设项目、工业企业等重点领域开展执法检查，共检查企业104家，出动执法人员224人次。加强巡察整改统筹督促指导，压紧压实相关部门单位整改主体责任，坚持靶向施策、标本兼治、闭环管理，全力推动问题整改到位。将打造新时代节水型社会新标杆任务完成率、林长制工作任务落实情况、河湖库“四乱”问题整治率等事项纳入年度考核指标体系，推动生态环境保护主体责任落细落实。坚持把生态环保工作作为各级领导班子和领导干部政绩考核的重要指标，对在生态环保一线表现突出的39名干部优先提拔或进一步使用，进一步提振干部干事创业的精气神。</w:t>
      </w:r>
    </w:p>
    <w:p w14:paraId="15CC4ECA">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textAlignment w:val="auto"/>
      </w:pPr>
      <w:r>
        <w:rPr>
          <w:rFonts w:hint="eastAsia" w:ascii="仿宋_GB2312" w:hAnsi="仿宋_GB2312" w:eastAsia="仿宋_GB2312" w:cs="仿宋_GB2312"/>
          <w:b/>
          <w:bCs/>
          <w:color w:val="auto"/>
          <w:sz w:val="32"/>
          <w:szCs w:val="32"/>
        </w:rPr>
        <w:t>整改结论：</w:t>
      </w:r>
      <w:r>
        <w:rPr>
          <w:rFonts w:hint="eastAsia" w:ascii="仿宋_GB2312" w:hAnsi="仿宋_GB2312" w:eastAsia="仿宋_GB2312" w:cs="仿宋_GB2312"/>
          <w:color w:val="auto"/>
          <w:sz w:val="32"/>
          <w:szCs w:val="32"/>
        </w:rPr>
        <w:t>已完成整改</w:t>
      </w:r>
      <w:r>
        <w:rPr>
          <w:rFonts w:hint="eastAsia" w:ascii="仿宋_GB2312" w:hAnsi="仿宋_GB2312" w:eastAsia="仿宋_GB2312" w:cs="仿宋_GB2312"/>
          <w:color w:val="auto"/>
          <w:sz w:val="32"/>
          <w:szCs w:val="32"/>
          <w:lang w:eastAsia="zh-CN"/>
        </w:rPr>
        <w:t>。</w:t>
      </w:r>
    </w:p>
    <w:p w14:paraId="2B3957BC">
      <w:pPr>
        <w:pStyle w:val="2"/>
      </w:pPr>
    </w:p>
    <w:p w14:paraId="03A521A4"/>
    <w:sectPr>
      <w:footerReference r:id="rId3" w:type="default"/>
      <w:pgSz w:w="11906" w:h="16838"/>
      <w:pgMar w:top="1984" w:right="1587" w:bottom="1587" w:left="1587" w:header="992" w:footer="1417"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EF69F">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F1752FA">
                          <w:pPr>
                            <w:pStyle w:val="4"/>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2F1752FA">
                    <w:pPr>
                      <w:pStyle w:val="4"/>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F7CFF2"/>
    <w:rsid w:val="014E1396"/>
    <w:rsid w:val="737B79D7"/>
    <w:rsid w:val="74F7CFF2"/>
    <w:rsid w:val="BCCEA9A2"/>
    <w:rsid w:val="DEFF28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99"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99"/>
    <w:pPr>
      <w:snapToGrid w:val="0"/>
      <w:ind w:firstLine="556"/>
    </w:pPr>
    <w:rPr>
      <w:rFonts w:ascii="仿宋_GB2312" w:eastAsia="仿宋_GB2312"/>
      <w:kern w:val="0"/>
      <w:sz w:val="21"/>
      <w:szCs w:val="20"/>
      <w:lang w:val="zh-CN"/>
    </w:rPr>
  </w:style>
  <w:style w:type="paragraph" w:styleId="3">
    <w:name w:val="index 6"/>
    <w:basedOn w:val="1"/>
    <w:next w:val="1"/>
    <w:semiHidden/>
    <w:qFormat/>
    <w:uiPriority w:val="99"/>
    <w:pPr>
      <w:ind w:firstLine="440" w:firstLineChars="200"/>
    </w:pPr>
    <w:rPr>
      <w:rFonts w:ascii="Calibri" w:hAnsi="Calibri" w:cs="Calibri"/>
      <w:sz w:val="22"/>
      <w:szCs w:val="22"/>
    </w:rPr>
  </w:style>
  <w:style w:type="paragraph" w:styleId="4">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2224</Words>
  <Characters>2337</Characters>
  <Lines>0</Lines>
  <Paragraphs>0</Paragraphs>
  <TotalTime>13</TotalTime>
  <ScaleCrop>false</ScaleCrop>
  <LinksUpToDate>false</LinksUpToDate>
  <CharactersWithSpaces>2372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2026-09-15T01:06:00Z</dcterms:created>
  <dc:creator>UOS</dc:creator>
  <cp:lastModifiedBy>WPS_1749298217</cp:lastModifiedBy>
  <dcterms:modified xsi:type="dcterms:W3CDTF">2026-09-17T01:07:12Z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B7D442B2DB85FC538048A76A474E2222_41</vt:lpwstr>
  </property>
  <property fmtid="{D5CDD505-2E9C-101B-9397-08002B2CF9AE}" pid="4" name="KSOTemplateDocerSaveRecord">
    <vt:lpwstr>eyJoZGlkIjoiMmQ5MzNlMTBiNjA1Y2MyNjJkZWM1OTJjMDdlMWEyZWIiLCJ1c2VySWQiOiIxNzA4NDQwNjA4In0=</vt:lpwstr>
  </property>
</Properties>
</file>